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ind w:firstLine="1417" w:firstLineChars="443"/>
        <w:rPr>
          <w:rFonts w:ascii="华文中宋" w:hAnsi="华文中宋" w:eastAsia="华文中宋"/>
          <w:color w:val="auto"/>
          <w:spacing w:val="20"/>
          <w:sz w:val="28"/>
          <w:szCs w:val="28"/>
          <w:highlight w:val="none"/>
        </w:rPr>
      </w:pPr>
    </w:p>
    <w:p>
      <w:pPr>
        <w:pStyle w:val="2"/>
        <w:rPr>
          <w:rFonts w:ascii="华文中宋" w:hAnsi="华文中宋" w:eastAsia="华文中宋"/>
          <w:color w:val="auto"/>
          <w:highlight w:val="none"/>
        </w:rPr>
      </w:pPr>
    </w:p>
    <w:p>
      <w:pPr>
        <w:spacing w:line="360" w:lineRule="auto"/>
        <w:jc w:val="center"/>
        <w:rPr>
          <w:rFonts w:ascii="华文中宋" w:hAnsi="华文中宋" w:eastAsia="华文中宋"/>
          <w:color w:val="auto"/>
          <w:spacing w:val="-20"/>
          <w:sz w:val="96"/>
          <w:szCs w:val="96"/>
          <w:highlight w:val="none"/>
        </w:rPr>
      </w:pPr>
      <w:r>
        <w:rPr>
          <w:rFonts w:hint="eastAsia" w:ascii="华文中宋" w:hAnsi="华文中宋" w:eastAsia="华文中宋"/>
          <w:color w:val="auto"/>
          <w:spacing w:val="-20"/>
          <w:sz w:val="96"/>
          <w:szCs w:val="96"/>
          <w:highlight w:val="none"/>
        </w:rPr>
        <w:t>竞争性磋商文件</w:t>
      </w:r>
    </w:p>
    <w:p>
      <w:pPr>
        <w:spacing w:line="360" w:lineRule="auto"/>
        <w:ind w:left="2235" w:leftChars="223" w:hanging="1700" w:hangingChars="500"/>
        <w:rPr>
          <w:rFonts w:ascii="华文中宋" w:hAnsi="华文中宋" w:eastAsia="华文中宋"/>
          <w:color w:val="auto"/>
          <w:spacing w:val="20"/>
          <w:sz w:val="30"/>
          <w:szCs w:val="30"/>
          <w:highlight w:val="none"/>
        </w:rPr>
      </w:pPr>
    </w:p>
    <w:p>
      <w:pPr>
        <w:spacing w:line="360" w:lineRule="auto"/>
        <w:ind w:left="2223" w:leftChars="336" w:hanging="1417" w:hangingChars="443"/>
        <w:rPr>
          <w:rFonts w:ascii="华文中宋" w:hAnsi="华文中宋" w:eastAsia="华文中宋"/>
          <w:color w:val="auto"/>
          <w:sz w:val="32"/>
          <w:szCs w:val="32"/>
          <w:highlight w:val="none"/>
        </w:rPr>
      </w:pPr>
      <w:r>
        <w:rPr>
          <w:rFonts w:hint="eastAsia" w:ascii="华文中宋" w:hAnsi="华文中宋" w:eastAsia="华文中宋"/>
          <w:color w:val="auto"/>
          <w:sz w:val="32"/>
          <w:szCs w:val="32"/>
          <w:highlight w:val="none"/>
        </w:rPr>
        <w:t>项目名称：</w:t>
      </w:r>
      <w:r>
        <w:rPr>
          <w:rFonts w:hint="eastAsia" w:ascii="华文中宋" w:hAnsi="华文中宋" w:eastAsia="华文中宋"/>
          <w:color w:val="auto"/>
          <w:sz w:val="32"/>
          <w:szCs w:val="32"/>
          <w:highlight w:val="none"/>
          <w:lang w:eastAsia="zh-CN"/>
        </w:rPr>
        <w:t>成都高新区合作街道办事处</w:t>
      </w:r>
      <w:r>
        <w:rPr>
          <w:rFonts w:hint="eastAsia" w:ascii="华文中宋" w:hAnsi="华文中宋" w:eastAsia="华文中宋"/>
          <w:color w:val="auto"/>
          <w:sz w:val="32"/>
          <w:szCs w:val="32"/>
          <w:highlight w:val="none"/>
        </w:rPr>
        <w:t>社区公园康养中心装修工程采购项目</w:t>
      </w:r>
    </w:p>
    <w:p>
      <w:pPr>
        <w:spacing w:line="360" w:lineRule="auto"/>
        <w:ind w:left="2223" w:leftChars="336" w:hanging="1417" w:hangingChars="443"/>
        <w:rPr>
          <w:rFonts w:hint="eastAsia" w:ascii="华文中宋" w:hAnsi="华文中宋" w:eastAsia="华文中宋"/>
          <w:color w:val="auto"/>
          <w:sz w:val="32"/>
          <w:szCs w:val="32"/>
          <w:highlight w:val="none"/>
          <w:lang w:eastAsia="zh-CN"/>
        </w:rPr>
      </w:pPr>
      <w:r>
        <w:rPr>
          <w:rFonts w:hint="eastAsia" w:ascii="华文中宋" w:hAnsi="华文中宋" w:eastAsia="华文中宋"/>
          <w:color w:val="auto"/>
          <w:sz w:val="32"/>
          <w:szCs w:val="32"/>
          <w:highlight w:val="none"/>
        </w:rPr>
        <w:t xml:space="preserve">项目编号: </w:t>
      </w:r>
      <w:r>
        <w:rPr>
          <w:rFonts w:hint="eastAsia" w:ascii="华文中宋" w:hAnsi="华文中宋" w:eastAsia="华文中宋"/>
          <w:color w:val="auto"/>
          <w:sz w:val="32"/>
          <w:szCs w:val="32"/>
          <w:highlight w:val="none"/>
          <w:lang w:eastAsia="zh-CN"/>
        </w:rPr>
        <w:t>成都高新技术产业开发区政采（2021）A0031号</w:t>
      </w:r>
    </w:p>
    <w:p>
      <w:pPr>
        <w:tabs>
          <w:tab w:val="left" w:pos="2552"/>
        </w:tabs>
        <w:spacing w:line="360" w:lineRule="auto"/>
        <w:ind w:firstLine="2392" w:firstLineChars="443"/>
        <w:rPr>
          <w:rFonts w:ascii="华文中宋" w:hAnsi="华文中宋" w:eastAsia="华文中宋"/>
          <w:color w:val="auto"/>
          <w:spacing w:val="110"/>
          <w:sz w:val="32"/>
          <w:szCs w:val="32"/>
          <w:highlight w:val="none"/>
        </w:rPr>
      </w:pPr>
    </w:p>
    <w:p>
      <w:pPr>
        <w:spacing w:line="360" w:lineRule="auto"/>
        <w:jc w:val="center"/>
        <w:rPr>
          <w:rFonts w:ascii="华文中宋" w:hAnsi="华文中宋" w:eastAsia="华文中宋"/>
          <w:color w:val="auto"/>
          <w:kern w:val="24"/>
          <w:sz w:val="32"/>
          <w:szCs w:val="32"/>
          <w:highlight w:val="none"/>
        </w:rPr>
      </w:pPr>
    </w:p>
    <w:p>
      <w:pPr>
        <w:spacing w:line="360" w:lineRule="auto"/>
        <w:jc w:val="center"/>
        <w:rPr>
          <w:rFonts w:ascii="华文中宋" w:hAnsi="华文中宋" w:eastAsia="华文中宋"/>
          <w:color w:val="auto"/>
          <w:kern w:val="24"/>
          <w:sz w:val="32"/>
          <w:szCs w:val="32"/>
          <w:highlight w:val="none"/>
        </w:rPr>
      </w:pPr>
    </w:p>
    <w:p>
      <w:pPr>
        <w:spacing w:line="360" w:lineRule="auto"/>
        <w:jc w:val="center"/>
        <w:rPr>
          <w:rFonts w:ascii="华文中宋" w:hAnsi="华文中宋" w:eastAsia="华文中宋"/>
          <w:color w:val="auto"/>
          <w:kern w:val="24"/>
          <w:sz w:val="32"/>
          <w:szCs w:val="32"/>
          <w:highlight w:val="none"/>
        </w:rPr>
      </w:pPr>
    </w:p>
    <w:p>
      <w:pPr>
        <w:spacing w:line="360" w:lineRule="auto"/>
        <w:jc w:val="center"/>
        <w:rPr>
          <w:rFonts w:ascii="华文中宋" w:hAnsi="华文中宋" w:eastAsia="华文中宋"/>
          <w:color w:val="auto"/>
          <w:kern w:val="24"/>
          <w:sz w:val="32"/>
          <w:szCs w:val="32"/>
          <w:highlight w:val="none"/>
        </w:rPr>
      </w:pPr>
    </w:p>
    <w:p>
      <w:pPr>
        <w:spacing w:line="360" w:lineRule="auto"/>
        <w:jc w:val="center"/>
        <w:rPr>
          <w:rFonts w:ascii="华文中宋" w:hAnsi="华文中宋" w:eastAsia="华文中宋"/>
          <w:color w:val="auto"/>
          <w:kern w:val="24"/>
          <w:sz w:val="32"/>
          <w:szCs w:val="32"/>
          <w:highlight w:val="none"/>
        </w:rPr>
      </w:pPr>
    </w:p>
    <w:p>
      <w:pPr>
        <w:spacing w:line="360" w:lineRule="auto"/>
        <w:jc w:val="center"/>
        <w:rPr>
          <w:rFonts w:ascii="华文中宋" w:hAnsi="华文中宋" w:eastAsia="华文中宋"/>
          <w:color w:val="auto"/>
          <w:kern w:val="24"/>
          <w:sz w:val="32"/>
          <w:szCs w:val="32"/>
          <w:highlight w:val="none"/>
        </w:rPr>
      </w:pPr>
    </w:p>
    <w:p>
      <w:pPr>
        <w:spacing w:line="360" w:lineRule="auto"/>
        <w:jc w:val="center"/>
        <w:rPr>
          <w:rFonts w:ascii="华文中宋" w:hAnsi="华文中宋" w:eastAsia="华文中宋"/>
          <w:color w:val="auto"/>
          <w:kern w:val="24"/>
          <w:sz w:val="32"/>
          <w:szCs w:val="32"/>
          <w:highlight w:val="none"/>
        </w:rPr>
      </w:pPr>
    </w:p>
    <w:p>
      <w:pPr>
        <w:spacing w:line="360" w:lineRule="auto"/>
        <w:jc w:val="center"/>
        <w:rPr>
          <w:rFonts w:ascii="华文中宋" w:hAnsi="华文中宋" w:eastAsia="华文中宋"/>
          <w:color w:val="auto"/>
          <w:kern w:val="24"/>
          <w:sz w:val="32"/>
          <w:szCs w:val="32"/>
          <w:highlight w:val="none"/>
        </w:rPr>
      </w:pPr>
    </w:p>
    <w:p>
      <w:pPr>
        <w:spacing w:line="360" w:lineRule="auto"/>
        <w:jc w:val="center"/>
        <w:rPr>
          <w:rFonts w:ascii="华文中宋" w:hAnsi="华文中宋" w:eastAsia="华文中宋"/>
          <w:color w:val="auto"/>
          <w:sz w:val="32"/>
          <w:szCs w:val="32"/>
          <w:highlight w:val="none"/>
        </w:rPr>
      </w:pPr>
      <w:r>
        <w:rPr>
          <w:rFonts w:hint="eastAsia" w:ascii="华文中宋" w:hAnsi="华文中宋" w:eastAsia="华文中宋"/>
          <w:color w:val="auto"/>
          <w:sz w:val="32"/>
          <w:szCs w:val="32"/>
          <w:highlight w:val="none"/>
          <w:lang w:eastAsia="zh-CN"/>
        </w:rPr>
        <w:t>成都高新区合作街道办事处</w:t>
      </w:r>
      <w:r>
        <w:rPr>
          <w:rFonts w:hint="eastAsia" w:ascii="华文中宋" w:hAnsi="华文中宋" w:eastAsia="华文中宋"/>
          <w:color w:val="auto"/>
          <w:sz w:val="32"/>
          <w:szCs w:val="32"/>
          <w:highlight w:val="none"/>
        </w:rPr>
        <w:t>、</w:t>
      </w:r>
    </w:p>
    <w:p>
      <w:pPr>
        <w:spacing w:line="360" w:lineRule="auto"/>
        <w:jc w:val="center"/>
        <w:rPr>
          <w:rFonts w:ascii="华文中宋" w:hAnsi="华文中宋" w:eastAsia="华文中宋"/>
          <w:color w:val="auto"/>
          <w:sz w:val="32"/>
          <w:szCs w:val="32"/>
          <w:highlight w:val="none"/>
        </w:rPr>
      </w:pPr>
      <w:r>
        <w:rPr>
          <w:rFonts w:hint="eastAsia" w:ascii="华文中宋" w:hAnsi="华文中宋" w:eastAsia="华文中宋"/>
          <w:color w:val="auto"/>
          <w:sz w:val="32"/>
          <w:szCs w:val="32"/>
          <w:highlight w:val="none"/>
        </w:rPr>
        <w:t>成都高新区政府采购服务中心</w:t>
      </w:r>
    </w:p>
    <w:p>
      <w:pPr>
        <w:spacing w:line="360" w:lineRule="auto"/>
        <w:jc w:val="center"/>
        <w:rPr>
          <w:rFonts w:ascii="华文中宋" w:hAnsi="华文中宋" w:eastAsia="华文中宋"/>
          <w:color w:val="auto"/>
          <w:sz w:val="32"/>
          <w:szCs w:val="32"/>
          <w:highlight w:val="none"/>
        </w:rPr>
      </w:pPr>
      <w:r>
        <w:rPr>
          <w:rFonts w:hint="eastAsia" w:ascii="华文中宋" w:hAnsi="华文中宋" w:eastAsia="华文中宋"/>
          <w:color w:val="auto"/>
          <w:sz w:val="32"/>
          <w:szCs w:val="32"/>
          <w:highlight w:val="none"/>
        </w:rPr>
        <w:t>共同编制</w:t>
      </w:r>
    </w:p>
    <w:p>
      <w:pPr>
        <w:tabs>
          <w:tab w:val="center" w:pos="4153"/>
          <w:tab w:val="right" w:pos="8306"/>
        </w:tabs>
        <w:spacing w:line="360" w:lineRule="auto"/>
        <w:jc w:val="center"/>
        <w:rPr>
          <w:rFonts w:ascii="宋体" w:hAnsi="宋体"/>
          <w:b/>
          <w:bCs/>
          <w:color w:val="auto"/>
          <w:sz w:val="36"/>
          <w:szCs w:val="36"/>
          <w:highlight w:val="none"/>
        </w:rPr>
      </w:pPr>
      <w:r>
        <w:rPr>
          <w:rFonts w:hint="eastAsia" w:ascii="华文中宋" w:hAnsi="华文中宋" w:eastAsia="华文中宋"/>
          <w:color w:val="auto"/>
          <w:sz w:val="32"/>
          <w:szCs w:val="32"/>
          <w:highlight w:val="none"/>
        </w:rPr>
        <w:t>二○二一年</w:t>
      </w:r>
      <w:r>
        <w:rPr>
          <w:rFonts w:hint="eastAsia" w:ascii="华文中宋" w:hAnsi="华文中宋" w:eastAsia="华文中宋"/>
          <w:color w:val="auto"/>
          <w:sz w:val="32"/>
          <w:szCs w:val="32"/>
          <w:highlight w:val="none"/>
          <w:lang w:val="en-US" w:eastAsia="zh-CN"/>
        </w:rPr>
        <w:t>九</w:t>
      </w:r>
      <w:r>
        <w:rPr>
          <w:rFonts w:hint="eastAsia" w:ascii="华文中宋" w:hAnsi="华文中宋" w:eastAsia="华文中宋"/>
          <w:color w:val="auto"/>
          <w:sz w:val="32"/>
          <w:szCs w:val="32"/>
          <w:highlight w:val="none"/>
        </w:rPr>
        <w:t>月</w:t>
      </w:r>
      <w:r>
        <w:rPr>
          <w:rFonts w:ascii="华文中宋" w:hAnsi="华文中宋" w:eastAsia="华文中宋"/>
          <w:bCs/>
          <w:color w:val="auto"/>
          <w:sz w:val="36"/>
          <w:szCs w:val="36"/>
          <w:highlight w:val="none"/>
        </w:rPr>
        <w:br w:type="page"/>
      </w:r>
      <w:r>
        <w:rPr>
          <w:rFonts w:hint="eastAsia" w:ascii="宋体" w:hAnsi="宋体"/>
          <w:b/>
          <w:bCs/>
          <w:color w:val="auto"/>
          <w:sz w:val="36"/>
          <w:szCs w:val="36"/>
          <w:highlight w:val="none"/>
        </w:rPr>
        <w:t>目 录</w:t>
      </w:r>
    </w:p>
    <w:p>
      <w:pPr>
        <w:pStyle w:val="32"/>
        <w:tabs>
          <w:tab w:val="right" w:leader="dot" w:pos="9214"/>
          <w:tab w:val="clear" w:pos="840"/>
          <w:tab w:val="clear" w:pos="9204"/>
        </w:tabs>
      </w:pPr>
      <w:r>
        <w:rPr>
          <w:rFonts w:ascii="宋体" w:hAnsi="宋体"/>
          <w:b w:val="0"/>
          <w:color w:val="auto"/>
          <w:sz w:val="36"/>
          <w:szCs w:val="36"/>
          <w:highlight w:val="none"/>
        </w:rPr>
        <w:fldChar w:fldCharType="begin"/>
      </w:r>
      <w:r>
        <w:rPr>
          <w:rFonts w:hint="eastAsia" w:ascii="宋体" w:hAnsi="宋体"/>
          <w:color w:val="auto"/>
          <w:sz w:val="36"/>
          <w:szCs w:val="36"/>
          <w:highlight w:val="none"/>
        </w:rPr>
        <w:instrText xml:space="preserve">TOC \o "1-2" \h \z \u</w:instrText>
      </w:r>
      <w:r>
        <w:rPr>
          <w:rFonts w:ascii="宋体" w:hAnsi="宋体"/>
          <w:b w:val="0"/>
          <w:color w:val="auto"/>
          <w:sz w:val="36"/>
          <w:szCs w:val="36"/>
          <w:highlight w:val="none"/>
        </w:rPr>
        <w:fldChar w:fldCharType="separate"/>
      </w:r>
      <w:r>
        <w:rPr>
          <w:rFonts w:ascii="宋体" w:hAnsi="宋体"/>
          <w:bCs w:val="0"/>
          <w:color w:val="auto"/>
          <w:szCs w:val="36"/>
          <w:highlight w:val="none"/>
        </w:rPr>
        <w:fldChar w:fldCharType="begin"/>
      </w:r>
      <w:r>
        <w:rPr>
          <w:rFonts w:ascii="宋体" w:hAnsi="宋体"/>
          <w:bCs w:val="0"/>
          <w:szCs w:val="36"/>
          <w:highlight w:val="none"/>
        </w:rPr>
        <w:instrText xml:space="preserve"> HYPERLINK \l _Toc16997 </w:instrText>
      </w:r>
      <w:r>
        <w:rPr>
          <w:rFonts w:ascii="宋体" w:hAnsi="宋体"/>
          <w:bCs w:val="0"/>
          <w:szCs w:val="36"/>
          <w:highlight w:val="none"/>
        </w:rPr>
        <w:fldChar w:fldCharType="separate"/>
      </w:r>
      <w:r>
        <w:rPr>
          <w:rFonts w:hint="default" w:ascii="Times New Roman" w:hAnsi="Times New Roman" w:eastAsia="宋体"/>
          <w:i w:val="0"/>
          <w:szCs w:val="32"/>
        </w:rPr>
        <w:t xml:space="preserve">第1章 </w:t>
      </w:r>
      <w:r>
        <w:rPr>
          <w:rFonts w:hint="eastAsia"/>
          <w:highlight w:val="none"/>
        </w:rPr>
        <w:t>竞争性磋商邀请</w:t>
      </w:r>
      <w:r>
        <w:tab/>
      </w:r>
      <w:r>
        <w:fldChar w:fldCharType="begin"/>
      </w:r>
      <w:r>
        <w:instrText xml:space="preserve"> PAGEREF _Toc16997 \h </w:instrText>
      </w:r>
      <w:r>
        <w:fldChar w:fldCharType="separate"/>
      </w:r>
      <w:r>
        <w:t>4</w:t>
      </w:r>
      <w:r>
        <w:fldChar w:fldCharType="end"/>
      </w:r>
      <w:r>
        <w:rPr>
          <w:rFonts w:ascii="宋体" w:hAnsi="宋体"/>
          <w:bCs w:val="0"/>
          <w:color w:val="auto"/>
          <w:szCs w:val="36"/>
          <w:highlight w:val="none"/>
        </w:rPr>
        <w:fldChar w:fldCharType="end"/>
      </w:r>
    </w:p>
    <w:p>
      <w:pPr>
        <w:pStyle w:val="32"/>
        <w:tabs>
          <w:tab w:val="right" w:leader="dot" w:pos="9214"/>
          <w:tab w:val="clear" w:pos="840"/>
          <w:tab w:val="clear" w:pos="920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_Toc14308 </w:instrText>
      </w:r>
      <w:r>
        <w:rPr>
          <w:rFonts w:ascii="宋体" w:hAnsi="宋体"/>
          <w:bCs w:val="0"/>
          <w:szCs w:val="36"/>
          <w:highlight w:val="none"/>
        </w:rPr>
        <w:fldChar w:fldCharType="separate"/>
      </w:r>
      <w:r>
        <w:rPr>
          <w:rFonts w:hint="default" w:ascii="Times New Roman" w:hAnsi="Times New Roman" w:eastAsia="宋体"/>
          <w:i w:val="0"/>
          <w:szCs w:val="32"/>
        </w:rPr>
        <w:t xml:space="preserve">第2章 </w:t>
      </w:r>
      <w:r>
        <w:rPr>
          <w:rFonts w:hint="eastAsia"/>
          <w:highlight w:val="none"/>
        </w:rPr>
        <w:t>供应商须知</w:t>
      </w:r>
      <w:r>
        <w:tab/>
      </w:r>
      <w:r>
        <w:fldChar w:fldCharType="begin"/>
      </w:r>
      <w:r>
        <w:instrText xml:space="preserve"> PAGEREF _Toc14308 \h </w:instrText>
      </w:r>
      <w:r>
        <w:fldChar w:fldCharType="separate"/>
      </w:r>
      <w:r>
        <w:t>9</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_Toc32229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2.1 </w:t>
      </w:r>
      <w:r>
        <w:rPr>
          <w:rFonts w:hint="eastAsia"/>
          <w:highlight w:val="none"/>
        </w:rPr>
        <w:t>供应商须知前附表</w:t>
      </w:r>
      <w:r>
        <w:tab/>
      </w:r>
      <w:r>
        <w:fldChar w:fldCharType="begin"/>
      </w:r>
      <w:r>
        <w:instrText xml:space="preserve"> PAGEREF _Toc32229 \h </w:instrText>
      </w:r>
      <w:r>
        <w:fldChar w:fldCharType="separate"/>
      </w:r>
      <w:r>
        <w:t>9</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_Toc5017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2.2 </w:t>
      </w:r>
      <w:r>
        <w:rPr>
          <w:rFonts w:hint="eastAsia"/>
          <w:highlight w:val="none"/>
        </w:rPr>
        <w:t>总则</w:t>
      </w:r>
      <w:r>
        <w:tab/>
      </w:r>
      <w:r>
        <w:fldChar w:fldCharType="begin"/>
      </w:r>
      <w:r>
        <w:instrText xml:space="preserve"> PAGEREF _Toc5017 \h </w:instrText>
      </w:r>
      <w:r>
        <w:fldChar w:fldCharType="separate"/>
      </w:r>
      <w:r>
        <w:t>12</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_Toc18882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2.3 </w:t>
      </w:r>
      <w:r>
        <w:rPr>
          <w:rFonts w:hint="eastAsia"/>
          <w:highlight w:val="none"/>
        </w:rPr>
        <w:t>磋商</w:t>
      </w:r>
      <w:r>
        <w:rPr>
          <w:highlight w:val="none"/>
        </w:rPr>
        <w:t>文件</w:t>
      </w:r>
      <w:r>
        <w:tab/>
      </w:r>
      <w:r>
        <w:fldChar w:fldCharType="begin"/>
      </w:r>
      <w:r>
        <w:instrText xml:space="preserve"> PAGEREF _Toc18882 \h </w:instrText>
      </w:r>
      <w:r>
        <w:fldChar w:fldCharType="separate"/>
      </w:r>
      <w:r>
        <w:t>14</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_Toc30248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2.4 </w:t>
      </w:r>
      <w:r>
        <w:rPr>
          <w:rFonts w:hint="eastAsia"/>
          <w:highlight w:val="none"/>
        </w:rPr>
        <w:t>施工响应文件</w:t>
      </w:r>
      <w:r>
        <w:tab/>
      </w:r>
      <w:r>
        <w:fldChar w:fldCharType="begin"/>
      </w:r>
      <w:r>
        <w:instrText xml:space="preserve"> PAGEREF _Toc30248 \h </w:instrText>
      </w:r>
      <w:r>
        <w:fldChar w:fldCharType="separate"/>
      </w:r>
      <w:r>
        <w:t>15</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_Toc9797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2.5 </w:t>
      </w:r>
      <w:r>
        <w:rPr>
          <w:rFonts w:hint="eastAsia"/>
          <w:highlight w:val="none"/>
        </w:rPr>
        <w:t>开标及开标程序</w:t>
      </w:r>
      <w:r>
        <w:tab/>
      </w:r>
      <w:r>
        <w:fldChar w:fldCharType="begin"/>
      </w:r>
      <w:r>
        <w:instrText xml:space="preserve"> PAGEREF _Toc9797 \h </w:instrText>
      </w:r>
      <w:r>
        <w:fldChar w:fldCharType="separate"/>
      </w:r>
      <w:r>
        <w:t>23</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_Toc20524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2.6 </w:t>
      </w:r>
      <w:r>
        <w:rPr>
          <w:rFonts w:hint="eastAsia"/>
          <w:highlight w:val="none"/>
        </w:rPr>
        <w:t>资格</w:t>
      </w:r>
      <w:r>
        <w:rPr>
          <w:highlight w:val="none"/>
        </w:rPr>
        <w:t>预审和评审</w:t>
      </w:r>
      <w:r>
        <w:tab/>
      </w:r>
      <w:r>
        <w:fldChar w:fldCharType="begin"/>
      </w:r>
      <w:r>
        <w:instrText xml:space="preserve"> PAGEREF _Toc20524 \h </w:instrText>
      </w:r>
      <w:r>
        <w:fldChar w:fldCharType="separate"/>
      </w:r>
      <w:r>
        <w:t>24</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_Toc21806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2.7 </w:t>
      </w:r>
      <w:r>
        <w:rPr>
          <w:highlight w:val="none"/>
        </w:rPr>
        <w:t>成交通知书</w:t>
      </w:r>
      <w:r>
        <w:tab/>
      </w:r>
      <w:r>
        <w:fldChar w:fldCharType="begin"/>
      </w:r>
      <w:r>
        <w:instrText xml:space="preserve"> PAGEREF _Toc21806 \h </w:instrText>
      </w:r>
      <w:r>
        <w:fldChar w:fldCharType="separate"/>
      </w:r>
      <w:r>
        <w:t>24</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_Toc27059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2.8 </w:t>
      </w:r>
      <w:r>
        <w:rPr>
          <w:rFonts w:hint="eastAsia"/>
          <w:highlight w:val="none"/>
        </w:rPr>
        <w:t>签订及履行合同和验收</w:t>
      </w:r>
      <w:r>
        <w:tab/>
      </w:r>
      <w:r>
        <w:fldChar w:fldCharType="begin"/>
      </w:r>
      <w:r>
        <w:instrText xml:space="preserve"> PAGEREF _Toc27059 \h </w:instrText>
      </w:r>
      <w:r>
        <w:fldChar w:fldCharType="separate"/>
      </w:r>
      <w:r>
        <w:t>25</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_Toc32374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2.9 </w:t>
      </w:r>
      <w:r>
        <w:rPr>
          <w:rFonts w:hint="eastAsia"/>
          <w:highlight w:val="none"/>
        </w:rPr>
        <w:t>竞争性磋商工作纪律及要求</w:t>
      </w:r>
      <w:r>
        <w:tab/>
      </w:r>
      <w:r>
        <w:fldChar w:fldCharType="begin"/>
      </w:r>
      <w:r>
        <w:instrText xml:space="preserve"> PAGEREF _Toc32374 \h </w:instrText>
      </w:r>
      <w:r>
        <w:fldChar w:fldCharType="separate"/>
      </w:r>
      <w:r>
        <w:t>27</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_Toc21098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2.10 </w:t>
      </w:r>
      <w:r>
        <w:rPr>
          <w:rFonts w:hint="eastAsia"/>
          <w:highlight w:val="none"/>
        </w:rPr>
        <w:t>询问、质疑和投诉</w:t>
      </w:r>
      <w:r>
        <w:tab/>
      </w:r>
      <w:r>
        <w:fldChar w:fldCharType="begin"/>
      </w:r>
      <w:r>
        <w:instrText xml:space="preserve"> PAGEREF _Toc21098 \h </w:instrText>
      </w:r>
      <w:r>
        <w:fldChar w:fldCharType="separate"/>
      </w:r>
      <w:r>
        <w:t>29</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_Toc17475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2.11 </w:t>
      </w:r>
      <w:r>
        <w:rPr>
          <w:rFonts w:hint="eastAsia"/>
          <w:highlight w:val="none"/>
        </w:rPr>
        <w:t>中小企业政府采购信用融资</w:t>
      </w:r>
      <w:r>
        <w:tab/>
      </w:r>
      <w:r>
        <w:fldChar w:fldCharType="begin"/>
      </w:r>
      <w:r>
        <w:instrText xml:space="preserve"> PAGEREF _Toc17475 \h </w:instrText>
      </w:r>
      <w:r>
        <w:fldChar w:fldCharType="separate"/>
      </w:r>
      <w:r>
        <w:t>31</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_Toc30795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2.12 </w:t>
      </w:r>
      <w:r>
        <w:rPr>
          <w:rFonts w:hint="eastAsia"/>
          <w:highlight w:val="none"/>
        </w:rPr>
        <w:t>其他</w:t>
      </w:r>
      <w:r>
        <w:tab/>
      </w:r>
      <w:r>
        <w:fldChar w:fldCharType="begin"/>
      </w:r>
      <w:r>
        <w:instrText xml:space="preserve"> PAGEREF _Toc30795 \h </w:instrText>
      </w:r>
      <w:r>
        <w:fldChar w:fldCharType="separate"/>
      </w:r>
      <w:r>
        <w:t>31</w:t>
      </w:r>
      <w:r>
        <w:fldChar w:fldCharType="end"/>
      </w:r>
      <w:r>
        <w:rPr>
          <w:rFonts w:ascii="宋体" w:hAnsi="宋体"/>
          <w:bCs w:val="0"/>
          <w:color w:val="auto"/>
          <w:szCs w:val="36"/>
          <w:highlight w:val="none"/>
        </w:rPr>
        <w:fldChar w:fldCharType="end"/>
      </w:r>
    </w:p>
    <w:p>
      <w:pPr>
        <w:pStyle w:val="32"/>
        <w:tabs>
          <w:tab w:val="right" w:leader="dot" w:pos="9214"/>
          <w:tab w:val="clear" w:pos="840"/>
          <w:tab w:val="clear" w:pos="920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_Toc1903 </w:instrText>
      </w:r>
      <w:r>
        <w:rPr>
          <w:rFonts w:ascii="宋体" w:hAnsi="宋体"/>
          <w:bCs w:val="0"/>
          <w:szCs w:val="36"/>
          <w:highlight w:val="none"/>
        </w:rPr>
        <w:fldChar w:fldCharType="separate"/>
      </w:r>
      <w:r>
        <w:rPr>
          <w:rFonts w:hint="default" w:ascii="Times New Roman" w:hAnsi="Times New Roman" w:eastAsia="宋体"/>
          <w:i w:val="0"/>
          <w:szCs w:val="32"/>
        </w:rPr>
        <w:t xml:space="preserve">第3章 </w:t>
      </w:r>
      <w:r>
        <w:rPr>
          <w:rFonts w:hint="eastAsia"/>
          <w:highlight w:val="none"/>
        </w:rPr>
        <w:t>施工响应文件格式</w:t>
      </w:r>
      <w:r>
        <w:tab/>
      </w:r>
      <w:r>
        <w:fldChar w:fldCharType="begin"/>
      </w:r>
      <w:r>
        <w:instrText xml:space="preserve"> PAGEREF _Toc1903 \h </w:instrText>
      </w:r>
      <w:r>
        <w:fldChar w:fldCharType="separate"/>
      </w:r>
      <w:r>
        <w:t>32</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_Toc16510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3.1 </w:t>
      </w:r>
      <w:r>
        <w:rPr>
          <w:rFonts w:hint="eastAsia"/>
          <w:highlight w:val="none"/>
        </w:rPr>
        <w:t>施工响应文件格式</w:t>
      </w:r>
      <w:r>
        <w:tab/>
      </w:r>
      <w:r>
        <w:fldChar w:fldCharType="begin"/>
      </w:r>
      <w:r>
        <w:instrText xml:space="preserve"> PAGEREF _Toc16510 \h </w:instrText>
      </w:r>
      <w:r>
        <w:fldChar w:fldCharType="separate"/>
      </w:r>
      <w:r>
        <w:t>32</w:t>
      </w:r>
      <w:r>
        <w:fldChar w:fldCharType="end"/>
      </w:r>
      <w:r>
        <w:rPr>
          <w:rFonts w:ascii="宋体" w:hAnsi="宋体"/>
          <w:bCs w:val="0"/>
          <w:color w:val="auto"/>
          <w:szCs w:val="36"/>
          <w:highlight w:val="none"/>
        </w:rPr>
        <w:fldChar w:fldCharType="end"/>
      </w:r>
    </w:p>
    <w:p>
      <w:pPr>
        <w:pStyle w:val="32"/>
        <w:tabs>
          <w:tab w:val="right" w:leader="dot" w:pos="9214"/>
          <w:tab w:val="clear" w:pos="840"/>
          <w:tab w:val="clear" w:pos="920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_Toc26958 </w:instrText>
      </w:r>
      <w:r>
        <w:rPr>
          <w:rFonts w:ascii="宋体" w:hAnsi="宋体"/>
          <w:bCs w:val="0"/>
          <w:szCs w:val="36"/>
          <w:highlight w:val="none"/>
        </w:rPr>
        <w:fldChar w:fldCharType="separate"/>
      </w:r>
      <w:r>
        <w:rPr>
          <w:rFonts w:hint="default" w:ascii="Times New Roman" w:hAnsi="Times New Roman" w:eastAsia="宋体"/>
          <w:i w:val="0"/>
          <w:szCs w:val="32"/>
        </w:rPr>
        <w:t xml:space="preserve">第4章 </w:t>
      </w:r>
      <w:r>
        <w:rPr>
          <w:rFonts w:hint="eastAsia"/>
          <w:highlight w:val="none"/>
        </w:rPr>
        <w:t>技术、服务、商务及其他要求</w:t>
      </w:r>
      <w:r>
        <w:tab/>
      </w:r>
      <w:r>
        <w:fldChar w:fldCharType="begin"/>
      </w:r>
      <w:r>
        <w:instrText xml:space="preserve"> PAGEREF _Toc26958 \h </w:instrText>
      </w:r>
      <w:r>
        <w:fldChar w:fldCharType="separate"/>
      </w:r>
      <w:r>
        <w:t>42</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_Toc7315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4.1 </w:t>
      </w:r>
      <w:r>
        <w:rPr>
          <w:rFonts w:hint="eastAsia"/>
          <w:highlight w:val="none"/>
        </w:rPr>
        <w:t>技术、服务、合同</w:t>
      </w:r>
      <w:r>
        <w:rPr>
          <w:highlight w:val="none"/>
        </w:rPr>
        <w:t>条款</w:t>
      </w:r>
      <w:r>
        <w:rPr>
          <w:rFonts w:hint="eastAsia"/>
          <w:highlight w:val="none"/>
        </w:rPr>
        <w:t>要求</w:t>
      </w:r>
      <w:r>
        <w:tab/>
      </w:r>
      <w:r>
        <w:fldChar w:fldCharType="begin"/>
      </w:r>
      <w:r>
        <w:instrText xml:space="preserve"> PAGEREF _Toc7315 \h </w:instrText>
      </w:r>
      <w:r>
        <w:fldChar w:fldCharType="separate"/>
      </w:r>
      <w:r>
        <w:t>42</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_Toc15511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4.2 </w:t>
      </w:r>
      <w:r>
        <w:rPr>
          <w:rFonts w:hint="eastAsia"/>
          <w:highlight w:val="none"/>
        </w:rPr>
        <w:t>★漏项工程处理</w:t>
      </w:r>
      <w:r>
        <w:tab/>
      </w:r>
      <w:r>
        <w:fldChar w:fldCharType="begin"/>
      </w:r>
      <w:r>
        <w:instrText xml:space="preserve"> PAGEREF _Toc15511 \h </w:instrText>
      </w:r>
      <w:r>
        <w:fldChar w:fldCharType="separate"/>
      </w:r>
      <w:r>
        <w:t>43</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_Toc9792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4.3 </w:t>
      </w:r>
      <w:r>
        <w:rPr>
          <w:rFonts w:hint="eastAsia"/>
          <w:highlight w:val="none"/>
        </w:rPr>
        <w:t>★</w:t>
      </w:r>
      <w:r>
        <w:rPr>
          <w:rFonts w:hint="eastAsia" w:cs="仿宋"/>
          <w:highlight w:val="none"/>
        </w:rPr>
        <w:t>施工及验收要求</w:t>
      </w:r>
      <w:r>
        <w:tab/>
      </w:r>
      <w:r>
        <w:fldChar w:fldCharType="begin"/>
      </w:r>
      <w:r>
        <w:instrText xml:space="preserve"> PAGEREF _Toc9792 \h </w:instrText>
      </w:r>
      <w:r>
        <w:fldChar w:fldCharType="separate"/>
      </w:r>
      <w:r>
        <w:t>43</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_Toc26266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4.4 </w:t>
      </w:r>
      <w:r>
        <w:rPr>
          <w:rFonts w:hint="eastAsia"/>
          <w:highlight w:val="none"/>
        </w:rPr>
        <w:t>针对本项目的其他技术服务要求</w:t>
      </w:r>
      <w:r>
        <w:tab/>
      </w:r>
      <w:r>
        <w:fldChar w:fldCharType="begin"/>
      </w:r>
      <w:r>
        <w:instrText xml:space="preserve"> PAGEREF _Toc26266 \h </w:instrText>
      </w:r>
      <w:r>
        <w:fldChar w:fldCharType="separate"/>
      </w:r>
      <w:r>
        <w:t>44</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_Toc24125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4.5 </w:t>
      </w:r>
      <w:r>
        <w:rPr>
          <w:rFonts w:hint="eastAsia"/>
          <w:highlight w:val="none"/>
          <w:lang w:val="en-US" w:eastAsia="zh-CN"/>
        </w:rPr>
        <w:t>违约责任</w:t>
      </w:r>
      <w:r>
        <w:tab/>
      </w:r>
      <w:r>
        <w:fldChar w:fldCharType="begin"/>
      </w:r>
      <w:r>
        <w:instrText xml:space="preserve"> PAGEREF _Toc24125 \h </w:instrText>
      </w:r>
      <w:r>
        <w:fldChar w:fldCharType="separate"/>
      </w:r>
      <w:r>
        <w:t>46</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_Toc31533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4.6 </w:t>
      </w:r>
      <w:r>
        <w:rPr>
          <w:rFonts w:hint="eastAsia"/>
          <w:highlight w:val="none"/>
        </w:rPr>
        <w:t>满足采购需求的最低要求</w:t>
      </w:r>
      <w:r>
        <w:tab/>
      </w:r>
      <w:r>
        <w:fldChar w:fldCharType="begin"/>
      </w:r>
      <w:r>
        <w:instrText xml:space="preserve"> PAGEREF _Toc31533 \h </w:instrText>
      </w:r>
      <w:r>
        <w:fldChar w:fldCharType="separate"/>
      </w:r>
      <w:r>
        <w:t>47</w:t>
      </w:r>
      <w:r>
        <w:fldChar w:fldCharType="end"/>
      </w:r>
      <w:r>
        <w:rPr>
          <w:rFonts w:ascii="宋体" w:hAnsi="宋体"/>
          <w:bCs w:val="0"/>
          <w:color w:val="auto"/>
          <w:szCs w:val="36"/>
          <w:highlight w:val="none"/>
        </w:rPr>
        <w:fldChar w:fldCharType="end"/>
      </w:r>
    </w:p>
    <w:p>
      <w:pPr>
        <w:pStyle w:val="32"/>
        <w:tabs>
          <w:tab w:val="right" w:leader="dot" w:pos="9214"/>
          <w:tab w:val="clear" w:pos="840"/>
          <w:tab w:val="clear" w:pos="920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_Toc20230 </w:instrText>
      </w:r>
      <w:r>
        <w:rPr>
          <w:rFonts w:ascii="宋体" w:hAnsi="宋体"/>
          <w:bCs w:val="0"/>
          <w:szCs w:val="36"/>
          <w:highlight w:val="none"/>
        </w:rPr>
        <w:fldChar w:fldCharType="separate"/>
      </w:r>
      <w:r>
        <w:rPr>
          <w:rFonts w:hint="default" w:ascii="Times New Roman" w:hAnsi="Times New Roman" w:eastAsia="宋体"/>
          <w:i w:val="0"/>
          <w:szCs w:val="32"/>
        </w:rPr>
        <w:t xml:space="preserve">第5章 </w:t>
      </w:r>
      <w:r>
        <w:rPr>
          <w:rFonts w:hint="eastAsia"/>
          <w:highlight w:val="none"/>
        </w:rPr>
        <w:t>磋商办法</w:t>
      </w:r>
      <w:r>
        <w:tab/>
      </w:r>
      <w:r>
        <w:fldChar w:fldCharType="begin"/>
      </w:r>
      <w:r>
        <w:instrText xml:space="preserve"> PAGEREF _Toc20230 \h </w:instrText>
      </w:r>
      <w:r>
        <w:fldChar w:fldCharType="separate"/>
      </w:r>
      <w:r>
        <w:t>47</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_Toc28914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5.1 </w:t>
      </w:r>
      <w:r>
        <w:rPr>
          <w:rFonts w:hint="eastAsia"/>
          <w:highlight w:val="none"/>
        </w:rPr>
        <w:t>总则</w:t>
      </w:r>
      <w:r>
        <w:tab/>
      </w:r>
      <w:r>
        <w:fldChar w:fldCharType="begin"/>
      </w:r>
      <w:r>
        <w:instrText xml:space="preserve"> PAGEREF _Toc28914 \h </w:instrText>
      </w:r>
      <w:r>
        <w:fldChar w:fldCharType="separate"/>
      </w:r>
      <w:r>
        <w:t>47</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_Toc6779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5.2 </w:t>
      </w:r>
      <w:r>
        <w:rPr>
          <w:rFonts w:hint="eastAsia"/>
          <w:highlight w:val="none"/>
        </w:rPr>
        <w:t>磋商程序</w:t>
      </w:r>
      <w:r>
        <w:tab/>
      </w:r>
      <w:r>
        <w:fldChar w:fldCharType="begin"/>
      </w:r>
      <w:r>
        <w:instrText xml:space="preserve"> PAGEREF _Toc6779 \h </w:instrText>
      </w:r>
      <w:r>
        <w:fldChar w:fldCharType="separate"/>
      </w:r>
      <w:r>
        <w:t>49</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_Toc30951 </w:instrText>
      </w:r>
      <w:r>
        <w:rPr>
          <w:rFonts w:ascii="宋体" w:hAnsi="宋体"/>
          <w:bCs w:val="0"/>
          <w:szCs w:val="36"/>
          <w:highlight w:val="none"/>
        </w:rPr>
        <w:fldChar w:fldCharType="separate"/>
      </w:r>
      <w:r>
        <w:rPr>
          <w:rFonts w:hint="default" w:ascii="Times New Roman" w:hAnsi="Times New Roman" w:eastAsia="宋体" w:cs="Times New Roman"/>
          <w:i w:val="0"/>
        </w:rPr>
        <w:t xml:space="preserve">5.2.1 </w:t>
      </w:r>
      <w:r>
        <w:rPr>
          <w:rFonts w:hint="eastAsia"/>
          <w:highlight w:val="none"/>
        </w:rPr>
        <w:t>递交施工响应文件</w:t>
      </w:r>
      <w:r>
        <w:tab/>
      </w:r>
      <w:r>
        <w:fldChar w:fldCharType="begin"/>
      </w:r>
      <w:r>
        <w:instrText xml:space="preserve"> PAGEREF _Toc30951 \h </w:instrText>
      </w:r>
      <w:r>
        <w:fldChar w:fldCharType="separate"/>
      </w:r>
      <w:r>
        <w:t>49</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_Toc29116 </w:instrText>
      </w:r>
      <w:r>
        <w:rPr>
          <w:rFonts w:ascii="宋体" w:hAnsi="宋体"/>
          <w:bCs w:val="0"/>
          <w:szCs w:val="36"/>
          <w:highlight w:val="none"/>
        </w:rPr>
        <w:fldChar w:fldCharType="separate"/>
      </w:r>
      <w:r>
        <w:rPr>
          <w:rFonts w:hint="default" w:ascii="Times New Roman" w:hAnsi="Times New Roman" w:eastAsia="宋体" w:cs="Times New Roman"/>
          <w:i w:val="0"/>
        </w:rPr>
        <w:t xml:space="preserve">5.2.2 </w:t>
      </w:r>
      <w:r>
        <w:rPr>
          <w:rFonts w:hint="eastAsia"/>
          <w:highlight w:val="none"/>
        </w:rPr>
        <w:t>确定邀请参加磋商的供应商数量</w:t>
      </w:r>
      <w:r>
        <w:tab/>
      </w:r>
      <w:r>
        <w:fldChar w:fldCharType="begin"/>
      </w:r>
      <w:r>
        <w:instrText xml:space="preserve"> PAGEREF _Toc29116 \h </w:instrText>
      </w:r>
      <w:r>
        <w:fldChar w:fldCharType="separate"/>
      </w:r>
      <w:r>
        <w:t>49</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_Toc7009 </w:instrText>
      </w:r>
      <w:r>
        <w:rPr>
          <w:rFonts w:ascii="宋体" w:hAnsi="宋体"/>
          <w:bCs w:val="0"/>
          <w:szCs w:val="36"/>
          <w:highlight w:val="none"/>
        </w:rPr>
        <w:fldChar w:fldCharType="separate"/>
      </w:r>
      <w:r>
        <w:rPr>
          <w:rFonts w:hint="default" w:ascii="Times New Roman" w:hAnsi="Times New Roman" w:eastAsia="宋体" w:cs="Times New Roman"/>
          <w:i w:val="0"/>
        </w:rPr>
        <w:t xml:space="preserve">5.2.3 </w:t>
      </w:r>
      <w:r>
        <w:rPr>
          <w:rFonts w:hint="eastAsia"/>
          <w:highlight w:val="none"/>
        </w:rPr>
        <w:t>成立磋商小组</w:t>
      </w:r>
      <w:r>
        <w:tab/>
      </w:r>
      <w:r>
        <w:fldChar w:fldCharType="begin"/>
      </w:r>
      <w:r>
        <w:instrText xml:space="preserve"> PAGEREF _Toc7009 \h </w:instrText>
      </w:r>
      <w:r>
        <w:fldChar w:fldCharType="separate"/>
      </w:r>
      <w:r>
        <w:t>49</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_Toc12470 </w:instrText>
      </w:r>
      <w:r>
        <w:rPr>
          <w:rFonts w:ascii="宋体" w:hAnsi="宋体"/>
          <w:bCs w:val="0"/>
          <w:szCs w:val="36"/>
          <w:highlight w:val="none"/>
        </w:rPr>
        <w:fldChar w:fldCharType="separate"/>
      </w:r>
      <w:r>
        <w:rPr>
          <w:rFonts w:hint="default" w:ascii="Times New Roman" w:hAnsi="Times New Roman" w:eastAsia="宋体" w:cs="Times New Roman"/>
          <w:i w:val="0"/>
        </w:rPr>
        <w:t xml:space="preserve">5.2.4 </w:t>
      </w:r>
      <w:r>
        <w:rPr>
          <w:rFonts w:hint="eastAsia"/>
          <w:highlight w:val="none"/>
        </w:rPr>
        <w:t>磋商</w:t>
      </w:r>
      <w:r>
        <w:tab/>
      </w:r>
      <w:r>
        <w:fldChar w:fldCharType="begin"/>
      </w:r>
      <w:r>
        <w:instrText xml:space="preserve"> PAGEREF _Toc12470 \h </w:instrText>
      </w:r>
      <w:r>
        <w:fldChar w:fldCharType="separate"/>
      </w:r>
      <w:r>
        <w:t>49</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_Toc3545 </w:instrText>
      </w:r>
      <w:r>
        <w:rPr>
          <w:rFonts w:ascii="宋体" w:hAnsi="宋体"/>
          <w:bCs w:val="0"/>
          <w:szCs w:val="36"/>
          <w:highlight w:val="none"/>
        </w:rPr>
        <w:fldChar w:fldCharType="separate"/>
      </w:r>
      <w:r>
        <w:rPr>
          <w:rFonts w:hint="default" w:ascii="Times New Roman" w:hAnsi="Times New Roman" w:eastAsia="宋体" w:cs="Times New Roman"/>
          <w:i w:val="0"/>
        </w:rPr>
        <w:t xml:space="preserve">5.2.5 </w:t>
      </w:r>
      <w:r>
        <w:rPr>
          <w:rFonts w:hint="eastAsia"/>
          <w:highlight w:val="none"/>
        </w:rPr>
        <w:t>符合性审查</w:t>
      </w:r>
      <w:r>
        <w:tab/>
      </w:r>
      <w:r>
        <w:fldChar w:fldCharType="begin"/>
      </w:r>
      <w:r>
        <w:instrText xml:space="preserve"> PAGEREF _Toc3545 \h </w:instrText>
      </w:r>
      <w:r>
        <w:fldChar w:fldCharType="separate"/>
      </w:r>
      <w:r>
        <w:t>51</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_Toc25399 </w:instrText>
      </w:r>
      <w:r>
        <w:rPr>
          <w:rFonts w:ascii="宋体" w:hAnsi="宋体"/>
          <w:bCs w:val="0"/>
          <w:szCs w:val="36"/>
          <w:highlight w:val="none"/>
        </w:rPr>
        <w:fldChar w:fldCharType="separate"/>
      </w:r>
      <w:r>
        <w:rPr>
          <w:rFonts w:hint="default" w:ascii="Times New Roman" w:hAnsi="Times New Roman" w:eastAsia="宋体" w:cs="Times New Roman"/>
          <w:i w:val="0"/>
        </w:rPr>
        <w:t xml:space="preserve">5.2.6 </w:t>
      </w:r>
      <w:r>
        <w:rPr>
          <w:rFonts w:hint="eastAsia"/>
          <w:highlight w:val="none"/>
        </w:rPr>
        <w:t>最后报价审查</w:t>
      </w:r>
      <w:r>
        <w:tab/>
      </w:r>
      <w:r>
        <w:fldChar w:fldCharType="begin"/>
      </w:r>
      <w:r>
        <w:instrText xml:space="preserve"> PAGEREF _Toc25399 \h </w:instrText>
      </w:r>
      <w:r>
        <w:fldChar w:fldCharType="separate"/>
      </w:r>
      <w:r>
        <w:t>54</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_Toc4156 </w:instrText>
      </w:r>
      <w:r>
        <w:rPr>
          <w:rFonts w:ascii="宋体" w:hAnsi="宋体"/>
          <w:bCs w:val="0"/>
          <w:szCs w:val="36"/>
          <w:highlight w:val="none"/>
        </w:rPr>
        <w:fldChar w:fldCharType="separate"/>
      </w:r>
      <w:r>
        <w:rPr>
          <w:rFonts w:hint="default" w:ascii="Times New Roman" w:hAnsi="Times New Roman" w:eastAsia="宋体" w:cs="Times New Roman"/>
          <w:i w:val="0"/>
        </w:rPr>
        <w:t xml:space="preserve">5.2.7 </w:t>
      </w:r>
      <w:r>
        <w:rPr>
          <w:rFonts w:hint="eastAsia"/>
          <w:highlight w:val="none"/>
        </w:rPr>
        <w:t>解释、澄清、说明的有关问题</w:t>
      </w:r>
      <w:r>
        <w:tab/>
      </w:r>
      <w:r>
        <w:fldChar w:fldCharType="begin"/>
      </w:r>
      <w:r>
        <w:instrText xml:space="preserve"> PAGEREF _Toc4156 \h </w:instrText>
      </w:r>
      <w:r>
        <w:fldChar w:fldCharType="separate"/>
      </w:r>
      <w:r>
        <w:t>56</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_Toc26499 </w:instrText>
      </w:r>
      <w:r>
        <w:rPr>
          <w:rFonts w:ascii="宋体" w:hAnsi="宋体"/>
          <w:bCs w:val="0"/>
          <w:szCs w:val="36"/>
          <w:highlight w:val="none"/>
        </w:rPr>
        <w:fldChar w:fldCharType="separate"/>
      </w:r>
      <w:r>
        <w:rPr>
          <w:rFonts w:hint="default" w:ascii="Times New Roman" w:hAnsi="Times New Roman" w:eastAsia="宋体" w:cs="Times New Roman"/>
          <w:i w:val="0"/>
        </w:rPr>
        <w:t xml:space="preserve">5.2.8 </w:t>
      </w:r>
      <w:r>
        <w:rPr>
          <w:rFonts w:hint="eastAsia"/>
          <w:highlight w:val="none"/>
        </w:rPr>
        <w:t>比较与评价</w:t>
      </w:r>
      <w:r>
        <w:tab/>
      </w:r>
      <w:r>
        <w:fldChar w:fldCharType="begin"/>
      </w:r>
      <w:r>
        <w:instrText xml:space="preserve"> PAGEREF _Toc26499 \h </w:instrText>
      </w:r>
      <w:r>
        <w:fldChar w:fldCharType="separate"/>
      </w:r>
      <w:r>
        <w:t>56</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_Toc21913 </w:instrText>
      </w:r>
      <w:r>
        <w:rPr>
          <w:rFonts w:ascii="宋体" w:hAnsi="宋体"/>
          <w:bCs w:val="0"/>
          <w:szCs w:val="36"/>
          <w:highlight w:val="none"/>
        </w:rPr>
        <w:fldChar w:fldCharType="separate"/>
      </w:r>
      <w:r>
        <w:rPr>
          <w:rFonts w:hint="default" w:ascii="Times New Roman" w:hAnsi="Times New Roman" w:eastAsia="宋体" w:cs="Times New Roman"/>
          <w:i w:val="0"/>
        </w:rPr>
        <w:t xml:space="preserve">5.2.9 </w:t>
      </w:r>
      <w:r>
        <w:rPr>
          <w:rFonts w:hint="eastAsia"/>
          <w:highlight w:val="none"/>
        </w:rPr>
        <w:t>磋商小组复核</w:t>
      </w:r>
      <w:r>
        <w:tab/>
      </w:r>
      <w:r>
        <w:fldChar w:fldCharType="begin"/>
      </w:r>
      <w:r>
        <w:instrText xml:space="preserve"> PAGEREF _Toc21913 \h </w:instrText>
      </w:r>
      <w:r>
        <w:fldChar w:fldCharType="separate"/>
      </w:r>
      <w:r>
        <w:t>57</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_Toc17094 </w:instrText>
      </w:r>
      <w:r>
        <w:rPr>
          <w:rFonts w:ascii="宋体" w:hAnsi="宋体"/>
          <w:bCs w:val="0"/>
          <w:szCs w:val="36"/>
          <w:highlight w:val="none"/>
        </w:rPr>
        <w:fldChar w:fldCharType="separate"/>
      </w:r>
      <w:r>
        <w:rPr>
          <w:rFonts w:hint="default" w:ascii="Times New Roman" w:hAnsi="Times New Roman" w:eastAsia="宋体" w:cs="Times New Roman"/>
          <w:i w:val="0"/>
        </w:rPr>
        <w:t xml:space="preserve">5.2.10 </w:t>
      </w:r>
      <w:r>
        <w:rPr>
          <w:rFonts w:hint="eastAsia"/>
          <w:highlight w:val="none"/>
        </w:rPr>
        <w:t>推荐成交候选供应商</w:t>
      </w:r>
      <w:r>
        <w:tab/>
      </w:r>
      <w:r>
        <w:fldChar w:fldCharType="begin"/>
      </w:r>
      <w:r>
        <w:instrText xml:space="preserve"> PAGEREF _Toc17094 \h </w:instrText>
      </w:r>
      <w:r>
        <w:fldChar w:fldCharType="separate"/>
      </w:r>
      <w:r>
        <w:t>58</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_Toc23394 </w:instrText>
      </w:r>
      <w:r>
        <w:rPr>
          <w:rFonts w:ascii="宋体" w:hAnsi="宋体"/>
          <w:bCs w:val="0"/>
          <w:szCs w:val="36"/>
          <w:highlight w:val="none"/>
        </w:rPr>
        <w:fldChar w:fldCharType="separate"/>
      </w:r>
      <w:r>
        <w:rPr>
          <w:rFonts w:hint="default" w:ascii="Times New Roman" w:hAnsi="Times New Roman" w:eastAsia="宋体" w:cs="Times New Roman"/>
          <w:i w:val="0"/>
        </w:rPr>
        <w:t xml:space="preserve">5.2.11 </w:t>
      </w:r>
      <w:r>
        <w:rPr>
          <w:rFonts w:hint="eastAsia"/>
          <w:highlight w:val="none"/>
        </w:rPr>
        <w:t>编写磋商报告</w:t>
      </w:r>
      <w:r>
        <w:tab/>
      </w:r>
      <w:r>
        <w:fldChar w:fldCharType="begin"/>
      </w:r>
      <w:r>
        <w:instrText xml:space="preserve"> PAGEREF _Toc23394 \h </w:instrText>
      </w:r>
      <w:r>
        <w:fldChar w:fldCharType="separate"/>
      </w:r>
      <w:r>
        <w:t>58</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_Toc7635 </w:instrText>
      </w:r>
      <w:r>
        <w:rPr>
          <w:rFonts w:ascii="宋体" w:hAnsi="宋体"/>
          <w:bCs w:val="0"/>
          <w:szCs w:val="36"/>
          <w:highlight w:val="none"/>
        </w:rPr>
        <w:fldChar w:fldCharType="separate"/>
      </w:r>
      <w:r>
        <w:rPr>
          <w:rFonts w:hint="default" w:ascii="Times New Roman" w:hAnsi="Times New Roman" w:eastAsia="宋体" w:cs="Times New Roman"/>
          <w:i w:val="0"/>
        </w:rPr>
        <w:t xml:space="preserve">5.2.12 </w:t>
      </w:r>
      <w:r>
        <w:rPr>
          <w:rFonts w:hint="eastAsia"/>
          <w:highlight w:val="none"/>
        </w:rPr>
        <w:t>争议处理规则</w:t>
      </w:r>
      <w:r>
        <w:tab/>
      </w:r>
      <w:r>
        <w:fldChar w:fldCharType="begin"/>
      </w:r>
      <w:r>
        <w:instrText xml:space="preserve"> PAGEREF _Toc7635 \h </w:instrText>
      </w:r>
      <w:r>
        <w:fldChar w:fldCharType="separate"/>
      </w:r>
      <w:r>
        <w:t>59</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_Toc27553 </w:instrText>
      </w:r>
      <w:r>
        <w:rPr>
          <w:rFonts w:ascii="宋体" w:hAnsi="宋体"/>
          <w:bCs w:val="0"/>
          <w:szCs w:val="36"/>
          <w:highlight w:val="none"/>
        </w:rPr>
        <w:fldChar w:fldCharType="separate"/>
      </w:r>
      <w:r>
        <w:rPr>
          <w:rFonts w:hint="default" w:ascii="Times New Roman" w:hAnsi="Times New Roman" w:eastAsia="宋体" w:cs="Times New Roman"/>
          <w:i w:val="0"/>
        </w:rPr>
        <w:t xml:space="preserve">5.2.13 </w:t>
      </w:r>
      <w:r>
        <w:rPr>
          <w:rFonts w:hint="eastAsia"/>
          <w:highlight w:val="none"/>
        </w:rPr>
        <w:t>供应商澄清、说明</w:t>
      </w:r>
      <w:r>
        <w:tab/>
      </w:r>
      <w:r>
        <w:fldChar w:fldCharType="begin"/>
      </w:r>
      <w:r>
        <w:instrText xml:space="preserve"> PAGEREF _Toc27553 \h </w:instrText>
      </w:r>
      <w:r>
        <w:fldChar w:fldCharType="separate"/>
      </w:r>
      <w:r>
        <w:t>59</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_Toc21770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5.3 </w:t>
      </w:r>
      <w:r>
        <w:rPr>
          <w:rFonts w:hint="eastAsia"/>
          <w:highlight w:val="none"/>
        </w:rPr>
        <w:t>评审办法和标准</w:t>
      </w:r>
      <w:r>
        <w:tab/>
      </w:r>
      <w:r>
        <w:fldChar w:fldCharType="begin"/>
      </w:r>
      <w:r>
        <w:instrText xml:space="preserve"> PAGEREF _Toc21770 \h </w:instrText>
      </w:r>
      <w:r>
        <w:fldChar w:fldCharType="separate"/>
      </w:r>
      <w:r>
        <w:t>59</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_Toc10691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5.4 </w:t>
      </w:r>
      <w:r>
        <w:rPr>
          <w:rFonts w:hint="eastAsia"/>
          <w:highlight w:val="none"/>
        </w:rPr>
        <w:t>采购失败情形</w:t>
      </w:r>
      <w:r>
        <w:tab/>
      </w:r>
      <w:r>
        <w:fldChar w:fldCharType="begin"/>
      </w:r>
      <w:r>
        <w:instrText xml:space="preserve"> PAGEREF _Toc10691 \h </w:instrText>
      </w:r>
      <w:r>
        <w:fldChar w:fldCharType="separate"/>
      </w:r>
      <w:r>
        <w:t>62</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_Toc7273 </w:instrText>
      </w:r>
      <w:r>
        <w:rPr>
          <w:rFonts w:ascii="宋体" w:hAnsi="宋体"/>
          <w:bCs w:val="0"/>
          <w:szCs w:val="36"/>
          <w:highlight w:val="none"/>
        </w:rPr>
        <w:fldChar w:fldCharType="separate"/>
      </w:r>
      <w:r>
        <w:rPr>
          <w:rFonts w:hint="default" w:ascii="Times New Roman" w:hAnsi="Times New Roman" w:eastAsia="宋体" w:cs="Times New Roman"/>
          <w:i w:val="0"/>
        </w:rPr>
        <w:t xml:space="preserve">5.4.1 </w:t>
      </w:r>
      <w:r>
        <w:rPr>
          <w:rFonts w:hint="eastAsia"/>
          <w:highlight w:val="none"/>
        </w:rPr>
        <w:t>其他</w:t>
      </w:r>
      <w:r>
        <w:tab/>
      </w:r>
      <w:r>
        <w:fldChar w:fldCharType="begin"/>
      </w:r>
      <w:r>
        <w:instrText xml:space="preserve"> PAGEREF _Toc7273 \h </w:instrText>
      </w:r>
      <w:r>
        <w:fldChar w:fldCharType="separate"/>
      </w:r>
      <w:r>
        <w:t>63</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_Toc18164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5.5 </w:t>
      </w:r>
      <w:r>
        <w:rPr>
          <w:rFonts w:hint="eastAsia"/>
          <w:highlight w:val="none"/>
        </w:rPr>
        <w:t>确定成交供应商</w:t>
      </w:r>
      <w:r>
        <w:tab/>
      </w:r>
      <w:r>
        <w:fldChar w:fldCharType="begin"/>
      </w:r>
      <w:r>
        <w:instrText xml:space="preserve"> PAGEREF _Toc18164 \h </w:instrText>
      </w:r>
      <w:r>
        <w:fldChar w:fldCharType="separate"/>
      </w:r>
      <w:r>
        <w:t>63</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_Toc264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5.6 </w:t>
      </w:r>
      <w:r>
        <w:rPr>
          <w:rFonts w:hint="eastAsia"/>
          <w:highlight w:val="none"/>
        </w:rPr>
        <w:t>磋商小组成员义务</w:t>
      </w:r>
      <w:r>
        <w:tab/>
      </w:r>
      <w:r>
        <w:fldChar w:fldCharType="begin"/>
      </w:r>
      <w:r>
        <w:instrText xml:space="preserve"> PAGEREF _Toc264 \h </w:instrText>
      </w:r>
      <w:r>
        <w:fldChar w:fldCharType="separate"/>
      </w:r>
      <w:r>
        <w:t>64</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_Toc8735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5.7 </w:t>
      </w:r>
      <w:r>
        <w:rPr>
          <w:rFonts w:hint="eastAsia"/>
          <w:highlight w:val="none"/>
        </w:rPr>
        <w:t>磋商小组及其成员不得有下列行为</w:t>
      </w:r>
      <w:r>
        <w:tab/>
      </w:r>
      <w:r>
        <w:fldChar w:fldCharType="begin"/>
      </w:r>
      <w:r>
        <w:instrText xml:space="preserve"> PAGEREF _Toc8735 \h </w:instrText>
      </w:r>
      <w:r>
        <w:fldChar w:fldCharType="separate"/>
      </w:r>
      <w:r>
        <w:t>65</w:t>
      </w:r>
      <w:r>
        <w:fldChar w:fldCharType="end"/>
      </w:r>
      <w:r>
        <w:rPr>
          <w:rFonts w:ascii="宋体" w:hAnsi="宋体"/>
          <w:bCs w:val="0"/>
          <w:color w:val="auto"/>
          <w:szCs w:val="36"/>
          <w:highlight w:val="none"/>
        </w:rPr>
        <w:fldChar w:fldCharType="end"/>
      </w:r>
    </w:p>
    <w:p>
      <w:pPr>
        <w:pStyle w:val="39"/>
        <w:tabs>
          <w:tab w:val="right" w:leader="dot" w:pos="921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_Toc7058 </w:instrText>
      </w:r>
      <w:r>
        <w:rPr>
          <w:rFonts w:ascii="宋体" w:hAnsi="宋体"/>
          <w:bCs w:val="0"/>
          <w:szCs w:val="36"/>
          <w:highlight w:val="none"/>
        </w:rPr>
        <w:fldChar w:fldCharType="separate"/>
      </w:r>
      <w:r>
        <w:rPr>
          <w:rFonts w:hint="default" w:ascii="Times New Roman" w:hAnsi="Times New Roman" w:eastAsia="宋体" w:cs="Times New Roman"/>
          <w:i w:val="0"/>
          <w:szCs w:val="28"/>
        </w:rPr>
        <w:t xml:space="preserve">5.8 </w:t>
      </w:r>
      <w:r>
        <w:rPr>
          <w:rFonts w:hint="eastAsia"/>
          <w:highlight w:val="none"/>
        </w:rPr>
        <w:t>磋商纪律</w:t>
      </w:r>
      <w:r>
        <w:tab/>
      </w:r>
      <w:r>
        <w:fldChar w:fldCharType="begin"/>
      </w:r>
      <w:r>
        <w:instrText xml:space="preserve"> PAGEREF _Toc7058 \h </w:instrText>
      </w:r>
      <w:r>
        <w:fldChar w:fldCharType="separate"/>
      </w:r>
      <w:r>
        <w:t>66</w:t>
      </w:r>
      <w:r>
        <w:fldChar w:fldCharType="end"/>
      </w:r>
      <w:r>
        <w:rPr>
          <w:rFonts w:ascii="宋体" w:hAnsi="宋体"/>
          <w:bCs w:val="0"/>
          <w:color w:val="auto"/>
          <w:szCs w:val="36"/>
          <w:highlight w:val="none"/>
        </w:rPr>
        <w:fldChar w:fldCharType="end"/>
      </w:r>
    </w:p>
    <w:p>
      <w:pPr>
        <w:pStyle w:val="32"/>
        <w:tabs>
          <w:tab w:val="right" w:leader="dot" w:pos="9214"/>
          <w:tab w:val="clear" w:pos="840"/>
          <w:tab w:val="clear" w:pos="920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_Toc30981 </w:instrText>
      </w:r>
      <w:r>
        <w:rPr>
          <w:rFonts w:ascii="宋体" w:hAnsi="宋体"/>
          <w:bCs w:val="0"/>
          <w:szCs w:val="36"/>
          <w:highlight w:val="none"/>
        </w:rPr>
        <w:fldChar w:fldCharType="separate"/>
      </w:r>
      <w:r>
        <w:rPr>
          <w:rFonts w:hint="default" w:ascii="Times New Roman" w:hAnsi="Times New Roman" w:eastAsia="宋体"/>
          <w:i w:val="0"/>
          <w:szCs w:val="32"/>
        </w:rPr>
        <w:t xml:space="preserve">第6章 </w:t>
      </w:r>
      <w:r>
        <w:rPr>
          <w:rFonts w:hint="eastAsia"/>
          <w:highlight w:val="none"/>
        </w:rPr>
        <w:t>政府</w:t>
      </w:r>
      <w:r>
        <w:rPr>
          <w:highlight w:val="none"/>
        </w:rPr>
        <w:t>采购</w:t>
      </w:r>
      <w:r>
        <w:rPr>
          <w:rFonts w:hint="eastAsia"/>
          <w:highlight w:val="none"/>
        </w:rPr>
        <w:t>合同草案</w:t>
      </w:r>
      <w:r>
        <w:tab/>
      </w:r>
      <w:r>
        <w:fldChar w:fldCharType="begin"/>
      </w:r>
      <w:r>
        <w:instrText xml:space="preserve"> PAGEREF _Toc30981 \h </w:instrText>
      </w:r>
      <w:r>
        <w:fldChar w:fldCharType="separate"/>
      </w:r>
      <w:r>
        <w:t>68</w:t>
      </w:r>
      <w:r>
        <w:fldChar w:fldCharType="end"/>
      </w:r>
      <w:r>
        <w:rPr>
          <w:rFonts w:ascii="宋体" w:hAnsi="宋体"/>
          <w:bCs w:val="0"/>
          <w:color w:val="auto"/>
          <w:szCs w:val="36"/>
          <w:highlight w:val="none"/>
        </w:rPr>
        <w:fldChar w:fldCharType="end"/>
      </w:r>
    </w:p>
    <w:p>
      <w:pPr>
        <w:pStyle w:val="32"/>
        <w:tabs>
          <w:tab w:val="right" w:leader="dot" w:pos="9214"/>
          <w:tab w:val="clear" w:pos="840"/>
          <w:tab w:val="clear" w:pos="920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_Toc9085 </w:instrText>
      </w:r>
      <w:r>
        <w:rPr>
          <w:rFonts w:ascii="宋体" w:hAnsi="宋体"/>
          <w:bCs w:val="0"/>
          <w:szCs w:val="36"/>
          <w:highlight w:val="none"/>
        </w:rPr>
        <w:fldChar w:fldCharType="separate"/>
      </w:r>
      <w:r>
        <w:rPr>
          <w:rFonts w:hint="eastAsia" w:ascii="仿宋_GB2312" w:hAnsi="Arial" w:eastAsia="仿宋_GB2312"/>
          <w:highlight w:val="none"/>
        </w:rPr>
        <w:t>建筑装饰工程施工合同</w:t>
      </w:r>
      <w:r>
        <w:tab/>
      </w:r>
      <w:r>
        <w:fldChar w:fldCharType="begin"/>
      </w:r>
      <w:r>
        <w:instrText xml:space="preserve"> PAGEREF _Toc9085 \h </w:instrText>
      </w:r>
      <w:r>
        <w:fldChar w:fldCharType="separate"/>
      </w:r>
      <w:r>
        <w:t>68</w:t>
      </w:r>
      <w:r>
        <w:fldChar w:fldCharType="end"/>
      </w:r>
      <w:r>
        <w:rPr>
          <w:rFonts w:ascii="宋体" w:hAnsi="宋体"/>
          <w:bCs w:val="0"/>
          <w:color w:val="auto"/>
          <w:szCs w:val="36"/>
          <w:highlight w:val="none"/>
        </w:rPr>
        <w:fldChar w:fldCharType="end"/>
      </w:r>
    </w:p>
    <w:p>
      <w:pPr>
        <w:pStyle w:val="32"/>
        <w:tabs>
          <w:tab w:val="right" w:leader="dot" w:pos="9214"/>
          <w:tab w:val="clear" w:pos="840"/>
          <w:tab w:val="clear" w:pos="920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_Toc15120 </w:instrText>
      </w:r>
      <w:r>
        <w:rPr>
          <w:rFonts w:ascii="宋体" w:hAnsi="宋体"/>
          <w:bCs w:val="0"/>
          <w:szCs w:val="36"/>
          <w:highlight w:val="none"/>
        </w:rPr>
        <w:fldChar w:fldCharType="separate"/>
      </w:r>
      <w:r>
        <w:rPr>
          <w:rFonts w:hint="eastAsia" w:ascii="黑体" w:hAnsi="黑体" w:eastAsia="黑体"/>
          <w:szCs w:val="21"/>
          <w:highlight w:val="none"/>
        </w:rPr>
        <w:t>合同附件一</w:t>
      </w:r>
      <w:r>
        <w:tab/>
      </w:r>
      <w:r>
        <w:fldChar w:fldCharType="begin"/>
      </w:r>
      <w:r>
        <w:instrText xml:space="preserve"> PAGEREF _Toc15120 \h </w:instrText>
      </w:r>
      <w:r>
        <w:fldChar w:fldCharType="separate"/>
      </w:r>
      <w:r>
        <w:t>81</w:t>
      </w:r>
      <w:r>
        <w:fldChar w:fldCharType="end"/>
      </w:r>
      <w:r>
        <w:rPr>
          <w:rFonts w:ascii="宋体" w:hAnsi="宋体"/>
          <w:bCs w:val="0"/>
          <w:color w:val="auto"/>
          <w:szCs w:val="36"/>
          <w:highlight w:val="none"/>
        </w:rPr>
        <w:fldChar w:fldCharType="end"/>
      </w:r>
    </w:p>
    <w:p>
      <w:pPr>
        <w:pStyle w:val="32"/>
        <w:tabs>
          <w:tab w:val="right" w:leader="dot" w:pos="9214"/>
          <w:tab w:val="clear" w:pos="840"/>
          <w:tab w:val="clear" w:pos="920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_Toc20752 </w:instrText>
      </w:r>
      <w:r>
        <w:rPr>
          <w:rFonts w:ascii="宋体" w:hAnsi="宋体"/>
          <w:bCs w:val="0"/>
          <w:szCs w:val="36"/>
          <w:highlight w:val="none"/>
        </w:rPr>
        <w:fldChar w:fldCharType="separate"/>
      </w:r>
      <w:r>
        <w:rPr>
          <w:rFonts w:hint="eastAsia" w:ascii="黑体" w:hAnsi="黑体" w:eastAsia="黑体"/>
          <w:szCs w:val="21"/>
          <w:highlight w:val="none"/>
        </w:rPr>
        <w:t>合同附件二</w:t>
      </w:r>
      <w:r>
        <w:tab/>
      </w:r>
      <w:r>
        <w:fldChar w:fldCharType="begin"/>
      </w:r>
      <w:r>
        <w:instrText xml:space="preserve"> PAGEREF _Toc20752 \h </w:instrText>
      </w:r>
      <w:r>
        <w:fldChar w:fldCharType="separate"/>
      </w:r>
      <w:r>
        <w:t>84</w:t>
      </w:r>
      <w:r>
        <w:fldChar w:fldCharType="end"/>
      </w:r>
      <w:r>
        <w:rPr>
          <w:rFonts w:ascii="宋体" w:hAnsi="宋体"/>
          <w:bCs w:val="0"/>
          <w:color w:val="auto"/>
          <w:szCs w:val="36"/>
          <w:highlight w:val="none"/>
        </w:rPr>
        <w:fldChar w:fldCharType="end"/>
      </w:r>
    </w:p>
    <w:p>
      <w:pPr>
        <w:pStyle w:val="32"/>
        <w:tabs>
          <w:tab w:val="right" w:leader="dot" w:pos="9214"/>
          <w:tab w:val="clear" w:pos="840"/>
          <w:tab w:val="clear" w:pos="920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_Toc21460 </w:instrText>
      </w:r>
      <w:r>
        <w:rPr>
          <w:rFonts w:ascii="宋体" w:hAnsi="宋体"/>
          <w:bCs w:val="0"/>
          <w:szCs w:val="36"/>
          <w:highlight w:val="none"/>
        </w:rPr>
        <w:fldChar w:fldCharType="separate"/>
      </w:r>
      <w:r>
        <w:rPr>
          <w:rFonts w:hint="eastAsia" w:ascii="黑体" w:hAnsi="黑体" w:eastAsia="黑体"/>
          <w:szCs w:val="32"/>
          <w:highlight w:val="none"/>
        </w:rPr>
        <w:t>工程质量保修书</w:t>
      </w:r>
      <w:r>
        <w:tab/>
      </w:r>
      <w:r>
        <w:fldChar w:fldCharType="begin"/>
      </w:r>
      <w:r>
        <w:instrText xml:space="preserve"> PAGEREF _Toc21460 \h </w:instrText>
      </w:r>
      <w:r>
        <w:fldChar w:fldCharType="separate"/>
      </w:r>
      <w:r>
        <w:t>84</w:t>
      </w:r>
      <w:r>
        <w:fldChar w:fldCharType="end"/>
      </w:r>
      <w:r>
        <w:rPr>
          <w:rFonts w:ascii="宋体" w:hAnsi="宋体"/>
          <w:bCs w:val="0"/>
          <w:color w:val="auto"/>
          <w:szCs w:val="36"/>
          <w:highlight w:val="none"/>
        </w:rPr>
        <w:fldChar w:fldCharType="end"/>
      </w:r>
    </w:p>
    <w:p>
      <w:pPr>
        <w:pStyle w:val="32"/>
        <w:tabs>
          <w:tab w:val="right" w:leader="dot" w:pos="9214"/>
          <w:tab w:val="clear" w:pos="840"/>
          <w:tab w:val="clear" w:pos="920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_Toc11377 </w:instrText>
      </w:r>
      <w:r>
        <w:rPr>
          <w:rFonts w:ascii="宋体" w:hAnsi="宋体"/>
          <w:bCs w:val="0"/>
          <w:szCs w:val="36"/>
          <w:highlight w:val="none"/>
        </w:rPr>
        <w:fldChar w:fldCharType="separate"/>
      </w:r>
      <w:r>
        <w:rPr>
          <w:rFonts w:hint="eastAsia" w:ascii="黑体" w:hAnsi="黑体" w:eastAsia="黑体"/>
          <w:szCs w:val="21"/>
          <w:highlight w:val="none"/>
        </w:rPr>
        <w:t>合同附件三</w:t>
      </w:r>
      <w:r>
        <w:tab/>
      </w:r>
      <w:r>
        <w:fldChar w:fldCharType="begin"/>
      </w:r>
      <w:r>
        <w:instrText xml:space="preserve"> PAGEREF _Toc11377 \h </w:instrText>
      </w:r>
      <w:r>
        <w:fldChar w:fldCharType="separate"/>
      </w:r>
      <w:r>
        <w:t>85</w:t>
      </w:r>
      <w:r>
        <w:fldChar w:fldCharType="end"/>
      </w:r>
      <w:r>
        <w:rPr>
          <w:rFonts w:ascii="宋体" w:hAnsi="宋体"/>
          <w:bCs w:val="0"/>
          <w:color w:val="auto"/>
          <w:szCs w:val="36"/>
          <w:highlight w:val="none"/>
        </w:rPr>
        <w:fldChar w:fldCharType="end"/>
      </w:r>
    </w:p>
    <w:p>
      <w:pPr>
        <w:pStyle w:val="32"/>
        <w:tabs>
          <w:tab w:val="right" w:leader="dot" w:pos="9214"/>
          <w:tab w:val="clear" w:pos="840"/>
          <w:tab w:val="clear" w:pos="9204"/>
        </w:tabs>
      </w:pPr>
      <w:r>
        <w:rPr>
          <w:rFonts w:ascii="宋体" w:hAnsi="宋体"/>
          <w:bCs w:val="0"/>
          <w:color w:val="auto"/>
          <w:szCs w:val="36"/>
          <w:highlight w:val="none"/>
        </w:rPr>
        <w:fldChar w:fldCharType="begin"/>
      </w:r>
      <w:r>
        <w:rPr>
          <w:rFonts w:ascii="宋体" w:hAnsi="宋体"/>
          <w:bCs w:val="0"/>
          <w:szCs w:val="36"/>
          <w:highlight w:val="none"/>
        </w:rPr>
        <w:instrText xml:space="preserve"> HYPERLINK \l _Toc12875 </w:instrText>
      </w:r>
      <w:r>
        <w:rPr>
          <w:rFonts w:ascii="宋体" w:hAnsi="宋体"/>
          <w:bCs w:val="0"/>
          <w:szCs w:val="36"/>
          <w:highlight w:val="none"/>
        </w:rPr>
        <w:fldChar w:fldCharType="separate"/>
      </w:r>
      <w:r>
        <w:rPr>
          <w:rFonts w:hint="default" w:ascii="Times New Roman" w:hAnsi="Times New Roman" w:eastAsia="宋体"/>
          <w:i w:val="0"/>
          <w:szCs w:val="32"/>
        </w:rPr>
        <w:t xml:space="preserve">第7章 </w:t>
      </w:r>
      <w:r>
        <w:rPr>
          <w:rFonts w:hint="eastAsia"/>
          <w:highlight w:val="none"/>
        </w:rPr>
        <w:t>工程量清单和图纸</w:t>
      </w:r>
      <w:r>
        <w:tab/>
      </w:r>
      <w:r>
        <w:fldChar w:fldCharType="begin"/>
      </w:r>
      <w:r>
        <w:instrText xml:space="preserve"> PAGEREF _Toc12875 \h </w:instrText>
      </w:r>
      <w:r>
        <w:fldChar w:fldCharType="separate"/>
      </w:r>
      <w:r>
        <w:t>88</w:t>
      </w:r>
      <w:r>
        <w:fldChar w:fldCharType="end"/>
      </w:r>
      <w:r>
        <w:rPr>
          <w:rFonts w:ascii="宋体" w:hAnsi="宋体"/>
          <w:bCs w:val="0"/>
          <w:color w:val="auto"/>
          <w:szCs w:val="36"/>
          <w:highlight w:val="none"/>
        </w:rPr>
        <w:fldChar w:fldCharType="end"/>
      </w:r>
    </w:p>
    <w:p>
      <w:pPr>
        <w:pStyle w:val="32"/>
        <w:spacing w:line="300" w:lineRule="exact"/>
        <w:rPr>
          <w:rFonts w:ascii="宋体" w:hAnsi="宋体"/>
          <w:b w:val="0"/>
          <w:bCs w:val="0"/>
          <w:color w:val="auto"/>
          <w:sz w:val="36"/>
          <w:szCs w:val="36"/>
          <w:highlight w:val="none"/>
        </w:rPr>
        <w:sectPr>
          <w:footerReference r:id="rId6" w:type="first"/>
          <w:headerReference r:id="rId3" w:type="default"/>
          <w:footerReference r:id="rId4" w:type="default"/>
          <w:footerReference r:id="rId5" w:type="even"/>
          <w:pgSz w:w="11906" w:h="16838"/>
          <w:pgMar w:top="1134" w:right="1274" w:bottom="1440" w:left="1418" w:header="851" w:footer="992" w:gutter="0"/>
          <w:cols w:space="720" w:num="1"/>
          <w:titlePg/>
          <w:docGrid w:type="lines" w:linePitch="312" w:charSpace="0"/>
        </w:sectPr>
      </w:pPr>
      <w:r>
        <w:rPr>
          <w:rFonts w:ascii="宋体" w:hAnsi="宋体"/>
          <w:b w:val="0"/>
          <w:bCs w:val="0"/>
          <w:color w:val="auto"/>
          <w:sz w:val="36"/>
          <w:szCs w:val="36"/>
          <w:highlight w:val="none"/>
        </w:rPr>
        <w:fldChar w:fldCharType="end"/>
      </w:r>
    </w:p>
    <w:p>
      <w:pPr>
        <w:pStyle w:val="4"/>
        <w:numPr>
          <w:ilvl w:val="0"/>
          <w:numId w:val="1"/>
        </w:numPr>
        <w:spacing w:before="0" w:after="0"/>
        <w:ind w:left="0" w:firstLine="0"/>
        <w:rPr>
          <w:color w:val="auto"/>
          <w:highlight w:val="none"/>
        </w:rPr>
      </w:pPr>
      <w:bookmarkStart w:id="0" w:name="_Toc72938425"/>
      <w:bookmarkStart w:id="1" w:name="_Toc15287"/>
      <w:bookmarkStart w:id="2" w:name="_Toc16997"/>
      <w:r>
        <w:rPr>
          <w:rFonts w:hint="eastAsia"/>
          <w:color w:val="auto"/>
          <w:highlight w:val="none"/>
        </w:rPr>
        <w:t>竞争性磋商邀请</w:t>
      </w:r>
      <w:bookmarkEnd w:id="0"/>
      <w:bookmarkEnd w:id="1"/>
      <w:bookmarkEnd w:id="2"/>
    </w:p>
    <w:p>
      <w:pPr>
        <w:spacing w:line="600" w:lineRule="exact"/>
        <w:ind w:right="-24" w:rightChars="-10" w:firstLine="562" w:firstLineChars="201"/>
        <w:rPr>
          <w:rFonts w:ascii="宋体" w:hAnsi="宋体"/>
          <w:color w:val="auto"/>
          <w:sz w:val="28"/>
          <w:szCs w:val="28"/>
          <w:highlight w:val="none"/>
        </w:rPr>
      </w:pPr>
      <w:r>
        <w:rPr>
          <w:rFonts w:hint="eastAsia" w:ascii="宋体" w:hAnsi="宋体"/>
          <w:color w:val="auto"/>
          <w:sz w:val="28"/>
          <w:szCs w:val="28"/>
          <w:highlight w:val="none"/>
        </w:rPr>
        <w:t>成都高新区政府采购服务中心(以下简称“</w:t>
      </w:r>
      <w:r>
        <w:rPr>
          <w:rFonts w:hint="eastAsia" w:ascii="宋体" w:hAnsi="宋体" w:cs="宋体"/>
          <w:color w:val="auto"/>
          <w:sz w:val="28"/>
          <w:szCs w:val="28"/>
          <w:highlight w:val="none"/>
        </w:rPr>
        <w:t>高新区采购中心</w:t>
      </w:r>
      <w:r>
        <w:rPr>
          <w:rFonts w:hint="eastAsia" w:ascii="宋体" w:hAnsi="宋体"/>
          <w:color w:val="auto"/>
          <w:sz w:val="28"/>
          <w:szCs w:val="28"/>
          <w:highlight w:val="none"/>
        </w:rPr>
        <w:t>”)受</w:t>
      </w:r>
      <w:r>
        <w:rPr>
          <w:rFonts w:hint="eastAsia" w:ascii="宋体" w:hAnsi="宋体"/>
          <w:b/>
          <w:bCs/>
          <w:color w:val="auto"/>
          <w:sz w:val="28"/>
          <w:szCs w:val="28"/>
          <w:highlight w:val="none"/>
          <w:lang w:eastAsia="zh-CN"/>
        </w:rPr>
        <w:t>成都高新区合作街道办事处</w:t>
      </w:r>
      <w:r>
        <w:rPr>
          <w:rFonts w:hint="eastAsia" w:ascii="宋体" w:hAnsi="宋体"/>
          <w:color w:val="auto"/>
          <w:sz w:val="28"/>
          <w:szCs w:val="28"/>
          <w:highlight w:val="none"/>
        </w:rPr>
        <w:t>委托,拟对</w:t>
      </w:r>
      <w:r>
        <w:rPr>
          <w:rFonts w:hint="eastAsia" w:ascii="宋体" w:hAnsi="宋体"/>
          <w:b/>
          <w:color w:val="auto"/>
          <w:sz w:val="28"/>
          <w:szCs w:val="28"/>
          <w:highlight w:val="none"/>
          <w:lang w:eastAsia="zh-CN"/>
        </w:rPr>
        <w:t>成都高新区合作街道办事处</w:t>
      </w:r>
      <w:r>
        <w:rPr>
          <w:rFonts w:hint="eastAsia" w:ascii="宋体" w:hAnsi="宋体"/>
          <w:b/>
          <w:color w:val="auto"/>
          <w:sz w:val="28"/>
          <w:szCs w:val="28"/>
          <w:highlight w:val="none"/>
        </w:rPr>
        <w:t>社区公园康养中心装修工程采购项目</w:t>
      </w:r>
      <w:r>
        <w:rPr>
          <w:rFonts w:hint="eastAsia" w:ascii="宋体" w:hAnsi="宋体"/>
          <w:color w:val="auto"/>
          <w:sz w:val="28"/>
          <w:szCs w:val="28"/>
          <w:highlight w:val="none"/>
        </w:rPr>
        <w:t>采用竞争性磋商采购方式进行采购，特邀请已通过本次采购资格审查并随机抽取选中的供应商参加本项目的竞争性磋商。</w:t>
      </w:r>
    </w:p>
    <w:p>
      <w:pPr>
        <w:numPr>
          <w:ilvl w:val="0"/>
          <w:numId w:val="2"/>
        </w:numPr>
        <w:spacing w:line="600" w:lineRule="exact"/>
        <w:ind w:left="1134" w:hanging="563"/>
        <w:jc w:val="both"/>
        <w:rPr>
          <w:rFonts w:ascii="宋体" w:hAnsi="宋体"/>
          <w:color w:val="auto"/>
          <w:sz w:val="28"/>
          <w:szCs w:val="28"/>
          <w:highlight w:val="none"/>
        </w:rPr>
      </w:pPr>
      <w:r>
        <w:rPr>
          <w:rFonts w:hint="eastAsia" w:ascii="宋体" w:hAnsi="宋体"/>
          <w:b/>
          <w:color w:val="auto"/>
          <w:sz w:val="28"/>
          <w:szCs w:val="28"/>
          <w:highlight w:val="none"/>
        </w:rPr>
        <w:t>项目编号</w:t>
      </w:r>
      <w:r>
        <w:rPr>
          <w:rFonts w:hint="eastAsia" w:ascii="宋体" w:hAnsi="宋体"/>
          <w:color w:val="auto"/>
          <w:sz w:val="28"/>
          <w:szCs w:val="28"/>
          <w:highlight w:val="none"/>
        </w:rPr>
        <w:t>：</w:t>
      </w:r>
      <w:r>
        <w:rPr>
          <w:rFonts w:hint="eastAsia" w:ascii="宋体" w:hAnsi="宋体"/>
          <w:b/>
          <w:color w:val="auto"/>
          <w:sz w:val="28"/>
          <w:szCs w:val="28"/>
          <w:highlight w:val="none"/>
          <w:lang w:eastAsia="zh-CN"/>
        </w:rPr>
        <w:t>成都高新技术产业开发区政采（2021）A0031号</w:t>
      </w:r>
    </w:p>
    <w:p>
      <w:pPr>
        <w:spacing w:line="600" w:lineRule="exact"/>
        <w:ind w:firstLine="562" w:firstLineChars="200"/>
        <w:rPr>
          <w:rFonts w:ascii="宋体" w:hAnsi="宋体"/>
          <w:b/>
          <w:color w:val="auto"/>
          <w:sz w:val="28"/>
          <w:szCs w:val="28"/>
          <w:highlight w:val="none"/>
        </w:rPr>
      </w:pPr>
      <w:r>
        <w:rPr>
          <w:rFonts w:hint="eastAsia" w:ascii="宋体" w:hAnsi="宋体"/>
          <w:b/>
          <w:color w:val="auto"/>
          <w:sz w:val="28"/>
          <w:szCs w:val="28"/>
          <w:highlight w:val="none"/>
        </w:rPr>
        <w:t>（</w:t>
      </w:r>
      <w:r>
        <w:rPr>
          <w:rFonts w:hint="eastAsia" w:ascii="宋体" w:hAnsi="宋体"/>
          <w:b/>
          <w:color w:val="auto"/>
          <w:sz w:val="28"/>
          <w:szCs w:val="28"/>
          <w:highlight w:val="none"/>
          <w:lang w:eastAsia="zh-CN"/>
        </w:rPr>
        <w:t>采购项目编号：510188202100222</w:t>
      </w:r>
      <w:r>
        <w:rPr>
          <w:rFonts w:hint="eastAsia" w:ascii="宋体" w:hAnsi="宋体"/>
          <w:b/>
          <w:color w:val="auto"/>
          <w:sz w:val="28"/>
          <w:szCs w:val="28"/>
          <w:highlight w:val="none"/>
        </w:rPr>
        <w:t>）</w:t>
      </w:r>
    </w:p>
    <w:p>
      <w:pPr>
        <w:numPr>
          <w:ilvl w:val="0"/>
          <w:numId w:val="2"/>
        </w:numPr>
        <w:spacing w:line="600" w:lineRule="exact"/>
        <w:ind w:left="0" w:firstLine="567"/>
        <w:jc w:val="both"/>
        <w:rPr>
          <w:rFonts w:ascii="宋体" w:hAnsi="宋体"/>
          <w:color w:val="auto"/>
          <w:sz w:val="28"/>
          <w:szCs w:val="28"/>
          <w:highlight w:val="none"/>
        </w:rPr>
      </w:pPr>
      <w:r>
        <w:rPr>
          <w:rFonts w:hint="eastAsia" w:ascii="宋体" w:hAnsi="宋体"/>
          <w:b/>
          <w:color w:val="auto"/>
          <w:sz w:val="28"/>
          <w:szCs w:val="28"/>
          <w:highlight w:val="none"/>
        </w:rPr>
        <w:t>项目名称</w:t>
      </w:r>
      <w:r>
        <w:rPr>
          <w:rFonts w:hint="eastAsia" w:ascii="宋体" w:hAnsi="宋体"/>
          <w:color w:val="auto"/>
          <w:sz w:val="28"/>
          <w:szCs w:val="28"/>
          <w:highlight w:val="none"/>
        </w:rPr>
        <w:t>：</w:t>
      </w:r>
      <w:r>
        <w:rPr>
          <w:rFonts w:hint="eastAsia" w:ascii="宋体" w:hAnsi="宋体"/>
          <w:color w:val="auto"/>
          <w:sz w:val="28"/>
          <w:szCs w:val="28"/>
          <w:highlight w:val="none"/>
          <w:lang w:eastAsia="zh-CN"/>
        </w:rPr>
        <w:t>成都高新区合作街道办事处</w:t>
      </w:r>
      <w:r>
        <w:rPr>
          <w:rFonts w:hint="eastAsia" w:ascii="宋体" w:hAnsi="宋体"/>
          <w:color w:val="auto"/>
          <w:sz w:val="28"/>
          <w:szCs w:val="28"/>
          <w:highlight w:val="none"/>
        </w:rPr>
        <w:t>社区公园康养中心装修工程采购项目</w:t>
      </w:r>
    </w:p>
    <w:p>
      <w:pPr>
        <w:numPr>
          <w:ilvl w:val="0"/>
          <w:numId w:val="2"/>
        </w:numPr>
        <w:spacing w:line="600" w:lineRule="exact"/>
        <w:ind w:left="0" w:firstLine="567"/>
        <w:rPr>
          <w:rFonts w:ascii="宋体" w:hAnsi="宋体"/>
          <w:b/>
          <w:color w:val="auto"/>
          <w:sz w:val="28"/>
          <w:szCs w:val="28"/>
          <w:highlight w:val="none"/>
        </w:rPr>
      </w:pPr>
      <w:r>
        <w:rPr>
          <w:rFonts w:hint="eastAsia" w:ascii="宋体" w:hAnsi="宋体"/>
          <w:b/>
          <w:color w:val="auto"/>
          <w:sz w:val="28"/>
          <w:szCs w:val="28"/>
          <w:highlight w:val="none"/>
        </w:rPr>
        <w:t>资金来源、预算金额及最高限价：</w:t>
      </w:r>
      <w:r>
        <w:rPr>
          <w:rFonts w:hint="eastAsia" w:ascii="宋体" w:hAnsi="宋体"/>
          <w:color w:val="auto"/>
          <w:sz w:val="28"/>
          <w:szCs w:val="28"/>
          <w:highlight w:val="none"/>
        </w:rPr>
        <w:t>财政性资金，政府采购实施计划备案表号：（2021）</w:t>
      </w:r>
      <w:r>
        <w:rPr>
          <w:rFonts w:hint="eastAsia" w:ascii="宋体" w:hAnsi="宋体"/>
          <w:b w:val="0"/>
          <w:bCs/>
          <w:sz w:val="28"/>
          <w:szCs w:val="28"/>
          <w:lang w:val="en-US" w:eastAsia="zh-CN"/>
        </w:rPr>
        <w:t>1138</w:t>
      </w:r>
      <w:r>
        <w:rPr>
          <w:rFonts w:hint="eastAsia" w:ascii="宋体" w:hAnsi="宋体"/>
          <w:color w:val="auto"/>
          <w:sz w:val="28"/>
          <w:szCs w:val="28"/>
          <w:highlight w:val="none"/>
        </w:rPr>
        <w:t>号；预算品目：B0899；预算金额：</w:t>
      </w:r>
      <w:r>
        <w:rPr>
          <w:rFonts w:hint="eastAsia" w:ascii="宋体" w:hAnsi="宋体"/>
          <w:color w:val="auto"/>
          <w:sz w:val="28"/>
          <w:szCs w:val="28"/>
          <w:highlight w:val="none"/>
          <w:lang w:eastAsia="zh-CN"/>
        </w:rPr>
        <w:t>302.6456</w:t>
      </w:r>
      <w:r>
        <w:rPr>
          <w:rFonts w:hint="eastAsia" w:ascii="宋体" w:hAnsi="宋体"/>
          <w:color w:val="auto"/>
          <w:sz w:val="28"/>
          <w:szCs w:val="28"/>
          <w:highlight w:val="none"/>
        </w:rPr>
        <w:t>万元，最高限价（控制价）：</w:t>
      </w:r>
      <w:r>
        <w:rPr>
          <w:rFonts w:hint="eastAsia" w:ascii="宋体" w:hAnsi="宋体"/>
          <w:color w:val="auto"/>
          <w:sz w:val="28"/>
          <w:szCs w:val="28"/>
          <w:highlight w:val="none"/>
          <w:lang w:eastAsia="zh-CN"/>
        </w:rPr>
        <w:t>302.6456</w:t>
      </w:r>
      <w:r>
        <w:rPr>
          <w:rFonts w:hint="eastAsia" w:ascii="宋体" w:hAnsi="宋体"/>
          <w:color w:val="auto"/>
          <w:sz w:val="28"/>
          <w:szCs w:val="28"/>
          <w:highlight w:val="none"/>
        </w:rPr>
        <w:t>万元；采购标的及所属行业：</w:t>
      </w:r>
      <w:r>
        <w:rPr>
          <w:rFonts w:hint="eastAsia" w:ascii="宋体" w:hAnsi="宋体"/>
          <w:color w:val="auto"/>
          <w:sz w:val="28"/>
          <w:szCs w:val="28"/>
          <w:highlight w:val="none"/>
          <w:lang w:eastAsia="zh-CN"/>
        </w:rPr>
        <w:t>成都高新区合作街道办事处</w:t>
      </w:r>
      <w:r>
        <w:rPr>
          <w:rFonts w:hint="eastAsia" w:ascii="宋体" w:hAnsi="宋体"/>
          <w:color w:val="auto"/>
          <w:sz w:val="28"/>
          <w:szCs w:val="28"/>
          <w:highlight w:val="none"/>
        </w:rPr>
        <w:t>社区公园康养中心装修工程，所属行业为建筑业。采购</w:t>
      </w:r>
      <w:r>
        <w:rPr>
          <w:rFonts w:hint="eastAsia" w:ascii="宋体" w:hAnsi="宋体"/>
          <w:color w:val="auto"/>
          <w:sz w:val="28"/>
          <w:szCs w:val="28"/>
          <w:highlight w:val="none"/>
          <w:lang w:eastAsia="zh-CN"/>
        </w:rPr>
        <w:t>成都高新区合作街道办事处</w:t>
      </w:r>
      <w:r>
        <w:rPr>
          <w:rFonts w:hint="eastAsia" w:ascii="宋体" w:hAnsi="宋体"/>
          <w:color w:val="auto"/>
          <w:sz w:val="28"/>
          <w:szCs w:val="28"/>
          <w:highlight w:val="none"/>
        </w:rPr>
        <w:t>社区公园康养中心装修工程采购项目供应商一名。</w:t>
      </w:r>
    </w:p>
    <w:p>
      <w:pPr>
        <w:numPr>
          <w:ilvl w:val="0"/>
          <w:numId w:val="2"/>
        </w:numPr>
        <w:spacing w:line="600" w:lineRule="exact"/>
        <w:ind w:left="0" w:firstLine="567"/>
        <w:jc w:val="both"/>
        <w:rPr>
          <w:rFonts w:ascii="宋体" w:hAnsi="宋体"/>
          <w:b/>
          <w:color w:val="auto"/>
          <w:sz w:val="28"/>
          <w:szCs w:val="28"/>
          <w:highlight w:val="none"/>
        </w:rPr>
      </w:pPr>
      <w:r>
        <w:rPr>
          <w:rFonts w:hint="eastAsia" w:ascii="宋体" w:hAnsi="宋体"/>
          <w:b/>
          <w:color w:val="auto"/>
          <w:sz w:val="28"/>
          <w:szCs w:val="28"/>
          <w:highlight w:val="none"/>
        </w:rPr>
        <w:t>采购项目简介：</w:t>
      </w:r>
    </w:p>
    <w:p>
      <w:pPr>
        <w:spacing w:line="600" w:lineRule="exact"/>
        <w:ind w:firstLine="560" w:firstLineChars="200"/>
        <w:rPr>
          <w:rFonts w:ascii="宋体" w:hAnsi="宋体"/>
          <w:bCs/>
          <w:color w:val="auto"/>
          <w:sz w:val="28"/>
          <w:szCs w:val="28"/>
          <w:highlight w:val="none"/>
        </w:rPr>
      </w:pPr>
      <w:r>
        <w:rPr>
          <w:rFonts w:hint="eastAsia" w:ascii="宋体" w:hAnsi="宋体"/>
          <w:bCs/>
          <w:color w:val="auto"/>
          <w:sz w:val="28"/>
          <w:szCs w:val="28"/>
          <w:highlight w:val="none"/>
        </w:rPr>
        <w:t>（一）工程</w:t>
      </w:r>
      <w:r>
        <w:rPr>
          <w:rFonts w:hint="eastAsia" w:ascii="宋体" w:hAnsi="宋体"/>
          <w:bCs/>
          <w:sz w:val="28"/>
          <w:szCs w:val="28"/>
          <w:lang w:val="en-US" w:eastAsia="zh-CN"/>
        </w:rPr>
        <w:t>规模及</w:t>
      </w:r>
      <w:r>
        <w:rPr>
          <w:rFonts w:hint="eastAsia" w:ascii="宋体" w:hAnsi="宋体"/>
          <w:bCs/>
          <w:color w:val="auto"/>
          <w:sz w:val="28"/>
          <w:szCs w:val="28"/>
          <w:highlight w:val="none"/>
        </w:rPr>
        <w:t xml:space="preserve">内容: </w:t>
      </w:r>
      <w:r>
        <w:rPr>
          <w:rFonts w:hint="eastAsia" w:ascii="宋体" w:hAnsi="宋体"/>
          <w:bCs/>
          <w:sz w:val="28"/>
          <w:szCs w:val="28"/>
        </w:rPr>
        <w:t>本工程为社区公园康养中心改造</w:t>
      </w:r>
      <w:r>
        <w:rPr>
          <w:rFonts w:hint="eastAsia" w:ascii="宋体" w:hAnsi="宋体"/>
          <w:bCs/>
          <w:sz w:val="28"/>
          <w:szCs w:val="28"/>
          <w:lang w:eastAsia="zh-CN"/>
        </w:rPr>
        <w:t>，</w:t>
      </w:r>
      <w:r>
        <w:rPr>
          <w:rFonts w:hint="eastAsia" w:ascii="宋体" w:hAnsi="宋体"/>
          <w:bCs/>
          <w:sz w:val="28"/>
          <w:szCs w:val="28"/>
        </w:rPr>
        <w:t>包括装修、道路绿化、围墙范围内的地面、墙面、天棚、安装工程、道路、铺贴、绿化工程等；具体详见工程量清单、施工图纸、施工界面技术标准等</w:t>
      </w:r>
      <w:r>
        <w:rPr>
          <w:rFonts w:hint="eastAsia" w:ascii="宋体" w:hAnsi="宋体"/>
          <w:bCs/>
          <w:color w:val="auto"/>
          <w:sz w:val="28"/>
          <w:szCs w:val="28"/>
          <w:highlight w:val="none"/>
        </w:rPr>
        <w:t>。</w:t>
      </w:r>
    </w:p>
    <w:p>
      <w:pPr>
        <w:spacing w:line="600" w:lineRule="exact"/>
        <w:ind w:firstLine="560" w:firstLineChars="200"/>
        <w:rPr>
          <w:rFonts w:ascii="宋体" w:hAnsi="宋体"/>
          <w:bCs/>
          <w:color w:val="auto"/>
          <w:sz w:val="28"/>
          <w:szCs w:val="28"/>
          <w:highlight w:val="none"/>
        </w:rPr>
      </w:pPr>
      <w:r>
        <w:rPr>
          <w:rFonts w:hint="eastAsia" w:ascii="宋体" w:hAnsi="宋体"/>
          <w:bCs/>
          <w:color w:val="auto"/>
          <w:sz w:val="28"/>
          <w:szCs w:val="28"/>
          <w:highlight w:val="none"/>
        </w:rPr>
        <w:t>（二）工程地址：合作街道顺江小区。</w:t>
      </w:r>
    </w:p>
    <w:p>
      <w:pPr>
        <w:tabs>
          <w:tab w:val="left" w:pos="851"/>
        </w:tabs>
        <w:spacing w:line="600" w:lineRule="exact"/>
        <w:ind w:firstLine="560" w:firstLineChars="200"/>
        <w:rPr>
          <w:rFonts w:ascii="宋体" w:hAnsi="宋体"/>
          <w:color w:val="auto"/>
          <w:sz w:val="28"/>
          <w:szCs w:val="28"/>
          <w:highlight w:val="none"/>
        </w:rPr>
      </w:pPr>
      <w:r>
        <w:rPr>
          <w:rFonts w:hint="eastAsia" w:ascii="宋体" w:hAnsi="宋体"/>
          <w:bCs/>
          <w:color w:val="auto"/>
          <w:sz w:val="28"/>
          <w:szCs w:val="28"/>
          <w:highlight w:val="none"/>
        </w:rPr>
        <w:t>（三）工期要求：</w:t>
      </w:r>
      <w:r>
        <w:rPr>
          <w:rFonts w:hint="eastAsia" w:ascii="宋体" w:hAnsi="宋体"/>
          <w:bCs/>
          <w:color w:val="auto"/>
          <w:sz w:val="28"/>
          <w:szCs w:val="28"/>
          <w:highlight w:val="none"/>
          <w:lang w:val="en-US" w:eastAsia="zh-CN"/>
        </w:rPr>
        <w:t>6</w:t>
      </w:r>
      <w:r>
        <w:rPr>
          <w:rFonts w:hint="eastAsia" w:ascii="宋体" w:hAnsi="宋体"/>
          <w:bCs/>
          <w:color w:val="auto"/>
          <w:sz w:val="28"/>
          <w:szCs w:val="28"/>
          <w:highlight w:val="none"/>
        </w:rPr>
        <w:t>0日历天。</w:t>
      </w:r>
    </w:p>
    <w:p>
      <w:pPr>
        <w:numPr>
          <w:ilvl w:val="0"/>
          <w:numId w:val="2"/>
        </w:numPr>
        <w:tabs>
          <w:tab w:val="left" w:pos="1134"/>
        </w:tabs>
        <w:spacing w:line="600" w:lineRule="exact"/>
        <w:ind w:left="0" w:firstLine="567"/>
        <w:jc w:val="both"/>
        <w:rPr>
          <w:rFonts w:ascii="宋体" w:hAnsi="宋体"/>
          <w:color w:val="auto"/>
          <w:sz w:val="28"/>
          <w:szCs w:val="28"/>
          <w:highlight w:val="none"/>
        </w:rPr>
      </w:pPr>
      <w:r>
        <w:rPr>
          <w:rFonts w:hint="eastAsia" w:ascii="宋体" w:hAnsi="宋体"/>
          <w:b/>
          <w:color w:val="auto"/>
          <w:sz w:val="28"/>
          <w:highlight w:val="none"/>
        </w:rPr>
        <w:t>定向采购情况：</w:t>
      </w:r>
      <w:r>
        <w:rPr>
          <w:rFonts w:hint="eastAsia" w:ascii="宋体" w:hAnsi="宋体"/>
          <w:color w:val="auto"/>
          <w:sz w:val="28"/>
          <w:highlight w:val="none"/>
        </w:rPr>
        <w:t>本项目专门面向中小企业采购。</w:t>
      </w:r>
    </w:p>
    <w:p>
      <w:pPr>
        <w:numPr>
          <w:ilvl w:val="0"/>
          <w:numId w:val="2"/>
        </w:numPr>
        <w:tabs>
          <w:tab w:val="left" w:pos="5949"/>
        </w:tabs>
        <w:spacing w:line="600" w:lineRule="exact"/>
        <w:ind w:left="0" w:firstLine="567"/>
        <w:jc w:val="both"/>
        <w:rPr>
          <w:rFonts w:ascii="宋体" w:hAnsi="宋体"/>
          <w:color w:val="auto"/>
          <w:sz w:val="28"/>
          <w:highlight w:val="none"/>
        </w:rPr>
      </w:pPr>
      <w:r>
        <w:rPr>
          <w:rFonts w:hint="eastAsia" w:ascii="宋体" w:hAnsi="宋体"/>
          <w:b/>
          <w:bCs/>
          <w:color w:val="auto"/>
          <w:sz w:val="28"/>
          <w:szCs w:val="28"/>
          <w:highlight w:val="none"/>
        </w:rPr>
        <w:t>邀请供应商：</w:t>
      </w:r>
      <w:r>
        <w:rPr>
          <w:rFonts w:hint="eastAsia" w:ascii="宋体" w:hAnsi="宋体"/>
          <w:color w:val="auto"/>
          <w:sz w:val="28"/>
          <w:highlight w:val="none"/>
        </w:rPr>
        <w:t>本次竞争性磋商在四川政府采购网上以公告形式发布，本项目已实行资格预审，邀请通过资格</w:t>
      </w:r>
      <w:r>
        <w:rPr>
          <w:rFonts w:ascii="宋体" w:hAnsi="宋体"/>
          <w:color w:val="auto"/>
          <w:sz w:val="28"/>
          <w:highlight w:val="none"/>
        </w:rPr>
        <w:t>预审随机抽</w:t>
      </w:r>
      <w:r>
        <w:rPr>
          <w:rFonts w:hint="eastAsia" w:ascii="宋体" w:hAnsi="宋体"/>
          <w:color w:val="auto"/>
          <w:sz w:val="28"/>
          <w:highlight w:val="none"/>
        </w:rPr>
        <w:t>签系统</w:t>
      </w:r>
      <w:r>
        <w:rPr>
          <w:rFonts w:ascii="宋体" w:hAnsi="宋体"/>
          <w:color w:val="auto"/>
          <w:sz w:val="28"/>
          <w:highlight w:val="none"/>
        </w:rPr>
        <w:t>随机抽取</w:t>
      </w:r>
      <w:r>
        <w:rPr>
          <w:rFonts w:hint="eastAsia" w:ascii="宋体" w:hAnsi="宋体"/>
          <w:color w:val="auto"/>
          <w:sz w:val="28"/>
          <w:highlight w:val="none"/>
        </w:rPr>
        <w:t>选中的6家进入磋商环节</w:t>
      </w:r>
      <w:r>
        <w:rPr>
          <w:rFonts w:ascii="宋体" w:hAnsi="宋体"/>
          <w:color w:val="auto"/>
          <w:sz w:val="28"/>
          <w:highlight w:val="none"/>
        </w:rPr>
        <w:t>的供应商参加本项目的竞争性磋商</w:t>
      </w:r>
      <w:r>
        <w:rPr>
          <w:rFonts w:hint="eastAsia" w:ascii="宋体" w:hAnsi="宋体"/>
          <w:color w:val="auto"/>
          <w:sz w:val="28"/>
          <w:highlight w:val="none"/>
          <w:lang w:eastAsia="zh-CN"/>
        </w:rPr>
        <w:t>，如通过资格预审供应商数量少于拟抽取供应商数量，但不少于三家则向全部通过资格预审供应商发出竞争性磋商邀请</w:t>
      </w:r>
      <w:r>
        <w:rPr>
          <w:rFonts w:hint="eastAsia" w:ascii="宋体" w:hAnsi="宋体"/>
          <w:color w:val="auto"/>
          <w:sz w:val="28"/>
          <w:highlight w:val="none"/>
        </w:rPr>
        <w:t>。</w:t>
      </w:r>
    </w:p>
    <w:p>
      <w:pPr>
        <w:numPr>
          <w:ilvl w:val="0"/>
          <w:numId w:val="2"/>
        </w:numPr>
        <w:spacing w:line="600" w:lineRule="exact"/>
        <w:ind w:left="0" w:firstLine="567"/>
        <w:jc w:val="both"/>
        <w:rPr>
          <w:rFonts w:ascii="宋体" w:hAnsi="宋体"/>
          <w:b/>
          <w:color w:val="auto"/>
          <w:sz w:val="28"/>
          <w:szCs w:val="28"/>
          <w:highlight w:val="none"/>
        </w:rPr>
      </w:pPr>
      <w:r>
        <w:rPr>
          <w:rFonts w:hint="eastAsia" w:ascii="宋体" w:hAnsi="宋体"/>
          <w:b/>
          <w:color w:val="auto"/>
          <w:sz w:val="28"/>
          <w:szCs w:val="28"/>
          <w:highlight w:val="none"/>
        </w:rPr>
        <w:t>供应商参加本次政府采购活动应具备的条件</w:t>
      </w:r>
    </w:p>
    <w:p>
      <w:pPr>
        <w:widowControl w:val="0"/>
        <w:numPr>
          <w:ilvl w:val="0"/>
          <w:numId w:val="3"/>
        </w:numPr>
        <w:tabs>
          <w:tab w:val="left" w:pos="0"/>
          <w:tab w:val="left" w:pos="851"/>
          <w:tab w:val="left" w:pos="960"/>
          <w:tab w:val="left" w:pos="1276"/>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符合《政府采购法》第二十二条第一款规定的条件；</w:t>
      </w:r>
    </w:p>
    <w:p>
      <w:pPr>
        <w:widowControl w:val="0"/>
        <w:numPr>
          <w:ilvl w:val="0"/>
          <w:numId w:val="3"/>
        </w:numPr>
        <w:tabs>
          <w:tab w:val="left" w:pos="0"/>
          <w:tab w:val="left" w:pos="851"/>
          <w:tab w:val="left" w:pos="960"/>
          <w:tab w:val="left" w:pos="1276"/>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未处于被行政部门禁止参与政府采购活动的期限内；</w:t>
      </w:r>
    </w:p>
    <w:p>
      <w:pPr>
        <w:widowControl w:val="0"/>
        <w:numPr>
          <w:ilvl w:val="0"/>
          <w:numId w:val="3"/>
        </w:numPr>
        <w:tabs>
          <w:tab w:val="left" w:pos="0"/>
          <w:tab w:val="left" w:pos="851"/>
          <w:tab w:val="left" w:pos="960"/>
          <w:tab w:val="left" w:pos="1276"/>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未被列入失信被执行人、重大税收违法案件当事人名单、政府采购严重违法失信行为记录名单；</w:t>
      </w:r>
    </w:p>
    <w:p>
      <w:pPr>
        <w:widowControl w:val="0"/>
        <w:numPr>
          <w:ilvl w:val="0"/>
          <w:numId w:val="3"/>
        </w:numPr>
        <w:tabs>
          <w:tab w:val="left" w:pos="0"/>
          <w:tab w:val="left" w:pos="851"/>
          <w:tab w:val="left" w:pos="960"/>
          <w:tab w:val="left" w:pos="1276"/>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在行贿犯罪信息查询期限内，供应商及其现任法定代表人、主要负责人没有行贿犯罪记录；</w:t>
      </w:r>
    </w:p>
    <w:p>
      <w:pPr>
        <w:widowControl w:val="0"/>
        <w:numPr>
          <w:ilvl w:val="0"/>
          <w:numId w:val="3"/>
        </w:numPr>
        <w:tabs>
          <w:tab w:val="left" w:pos="0"/>
          <w:tab w:val="left" w:pos="851"/>
          <w:tab w:val="left" w:pos="960"/>
          <w:tab w:val="left" w:pos="1276"/>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不</w:t>
      </w:r>
      <w:r>
        <w:rPr>
          <w:rFonts w:ascii="宋体" w:hAnsi="宋体"/>
          <w:color w:val="auto"/>
          <w:sz w:val="28"/>
          <w:szCs w:val="28"/>
          <w:highlight w:val="none"/>
        </w:rPr>
        <w:t>属于</w:t>
      </w:r>
      <w:r>
        <w:rPr>
          <w:rFonts w:hint="eastAsia" w:ascii="宋体" w:hAnsi="宋体"/>
          <w:color w:val="auto"/>
          <w:sz w:val="28"/>
          <w:szCs w:val="28"/>
          <w:highlight w:val="none"/>
        </w:rPr>
        <w:t>其他</w:t>
      </w:r>
      <w:r>
        <w:rPr>
          <w:rFonts w:ascii="宋体" w:hAnsi="宋体"/>
          <w:color w:val="auto"/>
          <w:sz w:val="28"/>
          <w:szCs w:val="28"/>
          <w:highlight w:val="none"/>
        </w:rPr>
        <w:t>国家相关法律法规规定的</w:t>
      </w:r>
      <w:r>
        <w:rPr>
          <w:rFonts w:hint="eastAsia" w:ascii="宋体" w:hAnsi="宋体"/>
          <w:color w:val="auto"/>
          <w:sz w:val="28"/>
          <w:szCs w:val="28"/>
          <w:highlight w:val="none"/>
        </w:rPr>
        <w:t>禁止参加资格预审的供应商；</w:t>
      </w:r>
    </w:p>
    <w:p>
      <w:pPr>
        <w:widowControl w:val="0"/>
        <w:numPr>
          <w:ilvl w:val="0"/>
          <w:numId w:val="3"/>
        </w:numPr>
        <w:tabs>
          <w:tab w:val="left" w:pos="0"/>
          <w:tab w:val="left" w:pos="851"/>
          <w:tab w:val="left" w:pos="960"/>
          <w:tab w:val="left" w:pos="1276"/>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在中华人民共和国境内依法登记注册，并有效存续具有独立法人资格的供应商；</w:t>
      </w:r>
    </w:p>
    <w:p>
      <w:pPr>
        <w:widowControl w:val="0"/>
        <w:numPr>
          <w:ilvl w:val="0"/>
          <w:numId w:val="3"/>
        </w:numPr>
        <w:tabs>
          <w:tab w:val="left" w:pos="0"/>
          <w:tab w:val="left" w:pos="851"/>
          <w:tab w:val="left" w:pos="960"/>
          <w:tab w:val="left" w:pos="1276"/>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本项目为专门面向中小企业采购项目，供应商应为中型或小型或微型企业（说明：供应商为监狱企业、残疾人福利性单位的视同小型、微型企业）；</w:t>
      </w:r>
    </w:p>
    <w:p>
      <w:pPr>
        <w:widowControl w:val="0"/>
        <w:numPr>
          <w:ilvl w:val="0"/>
          <w:numId w:val="3"/>
        </w:numPr>
        <w:tabs>
          <w:tab w:val="left" w:pos="0"/>
          <w:tab w:val="left" w:pos="851"/>
          <w:tab w:val="left" w:pos="960"/>
          <w:tab w:val="left" w:pos="1276"/>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本次政府采购活动不接受供应商以联合体的形式参加磋商。</w:t>
      </w:r>
    </w:p>
    <w:p>
      <w:pPr>
        <w:widowControl w:val="0"/>
        <w:numPr>
          <w:ilvl w:val="0"/>
          <w:numId w:val="3"/>
        </w:numPr>
        <w:tabs>
          <w:tab w:val="left" w:pos="0"/>
          <w:tab w:val="left" w:pos="851"/>
          <w:tab w:val="left" w:pos="960"/>
          <w:tab w:val="left" w:pos="1276"/>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本项目特定资格条件：</w:t>
      </w:r>
    </w:p>
    <w:p>
      <w:pPr>
        <w:pStyle w:val="80"/>
        <w:numPr>
          <w:ilvl w:val="0"/>
          <w:numId w:val="4"/>
        </w:numPr>
        <w:tabs>
          <w:tab w:val="left" w:pos="993"/>
          <w:tab w:val="left" w:pos="1134"/>
        </w:tabs>
        <w:spacing w:line="600" w:lineRule="exact"/>
        <w:ind w:left="0" w:firstLine="567" w:firstLineChars="0"/>
        <w:rPr>
          <w:rFonts w:ascii="宋体" w:hAnsi="宋体" w:eastAsia="宋体" w:cs="Times New Roman"/>
          <w:color w:val="auto"/>
          <w:sz w:val="28"/>
          <w:szCs w:val="28"/>
          <w:highlight w:val="none"/>
        </w:rPr>
      </w:pPr>
      <w:r>
        <w:rPr>
          <w:rFonts w:hint="eastAsia" w:ascii="宋体" w:hAnsi="宋体" w:eastAsia="宋体" w:cs="Times New Roman"/>
          <w:color w:val="auto"/>
          <w:sz w:val="28"/>
          <w:szCs w:val="28"/>
          <w:highlight w:val="none"/>
        </w:rPr>
        <w:t>具备在有效期内建设行政主管部门颁发的建筑工程施工总承包三级及以上或</w:t>
      </w:r>
      <w:r>
        <w:rPr>
          <w:color w:val="auto"/>
          <w:highlight w:val="none"/>
        </w:rPr>
        <w:fldChar w:fldCharType="begin"/>
      </w:r>
      <w:r>
        <w:rPr>
          <w:color w:val="auto"/>
          <w:highlight w:val="none"/>
        </w:rPr>
        <w:instrText xml:space="preserve"> HYPERLINK "https://baike.baidu.com/item/%E5%BB%BA%E7%AD%91%E8%A3%85%E9%A5%B0%E8%A3%85%E4%BF%AE" \t "https://baike.baidu.com/item/%E5%BB%BA%E7%AD%91%E8%A3%85%E9%A5%B0%E8%A3%85%E4%BF%AE%E5%B7%A5%E7%A8%8B%E4%B8%93%E4%B8%9A%E6%89%BF%E5%8C%85%E4%BC%81%E4%B8%9A%E8%B5%84%E8%B4%A8%E7%AD%89%E7%BA%A7%E6%A0%87%E5%87%86/_blank" </w:instrText>
      </w:r>
      <w:r>
        <w:rPr>
          <w:color w:val="auto"/>
          <w:highlight w:val="none"/>
        </w:rPr>
        <w:fldChar w:fldCharType="separate"/>
      </w:r>
      <w:r>
        <w:rPr>
          <w:rFonts w:hint="eastAsia" w:ascii="宋体" w:hAnsi="宋体" w:eastAsia="宋体" w:cs="Times New Roman"/>
          <w:color w:val="auto"/>
          <w:sz w:val="28"/>
          <w:szCs w:val="28"/>
          <w:highlight w:val="none"/>
        </w:rPr>
        <w:t>建筑装饰装修</w:t>
      </w:r>
      <w:r>
        <w:rPr>
          <w:rFonts w:hint="eastAsia" w:ascii="宋体" w:hAnsi="宋体" w:eastAsia="宋体" w:cs="Times New Roman"/>
          <w:color w:val="auto"/>
          <w:sz w:val="28"/>
          <w:szCs w:val="28"/>
          <w:highlight w:val="none"/>
        </w:rPr>
        <w:fldChar w:fldCharType="end"/>
      </w:r>
      <w:r>
        <w:rPr>
          <w:rFonts w:hint="eastAsia" w:ascii="宋体" w:hAnsi="宋体" w:eastAsia="宋体" w:cs="Times New Roman"/>
          <w:color w:val="auto"/>
          <w:sz w:val="28"/>
          <w:szCs w:val="28"/>
          <w:highlight w:val="none"/>
        </w:rPr>
        <w:t>工程专业承包二级及以上资质；</w:t>
      </w:r>
    </w:p>
    <w:p>
      <w:pPr>
        <w:pStyle w:val="80"/>
        <w:numPr>
          <w:ilvl w:val="0"/>
          <w:numId w:val="4"/>
        </w:numPr>
        <w:tabs>
          <w:tab w:val="left" w:pos="993"/>
          <w:tab w:val="left" w:pos="1134"/>
        </w:tabs>
        <w:spacing w:line="600" w:lineRule="exact"/>
        <w:ind w:left="0" w:firstLine="567" w:firstLineChars="0"/>
        <w:rPr>
          <w:rFonts w:ascii="宋体" w:hAnsi="宋体" w:eastAsia="宋体" w:cs="Times New Roman"/>
          <w:color w:val="auto"/>
          <w:sz w:val="28"/>
          <w:szCs w:val="28"/>
          <w:highlight w:val="none"/>
        </w:rPr>
      </w:pPr>
      <w:r>
        <w:rPr>
          <w:rFonts w:hint="eastAsia" w:ascii="宋体" w:hAnsi="宋体" w:eastAsia="宋体" w:cs="Times New Roman"/>
          <w:color w:val="auto"/>
          <w:sz w:val="28"/>
          <w:szCs w:val="28"/>
          <w:highlight w:val="none"/>
        </w:rPr>
        <w:t>供应商为省外注册企业应具有有效的《四川省省外建筑企业入川承揽业务验证登记证》或带二维码的《四川省省外施工、发包入川承揽业务信息录入证》或带二维码的《四川省省外建筑企业入川信息电子登记表》；</w:t>
      </w:r>
    </w:p>
    <w:p>
      <w:pPr>
        <w:pStyle w:val="80"/>
        <w:numPr>
          <w:ilvl w:val="0"/>
          <w:numId w:val="4"/>
        </w:numPr>
        <w:tabs>
          <w:tab w:val="left" w:pos="993"/>
          <w:tab w:val="left" w:pos="1134"/>
        </w:tabs>
        <w:spacing w:line="600" w:lineRule="exact"/>
        <w:ind w:left="0" w:firstLine="567" w:firstLineChars="0"/>
        <w:rPr>
          <w:rFonts w:ascii="宋体" w:hAnsi="宋体" w:eastAsia="宋体" w:cs="Times New Roman"/>
          <w:color w:val="auto"/>
          <w:sz w:val="28"/>
          <w:szCs w:val="28"/>
          <w:highlight w:val="none"/>
        </w:rPr>
      </w:pPr>
      <w:r>
        <w:rPr>
          <w:rFonts w:hint="eastAsia" w:ascii="宋体" w:hAnsi="宋体" w:eastAsia="宋体" w:cs="Times New Roman"/>
          <w:color w:val="auto"/>
          <w:sz w:val="28"/>
          <w:szCs w:val="28"/>
          <w:highlight w:val="none"/>
        </w:rPr>
        <w:t>具备有效的安全生产许可证；</w:t>
      </w:r>
    </w:p>
    <w:p>
      <w:pPr>
        <w:pStyle w:val="80"/>
        <w:numPr>
          <w:ilvl w:val="0"/>
          <w:numId w:val="4"/>
        </w:numPr>
        <w:tabs>
          <w:tab w:val="left" w:pos="993"/>
          <w:tab w:val="left" w:pos="1134"/>
        </w:tabs>
        <w:spacing w:line="600" w:lineRule="exact"/>
        <w:ind w:left="0" w:firstLine="567" w:firstLineChars="0"/>
        <w:rPr>
          <w:rFonts w:ascii="宋体" w:hAnsi="宋体" w:eastAsia="宋体" w:cs="Times New Roman"/>
          <w:color w:val="auto"/>
          <w:sz w:val="28"/>
          <w:szCs w:val="28"/>
          <w:highlight w:val="none"/>
        </w:rPr>
      </w:pPr>
      <w:r>
        <w:rPr>
          <w:rFonts w:hint="eastAsia" w:ascii="宋体" w:hAnsi="宋体" w:eastAsia="宋体" w:cs="Times New Roman"/>
          <w:color w:val="auto"/>
          <w:sz w:val="28"/>
          <w:szCs w:val="28"/>
          <w:highlight w:val="none"/>
        </w:rPr>
        <w:t>供应商为本项目配备的项目经理应具备建筑工程专业二级及以上建造师执业资格；</w:t>
      </w:r>
    </w:p>
    <w:p>
      <w:pPr>
        <w:pStyle w:val="80"/>
        <w:numPr>
          <w:ilvl w:val="0"/>
          <w:numId w:val="4"/>
        </w:numPr>
        <w:tabs>
          <w:tab w:val="left" w:pos="993"/>
          <w:tab w:val="left" w:pos="1134"/>
        </w:tabs>
        <w:spacing w:line="600" w:lineRule="exact"/>
        <w:ind w:left="0" w:firstLine="567" w:firstLineChars="0"/>
        <w:rPr>
          <w:rFonts w:ascii="宋体" w:hAnsi="宋体" w:eastAsia="宋体" w:cs="Times New Roman"/>
          <w:color w:val="auto"/>
          <w:sz w:val="28"/>
          <w:szCs w:val="28"/>
          <w:highlight w:val="none"/>
        </w:rPr>
      </w:pPr>
      <w:r>
        <w:rPr>
          <w:rFonts w:hint="eastAsia" w:ascii="宋体" w:hAnsi="宋体" w:eastAsia="宋体" w:cs="Times New Roman"/>
          <w:color w:val="auto"/>
          <w:sz w:val="28"/>
          <w:szCs w:val="28"/>
          <w:highlight w:val="none"/>
        </w:rPr>
        <w:t>供应商为本项目配备的项目经理应具备有效的安全生产考核合格证书（B证）</w:t>
      </w:r>
    </w:p>
    <w:p>
      <w:pPr>
        <w:pStyle w:val="80"/>
        <w:numPr>
          <w:ilvl w:val="0"/>
          <w:numId w:val="4"/>
        </w:numPr>
        <w:tabs>
          <w:tab w:val="left" w:pos="993"/>
          <w:tab w:val="left" w:pos="1134"/>
        </w:tabs>
        <w:spacing w:line="600" w:lineRule="exact"/>
        <w:ind w:left="0" w:firstLine="567" w:firstLineChars="0"/>
        <w:rPr>
          <w:rFonts w:ascii="宋体" w:hAnsi="宋体" w:eastAsia="宋体" w:cs="Times New Roman"/>
          <w:color w:val="auto"/>
          <w:sz w:val="28"/>
          <w:szCs w:val="28"/>
          <w:highlight w:val="none"/>
        </w:rPr>
      </w:pPr>
      <w:r>
        <w:rPr>
          <w:rFonts w:hint="eastAsia" w:ascii="宋体" w:hAnsi="宋体" w:eastAsia="宋体" w:cs="Times New Roman"/>
          <w:color w:val="auto"/>
          <w:sz w:val="28"/>
          <w:szCs w:val="28"/>
          <w:highlight w:val="none"/>
        </w:rPr>
        <w:t>供应商为本项目配备的项目技术负责人应具备建筑工程专业中级及以上职称。</w:t>
      </w:r>
    </w:p>
    <w:p>
      <w:pPr>
        <w:tabs>
          <w:tab w:val="left" w:pos="5949"/>
        </w:tabs>
        <w:spacing w:line="600" w:lineRule="exact"/>
        <w:ind w:firstLine="568" w:firstLineChars="202"/>
        <w:rPr>
          <w:rFonts w:ascii="宋体" w:hAnsi="宋体"/>
          <w:b/>
          <w:color w:val="auto"/>
          <w:sz w:val="28"/>
          <w:highlight w:val="none"/>
        </w:rPr>
      </w:pPr>
      <w:r>
        <w:rPr>
          <w:rFonts w:hint="eastAsia" w:ascii="宋体" w:hAnsi="宋体"/>
          <w:b/>
          <w:color w:val="auto"/>
          <w:sz w:val="28"/>
          <w:highlight w:val="none"/>
        </w:rPr>
        <w:t>（</w:t>
      </w:r>
      <w:r>
        <w:rPr>
          <w:rFonts w:ascii="宋体" w:hAnsi="宋体"/>
          <w:b/>
          <w:color w:val="auto"/>
          <w:sz w:val="28"/>
          <w:highlight w:val="none"/>
        </w:rPr>
        <w:t>本项目已进行资格预审，供应商</w:t>
      </w:r>
      <w:r>
        <w:rPr>
          <w:rFonts w:hint="eastAsia" w:ascii="宋体" w:hAnsi="宋体"/>
          <w:b/>
          <w:color w:val="auto"/>
          <w:sz w:val="28"/>
          <w:highlight w:val="none"/>
        </w:rPr>
        <w:t>资格条件无变化的不须提供</w:t>
      </w:r>
      <w:r>
        <w:rPr>
          <w:rFonts w:ascii="宋体" w:hAnsi="宋体"/>
          <w:b/>
          <w:color w:val="auto"/>
          <w:sz w:val="28"/>
          <w:highlight w:val="none"/>
        </w:rPr>
        <w:t>资格性响应文件</w:t>
      </w:r>
      <w:r>
        <w:rPr>
          <w:rFonts w:hint="eastAsia" w:ascii="宋体" w:hAnsi="宋体"/>
          <w:b/>
          <w:color w:val="auto"/>
          <w:sz w:val="28"/>
          <w:highlight w:val="none"/>
        </w:rPr>
        <w:t>，资格预审合格的供应商在评审阶段资格发生变化的，应当通知</w:t>
      </w:r>
      <w:r>
        <w:rPr>
          <w:color w:val="auto"/>
          <w:highlight w:val="none"/>
        </w:rPr>
        <w:fldChar w:fldCharType="begin"/>
      </w:r>
      <w:r>
        <w:rPr>
          <w:color w:val="auto"/>
          <w:highlight w:val="none"/>
        </w:rPr>
        <w:instrText xml:space="preserve"> HYPERLINK "http://www.caigou2003.com/cgr/" \t "_blank" </w:instrText>
      </w:r>
      <w:r>
        <w:rPr>
          <w:color w:val="auto"/>
          <w:highlight w:val="none"/>
        </w:rPr>
        <w:fldChar w:fldCharType="separate"/>
      </w:r>
      <w:r>
        <w:rPr>
          <w:rFonts w:hint="eastAsia" w:ascii="宋体" w:hAnsi="宋体"/>
          <w:b/>
          <w:color w:val="auto"/>
          <w:sz w:val="28"/>
          <w:highlight w:val="none"/>
        </w:rPr>
        <w:t>采购人</w:t>
      </w:r>
      <w:r>
        <w:rPr>
          <w:rFonts w:hint="eastAsia" w:ascii="宋体" w:hAnsi="宋体"/>
          <w:b/>
          <w:color w:val="auto"/>
          <w:sz w:val="28"/>
          <w:highlight w:val="none"/>
        </w:rPr>
        <w:fldChar w:fldCharType="end"/>
      </w:r>
      <w:r>
        <w:rPr>
          <w:rFonts w:hint="eastAsia" w:ascii="宋体" w:hAnsi="宋体"/>
          <w:b/>
          <w:color w:val="auto"/>
          <w:sz w:val="28"/>
          <w:highlight w:val="none"/>
        </w:rPr>
        <w:t>和采购代理机构）</w:t>
      </w:r>
    </w:p>
    <w:p>
      <w:pPr>
        <w:numPr>
          <w:ilvl w:val="0"/>
          <w:numId w:val="2"/>
        </w:numPr>
        <w:spacing w:line="600" w:lineRule="exact"/>
        <w:ind w:left="0" w:firstLine="567"/>
        <w:jc w:val="both"/>
        <w:rPr>
          <w:rFonts w:ascii="宋体" w:hAnsi="宋体"/>
          <w:b/>
          <w:color w:val="auto"/>
          <w:sz w:val="28"/>
          <w:szCs w:val="28"/>
          <w:highlight w:val="none"/>
        </w:rPr>
      </w:pPr>
      <w:r>
        <w:rPr>
          <w:rFonts w:hint="eastAsia" w:ascii="宋体" w:hAnsi="宋体"/>
          <w:b/>
          <w:color w:val="auto"/>
          <w:sz w:val="28"/>
          <w:szCs w:val="28"/>
          <w:highlight w:val="none"/>
        </w:rPr>
        <w:t>采购项目技术、服务、商务和报价要求</w:t>
      </w:r>
    </w:p>
    <w:p>
      <w:pPr>
        <w:numPr>
          <w:ilvl w:val="0"/>
          <w:numId w:val="5"/>
        </w:numPr>
        <w:tabs>
          <w:tab w:val="left" w:pos="851"/>
        </w:tabs>
        <w:spacing w:line="600" w:lineRule="exact"/>
        <w:rPr>
          <w:rFonts w:ascii="宋体" w:hAnsi="宋体"/>
          <w:color w:val="auto"/>
          <w:sz w:val="28"/>
          <w:szCs w:val="28"/>
          <w:highlight w:val="none"/>
        </w:rPr>
      </w:pPr>
      <w:r>
        <w:rPr>
          <w:rFonts w:hint="eastAsia" w:ascii="宋体" w:hAnsi="宋体"/>
          <w:color w:val="auto"/>
          <w:sz w:val="28"/>
          <w:szCs w:val="28"/>
          <w:highlight w:val="none"/>
        </w:rPr>
        <w:t>采购内容</w:t>
      </w:r>
    </w:p>
    <w:p>
      <w:pPr>
        <w:tabs>
          <w:tab w:val="left" w:pos="851"/>
        </w:tabs>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工程量清单所示范围及内容。具体采购内容见磋商文件 “第7章工程量清单及图纸”。</w:t>
      </w:r>
    </w:p>
    <w:p>
      <w:pPr>
        <w:numPr>
          <w:ilvl w:val="0"/>
          <w:numId w:val="5"/>
        </w:numPr>
        <w:tabs>
          <w:tab w:val="left" w:pos="851"/>
        </w:tabs>
        <w:spacing w:line="600" w:lineRule="exact"/>
        <w:rPr>
          <w:rFonts w:ascii="宋体" w:hAnsi="宋体"/>
          <w:color w:val="auto"/>
          <w:sz w:val="28"/>
          <w:szCs w:val="28"/>
          <w:highlight w:val="none"/>
        </w:rPr>
      </w:pPr>
      <w:r>
        <w:rPr>
          <w:rFonts w:hint="eastAsia" w:ascii="宋体" w:hAnsi="宋体"/>
          <w:color w:val="auto"/>
          <w:sz w:val="28"/>
          <w:szCs w:val="28"/>
          <w:highlight w:val="none"/>
        </w:rPr>
        <w:t>技术、服务要求</w:t>
      </w:r>
    </w:p>
    <w:p>
      <w:pPr>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见磋商文件 “第4章项目技术、服务、商务及其他要求”。</w:t>
      </w:r>
    </w:p>
    <w:p>
      <w:pPr>
        <w:numPr>
          <w:ilvl w:val="0"/>
          <w:numId w:val="5"/>
        </w:numPr>
        <w:tabs>
          <w:tab w:val="left" w:pos="851"/>
        </w:tabs>
        <w:spacing w:line="600" w:lineRule="exact"/>
        <w:rPr>
          <w:rFonts w:ascii="宋体" w:hAnsi="宋体"/>
          <w:color w:val="auto"/>
          <w:sz w:val="28"/>
          <w:szCs w:val="28"/>
          <w:highlight w:val="none"/>
        </w:rPr>
      </w:pPr>
      <w:r>
        <w:rPr>
          <w:rFonts w:hint="eastAsia" w:ascii="宋体" w:hAnsi="宋体"/>
          <w:color w:val="auto"/>
          <w:sz w:val="28"/>
          <w:szCs w:val="28"/>
          <w:highlight w:val="none"/>
        </w:rPr>
        <w:t>报价要求</w:t>
      </w:r>
    </w:p>
    <w:p>
      <w:pPr>
        <w:spacing w:line="600" w:lineRule="exact"/>
        <w:ind w:firstLine="562" w:firstLineChars="201"/>
        <w:rPr>
          <w:rFonts w:ascii="宋体" w:hAnsi="宋体"/>
          <w:color w:val="auto"/>
          <w:sz w:val="28"/>
          <w:szCs w:val="28"/>
          <w:highlight w:val="none"/>
        </w:rPr>
      </w:pPr>
      <w:r>
        <w:rPr>
          <w:rFonts w:hint="eastAsia" w:ascii="宋体" w:hAnsi="宋体"/>
          <w:color w:val="auto"/>
          <w:sz w:val="28"/>
          <w:szCs w:val="28"/>
          <w:highlight w:val="none"/>
        </w:rPr>
        <w:t>供应商按磋商文件要求进行报价。</w:t>
      </w:r>
    </w:p>
    <w:p>
      <w:pPr>
        <w:numPr>
          <w:ilvl w:val="0"/>
          <w:numId w:val="2"/>
        </w:numPr>
        <w:spacing w:line="600" w:lineRule="exact"/>
        <w:ind w:left="0" w:firstLine="567"/>
        <w:jc w:val="both"/>
        <w:rPr>
          <w:rFonts w:ascii="宋体" w:hAnsi="宋体"/>
          <w:color w:val="auto"/>
          <w:sz w:val="28"/>
          <w:szCs w:val="28"/>
          <w:highlight w:val="none"/>
        </w:rPr>
      </w:pPr>
      <w:r>
        <w:rPr>
          <w:rFonts w:hint="eastAsia" w:ascii="宋体" w:hAnsi="宋体"/>
          <w:b/>
          <w:color w:val="auto"/>
          <w:sz w:val="28"/>
          <w:szCs w:val="28"/>
          <w:highlight w:val="none"/>
        </w:rPr>
        <w:t>磋商文件获取时间</w:t>
      </w:r>
    </w:p>
    <w:p>
      <w:pPr>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（一）磋商文件获取时间：2021年</w:t>
      </w:r>
      <w:r>
        <w:rPr>
          <w:rFonts w:hint="eastAsia" w:ascii="宋体" w:hAnsi="宋体"/>
          <w:color w:val="auto"/>
          <w:sz w:val="28"/>
          <w:szCs w:val="28"/>
          <w:highlight w:val="none"/>
          <w:lang w:val="en-US" w:eastAsia="zh-CN"/>
        </w:rPr>
        <w:t>10</w:t>
      </w:r>
      <w:r>
        <w:rPr>
          <w:rFonts w:hint="eastAsia" w:ascii="宋体" w:hAnsi="宋体"/>
          <w:color w:val="auto"/>
          <w:sz w:val="28"/>
          <w:szCs w:val="28"/>
          <w:highlight w:val="none"/>
        </w:rPr>
        <w:t>月</w:t>
      </w:r>
      <w:r>
        <w:rPr>
          <w:rFonts w:hint="eastAsia" w:ascii="宋体" w:hAnsi="宋体"/>
          <w:color w:val="auto"/>
          <w:sz w:val="28"/>
          <w:szCs w:val="28"/>
          <w:highlight w:val="none"/>
          <w:lang w:val="en-US" w:eastAsia="zh-CN"/>
        </w:rPr>
        <w:t>8</w:t>
      </w:r>
      <w:r>
        <w:rPr>
          <w:rFonts w:hint="eastAsia" w:ascii="宋体" w:hAnsi="宋体"/>
          <w:color w:val="auto"/>
          <w:sz w:val="28"/>
          <w:szCs w:val="28"/>
          <w:highlight w:val="none"/>
        </w:rPr>
        <w:t>日至</w:t>
      </w:r>
      <w:r>
        <w:rPr>
          <w:rFonts w:hint="eastAsia" w:ascii="宋体" w:hAnsi="宋体"/>
          <w:color w:val="auto"/>
          <w:sz w:val="28"/>
          <w:szCs w:val="28"/>
          <w:highlight w:val="none"/>
          <w:lang w:val="en-US" w:eastAsia="zh-CN"/>
        </w:rPr>
        <w:t>10</w:t>
      </w:r>
      <w:r>
        <w:rPr>
          <w:rFonts w:hint="eastAsia" w:ascii="宋体" w:hAnsi="宋体"/>
          <w:color w:val="auto"/>
          <w:sz w:val="28"/>
          <w:szCs w:val="28"/>
          <w:highlight w:val="none"/>
        </w:rPr>
        <w:t>月</w:t>
      </w:r>
      <w:r>
        <w:rPr>
          <w:rFonts w:hint="eastAsia" w:ascii="宋体" w:hAnsi="宋体"/>
          <w:color w:val="auto"/>
          <w:sz w:val="28"/>
          <w:szCs w:val="28"/>
          <w:highlight w:val="none"/>
          <w:lang w:val="en-US" w:eastAsia="zh-CN"/>
        </w:rPr>
        <w:t>13</w:t>
      </w:r>
      <w:r>
        <w:rPr>
          <w:rFonts w:hint="eastAsia" w:ascii="宋体" w:hAnsi="宋体"/>
          <w:color w:val="auto"/>
          <w:sz w:val="28"/>
          <w:szCs w:val="28"/>
          <w:highlight w:val="none"/>
        </w:rPr>
        <w:t>日。</w:t>
      </w:r>
    </w:p>
    <w:p>
      <w:pPr>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（二）公告期限：2021年</w:t>
      </w:r>
      <w:r>
        <w:rPr>
          <w:rFonts w:hint="eastAsia" w:ascii="宋体" w:hAnsi="宋体"/>
          <w:color w:val="auto"/>
          <w:sz w:val="28"/>
          <w:szCs w:val="28"/>
          <w:highlight w:val="none"/>
          <w:lang w:val="en-US" w:eastAsia="zh-CN"/>
        </w:rPr>
        <w:t>10</w:t>
      </w:r>
      <w:r>
        <w:rPr>
          <w:rFonts w:hint="eastAsia" w:ascii="宋体" w:hAnsi="宋体"/>
          <w:color w:val="auto"/>
          <w:sz w:val="28"/>
          <w:szCs w:val="28"/>
          <w:highlight w:val="none"/>
        </w:rPr>
        <w:t>月</w:t>
      </w:r>
      <w:r>
        <w:rPr>
          <w:rFonts w:hint="eastAsia" w:ascii="宋体" w:hAnsi="宋体"/>
          <w:color w:val="auto"/>
          <w:sz w:val="28"/>
          <w:szCs w:val="28"/>
          <w:highlight w:val="none"/>
          <w:lang w:val="en-US" w:eastAsia="zh-CN"/>
        </w:rPr>
        <w:t>8</w:t>
      </w:r>
      <w:r>
        <w:rPr>
          <w:rFonts w:hint="eastAsia" w:ascii="宋体" w:hAnsi="宋体"/>
          <w:color w:val="auto"/>
          <w:sz w:val="28"/>
          <w:szCs w:val="28"/>
          <w:highlight w:val="none"/>
        </w:rPr>
        <w:t>日至</w:t>
      </w:r>
      <w:r>
        <w:rPr>
          <w:rFonts w:hint="eastAsia" w:ascii="宋体" w:hAnsi="宋体"/>
          <w:color w:val="auto"/>
          <w:sz w:val="28"/>
          <w:szCs w:val="28"/>
          <w:highlight w:val="none"/>
          <w:lang w:val="en-US" w:eastAsia="zh-CN"/>
        </w:rPr>
        <w:t>10</w:t>
      </w:r>
      <w:r>
        <w:rPr>
          <w:rFonts w:hint="eastAsia" w:ascii="宋体" w:hAnsi="宋体"/>
          <w:color w:val="auto"/>
          <w:sz w:val="28"/>
          <w:szCs w:val="28"/>
          <w:highlight w:val="none"/>
        </w:rPr>
        <w:t>月</w:t>
      </w:r>
      <w:r>
        <w:rPr>
          <w:rFonts w:hint="eastAsia" w:ascii="宋体" w:hAnsi="宋体"/>
          <w:color w:val="auto"/>
          <w:sz w:val="28"/>
          <w:szCs w:val="28"/>
          <w:highlight w:val="none"/>
          <w:lang w:val="en-US" w:eastAsia="zh-CN"/>
        </w:rPr>
        <w:t>11</w:t>
      </w:r>
      <w:r>
        <w:rPr>
          <w:rFonts w:hint="eastAsia" w:ascii="宋体" w:hAnsi="宋体"/>
          <w:color w:val="auto"/>
          <w:sz w:val="28"/>
          <w:szCs w:val="28"/>
          <w:highlight w:val="none"/>
        </w:rPr>
        <w:t>日。</w:t>
      </w:r>
    </w:p>
    <w:p>
      <w:pPr>
        <w:numPr>
          <w:ilvl w:val="0"/>
          <w:numId w:val="2"/>
        </w:numPr>
        <w:spacing w:line="600" w:lineRule="exact"/>
        <w:ind w:left="0" w:firstLine="567"/>
        <w:jc w:val="both"/>
        <w:rPr>
          <w:rFonts w:ascii="宋体" w:hAnsi="宋体"/>
          <w:b/>
          <w:color w:val="auto"/>
          <w:sz w:val="28"/>
          <w:highlight w:val="none"/>
        </w:rPr>
      </w:pPr>
      <w:r>
        <w:rPr>
          <w:rFonts w:hint="eastAsia" w:ascii="宋体" w:hAnsi="宋体"/>
          <w:b/>
          <w:color w:val="auto"/>
          <w:sz w:val="28"/>
          <w:szCs w:val="28"/>
          <w:highlight w:val="none"/>
        </w:rPr>
        <w:t>磋商</w:t>
      </w:r>
      <w:r>
        <w:rPr>
          <w:rFonts w:hint="eastAsia" w:ascii="宋体" w:hAnsi="宋体"/>
          <w:b/>
          <w:color w:val="auto"/>
          <w:sz w:val="28"/>
          <w:highlight w:val="none"/>
        </w:rPr>
        <w:t>文件获取方式</w:t>
      </w:r>
      <w:bookmarkStart w:id="284" w:name="_GoBack"/>
      <w:bookmarkEnd w:id="284"/>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供应商要参加磋商，应在成都市公共资源交易服务中心“政府采购云平台”获取采购文件。登录成都市公共资源交易服务中心门户网站（https://www.cdggzy.com/）—用户中心—政府采购云平台—</w:t>
      </w:r>
      <w:r>
        <w:rPr>
          <w:rFonts w:hint="eastAsia" w:ascii="宋体" w:hAnsi="宋体"/>
          <w:color w:val="auto"/>
          <w:sz w:val="28"/>
          <w:szCs w:val="28"/>
          <w:highlight w:val="none"/>
          <w:lang w:eastAsia="zh-CN"/>
        </w:rPr>
        <w:t>高新区项目采购</w:t>
      </w:r>
      <w:r>
        <w:rPr>
          <w:rFonts w:hint="eastAsia" w:ascii="宋体" w:hAnsi="宋体"/>
          <w:color w:val="auto"/>
          <w:sz w:val="28"/>
          <w:szCs w:val="28"/>
          <w:highlight w:val="none"/>
        </w:rPr>
        <w:t>—获取采购文件—申请获取采购文件。</w:t>
      </w:r>
    </w:p>
    <w:p>
      <w:pPr>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提示：</w:t>
      </w:r>
    </w:p>
    <w:p>
      <w:pPr>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（1）本项目采购文件免费获取。</w:t>
      </w:r>
    </w:p>
    <w:p>
      <w:pPr>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（2）本项目为电子采购项目，供应商参与本项目全过程中凡涉及系统操作请详见《成都市全流程电子化采购系统操作指南——供应商版》（操作指南请登陆政府采购云平台后，点击“前台大厅</w:t>
      </w:r>
      <w:r>
        <w:rPr>
          <w:rFonts w:ascii="宋体" w:hAnsi="宋体"/>
          <w:color w:val="auto"/>
          <w:sz w:val="28"/>
          <w:szCs w:val="28"/>
          <w:highlight w:val="none"/>
        </w:rPr>
        <w:t>—</w:t>
      </w:r>
      <w:r>
        <w:rPr>
          <w:rFonts w:hint="eastAsia" w:ascii="宋体" w:hAnsi="宋体"/>
          <w:color w:val="auto"/>
          <w:sz w:val="28"/>
          <w:szCs w:val="28"/>
          <w:highlight w:val="none"/>
        </w:rPr>
        <w:t>操作指南</w:t>
      </w:r>
      <w:r>
        <w:rPr>
          <w:rFonts w:ascii="宋体" w:hAnsi="宋体"/>
          <w:color w:val="auto"/>
          <w:sz w:val="28"/>
          <w:szCs w:val="28"/>
          <w:highlight w:val="none"/>
        </w:rPr>
        <w:t>—</w:t>
      </w:r>
      <w:r>
        <w:rPr>
          <w:rFonts w:hint="eastAsia" w:ascii="宋体" w:hAnsi="宋体"/>
          <w:color w:val="auto"/>
          <w:sz w:val="28"/>
          <w:szCs w:val="28"/>
          <w:highlight w:val="none"/>
        </w:rPr>
        <w:t>供应商”处下载查看）。</w:t>
      </w:r>
    </w:p>
    <w:p>
      <w:pPr>
        <w:numPr>
          <w:ilvl w:val="0"/>
          <w:numId w:val="2"/>
        </w:numPr>
        <w:spacing w:line="600" w:lineRule="exact"/>
        <w:ind w:left="0" w:firstLine="567"/>
        <w:jc w:val="both"/>
        <w:rPr>
          <w:rFonts w:ascii="宋体" w:hAnsi="宋体"/>
          <w:color w:val="auto"/>
          <w:sz w:val="28"/>
          <w:szCs w:val="28"/>
          <w:highlight w:val="none"/>
        </w:rPr>
      </w:pPr>
      <w:r>
        <w:rPr>
          <w:rFonts w:hint="eastAsia" w:ascii="宋体" w:hAnsi="宋体"/>
          <w:b/>
          <w:color w:val="auto"/>
          <w:sz w:val="28"/>
          <w:szCs w:val="28"/>
          <w:highlight w:val="none"/>
        </w:rPr>
        <w:t>磋商文件获取地点</w:t>
      </w:r>
      <w:r>
        <w:rPr>
          <w:rFonts w:hint="eastAsia" w:ascii="宋体" w:hAnsi="宋体"/>
          <w:color w:val="auto"/>
          <w:sz w:val="28"/>
          <w:szCs w:val="28"/>
          <w:highlight w:val="none"/>
        </w:rPr>
        <w:t>：</w:t>
      </w:r>
      <w:r>
        <w:rPr>
          <w:rFonts w:hint="eastAsia" w:ascii="宋体" w:hAnsi="宋体"/>
          <w:color w:val="auto"/>
          <w:sz w:val="28"/>
          <w:highlight w:val="none"/>
        </w:rPr>
        <w:t>登录成都市公共资源交易服务中心门户网站（https://www.cdggzy.com/）—用户中心—政府采购云平台获取。</w:t>
      </w:r>
    </w:p>
    <w:p>
      <w:pPr>
        <w:numPr>
          <w:ilvl w:val="0"/>
          <w:numId w:val="2"/>
        </w:numPr>
        <w:spacing w:line="600" w:lineRule="exact"/>
        <w:ind w:left="0" w:firstLine="567"/>
        <w:jc w:val="both"/>
        <w:rPr>
          <w:rFonts w:ascii="宋体" w:hAnsi="宋体"/>
          <w:color w:val="auto"/>
          <w:sz w:val="28"/>
          <w:szCs w:val="28"/>
          <w:highlight w:val="none"/>
        </w:rPr>
      </w:pPr>
      <w:r>
        <w:rPr>
          <w:rFonts w:hint="eastAsia" w:ascii="宋体" w:hAnsi="宋体"/>
          <w:b/>
          <w:color w:val="auto"/>
          <w:sz w:val="28"/>
          <w:szCs w:val="28"/>
          <w:highlight w:val="none"/>
        </w:rPr>
        <w:t>施工响应文件递交截止时间及开启时间（北京时间）、地点、方式</w:t>
      </w:r>
    </w:p>
    <w:p>
      <w:pPr>
        <w:pStyle w:val="80"/>
        <w:numPr>
          <w:ilvl w:val="0"/>
          <w:numId w:val="6"/>
        </w:numPr>
        <w:tabs>
          <w:tab w:val="left" w:pos="1418"/>
        </w:tabs>
        <w:spacing w:line="600" w:lineRule="exact"/>
        <w:ind w:left="0" w:firstLine="567" w:firstLineChars="0"/>
        <w:jc w:val="both"/>
        <w:rPr>
          <w:rFonts w:ascii="宋体" w:hAnsi="宋体" w:eastAsia="宋体"/>
          <w:b/>
          <w:color w:val="auto"/>
          <w:sz w:val="28"/>
          <w:szCs w:val="28"/>
          <w:highlight w:val="none"/>
        </w:rPr>
      </w:pPr>
      <w:r>
        <w:rPr>
          <w:rFonts w:hint="eastAsia" w:ascii="宋体" w:hAnsi="宋体" w:eastAsia="宋体"/>
          <w:b/>
          <w:color w:val="auto"/>
          <w:sz w:val="28"/>
          <w:szCs w:val="28"/>
          <w:highlight w:val="none"/>
        </w:rPr>
        <w:t>施工响应文件递交截止时间及开启时间：2021</w:t>
      </w:r>
      <w:r>
        <w:rPr>
          <w:rFonts w:ascii="宋体" w:hAnsi="宋体" w:eastAsia="宋体"/>
          <w:b/>
          <w:color w:val="auto"/>
          <w:sz w:val="28"/>
          <w:szCs w:val="28"/>
          <w:highlight w:val="none"/>
        </w:rPr>
        <w:t>年</w:t>
      </w:r>
      <w:r>
        <w:rPr>
          <w:rFonts w:hint="eastAsia" w:ascii="宋体" w:hAnsi="宋体" w:eastAsia="宋体"/>
          <w:b/>
          <w:color w:val="auto"/>
          <w:sz w:val="28"/>
          <w:szCs w:val="28"/>
          <w:highlight w:val="none"/>
          <w:u w:val="single"/>
          <w:lang w:val="en-US" w:eastAsia="zh-CN"/>
        </w:rPr>
        <w:t>10</w:t>
      </w:r>
      <w:r>
        <w:rPr>
          <w:rFonts w:ascii="宋体" w:hAnsi="宋体" w:eastAsia="宋体"/>
          <w:b/>
          <w:color w:val="auto"/>
          <w:sz w:val="28"/>
          <w:szCs w:val="28"/>
          <w:highlight w:val="none"/>
        </w:rPr>
        <w:t>月</w:t>
      </w:r>
      <w:r>
        <w:rPr>
          <w:rFonts w:hint="eastAsia" w:ascii="宋体" w:hAnsi="宋体" w:eastAsia="宋体"/>
          <w:b/>
          <w:color w:val="auto"/>
          <w:sz w:val="28"/>
          <w:szCs w:val="28"/>
          <w:highlight w:val="none"/>
          <w:u w:val="single"/>
          <w:lang w:val="en-US" w:eastAsia="zh-CN"/>
        </w:rPr>
        <w:t>19</w:t>
      </w:r>
      <w:r>
        <w:rPr>
          <w:rFonts w:ascii="宋体" w:hAnsi="宋体" w:eastAsia="宋体"/>
          <w:b/>
          <w:color w:val="auto"/>
          <w:sz w:val="28"/>
          <w:szCs w:val="28"/>
          <w:highlight w:val="none"/>
        </w:rPr>
        <w:t>日</w:t>
      </w:r>
      <w:r>
        <w:rPr>
          <w:rFonts w:hint="eastAsia" w:ascii="宋体" w:hAnsi="宋体" w:eastAsia="宋体"/>
          <w:b/>
          <w:color w:val="auto"/>
          <w:sz w:val="28"/>
          <w:szCs w:val="28"/>
          <w:highlight w:val="none"/>
        </w:rPr>
        <w:t>上午9</w:t>
      </w:r>
      <w:r>
        <w:rPr>
          <w:rFonts w:ascii="宋体" w:hAnsi="宋体" w:eastAsia="宋体"/>
          <w:b/>
          <w:color w:val="auto"/>
          <w:sz w:val="28"/>
          <w:szCs w:val="28"/>
          <w:highlight w:val="none"/>
        </w:rPr>
        <w:t>:</w:t>
      </w:r>
      <w:r>
        <w:rPr>
          <w:rFonts w:hint="eastAsia" w:ascii="宋体" w:hAnsi="宋体" w:eastAsia="宋体"/>
          <w:b/>
          <w:color w:val="auto"/>
          <w:sz w:val="28"/>
          <w:szCs w:val="28"/>
          <w:highlight w:val="none"/>
        </w:rPr>
        <w:t>30。</w:t>
      </w:r>
    </w:p>
    <w:p>
      <w:pPr>
        <w:pStyle w:val="80"/>
        <w:numPr>
          <w:ilvl w:val="0"/>
          <w:numId w:val="6"/>
        </w:numPr>
        <w:tabs>
          <w:tab w:val="left" w:pos="1418"/>
        </w:tabs>
        <w:spacing w:line="600" w:lineRule="exact"/>
        <w:ind w:left="0" w:firstLine="567" w:firstLineChars="0"/>
        <w:jc w:val="both"/>
        <w:rPr>
          <w:rFonts w:ascii="宋体" w:hAnsi="宋体" w:eastAsia="宋体"/>
          <w:b/>
          <w:color w:val="auto"/>
          <w:sz w:val="28"/>
          <w:szCs w:val="28"/>
          <w:highlight w:val="none"/>
        </w:rPr>
      </w:pPr>
      <w:r>
        <w:rPr>
          <w:rFonts w:hint="eastAsia" w:ascii="宋体" w:hAnsi="宋体" w:eastAsia="宋体"/>
          <w:b/>
          <w:color w:val="auto"/>
          <w:sz w:val="28"/>
          <w:szCs w:val="28"/>
          <w:highlight w:val="none"/>
        </w:rPr>
        <w:t>响应文件递交方式、地点：响应文件递交截止时间前，供应商应将加密的施工响应文件递交至“政府采购云平台”对应项目（包件）。</w:t>
      </w:r>
    </w:p>
    <w:p>
      <w:pPr>
        <w:pStyle w:val="80"/>
        <w:tabs>
          <w:tab w:val="left" w:pos="1418"/>
        </w:tabs>
        <w:spacing w:line="600" w:lineRule="exact"/>
        <w:ind w:left="567" w:firstLine="0" w:firstLineChars="0"/>
        <w:jc w:val="both"/>
        <w:rPr>
          <w:rFonts w:ascii="宋体" w:hAnsi="宋体" w:eastAsia="宋体"/>
          <w:b/>
          <w:color w:val="auto"/>
          <w:sz w:val="28"/>
          <w:szCs w:val="28"/>
          <w:highlight w:val="none"/>
        </w:rPr>
      </w:pPr>
      <w:r>
        <w:rPr>
          <w:rFonts w:hint="eastAsia" w:ascii="宋体" w:hAnsi="宋体"/>
          <w:color w:val="auto"/>
          <w:sz w:val="28"/>
          <w:szCs w:val="28"/>
          <w:highlight w:val="none"/>
        </w:rPr>
        <w:t>本项目只接受供应商加密并递交至“政府采购云平台”的响应文件。</w:t>
      </w:r>
    </w:p>
    <w:p>
      <w:pPr>
        <w:numPr>
          <w:ilvl w:val="0"/>
          <w:numId w:val="2"/>
        </w:numPr>
        <w:spacing w:line="600" w:lineRule="exact"/>
        <w:ind w:left="0" w:firstLine="567"/>
        <w:jc w:val="both"/>
        <w:rPr>
          <w:rFonts w:ascii="宋体" w:hAnsi="宋体"/>
          <w:color w:val="auto"/>
          <w:sz w:val="28"/>
          <w:szCs w:val="28"/>
          <w:highlight w:val="none"/>
        </w:rPr>
      </w:pPr>
      <w:r>
        <w:rPr>
          <w:rFonts w:hint="eastAsia" w:ascii="宋体" w:hAnsi="宋体"/>
          <w:b/>
          <w:color w:val="auto"/>
          <w:sz w:val="28"/>
          <w:szCs w:val="28"/>
          <w:highlight w:val="none"/>
        </w:rPr>
        <w:t>磋商地点</w:t>
      </w:r>
    </w:p>
    <w:p>
      <w:pPr>
        <w:spacing w:line="360" w:lineRule="auto"/>
        <w:ind w:firstLine="580" w:firstLineChars="200"/>
        <w:rPr>
          <w:color w:val="auto"/>
          <w:sz w:val="29"/>
          <w:szCs w:val="29"/>
          <w:highlight w:val="none"/>
        </w:rPr>
      </w:pPr>
      <w:r>
        <w:rPr>
          <w:rFonts w:hint="eastAsia"/>
          <w:color w:val="auto"/>
          <w:sz w:val="29"/>
          <w:szCs w:val="29"/>
          <w:highlight w:val="none"/>
        </w:rPr>
        <w:t>本项目磋商为不见面开标。</w:t>
      </w:r>
    </w:p>
    <w:p>
      <w:pPr>
        <w:spacing w:line="360" w:lineRule="auto"/>
        <w:ind w:firstLine="582" w:firstLineChars="200"/>
        <w:rPr>
          <w:b/>
          <w:color w:val="auto"/>
          <w:sz w:val="29"/>
          <w:szCs w:val="29"/>
          <w:highlight w:val="none"/>
        </w:rPr>
      </w:pPr>
      <w:r>
        <w:rPr>
          <w:rFonts w:hint="eastAsia"/>
          <w:b/>
          <w:color w:val="auto"/>
          <w:sz w:val="29"/>
          <w:szCs w:val="29"/>
          <w:highlight w:val="none"/>
        </w:rPr>
        <w:t>磋商地点：政府采购云平台开标大厅。</w:t>
      </w:r>
    </w:p>
    <w:p>
      <w:pPr>
        <w:numPr>
          <w:ilvl w:val="0"/>
          <w:numId w:val="2"/>
        </w:numPr>
        <w:spacing w:line="600" w:lineRule="exact"/>
        <w:ind w:left="0" w:firstLine="567"/>
        <w:jc w:val="both"/>
        <w:rPr>
          <w:rFonts w:ascii="宋体" w:hAnsi="宋体"/>
          <w:b/>
          <w:color w:val="auto"/>
          <w:sz w:val="28"/>
          <w:szCs w:val="28"/>
          <w:highlight w:val="none"/>
        </w:rPr>
      </w:pPr>
      <w:r>
        <w:rPr>
          <w:rFonts w:hint="eastAsia" w:ascii="宋体" w:hAnsi="宋体"/>
          <w:b/>
          <w:color w:val="auto"/>
          <w:sz w:val="28"/>
          <w:szCs w:val="28"/>
          <w:highlight w:val="none"/>
        </w:rPr>
        <w:t>中小企业政府采购信用融资</w:t>
      </w:r>
    </w:p>
    <w:p>
      <w:pPr>
        <w:snapToGrid w:val="0"/>
        <w:spacing w:line="640" w:lineRule="exact"/>
        <w:ind w:firstLine="560" w:firstLineChars="200"/>
        <w:rPr>
          <w:rFonts w:ascii="宋体" w:hAnsi="宋体"/>
          <w:color w:val="auto"/>
          <w:sz w:val="28"/>
          <w:szCs w:val="28"/>
          <w:highlight w:val="none"/>
        </w:rPr>
      </w:pPr>
      <w:r>
        <w:rPr>
          <w:rFonts w:hint="eastAsia" w:ascii="宋体" w:hAnsi="宋体" w:cs="宋体"/>
          <w:color w:val="auto"/>
          <w:sz w:val="28"/>
          <w:szCs w:val="28"/>
          <w:highlight w:val="none"/>
        </w:rPr>
        <w:t>参加本次采购活动成交的中小企业无需提供财产抵押或第三方担保，凭借政府采购合同可向融资机构申请融资。具体内容详见磋商文件附件《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见附件。</w:t>
      </w:r>
    </w:p>
    <w:p>
      <w:pPr>
        <w:numPr>
          <w:ilvl w:val="0"/>
          <w:numId w:val="2"/>
        </w:numPr>
        <w:spacing w:line="600" w:lineRule="exact"/>
        <w:ind w:left="0" w:firstLine="567"/>
        <w:jc w:val="both"/>
        <w:rPr>
          <w:rFonts w:ascii="宋体" w:hAnsi="宋体"/>
          <w:b/>
          <w:color w:val="auto"/>
          <w:sz w:val="28"/>
          <w:szCs w:val="28"/>
          <w:highlight w:val="none"/>
        </w:rPr>
      </w:pPr>
      <w:r>
        <w:rPr>
          <w:rFonts w:hint="eastAsia" w:ascii="宋体" w:hAnsi="宋体"/>
          <w:b/>
          <w:color w:val="auto"/>
          <w:sz w:val="28"/>
          <w:szCs w:val="28"/>
          <w:highlight w:val="none"/>
        </w:rPr>
        <w:t>联系人及联系电话</w:t>
      </w:r>
    </w:p>
    <w:p>
      <w:pPr>
        <w:adjustRightInd w:val="0"/>
        <w:snapToGrid w:val="0"/>
        <w:spacing w:line="520" w:lineRule="exact"/>
        <w:ind w:firstLine="703" w:firstLineChars="250"/>
        <w:rPr>
          <w:rFonts w:hint="eastAsia" w:ascii="宋体" w:hAnsi="宋体" w:eastAsia="宋体" w:cs="宋体"/>
          <w:b/>
          <w:bCs/>
          <w:iCs/>
          <w:color w:val="auto"/>
          <w:sz w:val="28"/>
          <w:szCs w:val="28"/>
          <w:highlight w:val="none"/>
          <w:lang w:eastAsia="zh-CN"/>
        </w:rPr>
      </w:pPr>
      <w:r>
        <w:rPr>
          <w:rFonts w:hint="eastAsia" w:ascii="宋体" w:hAnsi="宋体" w:cs="宋体"/>
          <w:b/>
          <w:bCs/>
          <w:iCs/>
          <w:color w:val="auto"/>
          <w:sz w:val="28"/>
          <w:szCs w:val="28"/>
          <w:highlight w:val="none"/>
        </w:rPr>
        <w:t>采购人：</w:t>
      </w:r>
      <w:r>
        <w:rPr>
          <w:rFonts w:hint="eastAsia" w:ascii="宋体" w:hAnsi="宋体" w:cs="宋体"/>
          <w:b/>
          <w:bCs/>
          <w:iCs/>
          <w:color w:val="auto"/>
          <w:sz w:val="28"/>
          <w:szCs w:val="28"/>
          <w:highlight w:val="none"/>
          <w:lang w:eastAsia="zh-CN"/>
        </w:rPr>
        <w:t>成都高新区合作街道办事处</w:t>
      </w:r>
    </w:p>
    <w:p>
      <w:pPr>
        <w:adjustRightInd w:val="0"/>
        <w:snapToGrid w:val="0"/>
        <w:spacing w:line="520" w:lineRule="exact"/>
        <w:ind w:firstLine="705" w:firstLineChars="252"/>
        <w:jc w:val="both"/>
        <w:rPr>
          <w:rFonts w:ascii="宋体" w:hAnsi="宋体"/>
          <w:color w:val="auto"/>
          <w:sz w:val="28"/>
          <w:szCs w:val="28"/>
          <w:highlight w:val="none"/>
        </w:rPr>
      </w:pPr>
      <w:r>
        <w:rPr>
          <w:rFonts w:hint="eastAsia" w:ascii="宋体" w:hAnsi="宋体" w:cs="宋体"/>
          <w:bCs/>
          <w:color w:val="auto"/>
          <w:kern w:val="2"/>
          <w:sz w:val="28"/>
          <w:szCs w:val="28"/>
          <w:highlight w:val="none"/>
        </w:rPr>
        <w:t>地址：</w:t>
      </w:r>
      <w:r>
        <w:rPr>
          <w:rFonts w:hint="eastAsia" w:ascii="宋体" w:hAnsi="宋体"/>
          <w:color w:val="auto"/>
          <w:sz w:val="28"/>
          <w:szCs w:val="28"/>
          <w:highlight w:val="none"/>
        </w:rPr>
        <w:t>四川省成都市高新区天骄路1号</w:t>
      </w:r>
    </w:p>
    <w:p>
      <w:pPr>
        <w:spacing w:line="600" w:lineRule="exact"/>
        <w:ind w:firstLine="705" w:firstLineChars="252"/>
        <w:rPr>
          <w:rFonts w:ascii="宋体" w:hAnsi="宋体"/>
          <w:color w:val="auto"/>
          <w:sz w:val="28"/>
          <w:szCs w:val="28"/>
          <w:highlight w:val="none"/>
        </w:rPr>
      </w:pPr>
      <w:r>
        <w:rPr>
          <w:rFonts w:hint="eastAsia" w:ascii="宋体" w:hAnsi="宋体"/>
          <w:color w:val="auto"/>
          <w:sz w:val="28"/>
          <w:szCs w:val="28"/>
          <w:highlight w:val="none"/>
        </w:rPr>
        <w:t>邮编：</w:t>
      </w:r>
      <w:r>
        <w:rPr>
          <w:rFonts w:hint="eastAsia" w:ascii="宋体" w:hAnsi="宋体" w:cs="宋体"/>
          <w:color w:val="auto"/>
          <w:sz w:val="28"/>
          <w:szCs w:val="28"/>
          <w:highlight w:val="none"/>
        </w:rPr>
        <w:t>610041</w:t>
      </w:r>
    </w:p>
    <w:p>
      <w:pPr>
        <w:adjustRightInd w:val="0"/>
        <w:snapToGrid w:val="0"/>
        <w:spacing w:line="520" w:lineRule="exact"/>
        <w:ind w:firstLine="705" w:firstLineChars="252"/>
        <w:jc w:val="both"/>
        <w:rPr>
          <w:rFonts w:ascii="宋体" w:hAnsi="宋体" w:cs="宋体"/>
          <w:bCs/>
          <w:color w:val="auto"/>
          <w:kern w:val="2"/>
          <w:sz w:val="28"/>
          <w:szCs w:val="28"/>
          <w:highlight w:val="none"/>
        </w:rPr>
      </w:pPr>
      <w:r>
        <w:rPr>
          <w:rFonts w:hint="eastAsia" w:ascii="宋体" w:hAnsi="宋体" w:cs="宋体"/>
          <w:bCs/>
          <w:color w:val="auto"/>
          <w:kern w:val="2"/>
          <w:sz w:val="28"/>
          <w:szCs w:val="28"/>
          <w:highlight w:val="none"/>
        </w:rPr>
        <w:t>联系人：</w:t>
      </w:r>
      <w:r>
        <w:rPr>
          <w:rFonts w:hint="eastAsia" w:ascii="宋体" w:hAnsi="宋体"/>
          <w:color w:val="auto"/>
          <w:sz w:val="28"/>
          <w:szCs w:val="28"/>
          <w:highlight w:val="none"/>
        </w:rPr>
        <w:t>杨宇洋</w:t>
      </w:r>
    </w:p>
    <w:p>
      <w:pPr>
        <w:adjustRightInd w:val="0"/>
        <w:snapToGrid w:val="0"/>
        <w:spacing w:line="520" w:lineRule="exact"/>
        <w:ind w:firstLine="705" w:firstLineChars="252"/>
        <w:jc w:val="both"/>
        <w:rPr>
          <w:rFonts w:ascii="宋体" w:hAnsi="宋体" w:cs="宋体"/>
          <w:bCs/>
          <w:color w:val="auto"/>
          <w:kern w:val="2"/>
          <w:sz w:val="28"/>
          <w:szCs w:val="28"/>
          <w:highlight w:val="none"/>
        </w:rPr>
      </w:pPr>
      <w:r>
        <w:rPr>
          <w:rFonts w:hint="eastAsia" w:ascii="宋体" w:hAnsi="宋体" w:cs="宋体"/>
          <w:bCs/>
          <w:color w:val="auto"/>
          <w:kern w:val="2"/>
          <w:sz w:val="28"/>
          <w:szCs w:val="28"/>
          <w:highlight w:val="none"/>
        </w:rPr>
        <w:t>联系电话：</w:t>
      </w:r>
      <w:r>
        <w:rPr>
          <w:rFonts w:hint="eastAsia" w:ascii="宋体" w:hAnsi="宋体"/>
          <w:color w:val="auto"/>
          <w:sz w:val="28"/>
          <w:szCs w:val="28"/>
          <w:highlight w:val="none"/>
        </w:rPr>
        <w:t>87956013</w:t>
      </w:r>
    </w:p>
    <w:p>
      <w:pPr>
        <w:adjustRightInd w:val="0"/>
        <w:snapToGrid w:val="0"/>
        <w:spacing w:line="520" w:lineRule="exact"/>
        <w:ind w:firstLine="703" w:firstLineChars="250"/>
        <w:rPr>
          <w:rFonts w:ascii="宋体" w:hAnsi="宋体" w:cs="宋体"/>
          <w:b/>
          <w:bCs/>
          <w:iCs/>
          <w:color w:val="auto"/>
          <w:sz w:val="28"/>
          <w:szCs w:val="28"/>
          <w:highlight w:val="none"/>
        </w:rPr>
      </w:pPr>
      <w:r>
        <w:rPr>
          <w:rFonts w:hint="eastAsia" w:ascii="宋体" w:hAnsi="宋体" w:cs="宋体"/>
          <w:b/>
          <w:bCs/>
          <w:iCs/>
          <w:color w:val="auto"/>
          <w:sz w:val="28"/>
          <w:szCs w:val="28"/>
          <w:highlight w:val="none"/>
        </w:rPr>
        <w:t>集中采购机构：成都高新区政府采购服务中心</w:t>
      </w:r>
    </w:p>
    <w:p>
      <w:pPr>
        <w:adjustRightInd w:val="0"/>
        <w:snapToGrid w:val="0"/>
        <w:spacing w:line="520" w:lineRule="exact"/>
        <w:ind w:firstLine="705" w:firstLineChars="252"/>
        <w:jc w:val="both"/>
        <w:rPr>
          <w:rFonts w:ascii="宋体" w:hAnsi="宋体" w:cs="宋体"/>
          <w:color w:val="auto"/>
          <w:sz w:val="28"/>
          <w:szCs w:val="28"/>
          <w:highlight w:val="none"/>
        </w:rPr>
      </w:pPr>
      <w:r>
        <w:rPr>
          <w:rFonts w:hint="eastAsia" w:ascii="宋体" w:hAnsi="宋体" w:cs="宋体"/>
          <w:color w:val="auto"/>
          <w:sz w:val="28"/>
          <w:szCs w:val="28"/>
          <w:highlight w:val="none"/>
        </w:rPr>
        <w:t>地址：成都市天府大道北段18号A座高新区管委会11楼</w:t>
      </w:r>
    </w:p>
    <w:p>
      <w:pPr>
        <w:adjustRightInd w:val="0"/>
        <w:snapToGrid w:val="0"/>
        <w:spacing w:line="520" w:lineRule="exact"/>
        <w:ind w:firstLine="705" w:firstLineChars="252"/>
        <w:jc w:val="both"/>
        <w:rPr>
          <w:rFonts w:ascii="宋体" w:hAnsi="宋体" w:cs="宋体"/>
          <w:color w:val="auto"/>
          <w:sz w:val="28"/>
          <w:szCs w:val="28"/>
          <w:highlight w:val="none"/>
        </w:rPr>
      </w:pPr>
      <w:r>
        <w:rPr>
          <w:rFonts w:hint="eastAsia" w:ascii="宋体" w:hAnsi="宋体" w:cs="宋体"/>
          <w:color w:val="auto"/>
          <w:sz w:val="28"/>
          <w:szCs w:val="28"/>
          <w:highlight w:val="none"/>
        </w:rPr>
        <w:t>邮编：610041</w:t>
      </w:r>
    </w:p>
    <w:p>
      <w:pPr>
        <w:adjustRightInd w:val="0"/>
        <w:snapToGrid w:val="0"/>
        <w:spacing w:line="520" w:lineRule="exact"/>
        <w:ind w:firstLine="700" w:firstLineChars="250"/>
        <w:rPr>
          <w:rFonts w:ascii="宋体" w:hAnsi="宋体" w:cs="宋体"/>
          <w:iCs/>
          <w:color w:val="auto"/>
          <w:sz w:val="28"/>
          <w:szCs w:val="28"/>
          <w:highlight w:val="none"/>
        </w:rPr>
      </w:pPr>
      <w:r>
        <w:rPr>
          <w:rFonts w:hint="eastAsia" w:ascii="宋体" w:hAnsi="宋体" w:cs="宋体"/>
          <w:iCs/>
          <w:color w:val="auto"/>
          <w:sz w:val="28"/>
          <w:szCs w:val="28"/>
          <w:highlight w:val="none"/>
        </w:rPr>
        <w:t>联系人：陈莉玮</w:t>
      </w:r>
    </w:p>
    <w:p>
      <w:pPr>
        <w:adjustRightInd w:val="0"/>
        <w:snapToGrid w:val="0"/>
        <w:spacing w:line="520" w:lineRule="exact"/>
        <w:ind w:firstLine="700" w:firstLineChars="250"/>
        <w:rPr>
          <w:rFonts w:ascii="宋体" w:hAnsi="宋体" w:cs="宋体"/>
          <w:iCs/>
          <w:color w:val="auto"/>
          <w:sz w:val="28"/>
          <w:szCs w:val="28"/>
          <w:highlight w:val="none"/>
        </w:rPr>
      </w:pPr>
      <w:r>
        <w:rPr>
          <w:rFonts w:hint="eastAsia" w:ascii="宋体" w:hAnsi="宋体" w:cs="宋体"/>
          <w:iCs/>
          <w:color w:val="auto"/>
          <w:sz w:val="28"/>
          <w:szCs w:val="28"/>
          <w:highlight w:val="none"/>
        </w:rPr>
        <w:t>联系电话：028-85177566</w:t>
      </w:r>
    </w:p>
    <w:p>
      <w:pPr>
        <w:adjustRightInd w:val="0"/>
        <w:snapToGrid w:val="0"/>
        <w:spacing w:line="520" w:lineRule="exact"/>
        <w:ind w:firstLine="703" w:firstLineChars="250"/>
        <w:rPr>
          <w:rFonts w:hint="eastAsia" w:ascii="宋体" w:hAnsi="宋体" w:cs="宋体"/>
          <w:b/>
          <w:bCs/>
          <w:iCs/>
          <w:color w:val="auto"/>
          <w:sz w:val="28"/>
          <w:szCs w:val="28"/>
          <w:highlight w:val="none"/>
        </w:rPr>
      </w:pPr>
      <w:r>
        <w:rPr>
          <w:rFonts w:hint="eastAsia" w:ascii="宋体" w:hAnsi="宋体" w:cs="宋体"/>
          <w:b/>
          <w:bCs/>
          <w:iCs/>
          <w:color w:val="auto"/>
          <w:sz w:val="28"/>
          <w:szCs w:val="28"/>
          <w:highlight w:val="none"/>
        </w:rPr>
        <w:t>技术支持电话：4008817190</w:t>
      </w:r>
    </w:p>
    <w:p>
      <w:pPr>
        <w:adjustRightInd w:val="0"/>
        <w:snapToGrid w:val="0"/>
        <w:spacing w:line="520" w:lineRule="exact"/>
        <w:ind w:firstLine="703" w:firstLineChars="250"/>
        <w:rPr>
          <w:rFonts w:hint="eastAsia" w:ascii="宋体" w:hAnsi="宋体" w:cs="宋体"/>
          <w:b/>
          <w:bCs/>
          <w:iCs/>
          <w:color w:val="auto"/>
          <w:sz w:val="28"/>
          <w:szCs w:val="28"/>
          <w:highlight w:val="none"/>
        </w:rPr>
      </w:pPr>
      <w:r>
        <w:rPr>
          <w:rFonts w:hint="eastAsia" w:ascii="宋体" w:hAnsi="宋体" w:cs="宋体"/>
          <w:b/>
          <w:bCs/>
          <w:iCs/>
          <w:color w:val="auto"/>
          <w:sz w:val="28"/>
          <w:szCs w:val="28"/>
          <w:highlight w:val="none"/>
        </w:rPr>
        <w:t>政府采购监督管理部门：成都高新区财政金融局</w:t>
      </w:r>
    </w:p>
    <w:p>
      <w:pPr>
        <w:adjustRightInd w:val="0"/>
        <w:snapToGrid w:val="0"/>
        <w:spacing w:line="520" w:lineRule="exact"/>
        <w:ind w:firstLine="700" w:firstLineChars="250"/>
        <w:rPr>
          <w:rFonts w:hint="eastAsia" w:ascii="宋体" w:hAnsi="宋体" w:cs="宋体"/>
          <w:iCs/>
          <w:color w:val="auto"/>
          <w:sz w:val="28"/>
          <w:szCs w:val="28"/>
          <w:highlight w:val="none"/>
        </w:rPr>
      </w:pPr>
      <w:r>
        <w:rPr>
          <w:rFonts w:hint="eastAsia" w:ascii="宋体" w:hAnsi="宋体" w:cs="宋体"/>
          <w:iCs/>
          <w:color w:val="auto"/>
          <w:sz w:val="28"/>
          <w:szCs w:val="28"/>
          <w:highlight w:val="none"/>
        </w:rPr>
        <w:t>地 址：成都市天府大道北段18号A座高新区管委会5楼</w:t>
      </w:r>
    </w:p>
    <w:p>
      <w:pPr>
        <w:adjustRightInd w:val="0"/>
        <w:snapToGrid w:val="0"/>
        <w:spacing w:line="520" w:lineRule="exact"/>
        <w:ind w:firstLine="700" w:firstLineChars="250"/>
        <w:rPr>
          <w:rFonts w:hint="eastAsia" w:ascii="宋体" w:hAnsi="宋体" w:cs="宋体"/>
          <w:iCs/>
          <w:color w:val="auto"/>
          <w:sz w:val="28"/>
          <w:szCs w:val="28"/>
          <w:highlight w:val="none"/>
        </w:rPr>
      </w:pPr>
      <w:r>
        <w:rPr>
          <w:rFonts w:hint="eastAsia" w:ascii="宋体" w:hAnsi="宋体" w:cs="宋体"/>
          <w:iCs/>
          <w:color w:val="auto"/>
          <w:sz w:val="28"/>
          <w:szCs w:val="28"/>
          <w:highlight w:val="none"/>
        </w:rPr>
        <w:t>邮编：610041</w:t>
      </w:r>
    </w:p>
    <w:p>
      <w:pPr>
        <w:adjustRightInd w:val="0"/>
        <w:snapToGrid w:val="0"/>
        <w:spacing w:line="520" w:lineRule="exact"/>
        <w:ind w:firstLine="700" w:firstLineChars="250"/>
        <w:rPr>
          <w:rFonts w:hint="eastAsia" w:ascii="宋体" w:hAnsi="宋体" w:cs="宋体"/>
          <w:iCs/>
          <w:color w:val="auto"/>
          <w:sz w:val="28"/>
          <w:szCs w:val="28"/>
          <w:highlight w:val="none"/>
        </w:rPr>
      </w:pPr>
      <w:r>
        <w:rPr>
          <w:rFonts w:hint="eastAsia" w:ascii="宋体" w:hAnsi="宋体" w:cs="宋体"/>
          <w:iCs/>
          <w:color w:val="auto"/>
          <w:sz w:val="28"/>
          <w:szCs w:val="28"/>
          <w:highlight w:val="none"/>
        </w:rPr>
        <w:t>联系电话：028-82829642</w:t>
      </w:r>
    </w:p>
    <w:p>
      <w:pPr>
        <w:spacing w:line="600" w:lineRule="exact"/>
        <w:ind w:firstLine="705" w:firstLineChars="252"/>
        <w:rPr>
          <w:rFonts w:ascii="宋体" w:hAnsi="宋体"/>
          <w:color w:val="auto"/>
          <w:sz w:val="28"/>
          <w:szCs w:val="28"/>
          <w:highlight w:val="none"/>
        </w:rPr>
        <w:sectPr>
          <w:pgSz w:w="11906" w:h="16838"/>
          <w:pgMar w:top="1134" w:right="1274" w:bottom="1440" w:left="1418" w:header="851" w:footer="992" w:gutter="0"/>
          <w:cols w:space="720" w:num="1"/>
          <w:docGrid w:type="lines" w:linePitch="326" w:charSpace="0"/>
        </w:sectPr>
      </w:pPr>
    </w:p>
    <w:p>
      <w:pPr>
        <w:pStyle w:val="4"/>
        <w:numPr>
          <w:ilvl w:val="0"/>
          <w:numId w:val="1"/>
        </w:numPr>
        <w:spacing w:before="0" w:after="0"/>
        <w:ind w:left="0" w:firstLine="0"/>
        <w:rPr>
          <w:color w:val="auto"/>
          <w:highlight w:val="none"/>
        </w:rPr>
      </w:pPr>
      <w:bookmarkStart w:id="3" w:name="_Toc27625"/>
      <w:bookmarkStart w:id="4" w:name="_Toc72938426"/>
      <w:bookmarkStart w:id="5" w:name="_Toc391885334"/>
      <w:bookmarkStart w:id="6" w:name="_Toc14308"/>
      <w:bookmarkStart w:id="7" w:name="_Toc381263230"/>
      <w:bookmarkStart w:id="8" w:name="_Toc287623638"/>
      <w:r>
        <w:rPr>
          <w:rFonts w:hint="eastAsia"/>
          <w:color w:val="auto"/>
          <w:highlight w:val="none"/>
        </w:rPr>
        <w:t>供应商须知</w:t>
      </w:r>
      <w:bookmarkEnd w:id="3"/>
      <w:bookmarkEnd w:id="4"/>
      <w:bookmarkEnd w:id="5"/>
      <w:bookmarkEnd w:id="6"/>
    </w:p>
    <w:p>
      <w:pPr>
        <w:pStyle w:val="5"/>
        <w:ind w:left="851" w:hanging="851"/>
        <w:rPr>
          <w:color w:val="auto"/>
          <w:highlight w:val="none"/>
        </w:rPr>
      </w:pPr>
      <w:bookmarkStart w:id="9" w:name="_Toc32229"/>
      <w:bookmarkStart w:id="10" w:name="_Toc72938427"/>
      <w:bookmarkStart w:id="11" w:name="_Toc13118"/>
      <w:r>
        <w:rPr>
          <w:rFonts w:hint="eastAsia"/>
          <w:color w:val="auto"/>
          <w:highlight w:val="none"/>
        </w:rPr>
        <w:t>供应商须知前附表</w:t>
      </w:r>
      <w:bookmarkEnd w:id="9"/>
      <w:bookmarkEnd w:id="10"/>
      <w:bookmarkEnd w:id="11"/>
    </w:p>
    <w:tbl>
      <w:tblPr>
        <w:tblStyle w:val="45"/>
        <w:tblW w:w="10073" w:type="dxa"/>
        <w:jc w:val="center"/>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884"/>
        <w:gridCol w:w="2863"/>
        <w:gridCol w:w="6326"/>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PrEx>
        <w:trPr>
          <w:trHeight w:val="642" w:hRule="exact"/>
          <w:jc w:val="center"/>
        </w:trPr>
        <w:tc>
          <w:tcPr>
            <w:tcW w:w="884" w:type="dxa"/>
            <w:vAlign w:val="center"/>
          </w:tcPr>
          <w:p>
            <w:pPr>
              <w:pStyle w:val="148"/>
              <w:keepNext w:val="0"/>
              <w:keepLines w:val="0"/>
              <w:pageBreakBefore w:val="0"/>
              <w:kinsoku/>
              <w:wordWrap/>
              <w:overflowPunct/>
              <w:topLinePunct w:val="0"/>
              <w:bidi w:val="0"/>
              <w:spacing w:line="360" w:lineRule="auto"/>
              <w:ind w:left="38" w:hanging="38"/>
              <w:jc w:val="center"/>
              <w:textAlignment w:val="auto"/>
              <w:rPr>
                <w:b/>
                <w:color w:val="auto"/>
                <w:highlight w:val="none"/>
              </w:rPr>
            </w:pPr>
            <w:r>
              <w:rPr>
                <w:rFonts w:hint="eastAsia"/>
                <w:b/>
                <w:color w:val="auto"/>
                <w:highlight w:val="none"/>
                <w:lang w:val="zh-CN"/>
              </w:rPr>
              <w:t>序号</w:t>
            </w:r>
          </w:p>
        </w:tc>
        <w:tc>
          <w:tcPr>
            <w:tcW w:w="2863" w:type="dxa"/>
            <w:vAlign w:val="center"/>
          </w:tcPr>
          <w:p>
            <w:pPr>
              <w:pStyle w:val="148"/>
              <w:keepNext w:val="0"/>
              <w:keepLines w:val="0"/>
              <w:pageBreakBefore w:val="0"/>
              <w:kinsoku/>
              <w:wordWrap/>
              <w:overflowPunct/>
              <w:topLinePunct w:val="0"/>
              <w:bidi w:val="0"/>
              <w:spacing w:line="360" w:lineRule="auto"/>
              <w:ind w:left="38" w:hanging="38"/>
              <w:jc w:val="center"/>
              <w:textAlignment w:val="auto"/>
              <w:rPr>
                <w:b/>
                <w:color w:val="auto"/>
                <w:highlight w:val="none"/>
                <w:lang w:val="zh-CN"/>
              </w:rPr>
            </w:pPr>
            <w:r>
              <w:rPr>
                <w:rFonts w:hint="eastAsia"/>
                <w:b/>
                <w:color w:val="auto"/>
                <w:highlight w:val="none"/>
                <w:lang w:val="zh-CN"/>
              </w:rPr>
              <w:t>应知事项</w:t>
            </w:r>
          </w:p>
        </w:tc>
        <w:tc>
          <w:tcPr>
            <w:tcW w:w="6326" w:type="dxa"/>
            <w:vAlign w:val="center"/>
          </w:tcPr>
          <w:p>
            <w:pPr>
              <w:pStyle w:val="148"/>
              <w:keepNext w:val="0"/>
              <w:keepLines w:val="0"/>
              <w:pageBreakBefore w:val="0"/>
              <w:kinsoku/>
              <w:wordWrap/>
              <w:overflowPunct/>
              <w:topLinePunct w:val="0"/>
              <w:bidi w:val="0"/>
              <w:spacing w:line="360" w:lineRule="auto"/>
              <w:jc w:val="center"/>
              <w:textAlignment w:val="auto"/>
              <w:rPr>
                <w:b/>
                <w:color w:val="auto"/>
                <w:highlight w:val="none"/>
                <w:lang w:val="zh-CN"/>
              </w:rPr>
            </w:pPr>
            <w:r>
              <w:rPr>
                <w:rFonts w:hint="eastAsia"/>
                <w:b/>
                <w:color w:val="auto"/>
                <w:highlight w:val="none"/>
                <w:lang w:val="zh-CN"/>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48" w:hRule="exact"/>
          <w:jc w:val="center"/>
        </w:trPr>
        <w:tc>
          <w:tcPr>
            <w:tcW w:w="884" w:type="dxa"/>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vAlign w:val="center"/>
          </w:tcPr>
          <w:p>
            <w:pPr>
              <w:pStyle w:val="148"/>
              <w:keepNext w:val="0"/>
              <w:keepLines w:val="0"/>
              <w:pageBreakBefore w:val="0"/>
              <w:kinsoku/>
              <w:wordWrap/>
              <w:overflowPunct/>
              <w:topLinePunct w:val="0"/>
              <w:bidi w:val="0"/>
              <w:spacing w:line="360" w:lineRule="auto"/>
              <w:ind w:right="-329" w:rightChars="-137"/>
              <w:textAlignment w:val="auto"/>
              <w:rPr>
                <w:color w:val="auto"/>
                <w:highlight w:val="none"/>
                <w:lang w:val="zh-CN"/>
              </w:rPr>
            </w:pPr>
            <w:r>
              <w:rPr>
                <w:rFonts w:hint="eastAsia"/>
                <w:color w:val="auto"/>
                <w:highlight w:val="none"/>
                <w:lang w:val="zh-CN"/>
              </w:rPr>
              <w:t>采购预算</w:t>
            </w:r>
            <w:r>
              <w:rPr>
                <w:rFonts w:hint="eastAsia"/>
                <w:color w:val="auto"/>
                <w:sz w:val="21"/>
                <w:szCs w:val="21"/>
                <w:highlight w:val="none"/>
                <w:lang w:val="zh-CN"/>
              </w:rPr>
              <w:t>（实质性要求）</w:t>
            </w:r>
          </w:p>
          <w:p>
            <w:pPr>
              <w:pStyle w:val="148"/>
              <w:keepNext w:val="0"/>
              <w:keepLines w:val="0"/>
              <w:pageBreakBefore w:val="0"/>
              <w:kinsoku/>
              <w:wordWrap/>
              <w:overflowPunct/>
              <w:topLinePunct w:val="0"/>
              <w:bidi w:val="0"/>
              <w:spacing w:line="360" w:lineRule="auto"/>
              <w:textAlignment w:val="auto"/>
              <w:rPr>
                <w:color w:val="auto"/>
                <w:highlight w:val="none"/>
              </w:rPr>
            </w:pPr>
          </w:p>
        </w:tc>
        <w:tc>
          <w:tcPr>
            <w:tcW w:w="6326" w:type="dxa"/>
            <w:vAlign w:val="center"/>
          </w:tcPr>
          <w:p>
            <w:pPr>
              <w:keepNext w:val="0"/>
              <w:keepLines w:val="0"/>
              <w:pageBreakBefore w:val="0"/>
              <w:kinsoku/>
              <w:wordWrap/>
              <w:overflowPunct/>
              <w:topLinePunct w:val="0"/>
              <w:bidi w:val="0"/>
              <w:spacing w:line="360" w:lineRule="auto"/>
              <w:ind w:right="210" w:firstLine="12" w:firstLineChars="5"/>
              <w:textAlignment w:val="auto"/>
              <w:rPr>
                <w:rFonts w:ascii="宋体" w:hAnsi="宋体" w:cs="宋体"/>
                <w:b/>
                <w:color w:val="auto"/>
                <w:highlight w:val="none"/>
                <w:lang w:val="zh-CN"/>
              </w:rPr>
            </w:pPr>
            <w:r>
              <w:rPr>
                <w:rFonts w:hint="eastAsia" w:ascii="宋体" w:hAnsi="宋体"/>
                <w:b/>
                <w:color w:val="auto"/>
                <w:highlight w:val="none"/>
              </w:rPr>
              <w:t>人民币</w:t>
            </w:r>
            <w:r>
              <w:rPr>
                <w:rFonts w:hint="eastAsia" w:ascii="宋体" w:hAnsi="宋体" w:cs="宋体"/>
                <w:b/>
                <w:color w:val="auto"/>
                <w:highlight w:val="none"/>
                <w:lang w:val="zh-CN"/>
              </w:rPr>
              <w:t>302.6456万元</w:t>
            </w:r>
            <w:r>
              <w:rPr>
                <w:rFonts w:hint="eastAsia" w:ascii="宋体" w:hAnsi="宋体"/>
                <w:b/>
                <w:color w:val="auto"/>
                <w:highlight w:val="none"/>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789" w:hRule="exact"/>
          <w:jc w:val="center"/>
        </w:trPr>
        <w:tc>
          <w:tcPr>
            <w:tcW w:w="884" w:type="dxa"/>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vAlign w:val="center"/>
          </w:tcPr>
          <w:p>
            <w:pPr>
              <w:pStyle w:val="148"/>
              <w:keepNext w:val="0"/>
              <w:keepLines w:val="0"/>
              <w:pageBreakBefore w:val="0"/>
              <w:kinsoku/>
              <w:wordWrap/>
              <w:overflowPunct/>
              <w:topLinePunct w:val="0"/>
              <w:bidi w:val="0"/>
              <w:spacing w:line="360" w:lineRule="auto"/>
              <w:ind w:right="-329" w:rightChars="-137"/>
              <w:textAlignment w:val="auto"/>
              <w:rPr>
                <w:color w:val="auto"/>
                <w:highlight w:val="none"/>
                <w:lang w:val="zh-CN"/>
              </w:rPr>
            </w:pPr>
            <w:r>
              <w:rPr>
                <w:rFonts w:hint="eastAsia"/>
                <w:color w:val="auto"/>
                <w:highlight w:val="none"/>
                <w:lang w:val="zh-CN"/>
              </w:rPr>
              <w:t>最高限价（控制价）</w:t>
            </w:r>
          </w:p>
          <w:p>
            <w:pPr>
              <w:pStyle w:val="148"/>
              <w:keepNext w:val="0"/>
              <w:keepLines w:val="0"/>
              <w:pageBreakBefore w:val="0"/>
              <w:kinsoku/>
              <w:wordWrap/>
              <w:overflowPunct/>
              <w:topLinePunct w:val="0"/>
              <w:bidi w:val="0"/>
              <w:spacing w:line="360" w:lineRule="auto"/>
              <w:ind w:right="-329" w:rightChars="-137"/>
              <w:textAlignment w:val="auto"/>
              <w:rPr>
                <w:color w:val="auto"/>
                <w:highlight w:val="none"/>
                <w:lang w:val="zh-CN"/>
              </w:rPr>
            </w:pPr>
            <w:r>
              <w:rPr>
                <w:rFonts w:hint="eastAsia"/>
                <w:color w:val="auto"/>
                <w:sz w:val="21"/>
                <w:szCs w:val="21"/>
                <w:highlight w:val="none"/>
                <w:lang w:val="zh-CN"/>
              </w:rPr>
              <w:t>（实质性要求）</w:t>
            </w:r>
          </w:p>
        </w:tc>
        <w:tc>
          <w:tcPr>
            <w:tcW w:w="6326" w:type="dxa"/>
            <w:vAlign w:val="center"/>
          </w:tcPr>
          <w:p>
            <w:pPr>
              <w:pStyle w:val="148"/>
              <w:keepNext w:val="0"/>
              <w:keepLines w:val="0"/>
              <w:pageBreakBefore w:val="0"/>
              <w:kinsoku/>
              <w:wordWrap/>
              <w:overflowPunct/>
              <w:topLinePunct w:val="0"/>
              <w:bidi w:val="0"/>
              <w:spacing w:line="360" w:lineRule="auto"/>
              <w:ind w:left="38" w:hanging="24"/>
              <w:textAlignment w:val="auto"/>
              <w:rPr>
                <w:b/>
                <w:color w:val="auto"/>
                <w:highlight w:val="none"/>
                <w:lang w:val="zh-CN"/>
              </w:rPr>
            </w:pPr>
            <w:r>
              <w:rPr>
                <w:rFonts w:hint="eastAsia" w:cs="Times New Roman"/>
                <w:b/>
                <w:color w:val="auto"/>
                <w:kern w:val="2"/>
                <w:highlight w:val="none"/>
              </w:rPr>
              <w:t>本项目最高限价（控制价）为人民币</w:t>
            </w:r>
            <w:r>
              <w:rPr>
                <w:rFonts w:hint="eastAsia" w:cs="Times New Roman"/>
                <w:b/>
                <w:color w:val="auto"/>
                <w:kern w:val="2"/>
                <w:highlight w:val="none"/>
                <w:lang w:val="zh-CN"/>
              </w:rPr>
              <w:t>302.6456</w:t>
            </w:r>
            <w:r>
              <w:rPr>
                <w:rFonts w:hint="eastAsia" w:cs="Times New Roman"/>
                <w:b/>
                <w:color w:val="auto"/>
                <w:kern w:val="2"/>
                <w:highlight w:val="none"/>
              </w:rPr>
              <w:t>万元，供应商最后报价高于最高限价的则其施工响应文件将按无效响应文件处理。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60" w:hRule="exact"/>
          <w:jc w:val="center"/>
        </w:trPr>
        <w:tc>
          <w:tcPr>
            <w:tcW w:w="884" w:type="dxa"/>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vAlign w:val="center"/>
          </w:tcPr>
          <w:p>
            <w:pPr>
              <w:pStyle w:val="148"/>
              <w:keepNext w:val="0"/>
              <w:keepLines w:val="0"/>
              <w:pageBreakBefore w:val="0"/>
              <w:kinsoku/>
              <w:wordWrap/>
              <w:overflowPunct/>
              <w:topLinePunct w:val="0"/>
              <w:bidi w:val="0"/>
              <w:spacing w:line="360" w:lineRule="auto"/>
              <w:ind w:right="-329" w:rightChars="-137"/>
              <w:textAlignment w:val="auto"/>
              <w:rPr>
                <w:color w:val="auto"/>
                <w:highlight w:val="none"/>
                <w:lang w:val="zh-CN"/>
              </w:rPr>
            </w:pPr>
            <w:r>
              <w:rPr>
                <w:rFonts w:hint="eastAsia"/>
                <w:color w:val="auto"/>
                <w:highlight w:val="none"/>
                <w:lang w:val="zh-CN"/>
              </w:rPr>
              <w:t>采购方式</w:t>
            </w:r>
          </w:p>
        </w:tc>
        <w:tc>
          <w:tcPr>
            <w:tcW w:w="6326" w:type="dxa"/>
            <w:vAlign w:val="center"/>
          </w:tcPr>
          <w:p>
            <w:pPr>
              <w:pStyle w:val="148"/>
              <w:keepNext w:val="0"/>
              <w:keepLines w:val="0"/>
              <w:pageBreakBefore w:val="0"/>
              <w:kinsoku/>
              <w:wordWrap/>
              <w:overflowPunct/>
              <w:topLinePunct w:val="0"/>
              <w:bidi w:val="0"/>
              <w:spacing w:line="360" w:lineRule="auto"/>
              <w:jc w:val="both"/>
              <w:textAlignment w:val="auto"/>
              <w:rPr>
                <w:color w:val="auto"/>
                <w:highlight w:val="none"/>
                <w:lang w:val="zh-CN"/>
              </w:rPr>
            </w:pPr>
            <w:r>
              <w:rPr>
                <w:rFonts w:hint="eastAsia"/>
                <w:color w:val="auto"/>
                <w:highlight w:val="none"/>
                <w:lang w:val="zh-CN"/>
              </w:rPr>
              <w:t>竞争性磋商。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313" w:hRule="exact"/>
          <w:jc w:val="center"/>
        </w:trPr>
        <w:tc>
          <w:tcPr>
            <w:tcW w:w="884" w:type="dxa"/>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vAlign w:val="center"/>
          </w:tcPr>
          <w:p>
            <w:pPr>
              <w:pStyle w:val="148"/>
              <w:keepNext w:val="0"/>
              <w:keepLines w:val="0"/>
              <w:pageBreakBefore w:val="0"/>
              <w:kinsoku/>
              <w:wordWrap/>
              <w:overflowPunct/>
              <w:topLinePunct w:val="0"/>
              <w:bidi w:val="0"/>
              <w:spacing w:line="360" w:lineRule="auto"/>
              <w:ind w:right="-329" w:rightChars="-137"/>
              <w:textAlignment w:val="auto"/>
              <w:rPr>
                <w:color w:val="auto"/>
                <w:highlight w:val="none"/>
                <w:lang w:val="zh-CN"/>
              </w:rPr>
            </w:pPr>
            <w:r>
              <w:rPr>
                <w:rFonts w:hint="eastAsia"/>
                <w:color w:val="auto"/>
                <w:highlight w:val="none"/>
                <w:lang w:val="zh-CN"/>
              </w:rPr>
              <w:t>本国工程（实质性要求）</w:t>
            </w:r>
          </w:p>
        </w:tc>
        <w:tc>
          <w:tcPr>
            <w:tcW w:w="6326" w:type="dxa"/>
            <w:vAlign w:val="center"/>
          </w:tcPr>
          <w:p>
            <w:pPr>
              <w:pStyle w:val="148"/>
              <w:keepNext w:val="0"/>
              <w:keepLines w:val="0"/>
              <w:pageBreakBefore w:val="0"/>
              <w:kinsoku/>
              <w:wordWrap/>
              <w:overflowPunct/>
              <w:topLinePunct w:val="0"/>
              <w:bidi w:val="0"/>
              <w:spacing w:line="360" w:lineRule="auto"/>
              <w:jc w:val="both"/>
              <w:textAlignment w:val="auto"/>
              <w:rPr>
                <w:color w:val="auto"/>
                <w:highlight w:val="none"/>
                <w:lang w:val="zh-CN"/>
              </w:rPr>
            </w:pPr>
            <w:bookmarkStart w:id="12" w:name="PO_默认文件内容_10"/>
            <w:r>
              <w:rPr>
                <w:rFonts w:hint="eastAsia" w:cs="仿宋"/>
                <w:color w:val="auto"/>
                <w:highlight w:val="none"/>
              </w:rPr>
              <w:t>根据《中华人民共和国政府采购法》第十条的规定，本项目采购本国工程</w:t>
            </w:r>
            <w:bookmarkEnd w:id="12"/>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14" w:hRule="atLeast"/>
          <w:jc w:val="center"/>
        </w:trPr>
        <w:tc>
          <w:tcPr>
            <w:tcW w:w="884" w:type="dxa"/>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vAlign w:val="center"/>
          </w:tcPr>
          <w:p>
            <w:pPr>
              <w:pStyle w:val="148"/>
              <w:keepNext w:val="0"/>
              <w:keepLines w:val="0"/>
              <w:pageBreakBefore w:val="0"/>
              <w:kinsoku/>
              <w:wordWrap/>
              <w:overflowPunct/>
              <w:topLinePunct w:val="0"/>
              <w:bidi w:val="0"/>
              <w:spacing w:line="360" w:lineRule="auto"/>
              <w:jc w:val="both"/>
              <w:textAlignment w:val="auto"/>
              <w:rPr>
                <w:color w:val="auto"/>
                <w:highlight w:val="none"/>
                <w:lang w:val="zh-CN"/>
              </w:rPr>
            </w:pPr>
            <w:r>
              <w:rPr>
                <w:rFonts w:hint="eastAsia"/>
                <w:color w:val="auto"/>
                <w:highlight w:val="none"/>
              </w:rPr>
              <w:t>资格预审合格的申请人在评审阶段（磋商）资格发生变化</w:t>
            </w:r>
          </w:p>
        </w:tc>
        <w:tc>
          <w:tcPr>
            <w:tcW w:w="6326" w:type="dxa"/>
            <w:vAlign w:val="center"/>
          </w:tcPr>
          <w:p>
            <w:pPr>
              <w:pStyle w:val="148"/>
              <w:keepNext w:val="0"/>
              <w:keepLines w:val="0"/>
              <w:pageBreakBefore w:val="0"/>
              <w:kinsoku/>
              <w:wordWrap/>
              <w:overflowPunct/>
              <w:topLinePunct w:val="0"/>
              <w:bidi w:val="0"/>
              <w:spacing w:line="360" w:lineRule="auto"/>
              <w:jc w:val="both"/>
              <w:textAlignment w:val="auto"/>
              <w:rPr>
                <w:color w:val="auto"/>
                <w:highlight w:val="none"/>
                <w:lang w:val="zh-CN"/>
              </w:rPr>
            </w:pPr>
            <w:r>
              <w:rPr>
                <w:rFonts w:hint="eastAsia" w:cs="仿宋"/>
                <w:color w:val="auto"/>
                <w:kern w:val="2"/>
                <w:highlight w:val="none"/>
              </w:rPr>
              <w:t>已进行资格预审的，评审阶段可以不再对供应商资格进行审查，资格预审合格的供应商在评审阶段资格发生变化的，应当通知采购人和采购代理机构。</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14" w:hRule="atLeast"/>
          <w:jc w:val="center"/>
        </w:trPr>
        <w:tc>
          <w:tcPr>
            <w:tcW w:w="884" w:type="dxa"/>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vAlign w:val="center"/>
          </w:tcPr>
          <w:p>
            <w:pPr>
              <w:pStyle w:val="148"/>
              <w:keepNext w:val="0"/>
              <w:keepLines w:val="0"/>
              <w:pageBreakBefore w:val="0"/>
              <w:kinsoku/>
              <w:wordWrap/>
              <w:overflowPunct/>
              <w:topLinePunct w:val="0"/>
              <w:bidi w:val="0"/>
              <w:spacing w:line="360" w:lineRule="auto"/>
              <w:jc w:val="both"/>
              <w:textAlignment w:val="auto"/>
              <w:rPr>
                <w:color w:val="auto"/>
                <w:highlight w:val="none"/>
              </w:rPr>
            </w:pPr>
            <w:r>
              <w:rPr>
                <w:rFonts w:hint="eastAsia"/>
                <w:color w:val="auto"/>
                <w:highlight w:val="none"/>
              </w:rPr>
              <w:t>定向采购</w:t>
            </w:r>
          </w:p>
        </w:tc>
        <w:tc>
          <w:tcPr>
            <w:tcW w:w="6326" w:type="dxa"/>
            <w:vAlign w:val="center"/>
          </w:tcPr>
          <w:p>
            <w:pPr>
              <w:keepNext w:val="0"/>
              <w:keepLines w:val="0"/>
              <w:pageBreakBefore w:val="0"/>
              <w:kinsoku/>
              <w:wordWrap/>
              <w:overflowPunct/>
              <w:topLinePunct w:val="0"/>
              <w:bidi w:val="0"/>
              <w:adjustRightInd w:val="0"/>
              <w:spacing w:line="360" w:lineRule="auto"/>
              <w:ind w:right="36" w:rightChars="15"/>
              <w:textAlignment w:val="auto"/>
              <w:rPr>
                <w:rFonts w:ascii="宋体" w:hAnsi="宋体" w:cs="仿宋"/>
                <w:color w:val="auto"/>
                <w:highlight w:val="none"/>
              </w:rPr>
            </w:pPr>
            <w:r>
              <w:rPr>
                <w:rFonts w:hint="eastAsia" w:ascii="宋体" w:hAnsi="宋体" w:cs="仿宋"/>
                <w:color w:val="auto"/>
                <w:highlight w:val="none"/>
              </w:rPr>
              <w:t>本项目专门面向中小企业采购。</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14" w:hRule="atLeast"/>
          <w:jc w:val="center"/>
        </w:trPr>
        <w:tc>
          <w:tcPr>
            <w:tcW w:w="884" w:type="dxa"/>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vAlign w:val="center"/>
          </w:tcPr>
          <w:p>
            <w:pPr>
              <w:pStyle w:val="148"/>
              <w:keepNext w:val="0"/>
              <w:keepLines w:val="0"/>
              <w:pageBreakBefore w:val="0"/>
              <w:kinsoku/>
              <w:wordWrap/>
              <w:overflowPunct/>
              <w:topLinePunct w:val="0"/>
              <w:bidi w:val="0"/>
              <w:spacing w:line="360" w:lineRule="auto"/>
              <w:ind w:right="-329" w:rightChars="-137"/>
              <w:textAlignment w:val="auto"/>
              <w:rPr>
                <w:color w:val="auto"/>
                <w:highlight w:val="none"/>
                <w:lang w:val="zh-CN"/>
              </w:rPr>
            </w:pPr>
            <w:r>
              <w:rPr>
                <w:rFonts w:hint="eastAsia"/>
                <w:color w:val="auto"/>
                <w:highlight w:val="none"/>
                <w:lang w:val="zh-CN"/>
              </w:rPr>
              <w:t>低于成本价不正当竞争预防措施</w:t>
            </w:r>
            <w:r>
              <w:rPr>
                <w:rFonts w:hint="eastAsia"/>
                <w:color w:val="auto"/>
                <w:sz w:val="21"/>
                <w:szCs w:val="21"/>
                <w:highlight w:val="none"/>
                <w:lang w:val="zh-CN"/>
              </w:rPr>
              <w:t>（实质性要求）</w:t>
            </w:r>
          </w:p>
        </w:tc>
        <w:tc>
          <w:tcPr>
            <w:tcW w:w="6326" w:type="dxa"/>
            <w:vAlign w:val="center"/>
          </w:tcPr>
          <w:p>
            <w:pPr>
              <w:keepNext w:val="0"/>
              <w:keepLines w:val="0"/>
              <w:pageBreakBefore w:val="0"/>
              <w:kinsoku/>
              <w:wordWrap/>
              <w:overflowPunct/>
              <w:topLinePunct w:val="0"/>
              <w:bidi w:val="0"/>
              <w:adjustRightInd w:val="0"/>
              <w:snapToGrid w:val="0"/>
              <w:spacing w:before="152" w:after="160" w:line="360" w:lineRule="auto"/>
              <w:ind w:firstLine="240" w:firstLineChars="100"/>
              <w:textAlignment w:val="auto"/>
              <w:rPr>
                <w:rFonts w:ascii="宋体" w:hAnsi="宋体" w:cs="宋体"/>
                <w:color w:val="auto"/>
                <w:highlight w:val="none"/>
              </w:rPr>
            </w:pPr>
            <w:r>
              <w:rPr>
                <w:rFonts w:ascii="宋体" w:hAnsi="宋体" w:cs="宋体"/>
                <w:color w:val="auto"/>
                <w:highlight w:val="none"/>
              </w:rPr>
              <w:t>1．供应商报价低于采购预算85%或者低于其他有效供应商报价算术平均价90%，有可能影响工程质量或者不能诚信履约的，应当要求其在评审现场合理的时间内提供书面说明，必要时提交相关证明材料；供应商不能证明其报价合理性的，</w:t>
            </w:r>
            <w:r>
              <w:rPr>
                <w:rFonts w:hint="eastAsia" w:ascii="宋体" w:hAnsi="宋体" w:cs="宋体"/>
                <w:color w:val="auto"/>
                <w:highlight w:val="none"/>
              </w:rPr>
              <w:t>磋商</w:t>
            </w:r>
            <w:r>
              <w:rPr>
                <w:rFonts w:ascii="宋体" w:hAnsi="宋体" w:cs="宋体"/>
                <w:color w:val="auto"/>
                <w:highlight w:val="none"/>
              </w:rPr>
              <w:t>小组应当将其施工响应文件作为无效处理。供应商的书面说明材料应当按照国家财务会计制度的规定要求，逐项就供应商提供的工程及其有关</w:t>
            </w:r>
            <w:r>
              <w:rPr>
                <w:rFonts w:hint="eastAsia" w:ascii="宋体" w:hAnsi="宋体" w:cs="宋体"/>
                <w:color w:val="auto"/>
                <w:highlight w:val="none"/>
              </w:rPr>
              <w:t>的货物、服务的主营业务成本、税金及附加、销售费用、管理费用、财务费用等成本构成事项详细陈述。</w:t>
            </w:r>
          </w:p>
          <w:p>
            <w:pPr>
              <w:keepNext w:val="0"/>
              <w:keepLines w:val="0"/>
              <w:pageBreakBefore w:val="0"/>
              <w:kinsoku/>
              <w:wordWrap/>
              <w:overflowPunct/>
              <w:topLinePunct w:val="0"/>
              <w:bidi w:val="0"/>
              <w:adjustRightInd w:val="0"/>
              <w:snapToGrid w:val="0"/>
              <w:spacing w:before="152" w:after="160" w:line="360" w:lineRule="auto"/>
              <w:ind w:firstLine="240" w:firstLineChars="100"/>
              <w:textAlignment w:val="auto"/>
              <w:rPr>
                <w:rFonts w:ascii="宋体" w:hAnsi="宋体" w:cs="宋体"/>
                <w:color w:val="auto"/>
                <w:highlight w:val="none"/>
              </w:rPr>
            </w:pPr>
            <w:r>
              <w:rPr>
                <w:rFonts w:ascii="宋体" w:hAnsi="宋体" w:cs="宋体"/>
                <w:color w:val="auto"/>
                <w:highlight w:val="none"/>
              </w:rPr>
              <w:t>2．供应商书面说明</w:t>
            </w:r>
            <w:r>
              <w:rPr>
                <w:rFonts w:hint="eastAsia" w:ascii="宋体" w:hAnsi="宋体" w:cs="宋体"/>
                <w:color w:val="auto"/>
                <w:highlight w:val="none"/>
              </w:rPr>
              <w:t>每页均应加盖供应商（法定名称）电子签章</w:t>
            </w:r>
            <w:r>
              <w:rPr>
                <w:rFonts w:ascii="宋体" w:hAnsi="宋体" w:cs="宋体"/>
                <w:color w:val="auto"/>
                <w:highlight w:val="none"/>
              </w:rPr>
              <w:t>，否则无效。</w:t>
            </w:r>
          </w:p>
          <w:p>
            <w:pPr>
              <w:keepNext w:val="0"/>
              <w:keepLines w:val="0"/>
              <w:pageBreakBefore w:val="0"/>
              <w:kinsoku/>
              <w:wordWrap/>
              <w:overflowPunct/>
              <w:topLinePunct w:val="0"/>
              <w:bidi w:val="0"/>
              <w:adjustRightInd w:val="0"/>
              <w:snapToGrid w:val="0"/>
              <w:spacing w:line="360" w:lineRule="auto"/>
              <w:ind w:firstLine="153" w:firstLineChars="64"/>
              <w:textAlignment w:val="auto"/>
              <w:rPr>
                <w:rFonts w:ascii="宋体" w:hAnsi="宋体"/>
                <w:b/>
                <w:color w:val="auto"/>
                <w:highlight w:val="none"/>
              </w:rPr>
            </w:pPr>
            <w:r>
              <w:rPr>
                <w:rFonts w:ascii="宋体" w:hAnsi="宋体"/>
                <w:color w:val="auto"/>
                <w:highlight w:val="none"/>
              </w:rPr>
              <w:t>3．供应商提供书面说明后，</w:t>
            </w:r>
            <w:r>
              <w:rPr>
                <w:rFonts w:hint="eastAsia" w:ascii="宋体" w:hAnsi="宋体" w:cs="宋体"/>
                <w:color w:val="auto"/>
                <w:highlight w:val="none"/>
              </w:rPr>
              <w:t>磋商</w:t>
            </w:r>
            <w:r>
              <w:rPr>
                <w:rFonts w:ascii="宋体" w:hAnsi="宋体"/>
                <w:color w:val="auto"/>
                <w:highlight w:val="none"/>
              </w:rPr>
              <w:t>小组应当结合采购项目采购需求、专业实际情况、供应商财务状况报告、与其</w:t>
            </w:r>
            <w:r>
              <w:rPr>
                <w:rFonts w:hint="eastAsia" w:ascii="宋体" w:hAnsi="宋体"/>
                <w:color w:val="auto"/>
                <w:highlight w:val="none"/>
              </w:rPr>
              <w:t>他供应商比较情况等就供应商书面说明进行审查评价。供应商拒绝或者变相拒绝提供有效书面说明或者书面说明不能证明其报价合理性的或未在规定时间内递交有效书面说明书的，</w:t>
            </w:r>
            <w:r>
              <w:rPr>
                <w:rFonts w:hint="eastAsia" w:ascii="宋体" w:hAnsi="宋体" w:cs="宋体"/>
                <w:color w:val="auto"/>
                <w:highlight w:val="none"/>
              </w:rPr>
              <w:t>磋商</w:t>
            </w:r>
            <w:r>
              <w:rPr>
                <w:rFonts w:hint="eastAsia" w:ascii="宋体" w:hAnsi="宋体"/>
                <w:color w:val="auto"/>
                <w:highlight w:val="none"/>
              </w:rPr>
              <w:t>小组应当将其施工响应文件作为无效处理。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14" w:hRule="atLeast"/>
          <w:jc w:val="center"/>
        </w:trPr>
        <w:tc>
          <w:tcPr>
            <w:tcW w:w="884" w:type="dxa"/>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vAlign w:val="center"/>
          </w:tcPr>
          <w:p>
            <w:pPr>
              <w:pStyle w:val="148"/>
              <w:keepNext w:val="0"/>
              <w:keepLines w:val="0"/>
              <w:pageBreakBefore w:val="0"/>
              <w:kinsoku/>
              <w:wordWrap/>
              <w:overflowPunct/>
              <w:topLinePunct w:val="0"/>
              <w:bidi w:val="0"/>
              <w:spacing w:line="360" w:lineRule="auto"/>
              <w:ind w:right="-329" w:rightChars="-137"/>
              <w:textAlignment w:val="auto"/>
              <w:rPr>
                <w:color w:val="auto"/>
                <w:highlight w:val="none"/>
                <w:lang w:val="zh-CN"/>
              </w:rPr>
            </w:pPr>
            <w:r>
              <w:rPr>
                <w:rFonts w:hint="eastAsia"/>
                <w:color w:val="auto"/>
                <w:highlight w:val="none"/>
                <w:lang w:val="zh-CN"/>
              </w:rPr>
              <w:t>小微企业（监狱企业、残疾人福利性单位视同小微企业）价格扣除</w:t>
            </w:r>
          </w:p>
        </w:tc>
        <w:tc>
          <w:tcPr>
            <w:tcW w:w="6326" w:type="dxa"/>
            <w:vAlign w:val="center"/>
          </w:tcPr>
          <w:p>
            <w:pPr>
              <w:keepNext w:val="0"/>
              <w:keepLines w:val="0"/>
              <w:pageBreakBefore w:val="0"/>
              <w:kinsoku/>
              <w:wordWrap/>
              <w:overflowPunct/>
              <w:topLinePunct w:val="0"/>
              <w:bidi w:val="0"/>
              <w:adjustRightInd w:val="0"/>
              <w:snapToGrid w:val="0"/>
              <w:spacing w:line="360" w:lineRule="auto"/>
              <w:ind w:firstLine="241" w:firstLineChars="100"/>
              <w:textAlignment w:val="auto"/>
              <w:rPr>
                <w:rFonts w:ascii="宋体" w:hAnsi="宋体" w:cs="宋体"/>
                <w:color w:val="auto"/>
                <w:highlight w:val="none"/>
              </w:rPr>
            </w:pPr>
            <w:r>
              <w:rPr>
                <w:rFonts w:hint="eastAsia" w:ascii="宋体" w:hAnsi="宋体" w:cs="宋体"/>
                <w:b/>
                <w:color w:val="auto"/>
                <w:highlight w:val="none"/>
              </w:rPr>
              <w:t>本项目专门面向中小</w:t>
            </w:r>
            <w:r>
              <w:rPr>
                <w:rFonts w:ascii="宋体" w:hAnsi="宋体" w:cs="宋体"/>
                <w:b/>
                <w:color w:val="auto"/>
                <w:highlight w:val="none"/>
              </w:rPr>
              <w:t>企业，不进行价格扣除</w:t>
            </w:r>
            <w:r>
              <w:rPr>
                <w:rFonts w:ascii="宋体" w:hAnsi="宋体" w:cs="宋体"/>
                <w:color w:val="auto"/>
                <w:highlight w:val="none"/>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759"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tcBorders>
              <w:top w:val="single" w:color="auto" w:sz="8" w:space="0"/>
              <w:left w:val="single" w:color="auto" w:sz="8" w:space="0"/>
              <w:bottom w:val="single" w:color="auto" w:sz="8" w:space="0"/>
              <w:right w:val="single" w:color="auto" w:sz="8" w:space="0"/>
            </w:tcBorders>
            <w:vAlign w:val="center"/>
          </w:tcPr>
          <w:p>
            <w:pPr>
              <w:pStyle w:val="148"/>
              <w:keepNext w:val="0"/>
              <w:keepLines w:val="0"/>
              <w:pageBreakBefore w:val="0"/>
              <w:kinsoku/>
              <w:wordWrap/>
              <w:overflowPunct/>
              <w:topLinePunct w:val="0"/>
              <w:bidi w:val="0"/>
              <w:spacing w:line="360" w:lineRule="auto"/>
              <w:jc w:val="both"/>
              <w:textAlignment w:val="auto"/>
              <w:rPr>
                <w:color w:val="auto"/>
                <w:highlight w:val="none"/>
                <w:lang w:val="zh-CN"/>
              </w:rPr>
            </w:pPr>
            <w:r>
              <w:rPr>
                <w:rFonts w:hint="eastAsia"/>
                <w:color w:val="auto"/>
                <w:highlight w:val="none"/>
                <w:lang w:val="zh-CN"/>
              </w:rPr>
              <w:t>磋商保证金</w:t>
            </w:r>
          </w:p>
        </w:tc>
        <w:tc>
          <w:tcPr>
            <w:tcW w:w="6326" w:type="dxa"/>
            <w:tcBorders>
              <w:top w:val="single" w:color="auto" w:sz="8" w:space="0"/>
              <w:left w:val="single" w:color="auto" w:sz="8" w:space="0"/>
              <w:bottom w:val="single" w:color="auto" w:sz="8" w:space="0"/>
              <w:right w:val="single" w:color="auto" w:sz="18" w:space="0"/>
            </w:tcBorders>
            <w:vAlign w:val="center"/>
          </w:tcPr>
          <w:p>
            <w:pPr>
              <w:keepNext w:val="0"/>
              <w:keepLines w:val="0"/>
              <w:pageBreakBefore w:val="0"/>
              <w:kinsoku/>
              <w:wordWrap/>
              <w:overflowPunct/>
              <w:topLinePunct w:val="0"/>
              <w:bidi w:val="0"/>
              <w:spacing w:line="360" w:lineRule="auto"/>
              <w:textAlignment w:val="auto"/>
              <w:rPr>
                <w:rFonts w:ascii="宋体" w:hAnsi="宋体"/>
                <w:color w:val="auto"/>
                <w:highlight w:val="none"/>
              </w:rPr>
            </w:pPr>
            <w:r>
              <w:rPr>
                <w:rFonts w:hint="eastAsia" w:ascii="宋体" w:hAnsi="宋体"/>
                <w:b/>
                <w:color w:val="auto"/>
                <w:highlight w:val="none"/>
              </w:rPr>
              <w:t>本项目不收取磋商保证金。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tcBorders>
              <w:top w:val="single" w:color="auto" w:sz="8" w:space="0"/>
              <w:left w:val="single" w:color="auto" w:sz="8" w:space="0"/>
              <w:bottom w:val="single" w:color="auto" w:sz="8" w:space="0"/>
              <w:right w:val="single" w:color="auto" w:sz="8" w:space="0"/>
            </w:tcBorders>
            <w:vAlign w:val="center"/>
          </w:tcPr>
          <w:p>
            <w:pPr>
              <w:pStyle w:val="148"/>
              <w:keepNext w:val="0"/>
              <w:keepLines w:val="0"/>
              <w:pageBreakBefore w:val="0"/>
              <w:kinsoku/>
              <w:wordWrap/>
              <w:overflowPunct/>
              <w:topLinePunct w:val="0"/>
              <w:bidi w:val="0"/>
              <w:spacing w:line="360" w:lineRule="auto"/>
              <w:ind w:right="-329" w:rightChars="-137"/>
              <w:textAlignment w:val="auto"/>
              <w:rPr>
                <w:color w:val="auto"/>
                <w:highlight w:val="none"/>
                <w:lang w:val="zh-CN"/>
              </w:rPr>
            </w:pPr>
            <w:r>
              <w:rPr>
                <w:rFonts w:hint="eastAsia"/>
                <w:color w:val="auto"/>
                <w:highlight w:val="none"/>
                <w:lang w:val="zh-CN"/>
              </w:rPr>
              <w:t>履约保证金</w:t>
            </w:r>
          </w:p>
        </w:tc>
        <w:tc>
          <w:tcPr>
            <w:tcW w:w="6326" w:type="dxa"/>
            <w:tcBorders>
              <w:top w:val="single" w:color="auto" w:sz="8" w:space="0"/>
              <w:left w:val="single" w:color="auto" w:sz="8" w:space="0"/>
              <w:bottom w:val="single" w:color="auto" w:sz="8" w:space="0"/>
              <w:right w:val="single" w:color="auto" w:sz="18" w:space="0"/>
            </w:tcBorders>
            <w:vAlign w:val="center"/>
          </w:tcPr>
          <w:p>
            <w:pPr>
              <w:keepNext w:val="0"/>
              <w:keepLines w:val="0"/>
              <w:pageBreakBefore w:val="0"/>
              <w:kinsoku/>
              <w:wordWrap/>
              <w:overflowPunct/>
              <w:topLinePunct w:val="0"/>
              <w:bidi w:val="0"/>
              <w:spacing w:line="360" w:lineRule="auto"/>
              <w:textAlignment w:val="auto"/>
              <w:rPr>
                <w:rFonts w:ascii="宋体" w:hAnsi="宋体" w:cs="宋体"/>
                <w:b/>
                <w:color w:val="auto"/>
                <w:highlight w:val="none"/>
                <w:lang w:val="zh-CN"/>
              </w:rPr>
            </w:pPr>
            <w:r>
              <w:rPr>
                <w:rFonts w:hint="eastAsia" w:ascii="宋体" w:hAnsi="宋体"/>
                <w:b/>
                <w:color w:val="auto"/>
                <w:highlight w:val="none"/>
              </w:rPr>
              <w:t>本项目不收取履约保证金。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tcBorders>
              <w:top w:val="single" w:color="auto" w:sz="8" w:space="0"/>
              <w:left w:val="single" w:color="auto" w:sz="8" w:space="0"/>
              <w:bottom w:val="single" w:color="auto" w:sz="8" w:space="0"/>
              <w:right w:val="single" w:color="auto" w:sz="8" w:space="0"/>
            </w:tcBorders>
            <w:vAlign w:val="center"/>
          </w:tcPr>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lang w:val="zh-CN"/>
              </w:rPr>
            </w:pPr>
            <w:r>
              <w:rPr>
                <w:rFonts w:hint="eastAsia" w:ascii="宋体" w:hAnsi="宋体"/>
                <w:color w:val="auto"/>
                <w:highlight w:val="none"/>
                <w:lang w:val="zh-CN"/>
              </w:rPr>
              <w:t>施工响应文件的制作和签章、加密</w:t>
            </w:r>
            <w:r>
              <w:rPr>
                <w:rFonts w:hint="eastAsia" w:ascii="宋体" w:hAnsi="宋体" w:cs="宋体"/>
                <w:color w:val="auto"/>
                <w:sz w:val="21"/>
                <w:szCs w:val="21"/>
                <w:highlight w:val="none"/>
                <w:lang w:val="zh-CN"/>
              </w:rPr>
              <w:t>（实质性要求）</w:t>
            </w:r>
          </w:p>
        </w:tc>
        <w:tc>
          <w:tcPr>
            <w:tcW w:w="6326" w:type="dxa"/>
            <w:tcBorders>
              <w:top w:val="single" w:color="auto" w:sz="8" w:space="0"/>
              <w:left w:val="single" w:color="auto" w:sz="8" w:space="0"/>
              <w:bottom w:val="single" w:color="auto" w:sz="8" w:space="0"/>
              <w:right w:val="single" w:color="auto" w:sz="18" w:space="0"/>
            </w:tcBorders>
            <w:vAlign w:val="center"/>
          </w:tcPr>
          <w:p>
            <w:pPr>
              <w:keepNext w:val="0"/>
              <w:keepLines w:val="0"/>
              <w:pageBreakBefore w:val="0"/>
              <w:tabs>
                <w:tab w:val="left" w:pos="7665"/>
              </w:tabs>
              <w:kinsoku/>
              <w:wordWrap/>
              <w:overflowPunct/>
              <w:topLinePunct w:val="0"/>
              <w:bidi w:val="0"/>
              <w:snapToGrid w:val="0"/>
              <w:spacing w:line="360" w:lineRule="auto"/>
              <w:textAlignment w:val="auto"/>
              <w:rPr>
                <w:rFonts w:hint="eastAsia" w:ascii="宋体" w:hAnsi="宋体" w:eastAsia="宋体"/>
                <w:color w:val="auto"/>
                <w:highlight w:val="none"/>
                <w:lang w:eastAsia="zh-CN"/>
              </w:rPr>
            </w:pPr>
            <w:r>
              <w:rPr>
                <w:rFonts w:hint="eastAsia" w:ascii="宋体" w:hAnsi="宋体"/>
                <w:color w:val="auto"/>
                <w:highlight w:val="none"/>
              </w:rPr>
              <w:t>详见供应商须知2.4.11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tcBorders>
              <w:top w:val="single" w:color="auto" w:sz="8" w:space="0"/>
              <w:left w:val="single" w:color="auto" w:sz="8" w:space="0"/>
              <w:bottom w:val="single" w:color="auto" w:sz="8" w:space="0"/>
              <w:right w:val="single" w:color="auto" w:sz="8" w:space="0"/>
            </w:tcBorders>
            <w:vAlign w:val="center"/>
          </w:tcPr>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olor w:val="auto"/>
                <w:highlight w:val="none"/>
              </w:rPr>
              <w:t>施工响应文</w:t>
            </w:r>
            <w:r>
              <w:rPr>
                <w:rFonts w:hint="eastAsia" w:ascii="宋体" w:hAnsi="宋体" w:cs="宋体"/>
                <w:color w:val="auto"/>
                <w:highlight w:val="none"/>
                <w:lang w:val="zh-CN"/>
              </w:rPr>
              <w:t>件的递交</w:t>
            </w:r>
            <w:r>
              <w:rPr>
                <w:rFonts w:hint="eastAsia" w:ascii="宋体" w:hAnsi="宋体" w:cs="宋体"/>
                <w:color w:val="auto"/>
                <w:sz w:val="21"/>
                <w:szCs w:val="21"/>
                <w:highlight w:val="none"/>
                <w:lang w:val="zh-CN"/>
              </w:rPr>
              <w:t>（实质性要求）</w:t>
            </w:r>
          </w:p>
        </w:tc>
        <w:tc>
          <w:tcPr>
            <w:tcW w:w="6326" w:type="dxa"/>
            <w:tcBorders>
              <w:top w:val="single" w:color="auto" w:sz="8" w:space="0"/>
              <w:left w:val="single" w:color="auto" w:sz="8" w:space="0"/>
              <w:bottom w:val="single" w:color="auto" w:sz="8" w:space="0"/>
              <w:right w:val="single" w:color="auto" w:sz="18" w:space="0"/>
            </w:tcBorders>
            <w:vAlign w:val="center"/>
          </w:tcPr>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olor w:val="auto"/>
                <w:highlight w:val="none"/>
              </w:rPr>
              <w:t>详见供应商须知2.4.12</w:t>
            </w:r>
          </w:p>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olor w:val="auto"/>
                <w:highlight w:val="none"/>
              </w:rPr>
              <w:t>注：供应商使用</w:t>
            </w:r>
            <w:r>
              <w:rPr>
                <w:rFonts w:ascii="宋体" w:hAnsi="宋体"/>
                <w:color w:val="auto"/>
                <w:highlight w:val="none"/>
              </w:rPr>
              <w:t>CA证书在</w:t>
            </w:r>
            <w:r>
              <w:rPr>
                <w:rFonts w:hint="eastAsia" w:ascii="宋体" w:hAnsi="宋体"/>
                <w:color w:val="auto"/>
                <w:highlight w:val="none"/>
              </w:rPr>
              <w:t>递交施工</w:t>
            </w:r>
            <w:r>
              <w:rPr>
                <w:rFonts w:ascii="宋体" w:hAnsi="宋体"/>
                <w:color w:val="auto"/>
                <w:highlight w:val="none"/>
              </w:rPr>
              <w:t>响应文件</w:t>
            </w:r>
            <w:r>
              <w:rPr>
                <w:rFonts w:hint="eastAsia" w:ascii="宋体" w:hAnsi="宋体"/>
                <w:color w:val="auto"/>
                <w:highlight w:val="none"/>
              </w:rPr>
              <w:t>截止时间前，将施工响应文件上传至政府</w:t>
            </w:r>
            <w:r>
              <w:rPr>
                <w:rFonts w:ascii="宋体" w:hAnsi="宋体"/>
                <w:color w:val="auto"/>
                <w:highlight w:val="none"/>
              </w:rPr>
              <w:t>采购</w:t>
            </w:r>
            <w:r>
              <w:rPr>
                <w:rFonts w:hint="eastAsia" w:ascii="宋体" w:hAnsi="宋体"/>
                <w:color w:val="auto"/>
                <w:highlight w:val="none"/>
              </w:rPr>
              <w:t>云平台，上传前须对施工响应文件是否有电子签章等进行核对。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tcBorders>
              <w:top w:val="single" w:color="auto" w:sz="8" w:space="0"/>
              <w:left w:val="single" w:color="auto" w:sz="8" w:space="0"/>
              <w:bottom w:val="single" w:color="auto" w:sz="8" w:space="0"/>
              <w:right w:val="single" w:color="auto" w:sz="8" w:space="0"/>
            </w:tcBorders>
            <w:vAlign w:val="center"/>
          </w:tcPr>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olor w:val="auto"/>
                <w:highlight w:val="none"/>
              </w:rPr>
              <w:t>施工响应文件的补充、修改和撤回</w:t>
            </w:r>
          </w:p>
        </w:tc>
        <w:tc>
          <w:tcPr>
            <w:tcW w:w="6326" w:type="dxa"/>
            <w:tcBorders>
              <w:top w:val="single" w:color="auto" w:sz="8" w:space="0"/>
              <w:left w:val="single" w:color="auto" w:sz="8" w:space="0"/>
              <w:bottom w:val="single" w:color="auto" w:sz="8" w:space="0"/>
              <w:right w:val="single" w:color="auto" w:sz="18" w:space="0"/>
            </w:tcBorders>
            <w:vAlign w:val="center"/>
          </w:tcPr>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olor w:val="auto"/>
                <w:highlight w:val="none"/>
              </w:rPr>
              <w:t>详见供应商须知2.4.13</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6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tcBorders>
              <w:top w:val="single" w:color="auto" w:sz="8" w:space="0"/>
              <w:left w:val="single" w:color="auto" w:sz="8" w:space="0"/>
              <w:bottom w:val="single" w:color="auto" w:sz="8" w:space="0"/>
              <w:right w:val="single" w:color="auto" w:sz="8" w:space="0"/>
            </w:tcBorders>
            <w:vAlign w:val="center"/>
          </w:tcPr>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rPr>
            </w:pPr>
            <w:r>
              <w:rPr>
                <w:rFonts w:hint="eastAsia"/>
                <w:b/>
                <w:color w:val="auto"/>
                <w:highlight w:val="none"/>
              </w:rPr>
              <w:t>开标及开标程序</w:t>
            </w:r>
          </w:p>
        </w:tc>
        <w:tc>
          <w:tcPr>
            <w:tcW w:w="6326" w:type="dxa"/>
            <w:tcBorders>
              <w:top w:val="single" w:color="auto" w:sz="8" w:space="0"/>
              <w:left w:val="single" w:color="auto" w:sz="8" w:space="0"/>
              <w:bottom w:val="single" w:color="auto" w:sz="8" w:space="0"/>
              <w:right w:val="single" w:color="auto" w:sz="18" w:space="0"/>
            </w:tcBorders>
            <w:vAlign w:val="center"/>
          </w:tcPr>
          <w:p>
            <w:pPr>
              <w:keepNext w:val="0"/>
              <w:keepLines w:val="0"/>
              <w:pageBreakBefore w:val="0"/>
              <w:kinsoku/>
              <w:wordWrap/>
              <w:overflowPunct/>
              <w:topLinePunct w:val="0"/>
              <w:bidi w:val="0"/>
              <w:snapToGrid w:val="0"/>
              <w:spacing w:line="360" w:lineRule="auto"/>
              <w:textAlignment w:val="auto"/>
              <w:rPr>
                <w:rFonts w:ascii="宋体" w:hAnsi="宋体"/>
                <w:b/>
                <w:color w:val="auto"/>
                <w:highlight w:val="none"/>
              </w:rPr>
            </w:pPr>
            <w:r>
              <w:rPr>
                <w:rFonts w:hint="eastAsia" w:ascii="宋体" w:hAnsi="宋体"/>
                <w:b/>
                <w:color w:val="auto"/>
                <w:highlight w:val="none"/>
              </w:rPr>
              <w:t>详见供应商须知2.5.1。</w:t>
            </w:r>
          </w:p>
          <w:p>
            <w:pPr>
              <w:keepNext w:val="0"/>
              <w:keepLines w:val="0"/>
              <w:pageBreakBefore w:val="0"/>
              <w:kinsoku/>
              <w:wordWrap/>
              <w:overflowPunct/>
              <w:topLinePunct w:val="0"/>
              <w:bidi w:val="0"/>
              <w:snapToGrid w:val="0"/>
              <w:spacing w:line="360" w:lineRule="auto"/>
              <w:textAlignment w:val="auto"/>
              <w:rPr>
                <w:rFonts w:ascii="宋体" w:hAnsi="宋体"/>
                <w:b/>
                <w:color w:val="auto"/>
                <w:highlight w:val="none"/>
              </w:rPr>
            </w:pPr>
            <w:r>
              <w:rPr>
                <w:rFonts w:hint="eastAsia" w:ascii="宋体" w:hAnsi="宋体"/>
                <w:b/>
                <w:color w:val="auto"/>
                <w:highlight w:val="none"/>
              </w:rPr>
              <w:t>施工响应文件解密：开启解密后，供应商应在系统提示的解密开始时间后</w:t>
            </w:r>
            <w:r>
              <w:rPr>
                <w:rFonts w:ascii="宋体" w:hAnsi="宋体"/>
                <w:b/>
                <w:color w:val="auto"/>
                <w:highlight w:val="none"/>
              </w:rPr>
              <w:t>60</w:t>
            </w:r>
            <w:r>
              <w:rPr>
                <w:rFonts w:hint="eastAsia" w:ascii="宋体" w:hAnsi="宋体"/>
                <w:b/>
                <w:color w:val="auto"/>
                <w:highlight w:val="none"/>
              </w:rPr>
              <w:t>分钟内，使用对施工响应文件进行加密的CA证书在线完成对供应商递交至政府采购云平台的施工响应文件的解密。</w:t>
            </w:r>
          </w:p>
          <w:p>
            <w:pPr>
              <w:keepNext w:val="0"/>
              <w:keepLines w:val="0"/>
              <w:pageBreakBefore w:val="0"/>
              <w:kinsoku/>
              <w:wordWrap/>
              <w:overflowPunct/>
              <w:topLinePunct w:val="0"/>
              <w:bidi w:val="0"/>
              <w:snapToGrid w:val="0"/>
              <w:spacing w:line="360" w:lineRule="auto"/>
              <w:textAlignment w:val="auto"/>
              <w:rPr>
                <w:rFonts w:ascii="宋体" w:hAnsi="宋体"/>
                <w:b/>
                <w:color w:val="auto"/>
                <w:highlight w:val="none"/>
              </w:rPr>
            </w:pPr>
            <w:r>
              <w:rPr>
                <w:rFonts w:hint="eastAsia" w:ascii="宋体" w:hAnsi="宋体"/>
                <w:b/>
                <w:color w:val="auto"/>
                <w:highlight w:val="none"/>
              </w:rPr>
              <w:t>供应商电脑终端等硬件设备和软件系统配置：供应商电脑终端等硬件设备和软件系统配置应符合开标大厅供应商电脑终端配置要求并运行正常，供应商承担因未尽职责产生的不利后果。</w:t>
            </w:r>
          </w:p>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b/>
                <w:color w:val="auto"/>
                <w:highlight w:val="none"/>
              </w:rPr>
              <w:t>开标、响应文件的解密详见《成都市全流程电子化采购系统操作指南——供应商版》。</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25"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tcBorders>
              <w:top w:val="single" w:color="auto" w:sz="8" w:space="0"/>
              <w:left w:val="single" w:color="auto" w:sz="8" w:space="0"/>
              <w:bottom w:val="single" w:color="auto" w:sz="4" w:space="0"/>
              <w:right w:val="single" w:color="auto" w:sz="8" w:space="0"/>
            </w:tcBorders>
            <w:vAlign w:val="center"/>
          </w:tcPr>
          <w:p>
            <w:pPr>
              <w:keepNext w:val="0"/>
              <w:keepLines w:val="0"/>
              <w:pageBreakBefore w:val="0"/>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olor w:val="auto"/>
                <w:highlight w:val="none"/>
              </w:rPr>
              <w:t>对磋商文件中供应商参加本次政府采购活动应当具备的条件、项目技术、服务、商务及其他要求，评分细则及标准的询问、质疑</w:t>
            </w:r>
          </w:p>
        </w:tc>
        <w:tc>
          <w:tcPr>
            <w:tcW w:w="6326" w:type="dxa"/>
            <w:tcBorders>
              <w:top w:val="single" w:color="auto" w:sz="8" w:space="0"/>
              <w:left w:val="single" w:color="auto" w:sz="8" w:space="0"/>
              <w:bottom w:val="single" w:color="auto" w:sz="4" w:space="0"/>
              <w:right w:val="single" w:color="auto" w:sz="18" w:space="0"/>
            </w:tcBorders>
            <w:vAlign w:val="center"/>
          </w:tcPr>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olor w:val="auto"/>
                <w:highlight w:val="none"/>
              </w:rPr>
              <w:t>向采购人提出，并由采购人按相关规定作出答复（详见供应商须知2.10）。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557" w:hRule="atLeast"/>
          <w:jc w:val="center"/>
        </w:trPr>
        <w:tc>
          <w:tcPr>
            <w:tcW w:w="884" w:type="dxa"/>
            <w:tcBorders>
              <w:top w:val="single" w:color="auto" w:sz="4" w:space="0"/>
              <w:left w:val="single" w:color="auto" w:sz="18" w:space="0"/>
              <w:bottom w:val="single" w:color="auto" w:sz="8"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tcBorders>
              <w:top w:val="single" w:color="auto" w:sz="4" w:space="0"/>
              <w:left w:val="single" w:color="auto" w:sz="8" w:space="0"/>
              <w:bottom w:val="single" w:color="auto" w:sz="8" w:space="0"/>
              <w:right w:val="single" w:color="auto" w:sz="8" w:space="0"/>
            </w:tcBorders>
            <w:vAlign w:val="center"/>
          </w:tcPr>
          <w:p>
            <w:pPr>
              <w:keepNext w:val="0"/>
              <w:keepLines w:val="0"/>
              <w:pageBreakBefore w:val="0"/>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olor w:val="auto"/>
                <w:highlight w:val="none"/>
              </w:rPr>
              <w:t>对磋商文件中的其他内容、采购过程及成交结果的询问、质疑</w:t>
            </w:r>
          </w:p>
        </w:tc>
        <w:tc>
          <w:tcPr>
            <w:tcW w:w="6326" w:type="dxa"/>
            <w:tcBorders>
              <w:top w:val="single" w:color="auto" w:sz="4" w:space="0"/>
              <w:left w:val="single" w:color="auto" w:sz="8" w:space="0"/>
              <w:bottom w:val="single" w:color="auto" w:sz="8" w:space="0"/>
              <w:right w:val="single" w:color="auto" w:sz="18" w:space="0"/>
            </w:tcBorders>
            <w:vAlign w:val="center"/>
          </w:tcPr>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olor w:val="auto"/>
                <w:highlight w:val="none"/>
              </w:rPr>
              <w:t>向</w:t>
            </w:r>
            <w:r>
              <w:rPr>
                <w:rFonts w:hint="eastAsia" w:ascii="宋体" w:hAnsi="宋体" w:cs="宋体"/>
                <w:color w:val="auto"/>
                <w:highlight w:val="none"/>
              </w:rPr>
              <w:t>高新区采购中心</w:t>
            </w:r>
            <w:r>
              <w:rPr>
                <w:rFonts w:hint="eastAsia" w:ascii="宋体" w:hAnsi="宋体"/>
                <w:color w:val="auto"/>
                <w:highlight w:val="none"/>
              </w:rPr>
              <w:t>提出，并由</w:t>
            </w:r>
            <w:r>
              <w:rPr>
                <w:rFonts w:hint="eastAsia" w:ascii="宋体" w:hAnsi="宋体" w:cs="宋体"/>
                <w:color w:val="auto"/>
                <w:highlight w:val="none"/>
              </w:rPr>
              <w:t>高新区采购中心</w:t>
            </w:r>
            <w:r>
              <w:rPr>
                <w:rFonts w:hint="eastAsia" w:ascii="宋体" w:hAnsi="宋体"/>
                <w:color w:val="auto"/>
                <w:highlight w:val="none"/>
              </w:rPr>
              <w:t>按相关规定作出答复（详见供应商须知2.10）。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tcBorders>
              <w:top w:val="single" w:color="auto" w:sz="8" w:space="0"/>
              <w:left w:val="single" w:color="auto" w:sz="8" w:space="0"/>
              <w:bottom w:val="single" w:color="auto" w:sz="8" w:space="0"/>
              <w:right w:val="single" w:color="auto" w:sz="8" w:space="0"/>
            </w:tcBorders>
            <w:vAlign w:val="center"/>
          </w:tcPr>
          <w:p>
            <w:pPr>
              <w:keepNext w:val="0"/>
              <w:keepLines w:val="0"/>
              <w:pageBreakBefore w:val="0"/>
              <w:kinsoku/>
              <w:wordWrap/>
              <w:overflowPunct/>
              <w:topLinePunct w:val="0"/>
              <w:bidi w:val="0"/>
              <w:snapToGrid w:val="0"/>
              <w:spacing w:line="360" w:lineRule="auto"/>
              <w:ind w:right="240" w:rightChars="100"/>
              <w:textAlignment w:val="auto"/>
              <w:rPr>
                <w:rFonts w:ascii="宋体" w:hAnsi="宋体"/>
                <w:color w:val="auto"/>
                <w:highlight w:val="none"/>
              </w:rPr>
            </w:pPr>
            <w:r>
              <w:rPr>
                <w:rFonts w:hint="eastAsia" w:ascii="宋体" w:hAnsi="宋体"/>
                <w:color w:val="auto"/>
                <w:highlight w:val="none"/>
              </w:rPr>
              <w:t>供应商投诉</w:t>
            </w:r>
          </w:p>
        </w:tc>
        <w:tc>
          <w:tcPr>
            <w:tcW w:w="6326" w:type="dxa"/>
            <w:tcBorders>
              <w:top w:val="single" w:color="auto" w:sz="8" w:space="0"/>
              <w:left w:val="single" w:color="auto" w:sz="8" w:space="0"/>
              <w:bottom w:val="single" w:color="auto" w:sz="8" w:space="0"/>
              <w:right w:val="single" w:color="auto" w:sz="18" w:space="0"/>
            </w:tcBorders>
            <w:vAlign w:val="center"/>
          </w:tcPr>
          <w:p>
            <w:pPr>
              <w:keepNext w:val="0"/>
              <w:keepLines w:val="0"/>
              <w:pageBreakBefore w:val="0"/>
              <w:kinsoku/>
              <w:wordWrap/>
              <w:overflowPunct/>
              <w:topLinePunct w:val="0"/>
              <w:bidi w:val="0"/>
              <w:spacing w:line="360" w:lineRule="auto"/>
              <w:textAlignment w:val="auto"/>
              <w:rPr>
                <w:rFonts w:ascii="宋体" w:hAnsi="宋体" w:cs="宋体"/>
                <w:color w:val="auto"/>
                <w:highlight w:val="none"/>
              </w:rPr>
            </w:pPr>
            <w:r>
              <w:rPr>
                <w:rFonts w:hint="eastAsia" w:ascii="宋体" w:hAnsi="宋体" w:cs="宋体"/>
                <w:color w:val="auto"/>
                <w:highlight w:val="none"/>
              </w:rPr>
              <w:t>投诉受理单位：本项目同级财政部门，即成都高新区财政金融局。</w:t>
            </w:r>
          </w:p>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s="宋体"/>
                <w:color w:val="auto"/>
                <w:highlight w:val="none"/>
              </w:rPr>
              <w:t>联系电话：028-82829642。                                                   地址：成都市天府大道北段18号A座高新区管委会5楼。                         邮编：610041。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7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jc w:val="center"/>
              <w:textAlignment w:val="auto"/>
              <w:rPr>
                <w:rFonts w:ascii="宋体" w:hAnsi="宋体"/>
                <w:color w:val="auto"/>
                <w:highlight w:val="none"/>
              </w:rPr>
            </w:pPr>
          </w:p>
        </w:tc>
        <w:tc>
          <w:tcPr>
            <w:tcW w:w="2863" w:type="dxa"/>
            <w:tcBorders>
              <w:top w:val="single" w:color="auto" w:sz="8" w:space="0"/>
              <w:left w:val="single" w:color="auto" w:sz="8" w:space="0"/>
              <w:bottom w:val="single" w:color="auto" w:sz="8" w:space="0"/>
              <w:right w:val="single" w:color="auto" w:sz="8" w:space="0"/>
            </w:tcBorders>
            <w:vAlign w:val="center"/>
          </w:tcPr>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olor w:val="auto"/>
                <w:highlight w:val="none"/>
              </w:rPr>
              <w:t>施工响应文件有效期</w:t>
            </w:r>
          </w:p>
        </w:tc>
        <w:tc>
          <w:tcPr>
            <w:tcW w:w="6326" w:type="dxa"/>
            <w:tcBorders>
              <w:top w:val="single" w:color="auto" w:sz="8" w:space="0"/>
              <w:left w:val="single" w:color="auto" w:sz="8" w:space="0"/>
              <w:bottom w:val="single" w:color="auto" w:sz="8" w:space="0"/>
              <w:right w:val="single" w:color="auto" w:sz="18" w:space="0"/>
            </w:tcBorders>
            <w:vAlign w:val="center"/>
          </w:tcPr>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s="Helvetica"/>
                <w:color w:val="auto"/>
                <w:highlight w:val="none"/>
              </w:rPr>
              <w:t>递交施工响应文件的截止之日起</w:t>
            </w:r>
            <w:r>
              <w:rPr>
                <w:rFonts w:ascii="宋体" w:hAnsi="宋体"/>
                <w:color w:val="auto"/>
                <w:highlight w:val="none"/>
                <w:u w:val="single"/>
              </w:rPr>
              <w:t xml:space="preserve"> 120</w:t>
            </w:r>
            <w:r>
              <w:rPr>
                <w:rFonts w:hint="eastAsia" w:ascii="宋体" w:hAnsi="宋体"/>
                <w:color w:val="auto"/>
                <w:highlight w:val="none"/>
              </w:rPr>
              <w:t>天。</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18"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ind w:left="0" w:firstLine="0"/>
              <w:jc w:val="center"/>
              <w:textAlignment w:val="auto"/>
              <w:rPr>
                <w:rFonts w:ascii="宋体" w:hAnsi="宋体"/>
                <w:color w:val="auto"/>
                <w:highlight w:val="none"/>
              </w:rPr>
            </w:pPr>
          </w:p>
        </w:tc>
        <w:tc>
          <w:tcPr>
            <w:tcW w:w="2863" w:type="dxa"/>
            <w:tcBorders>
              <w:top w:val="single" w:color="auto" w:sz="8" w:space="0"/>
              <w:left w:val="single" w:color="auto" w:sz="8" w:space="0"/>
              <w:bottom w:val="single" w:color="auto" w:sz="4" w:space="0"/>
              <w:right w:val="single" w:color="auto" w:sz="8" w:space="0"/>
            </w:tcBorders>
            <w:vAlign w:val="center"/>
          </w:tcPr>
          <w:p>
            <w:pPr>
              <w:keepNext w:val="0"/>
              <w:keepLines w:val="0"/>
              <w:pageBreakBefore w:val="0"/>
              <w:kinsoku/>
              <w:wordWrap/>
              <w:overflowPunct/>
              <w:topLinePunct w:val="0"/>
              <w:bidi w:val="0"/>
              <w:snapToGrid w:val="0"/>
              <w:spacing w:line="360" w:lineRule="auto"/>
              <w:textAlignment w:val="auto"/>
              <w:rPr>
                <w:rFonts w:ascii="宋体" w:hAnsi="宋体" w:cs="宋体"/>
                <w:color w:val="auto"/>
                <w:highlight w:val="none"/>
                <w:lang w:val="zh-CN"/>
              </w:rPr>
            </w:pPr>
            <w:r>
              <w:rPr>
                <w:rFonts w:hint="eastAsia" w:ascii="宋体" w:hAnsi="宋体" w:cs="宋体"/>
                <w:color w:val="auto"/>
                <w:highlight w:val="none"/>
                <w:lang w:val="zh-CN"/>
              </w:rPr>
              <w:t>评审情况公告</w:t>
            </w:r>
          </w:p>
        </w:tc>
        <w:tc>
          <w:tcPr>
            <w:tcW w:w="6326" w:type="dxa"/>
            <w:tcBorders>
              <w:top w:val="single" w:color="auto" w:sz="8" w:space="0"/>
              <w:left w:val="single" w:color="auto" w:sz="8" w:space="0"/>
              <w:bottom w:val="single" w:color="auto" w:sz="4" w:space="0"/>
              <w:right w:val="single" w:color="auto" w:sz="18" w:space="0"/>
            </w:tcBorders>
            <w:vAlign w:val="center"/>
          </w:tcPr>
          <w:p>
            <w:pPr>
              <w:keepNext w:val="0"/>
              <w:keepLines w:val="0"/>
              <w:pageBreakBefore w:val="0"/>
              <w:tabs>
                <w:tab w:val="left" w:pos="7665"/>
              </w:tabs>
              <w:kinsoku/>
              <w:wordWrap/>
              <w:overflowPunct/>
              <w:topLinePunct w:val="0"/>
              <w:bidi w:val="0"/>
              <w:spacing w:line="360" w:lineRule="auto"/>
              <w:textAlignment w:val="auto"/>
              <w:rPr>
                <w:rFonts w:ascii="宋体" w:hAnsi="宋体" w:cs="宋体"/>
                <w:color w:val="auto"/>
                <w:highlight w:val="none"/>
                <w:lang w:val="zh-CN"/>
              </w:rPr>
            </w:pPr>
            <w:r>
              <w:rPr>
                <w:rFonts w:hint="eastAsia" w:ascii="宋体" w:hAnsi="宋体" w:cs="宋体"/>
                <w:color w:val="auto"/>
                <w:highlight w:val="none"/>
                <w:lang w:val="zh-CN"/>
              </w:rPr>
              <w:t>所有</w:t>
            </w:r>
            <w:r>
              <w:rPr>
                <w:rFonts w:hint="eastAsia" w:ascii="宋体" w:hAnsi="宋体"/>
                <w:color w:val="auto"/>
                <w:highlight w:val="none"/>
              </w:rPr>
              <w:t>供应商</w:t>
            </w:r>
            <w:r>
              <w:rPr>
                <w:rFonts w:hint="eastAsia" w:ascii="宋体" w:hAnsi="宋体" w:cs="宋体"/>
                <w:color w:val="auto"/>
                <w:highlight w:val="none"/>
                <w:lang w:val="zh-CN"/>
              </w:rPr>
              <w:t>资格性检查情况、施工响应文件符合性检查情况、采用综合评分法时的总得分和分项汇总得分情况、评审结果等将在“成都市公共资源交易服务中心网”、“四川政府采购网” 采购结果公告栏中予以公告。</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18"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ind w:left="0" w:firstLine="0"/>
              <w:jc w:val="center"/>
              <w:textAlignment w:val="auto"/>
              <w:rPr>
                <w:rFonts w:ascii="宋体" w:hAnsi="宋体"/>
                <w:color w:val="auto"/>
                <w:highlight w:val="none"/>
              </w:rPr>
            </w:pPr>
          </w:p>
        </w:tc>
        <w:tc>
          <w:tcPr>
            <w:tcW w:w="2863" w:type="dxa"/>
            <w:tcBorders>
              <w:top w:val="single" w:color="auto" w:sz="8" w:space="0"/>
              <w:left w:val="single" w:color="auto" w:sz="8" w:space="0"/>
              <w:bottom w:val="single" w:color="auto" w:sz="4" w:space="0"/>
              <w:right w:val="single" w:color="auto" w:sz="8" w:space="0"/>
            </w:tcBorders>
            <w:vAlign w:val="center"/>
          </w:tcPr>
          <w:p>
            <w:pPr>
              <w:keepNext w:val="0"/>
              <w:keepLines w:val="0"/>
              <w:pageBreakBefore w:val="0"/>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s="宋体"/>
                <w:color w:val="auto"/>
                <w:highlight w:val="none"/>
                <w:lang w:val="zh-CN"/>
              </w:rPr>
              <w:t>成交通知书领取</w:t>
            </w:r>
          </w:p>
        </w:tc>
        <w:tc>
          <w:tcPr>
            <w:tcW w:w="6326" w:type="dxa"/>
            <w:tcBorders>
              <w:top w:val="single" w:color="auto" w:sz="8" w:space="0"/>
              <w:left w:val="single" w:color="auto" w:sz="8" w:space="0"/>
              <w:bottom w:val="single" w:color="auto" w:sz="4" w:space="0"/>
              <w:right w:val="single" w:color="auto" w:sz="18" w:space="0"/>
            </w:tcBorders>
            <w:vAlign w:val="center"/>
          </w:tcPr>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s="宋体"/>
                <w:color w:val="auto"/>
                <w:highlight w:val="none"/>
                <w:lang w:val="zh-CN"/>
              </w:rPr>
              <w:t>成交公告在四川政府采购网上公告后，成交供应商自行登录政府采购云平台下载成交通知书。</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18"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ind w:left="0" w:firstLine="0"/>
              <w:jc w:val="center"/>
              <w:textAlignment w:val="auto"/>
              <w:rPr>
                <w:rFonts w:ascii="宋体" w:hAnsi="宋体"/>
                <w:color w:val="auto"/>
                <w:highlight w:val="none"/>
              </w:rPr>
            </w:pPr>
          </w:p>
        </w:tc>
        <w:tc>
          <w:tcPr>
            <w:tcW w:w="2863" w:type="dxa"/>
            <w:tcBorders>
              <w:top w:val="single" w:color="auto" w:sz="8" w:space="0"/>
              <w:left w:val="single" w:color="auto" w:sz="8" w:space="0"/>
              <w:bottom w:val="single" w:color="auto" w:sz="4" w:space="0"/>
              <w:right w:val="single" w:color="auto" w:sz="8" w:space="0"/>
            </w:tcBorders>
            <w:vAlign w:val="center"/>
          </w:tcPr>
          <w:p>
            <w:pPr>
              <w:keepNext w:val="0"/>
              <w:keepLines w:val="0"/>
              <w:pageBreakBefore w:val="0"/>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olor w:val="auto"/>
                <w:highlight w:val="none"/>
              </w:rPr>
              <w:t>合同签订地点</w:t>
            </w:r>
          </w:p>
        </w:tc>
        <w:tc>
          <w:tcPr>
            <w:tcW w:w="6326" w:type="dxa"/>
            <w:tcBorders>
              <w:top w:val="single" w:color="auto" w:sz="8" w:space="0"/>
              <w:left w:val="single" w:color="auto" w:sz="8" w:space="0"/>
              <w:bottom w:val="single" w:color="auto" w:sz="4" w:space="0"/>
              <w:right w:val="single" w:color="auto" w:sz="18" w:space="0"/>
            </w:tcBorders>
            <w:vAlign w:val="center"/>
          </w:tcPr>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olor w:val="auto"/>
                <w:highlight w:val="none"/>
              </w:rPr>
              <w:t>四川省成都市。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665"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ind w:left="0" w:firstLine="0"/>
              <w:jc w:val="center"/>
              <w:textAlignment w:val="auto"/>
              <w:rPr>
                <w:rFonts w:ascii="宋体" w:hAnsi="宋体"/>
                <w:color w:val="auto"/>
                <w:highlight w:val="none"/>
              </w:rPr>
            </w:pPr>
          </w:p>
        </w:tc>
        <w:tc>
          <w:tcPr>
            <w:tcW w:w="2863" w:type="dxa"/>
            <w:tcBorders>
              <w:top w:val="single" w:color="auto" w:sz="4" w:space="0"/>
              <w:left w:val="single" w:color="auto" w:sz="8" w:space="0"/>
              <w:bottom w:val="single" w:color="auto" w:sz="4" w:space="0"/>
              <w:right w:val="single" w:color="auto" w:sz="8" w:space="0"/>
            </w:tcBorders>
            <w:vAlign w:val="center"/>
          </w:tcPr>
          <w:p>
            <w:pPr>
              <w:keepNext w:val="0"/>
              <w:keepLines w:val="0"/>
              <w:pageBreakBefore w:val="0"/>
              <w:kinsoku/>
              <w:wordWrap/>
              <w:overflowPunct/>
              <w:topLinePunct w:val="0"/>
              <w:bidi w:val="0"/>
              <w:snapToGrid w:val="0"/>
              <w:spacing w:line="360" w:lineRule="auto"/>
              <w:ind w:right="240" w:rightChars="100"/>
              <w:textAlignment w:val="auto"/>
              <w:rPr>
                <w:rFonts w:ascii="宋体" w:hAnsi="宋体"/>
                <w:color w:val="auto"/>
                <w:highlight w:val="none"/>
              </w:rPr>
            </w:pPr>
            <w:r>
              <w:rPr>
                <w:rFonts w:hint="eastAsia" w:ascii="宋体" w:hAnsi="宋体"/>
                <w:color w:val="auto"/>
                <w:highlight w:val="none"/>
              </w:rPr>
              <w:t>政府采购合同公告、备案</w:t>
            </w:r>
          </w:p>
        </w:tc>
        <w:tc>
          <w:tcPr>
            <w:tcW w:w="6326" w:type="dxa"/>
            <w:tcBorders>
              <w:top w:val="single" w:color="auto" w:sz="4" w:space="0"/>
              <w:left w:val="single" w:color="auto" w:sz="8" w:space="0"/>
              <w:bottom w:val="single" w:color="auto" w:sz="4" w:space="0"/>
              <w:right w:val="single" w:color="auto" w:sz="18" w:space="0"/>
            </w:tcBorders>
            <w:vAlign w:val="center"/>
          </w:tcPr>
          <w:p>
            <w:pPr>
              <w:keepNext w:val="0"/>
              <w:keepLines w:val="0"/>
              <w:pageBreakBefore w:val="0"/>
              <w:tabs>
                <w:tab w:val="left" w:pos="1134"/>
              </w:tabs>
              <w:kinsoku/>
              <w:wordWrap/>
              <w:overflowPunct/>
              <w:topLinePunct w:val="0"/>
              <w:bidi w:val="0"/>
              <w:spacing w:line="360" w:lineRule="auto"/>
              <w:ind w:firstLine="0" w:firstLineChars="0"/>
              <w:textAlignment w:val="auto"/>
              <w:rPr>
                <w:rFonts w:ascii="宋体" w:hAnsi="宋体"/>
                <w:color w:val="auto"/>
                <w:highlight w:val="none"/>
              </w:rPr>
            </w:pPr>
            <w:r>
              <w:rPr>
                <w:rFonts w:hint="eastAsia" w:ascii="宋体" w:hAnsi="宋体" w:cs="宋体"/>
                <w:color w:val="auto"/>
                <w:highlight w:val="none"/>
              </w:rPr>
              <w:t>政府采购合同签订之日起2个工作日内，采购人将在四川政府采购网公告政府采购合同；疫情防控期间，采购人应在5个工作日内与成交供应商签订政府采购合同及按成都高新区财政金融局的要求完成合同备案工作。</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16"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ind w:left="0" w:firstLine="0"/>
              <w:jc w:val="center"/>
              <w:textAlignment w:val="auto"/>
              <w:rPr>
                <w:rFonts w:ascii="宋体" w:hAnsi="宋体"/>
                <w:color w:val="auto"/>
                <w:highlight w:val="none"/>
              </w:rPr>
            </w:pPr>
          </w:p>
        </w:tc>
        <w:tc>
          <w:tcPr>
            <w:tcW w:w="2863" w:type="dxa"/>
            <w:tcBorders>
              <w:top w:val="single" w:color="auto" w:sz="4" w:space="0"/>
              <w:left w:val="single" w:color="auto" w:sz="8" w:space="0"/>
              <w:bottom w:val="single" w:color="auto" w:sz="4" w:space="0"/>
              <w:right w:val="single" w:color="auto" w:sz="8" w:space="0"/>
            </w:tcBorders>
            <w:vAlign w:val="center"/>
          </w:tcPr>
          <w:p>
            <w:pPr>
              <w:keepNext w:val="0"/>
              <w:keepLines w:val="0"/>
              <w:pageBreakBefore w:val="0"/>
              <w:kinsoku/>
              <w:wordWrap/>
              <w:overflowPunct/>
              <w:topLinePunct w:val="0"/>
              <w:bidi w:val="0"/>
              <w:snapToGrid w:val="0"/>
              <w:spacing w:before="152" w:after="160" w:line="360" w:lineRule="auto"/>
              <w:textAlignment w:val="auto"/>
              <w:rPr>
                <w:rFonts w:ascii="宋体" w:hAnsi="宋体"/>
                <w:b/>
                <w:color w:val="auto"/>
                <w:highlight w:val="none"/>
              </w:rPr>
            </w:pPr>
            <w:r>
              <w:rPr>
                <w:rFonts w:hint="eastAsia" w:ascii="宋体" w:hAnsi="宋体"/>
                <w:color w:val="auto"/>
                <w:highlight w:val="none"/>
              </w:rPr>
              <w:t>政采信用担保融资</w:t>
            </w:r>
          </w:p>
        </w:tc>
        <w:tc>
          <w:tcPr>
            <w:tcW w:w="6326" w:type="dxa"/>
            <w:tcBorders>
              <w:top w:val="single" w:color="auto" w:sz="4" w:space="0"/>
              <w:left w:val="single" w:color="auto" w:sz="8" w:space="0"/>
              <w:bottom w:val="single" w:color="auto" w:sz="4" w:space="0"/>
              <w:right w:val="single" w:color="auto" w:sz="18" w:space="0"/>
            </w:tcBorders>
            <w:vAlign w:val="center"/>
          </w:tcPr>
          <w:p>
            <w:pPr>
              <w:keepNext w:val="0"/>
              <w:keepLines w:val="0"/>
              <w:pageBreakBefore w:val="0"/>
              <w:kinsoku/>
              <w:wordWrap/>
              <w:overflowPunct/>
              <w:topLinePunct w:val="0"/>
              <w:bidi w:val="0"/>
              <w:spacing w:line="360" w:lineRule="auto"/>
              <w:textAlignment w:val="auto"/>
              <w:rPr>
                <w:rFonts w:ascii="宋体" w:hAnsi="宋体"/>
                <w:color w:val="auto"/>
                <w:highlight w:val="none"/>
              </w:rPr>
            </w:pPr>
            <w:r>
              <w:rPr>
                <w:rFonts w:hint="eastAsia" w:ascii="宋体" w:hAnsi="宋体" w:cs="宋体"/>
                <w:color w:val="auto"/>
                <w:highlight w:val="none"/>
              </w:rPr>
              <w:t>参加本次采购活动的中小企业供应商无需提供财产抵押或第三方担保，凭借政府采购合同可向融资机构申请融资。具体内容见磋商文件附件详见《成都市财政局 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见附件。</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182"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ind w:left="0" w:firstLine="0"/>
              <w:jc w:val="center"/>
              <w:textAlignment w:val="auto"/>
              <w:rPr>
                <w:rFonts w:ascii="宋体" w:hAnsi="宋体"/>
                <w:color w:val="auto"/>
                <w:highlight w:val="none"/>
              </w:rPr>
            </w:pPr>
          </w:p>
        </w:tc>
        <w:tc>
          <w:tcPr>
            <w:tcW w:w="2863" w:type="dxa"/>
            <w:tcBorders>
              <w:top w:val="single" w:color="auto" w:sz="4" w:space="0"/>
              <w:left w:val="single" w:color="auto" w:sz="8" w:space="0"/>
              <w:bottom w:val="single" w:color="auto" w:sz="4" w:space="0"/>
              <w:right w:val="single" w:color="auto" w:sz="8" w:space="0"/>
            </w:tcBorders>
            <w:vAlign w:val="center"/>
          </w:tcPr>
          <w:p>
            <w:pPr>
              <w:keepNext w:val="0"/>
              <w:keepLines w:val="0"/>
              <w:pageBreakBefore w:val="0"/>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olor w:val="auto"/>
                <w:highlight w:val="none"/>
              </w:rPr>
              <w:t>进口产品（如采购内容中涉及货物采购的）</w:t>
            </w:r>
          </w:p>
        </w:tc>
        <w:tc>
          <w:tcPr>
            <w:tcW w:w="6326" w:type="dxa"/>
            <w:tcBorders>
              <w:top w:val="single" w:color="auto" w:sz="4" w:space="0"/>
              <w:left w:val="single" w:color="auto" w:sz="8" w:space="0"/>
              <w:bottom w:val="single" w:color="auto" w:sz="4" w:space="0"/>
              <w:right w:val="single" w:color="auto" w:sz="18" w:space="0"/>
            </w:tcBorders>
            <w:vAlign w:val="center"/>
          </w:tcPr>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olor w:val="auto"/>
                <w:highlight w:val="none"/>
              </w:rPr>
              <w:t>磋商文件中未载明“允许采购进口产品”的产品，拒绝进口产品的报价。磋商文件中载明“允许采购进口产品”的产品，允许国产产品参与竞争。</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12"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keepNext w:val="0"/>
              <w:keepLines w:val="0"/>
              <w:pageBreakBefore w:val="0"/>
              <w:widowControl w:val="0"/>
              <w:numPr>
                <w:ilvl w:val="0"/>
                <w:numId w:val="7"/>
              </w:numPr>
              <w:kinsoku/>
              <w:wordWrap/>
              <w:overflowPunct/>
              <w:topLinePunct w:val="0"/>
              <w:bidi w:val="0"/>
              <w:snapToGrid w:val="0"/>
              <w:spacing w:line="360" w:lineRule="auto"/>
              <w:ind w:left="0" w:firstLine="0"/>
              <w:jc w:val="center"/>
              <w:textAlignment w:val="auto"/>
              <w:rPr>
                <w:rFonts w:ascii="宋体" w:hAnsi="宋体"/>
                <w:color w:val="auto"/>
                <w:highlight w:val="none"/>
              </w:rPr>
            </w:pPr>
          </w:p>
        </w:tc>
        <w:tc>
          <w:tcPr>
            <w:tcW w:w="9189" w:type="dxa"/>
            <w:gridSpan w:val="2"/>
            <w:tcBorders>
              <w:top w:val="single" w:color="auto" w:sz="4" w:space="0"/>
              <w:left w:val="single" w:color="auto" w:sz="8" w:space="0"/>
              <w:bottom w:val="single" w:color="auto" w:sz="4" w:space="0"/>
              <w:right w:val="single" w:color="auto" w:sz="18" w:space="0"/>
            </w:tcBorders>
            <w:vAlign w:val="center"/>
          </w:tcPr>
          <w:p>
            <w:pPr>
              <w:keepNext w:val="0"/>
              <w:keepLines w:val="0"/>
              <w:pageBreakBefore w:val="0"/>
              <w:tabs>
                <w:tab w:val="left" w:pos="7665"/>
              </w:tabs>
              <w:kinsoku/>
              <w:wordWrap/>
              <w:overflowPunct/>
              <w:topLinePunct w:val="0"/>
              <w:bidi w:val="0"/>
              <w:snapToGrid w:val="0"/>
              <w:spacing w:line="360" w:lineRule="auto"/>
              <w:textAlignment w:val="auto"/>
              <w:rPr>
                <w:rFonts w:ascii="宋体" w:hAnsi="宋体"/>
                <w:color w:val="auto"/>
                <w:highlight w:val="none"/>
              </w:rPr>
            </w:pPr>
            <w:r>
              <w:rPr>
                <w:rFonts w:hint="eastAsia" w:ascii="宋体" w:hAnsi="宋体"/>
                <w:color w:val="auto"/>
                <w:highlight w:val="none"/>
              </w:rPr>
              <w:t>采购人可以要求参加政府采购的供应商提供有关资质证明文件和业绩情况，并根据《中华人民共和国政府采购法》规定的供应商条件和采购项目对供应商的特定要求，对供应商的资格进行审查。</w:t>
            </w:r>
          </w:p>
        </w:tc>
      </w:tr>
    </w:tbl>
    <w:p>
      <w:pPr>
        <w:pStyle w:val="5"/>
        <w:spacing w:line="600" w:lineRule="exact"/>
        <w:rPr>
          <w:color w:val="auto"/>
          <w:highlight w:val="none"/>
        </w:rPr>
      </w:pPr>
      <w:bookmarkStart w:id="13" w:name="_Toc494095619"/>
      <w:bookmarkEnd w:id="13"/>
      <w:bookmarkStart w:id="14" w:name="_Toc494356973"/>
      <w:bookmarkEnd w:id="14"/>
      <w:bookmarkStart w:id="15" w:name="_Toc27443"/>
      <w:bookmarkStart w:id="16" w:name="_Toc5017"/>
      <w:bookmarkStart w:id="17" w:name="_Toc72938428"/>
      <w:r>
        <w:rPr>
          <w:rFonts w:hint="eastAsia"/>
          <w:color w:val="auto"/>
          <w:highlight w:val="none"/>
        </w:rPr>
        <w:t>总则</w:t>
      </w:r>
      <w:bookmarkEnd w:id="15"/>
      <w:bookmarkEnd w:id="16"/>
      <w:bookmarkEnd w:id="17"/>
    </w:p>
    <w:p>
      <w:pPr>
        <w:pStyle w:val="6"/>
        <w:spacing w:line="600" w:lineRule="exact"/>
        <w:rPr>
          <w:color w:val="auto"/>
          <w:highlight w:val="none"/>
        </w:rPr>
      </w:pPr>
      <w:r>
        <w:rPr>
          <w:rFonts w:hint="eastAsia"/>
          <w:color w:val="auto"/>
          <w:highlight w:val="none"/>
        </w:rPr>
        <w:t>适用范围</w:t>
      </w:r>
      <w:bookmarkEnd w:id="7"/>
      <w:bookmarkEnd w:id="8"/>
    </w:p>
    <w:p>
      <w:pPr>
        <w:widowControl w:val="0"/>
        <w:numPr>
          <w:ilvl w:val="0"/>
          <w:numId w:val="8"/>
        </w:numPr>
        <w:tabs>
          <w:tab w:val="left" w:pos="1134"/>
          <w:tab w:val="clear" w:pos="420"/>
        </w:tabs>
        <w:spacing w:line="600" w:lineRule="exact"/>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本磋商文件仅适用于本竞争性磋商邀请中所叙述项目的采购。</w:t>
      </w:r>
    </w:p>
    <w:p>
      <w:pPr>
        <w:widowControl w:val="0"/>
        <w:numPr>
          <w:ilvl w:val="0"/>
          <w:numId w:val="8"/>
        </w:numPr>
        <w:tabs>
          <w:tab w:val="left" w:pos="1134"/>
          <w:tab w:val="clear" w:pos="420"/>
        </w:tabs>
        <w:spacing w:line="600" w:lineRule="exact"/>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本磋商文件的最终解释权由采购人或</w:t>
      </w:r>
      <w:r>
        <w:rPr>
          <w:rFonts w:hint="eastAsia" w:ascii="宋体" w:hAnsi="宋体" w:cs="宋体"/>
          <w:color w:val="auto"/>
          <w:sz w:val="28"/>
          <w:szCs w:val="28"/>
          <w:highlight w:val="none"/>
        </w:rPr>
        <w:t>高新区采购中心</w:t>
      </w:r>
      <w:r>
        <w:rPr>
          <w:rFonts w:hint="eastAsia" w:ascii="宋体" w:hAnsi="宋体"/>
          <w:color w:val="auto"/>
          <w:sz w:val="28"/>
          <w:szCs w:val="28"/>
          <w:highlight w:val="none"/>
        </w:rPr>
        <w:t>享有。磋商文件中供应商参加本次政府采购活动应当具备的条件、技术、服务及其他要求、评分标准由采购人负责解释。除上述磋商文件内容，其他内容由</w:t>
      </w:r>
      <w:r>
        <w:rPr>
          <w:rFonts w:hint="eastAsia" w:ascii="宋体" w:hAnsi="宋体" w:cs="宋体"/>
          <w:color w:val="auto"/>
          <w:sz w:val="28"/>
          <w:szCs w:val="28"/>
          <w:highlight w:val="none"/>
        </w:rPr>
        <w:t>高新区采购中心</w:t>
      </w:r>
      <w:r>
        <w:rPr>
          <w:rFonts w:hint="eastAsia" w:ascii="宋体" w:hAnsi="宋体"/>
          <w:color w:val="auto"/>
          <w:sz w:val="28"/>
          <w:szCs w:val="28"/>
          <w:highlight w:val="none"/>
        </w:rPr>
        <w:t>负责解释。</w:t>
      </w:r>
    </w:p>
    <w:p>
      <w:pPr>
        <w:pStyle w:val="6"/>
        <w:spacing w:line="600" w:lineRule="exact"/>
        <w:rPr>
          <w:color w:val="auto"/>
          <w:highlight w:val="none"/>
        </w:rPr>
      </w:pPr>
      <w:bookmarkStart w:id="18" w:name="_Toc287623639"/>
      <w:r>
        <w:rPr>
          <w:rFonts w:hint="eastAsia"/>
          <w:color w:val="auto"/>
          <w:highlight w:val="none"/>
        </w:rPr>
        <w:t>有关定义</w:t>
      </w:r>
      <w:bookmarkEnd w:id="18"/>
    </w:p>
    <w:p>
      <w:pPr>
        <w:widowControl w:val="0"/>
        <w:numPr>
          <w:ilvl w:val="0"/>
          <w:numId w:val="9"/>
        </w:numPr>
        <w:tabs>
          <w:tab w:val="left" w:pos="1134"/>
          <w:tab w:val="clear" w:pos="420"/>
        </w:tabs>
        <w:spacing w:line="600" w:lineRule="exact"/>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“采购人”、“甲方”系指依法进行政府采购的</w:t>
      </w:r>
      <w:r>
        <w:rPr>
          <w:rFonts w:hint="eastAsia" w:ascii="宋体" w:hAnsi="宋体" w:cs="宋体"/>
          <w:color w:val="auto"/>
          <w:sz w:val="28"/>
          <w:szCs w:val="28"/>
          <w:highlight w:val="none"/>
        </w:rPr>
        <w:t>成都高新区机关</w:t>
      </w:r>
      <w:r>
        <w:rPr>
          <w:rFonts w:hint="eastAsia" w:ascii="宋体" w:hAnsi="宋体"/>
          <w:color w:val="auto"/>
          <w:sz w:val="28"/>
          <w:szCs w:val="28"/>
          <w:highlight w:val="none"/>
        </w:rPr>
        <w:t>、事业单位、团体组织。本次竞争性磋商项目的采购人是</w:t>
      </w:r>
      <w:r>
        <w:rPr>
          <w:rFonts w:hint="eastAsia" w:ascii="宋体" w:hAnsi="宋体" w:cs="宋体"/>
          <w:b/>
          <w:color w:val="auto"/>
          <w:sz w:val="28"/>
          <w:szCs w:val="28"/>
          <w:highlight w:val="none"/>
          <w:u w:val="single"/>
          <w:lang w:eastAsia="zh-CN"/>
        </w:rPr>
        <w:t>成都高新区合作街道办事处</w:t>
      </w:r>
      <w:r>
        <w:rPr>
          <w:rFonts w:hint="eastAsia" w:ascii="宋体" w:hAnsi="宋体"/>
          <w:color w:val="auto"/>
          <w:sz w:val="28"/>
          <w:szCs w:val="28"/>
          <w:highlight w:val="none"/>
        </w:rPr>
        <w:t>。</w:t>
      </w:r>
    </w:p>
    <w:p>
      <w:pPr>
        <w:widowControl w:val="0"/>
        <w:numPr>
          <w:ilvl w:val="0"/>
          <w:numId w:val="9"/>
        </w:numPr>
        <w:tabs>
          <w:tab w:val="left" w:pos="1200"/>
          <w:tab w:val="clear" w:pos="420"/>
        </w:tabs>
        <w:spacing w:line="600" w:lineRule="exact"/>
        <w:ind w:left="0" w:firstLine="599" w:firstLineChars="214"/>
        <w:jc w:val="both"/>
        <w:rPr>
          <w:rFonts w:ascii="宋体" w:hAnsi="宋体"/>
          <w:color w:val="auto"/>
          <w:sz w:val="28"/>
          <w:szCs w:val="28"/>
          <w:highlight w:val="none"/>
        </w:rPr>
      </w:pPr>
      <w:r>
        <w:rPr>
          <w:rFonts w:hint="eastAsia" w:ascii="宋体" w:hAnsi="宋体"/>
          <w:color w:val="auto"/>
          <w:sz w:val="28"/>
          <w:szCs w:val="28"/>
          <w:highlight w:val="none"/>
        </w:rPr>
        <w:t>“供应商”系指拟参加竞争性磋商和向采购人提供工程</w:t>
      </w:r>
      <w:r>
        <w:rPr>
          <w:rFonts w:ascii="宋体" w:hAnsi="宋体"/>
          <w:color w:val="auto"/>
          <w:sz w:val="28"/>
          <w:szCs w:val="28"/>
          <w:highlight w:val="none"/>
        </w:rPr>
        <w:t>、</w:t>
      </w:r>
      <w:r>
        <w:rPr>
          <w:rFonts w:hint="eastAsia" w:ascii="宋体" w:hAnsi="宋体"/>
          <w:color w:val="auto"/>
          <w:sz w:val="28"/>
          <w:szCs w:val="28"/>
          <w:highlight w:val="none"/>
        </w:rPr>
        <w:t>货物及服务的供应商。“乙方”系指本项目的成交供应商。</w:t>
      </w:r>
    </w:p>
    <w:p>
      <w:pPr>
        <w:widowControl w:val="0"/>
        <w:numPr>
          <w:ilvl w:val="0"/>
          <w:numId w:val="9"/>
        </w:numPr>
        <w:tabs>
          <w:tab w:val="left" w:pos="1200"/>
          <w:tab w:val="clear" w:pos="420"/>
        </w:tabs>
        <w:spacing w:line="600" w:lineRule="exact"/>
        <w:ind w:left="0" w:firstLine="599" w:firstLineChars="214"/>
        <w:jc w:val="both"/>
        <w:rPr>
          <w:rFonts w:ascii="宋体" w:hAnsi="宋体"/>
          <w:color w:val="auto"/>
          <w:sz w:val="28"/>
          <w:szCs w:val="28"/>
          <w:highlight w:val="none"/>
        </w:rPr>
      </w:pPr>
      <w:r>
        <w:rPr>
          <w:rFonts w:ascii="宋体" w:hAnsi="宋体"/>
          <w:color w:val="auto"/>
          <w:sz w:val="28"/>
          <w:szCs w:val="28"/>
          <w:highlight w:val="none"/>
        </w:rPr>
        <w:t>本</w:t>
      </w:r>
      <w:r>
        <w:rPr>
          <w:rFonts w:hint="eastAsia" w:ascii="宋体" w:hAnsi="宋体"/>
          <w:color w:val="auto"/>
          <w:sz w:val="28"/>
          <w:szCs w:val="28"/>
          <w:highlight w:val="none"/>
        </w:rPr>
        <w:t>磋商</w:t>
      </w:r>
      <w:r>
        <w:rPr>
          <w:rFonts w:ascii="宋体" w:hAnsi="宋体"/>
          <w:color w:val="auto"/>
          <w:sz w:val="28"/>
          <w:szCs w:val="28"/>
          <w:highlight w:val="none"/>
        </w:rPr>
        <w:t>文件各部分规定的期间以时、日、月、年计算。期间开始的时和日，不计算在期间内，而从次日开始计算。期间届满的最后一天是节假日的，以节假日后的第一日为期间届满的日期。</w:t>
      </w:r>
    </w:p>
    <w:p>
      <w:pPr>
        <w:widowControl w:val="0"/>
        <w:numPr>
          <w:ilvl w:val="0"/>
          <w:numId w:val="9"/>
        </w:numPr>
        <w:tabs>
          <w:tab w:val="left" w:pos="1200"/>
          <w:tab w:val="clear" w:pos="420"/>
        </w:tabs>
        <w:spacing w:line="600" w:lineRule="exact"/>
        <w:ind w:left="0" w:firstLine="599" w:firstLineChars="214"/>
        <w:jc w:val="both"/>
        <w:rPr>
          <w:rFonts w:ascii="宋体" w:hAnsi="宋体"/>
          <w:color w:val="auto"/>
          <w:sz w:val="28"/>
          <w:szCs w:val="28"/>
          <w:highlight w:val="none"/>
        </w:rPr>
      </w:pPr>
      <w:r>
        <w:rPr>
          <w:rFonts w:hint="eastAsia" w:ascii="宋体" w:hAnsi="宋体"/>
          <w:color w:val="auto"/>
          <w:sz w:val="28"/>
          <w:szCs w:val="28"/>
          <w:highlight w:val="none"/>
        </w:rPr>
        <w:t>磋商文件中所称的“以上”、“以下”、“内”、“以内”，包括本数；所称的“不足”，不包括本数。</w:t>
      </w:r>
    </w:p>
    <w:p>
      <w:pPr>
        <w:widowControl w:val="0"/>
        <w:numPr>
          <w:ilvl w:val="0"/>
          <w:numId w:val="9"/>
        </w:numPr>
        <w:tabs>
          <w:tab w:val="left" w:pos="1200"/>
          <w:tab w:val="clear" w:pos="420"/>
        </w:tabs>
        <w:spacing w:line="600" w:lineRule="exact"/>
        <w:ind w:left="0" w:firstLine="599" w:firstLineChars="214"/>
        <w:jc w:val="both"/>
        <w:rPr>
          <w:rFonts w:ascii="宋体" w:hAnsi="宋体"/>
          <w:color w:val="auto"/>
          <w:sz w:val="28"/>
          <w:szCs w:val="28"/>
          <w:highlight w:val="none"/>
        </w:rPr>
      </w:pPr>
      <w:r>
        <w:rPr>
          <w:rFonts w:hint="eastAsia" w:ascii="宋体" w:hAnsi="宋体"/>
          <w:color w:val="auto"/>
          <w:sz w:val="28"/>
          <w:szCs w:val="28"/>
          <w:highlight w:val="none"/>
        </w:rPr>
        <w:t>重大违法记录是指供应商因违法经营受到刑事处罚或者责令停产停业、吊销许可证或者执照、较大数额罚款等行政处罚。</w:t>
      </w:r>
    </w:p>
    <w:p>
      <w:pPr>
        <w:widowControl w:val="0"/>
        <w:numPr>
          <w:ilvl w:val="0"/>
          <w:numId w:val="9"/>
        </w:numPr>
        <w:tabs>
          <w:tab w:val="left" w:pos="1200"/>
          <w:tab w:val="clear" w:pos="420"/>
        </w:tabs>
        <w:spacing w:line="600" w:lineRule="exact"/>
        <w:ind w:left="0" w:firstLine="599" w:firstLineChars="214"/>
        <w:jc w:val="both"/>
        <w:rPr>
          <w:rFonts w:ascii="宋体" w:hAnsi="宋体"/>
          <w:color w:val="auto"/>
          <w:sz w:val="28"/>
          <w:szCs w:val="28"/>
          <w:highlight w:val="none"/>
        </w:rPr>
      </w:pPr>
      <w:r>
        <w:rPr>
          <w:rFonts w:hint="eastAsia" w:ascii="宋体" w:hAnsi="宋体"/>
          <w:color w:val="auto"/>
          <w:sz w:val="28"/>
          <w:szCs w:val="28"/>
          <w:highlight w:val="none"/>
        </w:rPr>
        <w:t>本项目重大违法记录中的较大数额罚款的具体金额标准：若行业行政主管部门对较大数额罚款金额标准有明文规定的，以行业行政主管部门规定的较大数额罚款金额标准为准；若行业行政主管部门对较大数额罚款金额标准未明文规定的，以作出行政处罚机关当地的行政处罚罚款听证标准金额为准。</w:t>
      </w:r>
    </w:p>
    <w:p>
      <w:pPr>
        <w:widowControl w:val="0"/>
        <w:numPr>
          <w:ilvl w:val="0"/>
          <w:numId w:val="9"/>
        </w:numPr>
        <w:tabs>
          <w:tab w:val="left" w:pos="1200"/>
          <w:tab w:val="clear" w:pos="420"/>
        </w:tabs>
        <w:spacing w:line="600" w:lineRule="exact"/>
        <w:ind w:left="0" w:firstLine="599" w:firstLineChars="214"/>
        <w:jc w:val="both"/>
        <w:rPr>
          <w:rFonts w:ascii="宋体" w:hAnsi="宋体"/>
          <w:color w:val="auto"/>
          <w:sz w:val="28"/>
          <w:szCs w:val="28"/>
          <w:highlight w:val="none"/>
        </w:rPr>
      </w:pPr>
      <w:r>
        <w:rPr>
          <w:rFonts w:hint="eastAsia" w:ascii="宋体" w:hAnsi="宋体"/>
          <w:color w:val="auto"/>
          <w:sz w:val="28"/>
          <w:szCs w:val="28"/>
          <w:highlight w:val="none"/>
        </w:rPr>
        <w:t>不见面开标是指，</w:t>
      </w:r>
      <w:r>
        <w:rPr>
          <w:rFonts w:hint="eastAsia" w:ascii="宋体" w:hAnsi="宋体" w:cs="宋体"/>
          <w:color w:val="auto"/>
          <w:sz w:val="28"/>
          <w:szCs w:val="28"/>
          <w:highlight w:val="none"/>
        </w:rPr>
        <w:t>高新区采购中心</w:t>
      </w:r>
      <w:r>
        <w:rPr>
          <w:rFonts w:hint="eastAsia" w:ascii="宋体" w:hAnsi="宋体"/>
          <w:color w:val="auto"/>
          <w:sz w:val="28"/>
          <w:szCs w:val="28"/>
          <w:highlight w:val="none"/>
        </w:rPr>
        <w:t>依托政府采购云平台组织磋商活动，供应商在线参与磋商的一种组织形式。</w:t>
      </w:r>
    </w:p>
    <w:p>
      <w:pPr>
        <w:pStyle w:val="6"/>
        <w:spacing w:line="600" w:lineRule="exact"/>
        <w:rPr>
          <w:color w:val="auto"/>
          <w:highlight w:val="none"/>
        </w:rPr>
      </w:pPr>
      <w:r>
        <w:rPr>
          <w:rFonts w:hint="eastAsia"/>
          <w:color w:val="auto"/>
          <w:highlight w:val="none"/>
        </w:rPr>
        <w:t>合格的供应商</w:t>
      </w:r>
      <w:r>
        <w:rPr>
          <w:rFonts w:hint="eastAsia" w:ascii="仿宋" w:hAnsi="仿宋" w:eastAsia="仿宋"/>
          <w:color w:val="auto"/>
          <w:szCs w:val="21"/>
          <w:highlight w:val="none"/>
          <w:lang w:val="zh-CN"/>
        </w:rPr>
        <w:t>（实质性要求）</w:t>
      </w:r>
    </w:p>
    <w:p>
      <w:pPr>
        <w:tabs>
          <w:tab w:val="left" w:pos="1134"/>
        </w:tabs>
        <w:spacing w:line="600" w:lineRule="exact"/>
        <w:ind w:firstLine="560" w:firstLineChars="200"/>
        <w:rPr>
          <w:rFonts w:ascii="宋体" w:hAnsi="宋体"/>
          <w:color w:val="auto"/>
          <w:spacing w:val="-4"/>
          <w:sz w:val="28"/>
          <w:szCs w:val="28"/>
          <w:highlight w:val="none"/>
        </w:rPr>
      </w:pPr>
      <w:r>
        <w:rPr>
          <w:rFonts w:hint="eastAsia" w:ascii="宋体" w:hAnsi="宋体"/>
          <w:color w:val="auto"/>
          <w:sz w:val="28"/>
          <w:szCs w:val="28"/>
          <w:highlight w:val="none"/>
        </w:rPr>
        <w:t>合格的供应商应具备以下条件：邀请参加</w:t>
      </w:r>
      <w:r>
        <w:rPr>
          <w:rFonts w:ascii="宋体" w:hAnsi="宋体"/>
          <w:color w:val="auto"/>
          <w:sz w:val="28"/>
          <w:szCs w:val="28"/>
          <w:highlight w:val="none"/>
        </w:rPr>
        <w:t>磋商的供应商</w:t>
      </w:r>
      <w:r>
        <w:rPr>
          <w:rFonts w:hint="eastAsia" w:ascii="宋体" w:hAnsi="宋体"/>
          <w:color w:val="auto"/>
          <w:spacing w:val="-4"/>
          <w:sz w:val="28"/>
          <w:szCs w:val="28"/>
          <w:highlight w:val="none"/>
        </w:rPr>
        <w:t>。</w:t>
      </w:r>
    </w:p>
    <w:p>
      <w:pPr>
        <w:pStyle w:val="6"/>
        <w:spacing w:line="600" w:lineRule="exact"/>
        <w:rPr>
          <w:color w:val="auto"/>
          <w:highlight w:val="none"/>
        </w:rPr>
      </w:pPr>
      <w:bookmarkStart w:id="19" w:name="_Toc287623640"/>
      <w:bookmarkStart w:id="20" w:name="_Toc320698717"/>
      <w:r>
        <w:rPr>
          <w:rFonts w:hint="eastAsia"/>
          <w:color w:val="auto"/>
          <w:highlight w:val="none"/>
        </w:rPr>
        <w:t>参加竞争性磋商的费用</w:t>
      </w:r>
      <w:bookmarkEnd w:id="19"/>
      <w:r>
        <w:rPr>
          <w:rFonts w:hint="eastAsia" w:ascii="仿宋" w:hAnsi="仿宋" w:eastAsia="仿宋"/>
          <w:color w:val="auto"/>
          <w:szCs w:val="21"/>
          <w:highlight w:val="none"/>
          <w:lang w:val="zh-CN"/>
        </w:rPr>
        <w:t>（实质性要求）</w:t>
      </w:r>
    </w:p>
    <w:p>
      <w:pPr>
        <w:tabs>
          <w:tab w:val="left" w:pos="7665"/>
        </w:tabs>
        <w:spacing w:line="600" w:lineRule="exact"/>
        <w:ind w:firstLine="567"/>
        <w:rPr>
          <w:rFonts w:ascii="宋体" w:hAnsi="宋体"/>
          <w:color w:val="auto"/>
          <w:sz w:val="28"/>
          <w:szCs w:val="28"/>
          <w:highlight w:val="none"/>
        </w:rPr>
      </w:pPr>
      <w:r>
        <w:rPr>
          <w:rFonts w:hint="eastAsia" w:ascii="宋体" w:hAnsi="宋体"/>
          <w:color w:val="auto"/>
          <w:sz w:val="28"/>
          <w:szCs w:val="28"/>
          <w:highlight w:val="none"/>
        </w:rPr>
        <w:t>供应商应自行承担参加竞争性磋商采购活动的全部费用。</w:t>
      </w:r>
    </w:p>
    <w:p>
      <w:pPr>
        <w:pStyle w:val="6"/>
        <w:spacing w:line="600" w:lineRule="exact"/>
        <w:rPr>
          <w:color w:val="auto"/>
          <w:highlight w:val="none"/>
        </w:rPr>
      </w:pPr>
      <w:r>
        <w:rPr>
          <w:rFonts w:hint="eastAsia"/>
          <w:color w:val="auto"/>
          <w:highlight w:val="none"/>
        </w:rPr>
        <w:t>充分、公平竞争保障措施</w:t>
      </w:r>
      <w:r>
        <w:rPr>
          <w:rFonts w:hint="eastAsia" w:ascii="仿宋" w:hAnsi="仿宋" w:eastAsia="仿宋"/>
          <w:color w:val="auto"/>
          <w:szCs w:val="21"/>
          <w:highlight w:val="none"/>
          <w:lang w:val="zh-CN"/>
        </w:rPr>
        <w:t>（实质性要求）</w:t>
      </w:r>
    </w:p>
    <w:p>
      <w:pPr>
        <w:widowControl w:val="0"/>
        <w:numPr>
          <w:ilvl w:val="1"/>
          <w:numId w:val="10"/>
        </w:numPr>
        <w:tabs>
          <w:tab w:val="left" w:pos="1134"/>
        </w:tabs>
        <w:snapToGrid w:val="0"/>
        <w:spacing w:line="64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利害关系供应商处理。单位负责人为同一人或者存在直接控股、管理关系的不同供应商不得参加同一合同项下的政府采购活动。</w:t>
      </w:r>
    </w:p>
    <w:p>
      <w:pPr>
        <w:widowControl w:val="0"/>
        <w:numPr>
          <w:ilvl w:val="1"/>
          <w:numId w:val="10"/>
        </w:numPr>
        <w:tabs>
          <w:tab w:val="left" w:pos="1134"/>
        </w:tabs>
        <w:snapToGrid w:val="0"/>
        <w:spacing w:line="640" w:lineRule="exact"/>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利害关系授权代表处理。两家以上的供应商不得在同一合同项下的采购项目中，委托同一个自然人、同一家庭的人员、同一单位的人员作为其授权代表，否则，其施工响应文件作为无效处理。</w:t>
      </w:r>
    </w:p>
    <w:p>
      <w:pPr>
        <w:widowControl w:val="0"/>
        <w:numPr>
          <w:ilvl w:val="1"/>
          <w:numId w:val="10"/>
        </w:numPr>
        <w:tabs>
          <w:tab w:val="left" w:pos="1134"/>
        </w:tabs>
        <w:snapToGrid w:val="0"/>
        <w:spacing w:line="640" w:lineRule="exact"/>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前期参与供应商处理。为采购项目提供整体设计、规范编制或者项目管理、监理、检测等服务的供应商，不得再参加该采购项目的其他采购活动。供应商为采购人、采购代理机构在确定采购需求、编制采购文件过程中提供咨询论证，其提供的咨询论证意见成为采购文件中规定的供应商资格条件、技术服务商务要求、评审因素和标准、政府采购合同等实质性内容条款的，视同为采购项目提供规范编制。</w:t>
      </w:r>
    </w:p>
    <w:p>
      <w:pPr>
        <w:widowControl w:val="0"/>
        <w:numPr>
          <w:ilvl w:val="1"/>
          <w:numId w:val="10"/>
        </w:numPr>
        <w:tabs>
          <w:tab w:val="left" w:pos="1134"/>
        </w:tabs>
        <w:snapToGrid w:val="0"/>
        <w:spacing w:line="640" w:lineRule="exact"/>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同一母公司的两家以上的子公司只能组成联合体参加本项目同一合同项下的采购活动，不得以不同供应商身份同时参加本项目同一合同项下的采购活动。</w:t>
      </w:r>
    </w:p>
    <w:p>
      <w:pPr>
        <w:pStyle w:val="5"/>
        <w:spacing w:line="600" w:lineRule="exact"/>
        <w:rPr>
          <w:color w:val="auto"/>
          <w:highlight w:val="none"/>
        </w:rPr>
      </w:pPr>
      <w:bookmarkStart w:id="21" w:name="_Toc72938429"/>
      <w:bookmarkStart w:id="22" w:name="_Toc6250"/>
      <w:bookmarkStart w:id="23" w:name="_Toc18882"/>
      <w:r>
        <w:rPr>
          <w:rFonts w:hint="eastAsia"/>
          <w:color w:val="auto"/>
          <w:highlight w:val="none"/>
        </w:rPr>
        <w:t>磋商</w:t>
      </w:r>
      <w:r>
        <w:rPr>
          <w:color w:val="auto"/>
          <w:highlight w:val="none"/>
        </w:rPr>
        <w:t>文件</w:t>
      </w:r>
      <w:bookmarkEnd w:id="21"/>
      <w:bookmarkEnd w:id="22"/>
      <w:bookmarkEnd w:id="23"/>
    </w:p>
    <w:p>
      <w:pPr>
        <w:pStyle w:val="6"/>
        <w:spacing w:line="600" w:lineRule="exact"/>
        <w:rPr>
          <w:color w:val="auto"/>
          <w:highlight w:val="none"/>
        </w:rPr>
      </w:pPr>
      <w:r>
        <w:rPr>
          <w:rFonts w:hint="eastAsia"/>
          <w:color w:val="auto"/>
          <w:highlight w:val="none"/>
        </w:rPr>
        <w:t>磋商文件的构成</w:t>
      </w:r>
      <w:r>
        <w:rPr>
          <w:rFonts w:hint="eastAsia" w:ascii="仿宋" w:hAnsi="仿宋" w:eastAsia="仿宋"/>
          <w:color w:val="auto"/>
          <w:szCs w:val="21"/>
          <w:highlight w:val="none"/>
          <w:lang w:val="zh-CN"/>
        </w:rPr>
        <w:t>（实质性要求）</w:t>
      </w:r>
    </w:p>
    <w:p>
      <w:pPr>
        <w:tabs>
          <w:tab w:val="left" w:pos="1134"/>
        </w:tabs>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一、竞争性磋商文件是供应商准备施工响应文件和参加磋商的依据，同时也是评审的重要依据。竞争性磋商文件用以阐明采购项目所需的资质、技术、服务及报价等要求、磋商程序、有关规定和注意事项以及合同草案条款等。本磋商文件包括以下内容：</w:t>
      </w:r>
    </w:p>
    <w:p>
      <w:pPr>
        <w:tabs>
          <w:tab w:val="left" w:pos="1134"/>
        </w:tabs>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（一）竞争性磋商邀请；</w:t>
      </w:r>
    </w:p>
    <w:p>
      <w:pPr>
        <w:tabs>
          <w:tab w:val="left" w:pos="1134"/>
        </w:tabs>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（二）供应商须知；</w:t>
      </w:r>
    </w:p>
    <w:p>
      <w:pPr>
        <w:tabs>
          <w:tab w:val="left" w:pos="1134"/>
        </w:tabs>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（三）施工响应文件格式；</w:t>
      </w:r>
    </w:p>
    <w:p>
      <w:pPr>
        <w:tabs>
          <w:tab w:val="left" w:pos="1134"/>
        </w:tabs>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（四）技术、服务、商务及其他要求；</w:t>
      </w:r>
    </w:p>
    <w:p>
      <w:pPr>
        <w:tabs>
          <w:tab w:val="left" w:pos="1134"/>
        </w:tabs>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（五）磋商办法；</w:t>
      </w:r>
    </w:p>
    <w:p>
      <w:pPr>
        <w:tabs>
          <w:tab w:val="left" w:pos="1134"/>
        </w:tabs>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（六）政府采购合同草案；</w:t>
      </w:r>
    </w:p>
    <w:p>
      <w:pPr>
        <w:pStyle w:val="2"/>
        <w:ind w:firstLine="560" w:firstLineChars="200"/>
        <w:rPr>
          <w:rFonts w:ascii="宋体" w:hAnsi="宋体"/>
          <w:color w:val="auto"/>
          <w:sz w:val="28"/>
          <w:szCs w:val="28"/>
          <w:highlight w:val="none"/>
        </w:rPr>
      </w:pPr>
      <w:r>
        <w:rPr>
          <w:rFonts w:hint="eastAsia" w:ascii="宋体" w:hAnsi="宋体"/>
          <w:color w:val="auto"/>
          <w:sz w:val="28"/>
          <w:szCs w:val="28"/>
          <w:highlight w:val="none"/>
        </w:rPr>
        <w:t>（七）</w:t>
      </w:r>
      <w:r>
        <w:rPr>
          <w:rFonts w:ascii="宋体" w:hAnsi="宋体"/>
          <w:color w:val="auto"/>
          <w:sz w:val="28"/>
          <w:szCs w:val="28"/>
          <w:highlight w:val="none"/>
        </w:rPr>
        <w:t>工程量清单</w:t>
      </w:r>
      <w:r>
        <w:rPr>
          <w:rFonts w:hint="eastAsia" w:ascii="宋体" w:hAnsi="宋体"/>
          <w:color w:val="auto"/>
          <w:sz w:val="28"/>
          <w:szCs w:val="28"/>
          <w:highlight w:val="none"/>
        </w:rPr>
        <w:t>。</w:t>
      </w:r>
    </w:p>
    <w:p>
      <w:pPr>
        <w:tabs>
          <w:tab w:val="left" w:pos="1134"/>
        </w:tabs>
        <w:spacing w:line="600" w:lineRule="exact"/>
        <w:ind w:firstLine="560" w:firstLineChars="200"/>
        <w:rPr>
          <w:rFonts w:ascii="宋体" w:hAnsi="宋体"/>
          <w:color w:val="auto"/>
          <w:highlight w:val="none"/>
        </w:rPr>
      </w:pPr>
      <w:r>
        <w:rPr>
          <w:rFonts w:hint="eastAsia" w:ascii="宋体" w:hAnsi="宋体"/>
          <w:color w:val="auto"/>
          <w:sz w:val="28"/>
          <w:szCs w:val="28"/>
          <w:highlight w:val="none"/>
        </w:rPr>
        <w:t>二、供应商应认真阅读和充分理解竞争性磋商文件中所有的事项、格式条款和规范要求。按照磋商文件的要求提供施工响应文件，并保证所提供的全部资料的真实性和有效性，一经发现有虚假行为的，将取消其参加磋商或成交资格，并承担相应的法律责任。供应商没有对竞争性磋商文件全面做出实质性响应所产生的风险由供应商承担。</w:t>
      </w:r>
      <w:bookmarkEnd w:id="20"/>
    </w:p>
    <w:p>
      <w:pPr>
        <w:pStyle w:val="6"/>
        <w:spacing w:line="600" w:lineRule="exact"/>
        <w:rPr>
          <w:color w:val="auto"/>
          <w:highlight w:val="none"/>
        </w:rPr>
      </w:pPr>
      <w:bookmarkStart w:id="24" w:name="_Toc183582211"/>
      <w:bookmarkStart w:id="25" w:name="_Toc183682348"/>
      <w:bookmarkStart w:id="26" w:name="_Toc217446040"/>
      <w:r>
        <w:rPr>
          <w:rFonts w:hint="eastAsia"/>
          <w:color w:val="auto"/>
          <w:highlight w:val="none"/>
        </w:rPr>
        <w:t>磋商文件的澄清</w:t>
      </w:r>
      <w:bookmarkEnd w:id="24"/>
      <w:bookmarkEnd w:id="25"/>
      <w:r>
        <w:rPr>
          <w:rFonts w:hint="eastAsia"/>
          <w:color w:val="auto"/>
          <w:highlight w:val="none"/>
        </w:rPr>
        <w:t>和修改</w:t>
      </w:r>
      <w:bookmarkEnd w:id="26"/>
    </w:p>
    <w:p>
      <w:pPr>
        <w:widowControl w:val="0"/>
        <w:numPr>
          <w:ilvl w:val="0"/>
          <w:numId w:val="11"/>
        </w:numPr>
        <w:tabs>
          <w:tab w:val="left" w:pos="1134"/>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在递交施工响应文件截止时间前，采购人或者高新区采购中心可以对已发出的磋商文件进行必要的澄清或者修改。</w:t>
      </w:r>
    </w:p>
    <w:p>
      <w:pPr>
        <w:widowControl w:val="0"/>
        <w:numPr>
          <w:ilvl w:val="0"/>
          <w:numId w:val="11"/>
        </w:numPr>
        <w:tabs>
          <w:tab w:val="left" w:pos="1134"/>
        </w:tabs>
        <w:spacing w:line="600" w:lineRule="exact"/>
        <w:ind w:left="0" w:firstLine="560"/>
        <w:jc w:val="both"/>
        <w:rPr>
          <w:rFonts w:ascii="宋体" w:hAnsi="宋体"/>
          <w:color w:val="auto"/>
          <w:sz w:val="28"/>
          <w:szCs w:val="28"/>
          <w:highlight w:val="none"/>
        </w:rPr>
      </w:pPr>
      <w:r>
        <w:rPr>
          <w:rFonts w:hint="eastAsia" w:ascii="宋体" w:hAnsi="宋体"/>
          <w:color w:val="auto"/>
          <w:sz w:val="28"/>
          <w:szCs w:val="28"/>
          <w:highlight w:val="none"/>
        </w:rPr>
        <w:t>澄清或者修改的内容，</w:t>
      </w:r>
      <w:r>
        <w:rPr>
          <w:rFonts w:hint="eastAsia" w:ascii="宋体" w:hAnsi="宋体" w:cs="宋体"/>
          <w:color w:val="auto"/>
          <w:sz w:val="28"/>
          <w:szCs w:val="28"/>
          <w:highlight w:val="none"/>
        </w:rPr>
        <w:t>高新区采购中心</w:t>
      </w:r>
      <w:r>
        <w:rPr>
          <w:rFonts w:hint="eastAsia" w:ascii="宋体" w:hAnsi="宋体"/>
          <w:color w:val="auto"/>
          <w:sz w:val="28"/>
          <w:szCs w:val="28"/>
          <w:highlight w:val="none"/>
        </w:rPr>
        <w:t>将在“四川政府采购网</w:t>
      </w:r>
      <w:r>
        <w:rPr>
          <w:rFonts w:ascii="宋体" w:hAnsi="宋体"/>
          <w:color w:val="auto"/>
          <w:sz w:val="28"/>
          <w:szCs w:val="28"/>
          <w:highlight w:val="none"/>
        </w:rPr>
        <w:t>”</w:t>
      </w:r>
      <w:r>
        <w:rPr>
          <w:rFonts w:hint="eastAsia" w:ascii="宋体" w:hAnsi="宋体"/>
          <w:color w:val="auto"/>
          <w:sz w:val="28"/>
          <w:szCs w:val="28"/>
          <w:highlight w:val="none"/>
        </w:rPr>
        <w:t>和“成都市公共资源交易服务中心”网站上发布澄清公告，同时通过政府采购云平台将澄清或者修改的内容告知所有潜在供应商（供应商通过账号或C</w:t>
      </w:r>
      <w:r>
        <w:rPr>
          <w:rFonts w:ascii="宋体" w:hAnsi="宋体"/>
          <w:color w:val="auto"/>
          <w:sz w:val="28"/>
          <w:szCs w:val="28"/>
          <w:highlight w:val="none"/>
        </w:rPr>
        <w:t>A</w:t>
      </w:r>
      <w:r>
        <w:rPr>
          <w:rFonts w:hint="eastAsia" w:ascii="宋体" w:hAnsi="宋体"/>
          <w:color w:val="auto"/>
          <w:sz w:val="28"/>
          <w:szCs w:val="28"/>
          <w:highlight w:val="none"/>
        </w:rPr>
        <w:t>证书登录云平台查看），该澄清或者修改的内容为磋商文件的组成部分。</w:t>
      </w:r>
    </w:p>
    <w:p>
      <w:pPr>
        <w:widowControl w:val="0"/>
        <w:numPr>
          <w:ilvl w:val="0"/>
          <w:numId w:val="11"/>
        </w:numPr>
        <w:tabs>
          <w:tab w:val="left" w:pos="1134"/>
        </w:tabs>
        <w:spacing w:line="600" w:lineRule="exact"/>
        <w:ind w:left="0" w:firstLine="560"/>
        <w:jc w:val="both"/>
        <w:rPr>
          <w:rFonts w:ascii="宋体" w:hAnsi="宋体"/>
          <w:color w:val="auto"/>
          <w:sz w:val="28"/>
          <w:szCs w:val="28"/>
          <w:highlight w:val="none"/>
        </w:rPr>
      </w:pPr>
      <w:r>
        <w:rPr>
          <w:rFonts w:ascii="宋体" w:hAnsi="宋体"/>
          <w:color w:val="auto"/>
          <w:sz w:val="28"/>
          <w:szCs w:val="28"/>
          <w:highlight w:val="none"/>
        </w:rPr>
        <w:t>澄清或者修改的内容可能影响施工响应文件编制的，</w:t>
      </w:r>
      <w:r>
        <w:rPr>
          <w:rFonts w:hint="eastAsia" w:ascii="宋体" w:hAnsi="宋体" w:cs="宋体"/>
          <w:color w:val="auto"/>
          <w:sz w:val="28"/>
          <w:szCs w:val="28"/>
          <w:highlight w:val="none"/>
        </w:rPr>
        <w:t>高新区采购中心</w:t>
      </w:r>
      <w:r>
        <w:rPr>
          <w:rFonts w:ascii="宋体" w:hAnsi="宋体"/>
          <w:color w:val="auto"/>
          <w:sz w:val="28"/>
          <w:szCs w:val="28"/>
          <w:highlight w:val="none"/>
        </w:rPr>
        <w:t>应当在提交首次施工响应文件截止时间至少5日前，</w:t>
      </w:r>
      <w:r>
        <w:rPr>
          <w:rFonts w:hint="eastAsia" w:ascii="宋体" w:hAnsi="宋体"/>
          <w:color w:val="auto"/>
          <w:sz w:val="28"/>
          <w:szCs w:val="28"/>
          <w:highlight w:val="none"/>
        </w:rPr>
        <w:t>通过政府采购云平台或</w:t>
      </w:r>
      <w:r>
        <w:rPr>
          <w:rFonts w:hint="eastAsia" w:ascii="宋体" w:hAnsi="宋体"/>
          <w:bCs/>
          <w:color w:val="auto"/>
          <w:sz w:val="28"/>
          <w:szCs w:val="28"/>
          <w:highlight w:val="none"/>
        </w:rPr>
        <w:t>以电子邮件方式</w:t>
      </w:r>
      <w:r>
        <w:rPr>
          <w:rFonts w:hint="eastAsia" w:ascii="宋体" w:hAnsi="宋体"/>
          <w:color w:val="auto"/>
          <w:sz w:val="28"/>
          <w:szCs w:val="28"/>
          <w:highlight w:val="none"/>
        </w:rPr>
        <w:t>通知所有获取采购文件的潜在供应商</w:t>
      </w:r>
      <w:r>
        <w:rPr>
          <w:rFonts w:ascii="宋体" w:hAnsi="宋体"/>
          <w:color w:val="auto"/>
          <w:sz w:val="28"/>
          <w:szCs w:val="28"/>
          <w:highlight w:val="none"/>
        </w:rPr>
        <w:t>；不足5日的，</w:t>
      </w:r>
      <w:r>
        <w:rPr>
          <w:rFonts w:hint="eastAsia" w:ascii="宋体" w:hAnsi="宋体"/>
          <w:color w:val="auto"/>
          <w:sz w:val="28"/>
          <w:szCs w:val="28"/>
          <w:highlight w:val="none"/>
        </w:rPr>
        <w:t>采购人或</w:t>
      </w:r>
      <w:r>
        <w:rPr>
          <w:rFonts w:hint="eastAsia" w:ascii="宋体" w:hAnsi="宋体" w:cs="宋体"/>
          <w:color w:val="auto"/>
          <w:sz w:val="28"/>
          <w:szCs w:val="28"/>
          <w:highlight w:val="none"/>
        </w:rPr>
        <w:t>高新区采购中心</w:t>
      </w:r>
      <w:r>
        <w:rPr>
          <w:rFonts w:ascii="宋体" w:hAnsi="宋体"/>
          <w:color w:val="auto"/>
          <w:sz w:val="28"/>
          <w:szCs w:val="28"/>
          <w:highlight w:val="none"/>
        </w:rPr>
        <w:t>应当顺延提交首次施工响应文件截止</w:t>
      </w:r>
      <w:r>
        <w:rPr>
          <w:rFonts w:hint="eastAsia" w:ascii="宋体" w:hAnsi="宋体"/>
          <w:color w:val="auto"/>
          <w:sz w:val="28"/>
          <w:szCs w:val="28"/>
          <w:highlight w:val="none"/>
        </w:rPr>
        <w:t>时间</w:t>
      </w:r>
      <w:r>
        <w:rPr>
          <w:rFonts w:ascii="宋体" w:hAnsi="宋体"/>
          <w:color w:val="auto"/>
          <w:sz w:val="28"/>
          <w:szCs w:val="28"/>
          <w:highlight w:val="none"/>
        </w:rPr>
        <w:t>。</w:t>
      </w:r>
    </w:p>
    <w:p>
      <w:pPr>
        <w:pStyle w:val="5"/>
        <w:spacing w:line="600" w:lineRule="exact"/>
        <w:rPr>
          <w:color w:val="auto"/>
          <w:highlight w:val="none"/>
        </w:rPr>
      </w:pPr>
      <w:bookmarkStart w:id="27" w:name="_Toc72938430"/>
      <w:bookmarkStart w:id="28" w:name="_Toc30248"/>
      <w:bookmarkStart w:id="29" w:name="_Toc320698720"/>
      <w:bookmarkStart w:id="30" w:name="_Toc21680"/>
      <w:r>
        <w:rPr>
          <w:rFonts w:hint="eastAsia"/>
          <w:color w:val="auto"/>
          <w:highlight w:val="none"/>
        </w:rPr>
        <w:t>施工响应文件</w:t>
      </w:r>
      <w:bookmarkEnd w:id="27"/>
      <w:bookmarkEnd w:id="28"/>
      <w:bookmarkEnd w:id="29"/>
      <w:bookmarkEnd w:id="30"/>
    </w:p>
    <w:p>
      <w:pPr>
        <w:pStyle w:val="6"/>
        <w:spacing w:line="600" w:lineRule="exact"/>
        <w:rPr>
          <w:color w:val="auto"/>
          <w:highlight w:val="none"/>
        </w:rPr>
      </w:pPr>
      <w:bookmarkStart w:id="31" w:name="_Toc320698721"/>
      <w:r>
        <w:rPr>
          <w:rFonts w:hint="eastAsia"/>
          <w:color w:val="auto"/>
          <w:highlight w:val="none"/>
        </w:rPr>
        <w:t>施工响应文件的语言</w:t>
      </w:r>
      <w:bookmarkEnd w:id="31"/>
      <w:r>
        <w:rPr>
          <w:rFonts w:hint="eastAsia" w:ascii="仿宋" w:hAnsi="仿宋" w:eastAsia="仿宋"/>
          <w:color w:val="auto"/>
          <w:szCs w:val="21"/>
          <w:highlight w:val="none"/>
          <w:lang w:val="zh-CN"/>
        </w:rPr>
        <w:t>（实质性要求）</w:t>
      </w:r>
    </w:p>
    <w:p>
      <w:pPr>
        <w:widowControl w:val="0"/>
        <w:numPr>
          <w:ilvl w:val="0"/>
          <w:numId w:val="12"/>
        </w:numPr>
        <w:tabs>
          <w:tab w:val="left" w:pos="1134"/>
        </w:tabs>
        <w:spacing w:line="600" w:lineRule="exact"/>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供应商提交的施工响应文件以及供应商与采购人或</w:t>
      </w:r>
      <w:r>
        <w:rPr>
          <w:rFonts w:hint="eastAsia" w:ascii="宋体" w:hAnsi="宋体" w:cs="宋体"/>
          <w:color w:val="auto"/>
          <w:sz w:val="28"/>
          <w:szCs w:val="28"/>
          <w:highlight w:val="none"/>
        </w:rPr>
        <w:t>高新区采购中心</w:t>
      </w:r>
      <w:r>
        <w:rPr>
          <w:rFonts w:hint="eastAsia" w:ascii="宋体" w:hAnsi="宋体"/>
          <w:color w:val="auto"/>
          <w:sz w:val="28"/>
          <w:szCs w:val="28"/>
          <w:highlight w:val="none"/>
        </w:rPr>
        <w:t>就有关竞争性磋商采购活动的所有来往书面文件均须使用中文，施工响应文件中所附或引用的外文资料，应翻译成中文附在相关外文资料后面（说明：供应商的</w:t>
      </w:r>
      <w:r>
        <w:rPr>
          <w:rFonts w:hint="eastAsia" w:ascii="宋体" w:hAnsi="宋体"/>
          <w:color w:val="auto"/>
          <w:sz w:val="28"/>
          <w:highlight w:val="none"/>
        </w:rPr>
        <w:t>法定代表人</w:t>
      </w:r>
      <w:r>
        <w:rPr>
          <w:rFonts w:hint="eastAsia" w:ascii="宋体" w:hAnsi="宋体"/>
          <w:color w:val="auto"/>
          <w:sz w:val="28"/>
          <w:szCs w:val="28"/>
          <w:highlight w:val="none"/>
        </w:rPr>
        <w:t>为外籍人士的，则</w:t>
      </w:r>
      <w:r>
        <w:rPr>
          <w:rFonts w:hint="eastAsia" w:ascii="宋体" w:hAnsi="宋体"/>
          <w:color w:val="auto"/>
          <w:sz w:val="28"/>
          <w:highlight w:val="none"/>
        </w:rPr>
        <w:t>法定代表人</w:t>
      </w:r>
      <w:r>
        <w:rPr>
          <w:rFonts w:hint="eastAsia" w:ascii="宋体" w:hAnsi="宋体"/>
          <w:color w:val="auto"/>
          <w:sz w:val="28"/>
          <w:szCs w:val="28"/>
          <w:highlight w:val="none"/>
        </w:rPr>
        <w:t>的签字和护照除外）。</w:t>
      </w:r>
    </w:p>
    <w:p>
      <w:pPr>
        <w:widowControl w:val="0"/>
        <w:numPr>
          <w:ilvl w:val="0"/>
          <w:numId w:val="12"/>
        </w:numPr>
        <w:tabs>
          <w:tab w:val="left" w:pos="1134"/>
        </w:tabs>
        <w:spacing w:line="600" w:lineRule="exact"/>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对不同文字文本施工响应文件的解释发生异议的，以中文文本为准。若供应商施工响应文件中提供的外文资料未翻译成中文，则磋商小组可将其视为无效材料。</w:t>
      </w:r>
    </w:p>
    <w:p>
      <w:pPr>
        <w:pStyle w:val="6"/>
        <w:spacing w:line="600" w:lineRule="exact"/>
        <w:rPr>
          <w:color w:val="auto"/>
          <w:highlight w:val="none"/>
        </w:rPr>
      </w:pPr>
      <w:r>
        <w:rPr>
          <w:rFonts w:hint="eastAsia"/>
          <w:color w:val="auto"/>
          <w:highlight w:val="none"/>
        </w:rPr>
        <w:t>计量单位</w:t>
      </w:r>
      <w:r>
        <w:rPr>
          <w:rFonts w:hint="eastAsia" w:ascii="仿宋" w:hAnsi="仿宋" w:eastAsia="仿宋"/>
          <w:color w:val="auto"/>
          <w:szCs w:val="21"/>
          <w:highlight w:val="none"/>
          <w:lang w:val="zh-CN"/>
        </w:rPr>
        <w:t>（实质性要求）</w:t>
      </w:r>
    </w:p>
    <w:p>
      <w:pPr>
        <w:tabs>
          <w:tab w:val="left" w:pos="1200"/>
        </w:tabs>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除磋商文件中另有规定外，本次采购项目所有合同项下的响应均采用国家法定的计量单位。</w:t>
      </w:r>
    </w:p>
    <w:p>
      <w:pPr>
        <w:pStyle w:val="6"/>
        <w:spacing w:line="600" w:lineRule="exact"/>
        <w:rPr>
          <w:color w:val="auto"/>
          <w:highlight w:val="none"/>
        </w:rPr>
      </w:pPr>
      <w:bookmarkStart w:id="32" w:name="_Toc320698722"/>
      <w:r>
        <w:rPr>
          <w:rFonts w:hint="eastAsia"/>
          <w:color w:val="auto"/>
          <w:highlight w:val="none"/>
        </w:rPr>
        <w:t>报价货币及报价要求</w:t>
      </w:r>
      <w:bookmarkEnd w:id="32"/>
      <w:r>
        <w:rPr>
          <w:rFonts w:hint="eastAsia" w:ascii="仿宋" w:hAnsi="仿宋" w:eastAsia="仿宋"/>
          <w:color w:val="auto"/>
          <w:szCs w:val="21"/>
          <w:highlight w:val="none"/>
          <w:lang w:val="zh-CN"/>
        </w:rPr>
        <w:t>（实质性要求）</w:t>
      </w:r>
    </w:p>
    <w:p>
      <w:pPr>
        <w:widowControl w:val="0"/>
        <w:numPr>
          <w:ilvl w:val="0"/>
          <w:numId w:val="13"/>
        </w:numPr>
        <w:tabs>
          <w:tab w:val="left" w:pos="1134"/>
        </w:tabs>
        <w:spacing w:line="600" w:lineRule="exact"/>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供应商应认真核实本项目的工程量清单。工程量清单以电子版为准。</w:t>
      </w:r>
    </w:p>
    <w:p>
      <w:pPr>
        <w:widowControl w:val="0"/>
        <w:numPr>
          <w:ilvl w:val="0"/>
          <w:numId w:val="13"/>
        </w:numPr>
        <w:tabs>
          <w:tab w:val="left" w:pos="1134"/>
        </w:tabs>
        <w:spacing w:line="600" w:lineRule="exact"/>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报价一律以人民币币种报价。采购人不接受任何非人民币币种的报价。</w:t>
      </w:r>
    </w:p>
    <w:p>
      <w:pPr>
        <w:widowControl w:val="0"/>
        <w:numPr>
          <w:ilvl w:val="0"/>
          <w:numId w:val="13"/>
        </w:numPr>
        <w:tabs>
          <w:tab w:val="left" w:pos="1134"/>
        </w:tabs>
        <w:spacing w:line="600" w:lineRule="exact"/>
        <w:ind w:left="0" w:firstLine="560" w:firstLineChars="200"/>
        <w:jc w:val="both"/>
        <w:rPr>
          <w:rFonts w:ascii="宋体" w:hAnsi="宋体"/>
          <w:color w:val="auto"/>
          <w:sz w:val="28"/>
          <w:szCs w:val="28"/>
          <w:highlight w:val="none"/>
        </w:rPr>
      </w:pPr>
      <w:bookmarkStart w:id="33" w:name="_Toc320698723"/>
      <w:r>
        <w:rPr>
          <w:rFonts w:hint="eastAsia" w:ascii="宋体" w:hAnsi="宋体"/>
          <w:color w:val="auto"/>
          <w:sz w:val="28"/>
          <w:szCs w:val="28"/>
          <w:highlight w:val="none"/>
        </w:rPr>
        <w:t>供应商的报价是其响应本项目要求的全部工作内容的价格体现，包括供应商完成本项目所需的一切费用。</w:t>
      </w:r>
    </w:p>
    <w:p>
      <w:pPr>
        <w:widowControl w:val="0"/>
        <w:numPr>
          <w:ilvl w:val="0"/>
          <w:numId w:val="13"/>
        </w:numPr>
        <w:tabs>
          <w:tab w:val="left" w:pos="1134"/>
        </w:tabs>
        <w:spacing w:line="600" w:lineRule="exact"/>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本项目合同价格形式为固定单价合同。</w:t>
      </w:r>
    </w:p>
    <w:p>
      <w:pPr>
        <w:widowControl w:val="0"/>
        <w:numPr>
          <w:ilvl w:val="0"/>
          <w:numId w:val="13"/>
        </w:numPr>
        <w:tabs>
          <w:tab w:val="left" w:pos="1134"/>
        </w:tabs>
        <w:spacing w:line="600" w:lineRule="exact"/>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本项目采用工程量清单报价，为固定单价合同。</w:t>
      </w:r>
    </w:p>
    <w:p>
      <w:pPr>
        <w:widowControl w:val="0"/>
        <w:numPr>
          <w:ilvl w:val="0"/>
          <w:numId w:val="14"/>
        </w:numPr>
        <w:tabs>
          <w:tab w:val="left" w:pos="1134"/>
        </w:tabs>
        <w:spacing w:line="360" w:lineRule="auto"/>
        <w:ind w:left="0" w:firstLine="567"/>
        <w:jc w:val="both"/>
        <w:rPr>
          <w:rFonts w:ascii="宋体" w:hAnsi="宋体"/>
          <w:bCs/>
          <w:color w:val="auto"/>
          <w:sz w:val="28"/>
          <w:szCs w:val="28"/>
          <w:highlight w:val="none"/>
        </w:rPr>
      </w:pPr>
      <w:r>
        <w:rPr>
          <w:rFonts w:hint="eastAsia" w:ascii="宋体" w:hAnsi="宋体"/>
          <w:b/>
          <w:bCs/>
          <w:color w:val="auto"/>
          <w:sz w:val="28"/>
          <w:szCs w:val="28"/>
          <w:highlight w:val="none"/>
        </w:rPr>
        <w:t>已标价工程量清单的扉页（仅指投标总价扉页，下同）应由注册或登记在本单位的造价人员签字并盖执业印章（说明：提供造价人员签字并盖执业印章的已标价工程量清单的扉页的复印件，原件签订合同时向采购人提供）</w:t>
      </w:r>
      <w:r>
        <w:rPr>
          <w:rFonts w:hint="eastAsia" w:ascii="宋体" w:hAnsi="宋体"/>
          <w:bCs/>
          <w:color w:val="auto"/>
          <w:sz w:val="28"/>
          <w:szCs w:val="28"/>
          <w:highlight w:val="none"/>
        </w:rPr>
        <w:t>。除此之外，造价人员无需在施工响应文件其他任何地方签字或盖执业印章。</w:t>
      </w:r>
      <w:r>
        <w:rPr>
          <w:rFonts w:hint="eastAsia" w:ascii="宋体" w:hAnsi="宋体"/>
          <w:b/>
          <w:bCs/>
          <w:color w:val="auto"/>
          <w:sz w:val="28"/>
          <w:szCs w:val="28"/>
          <w:highlight w:val="none"/>
        </w:rPr>
        <w:t>供应商委托工程造价咨询企业编制已标价工程量清单的，应在施工响应文件中附工程造价咨询委托合同，由注册或登记在工程造价咨询企业的造价人员签字并盖执业印章</w:t>
      </w:r>
      <w:r>
        <w:rPr>
          <w:rFonts w:hint="eastAsia" w:ascii="宋体" w:hAnsi="宋体"/>
          <w:bCs/>
          <w:color w:val="auto"/>
          <w:sz w:val="28"/>
          <w:szCs w:val="28"/>
          <w:highlight w:val="none"/>
        </w:rPr>
        <w:t>。</w:t>
      </w:r>
    </w:p>
    <w:p>
      <w:pPr>
        <w:widowControl w:val="0"/>
        <w:numPr>
          <w:ilvl w:val="0"/>
          <w:numId w:val="14"/>
        </w:numPr>
        <w:tabs>
          <w:tab w:val="left" w:pos="1134"/>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供应</w:t>
      </w:r>
      <w:r>
        <w:rPr>
          <w:rFonts w:ascii="宋体" w:hAnsi="宋体"/>
          <w:bCs/>
          <w:color w:val="auto"/>
          <w:sz w:val="28"/>
          <w:szCs w:val="28"/>
          <w:highlight w:val="none"/>
        </w:rPr>
        <w:t>商</w:t>
      </w:r>
      <w:r>
        <w:rPr>
          <w:rFonts w:hint="eastAsia" w:ascii="宋体" w:hAnsi="宋体"/>
          <w:bCs/>
          <w:color w:val="auto"/>
          <w:sz w:val="28"/>
          <w:szCs w:val="28"/>
          <w:highlight w:val="none"/>
        </w:rPr>
        <w:t>最后报价超过政府采购预算或最高限价(控制价)（金额详见“供应商须知附表”）的, 其施工响应文件按无效处理。</w:t>
      </w:r>
    </w:p>
    <w:p>
      <w:pPr>
        <w:widowControl w:val="0"/>
        <w:numPr>
          <w:ilvl w:val="0"/>
          <w:numId w:val="14"/>
        </w:numPr>
        <w:tabs>
          <w:tab w:val="left" w:pos="1134"/>
        </w:tabs>
        <w:spacing w:line="360" w:lineRule="auto"/>
        <w:ind w:left="0" w:firstLine="567"/>
        <w:jc w:val="both"/>
        <w:rPr>
          <w:rFonts w:ascii="宋体" w:hAnsi="宋体"/>
          <w:b/>
          <w:bCs/>
          <w:color w:val="auto"/>
          <w:sz w:val="28"/>
          <w:szCs w:val="28"/>
          <w:highlight w:val="none"/>
        </w:rPr>
      </w:pPr>
      <w:r>
        <w:rPr>
          <w:rFonts w:hint="eastAsia" w:ascii="宋体" w:hAnsi="宋体"/>
          <w:b/>
          <w:bCs/>
          <w:color w:val="auto"/>
          <w:sz w:val="28"/>
          <w:szCs w:val="28"/>
          <w:highlight w:val="none"/>
        </w:rPr>
        <w:t>供应商在首次提交的施工响应文件中的报价（即首次报价）应按采购文件及工程量清单编制要求，列出报价的构成及明细，包括但不限于分部分项工程、措施项目、其他项目、规费及税金等。其中安全文明施工费、暂定金额、暂估价、规费及税金应按工程量清单（总说明）的要求计取。</w:t>
      </w:r>
    </w:p>
    <w:p>
      <w:pPr>
        <w:widowControl w:val="0"/>
        <w:numPr>
          <w:ilvl w:val="0"/>
          <w:numId w:val="14"/>
        </w:numPr>
        <w:tabs>
          <w:tab w:val="left" w:pos="1134"/>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供应商对工程量清单中的分部分项工程量清单项目的单价未填报或填报为零的，视为单价遗漏。出现单价遗漏情况，视为其费用已分摊在工程量清单其他相关子目的单价（价格）之中。如成交，供应商应完成该项目，但该项目不得另行计价。</w:t>
      </w:r>
    </w:p>
    <w:p>
      <w:pPr>
        <w:widowControl w:val="0"/>
        <w:numPr>
          <w:ilvl w:val="0"/>
          <w:numId w:val="14"/>
        </w:numPr>
        <w:tabs>
          <w:tab w:val="left" w:pos="1134"/>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供应商提交的已标价工程量清单应符合本项目工程量清单以及清单说明的要求。当供应商的已标价工程量清单有下列情形之一的，应按照无效施工响应文件处理。</w:t>
      </w:r>
    </w:p>
    <w:p>
      <w:pPr>
        <w:widowControl w:val="0"/>
        <w:numPr>
          <w:ilvl w:val="0"/>
          <w:numId w:val="15"/>
        </w:numPr>
        <w:tabs>
          <w:tab w:val="left" w:pos="1418"/>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已标价工程量清单中的项目名称、项目特征描述（与采购文件工程量清单中的项目特征描述的实质性内容一致的除外）、计量单位、工程量与采购文件工程量清单不一致的；</w:t>
      </w:r>
    </w:p>
    <w:p>
      <w:pPr>
        <w:widowControl w:val="0"/>
        <w:numPr>
          <w:ilvl w:val="0"/>
          <w:numId w:val="15"/>
        </w:numPr>
        <w:tabs>
          <w:tab w:val="left" w:pos="1418"/>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供应</w:t>
      </w:r>
      <w:r>
        <w:rPr>
          <w:rFonts w:ascii="宋体" w:hAnsi="宋体"/>
          <w:bCs/>
          <w:color w:val="auto"/>
          <w:sz w:val="28"/>
          <w:szCs w:val="28"/>
          <w:highlight w:val="none"/>
        </w:rPr>
        <w:t>商</w:t>
      </w:r>
      <w:r>
        <w:rPr>
          <w:rFonts w:hint="eastAsia" w:ascii="宋体" w:hAnsi="宋体"/>
          <w:bCs/>
          <w:color w:val="auto"/>
          <w:sz w:val="28"/>
          <w:szCs w:val="28"/>
          <w:highlight w:val="none"/>
        </w:rPr>
        <w:t>未按采购文件工程</w:t>
      </w:r>
      <w:r>
        <w:rPr>
          <w:rFonts w:ascii="宋体" w:hAnsi="宋体"/>
          <w:bCs/>
          <w:color w:val="auto"/>
          <w:sz w:val="28"/>
          <w:szCs w:val="28"/>
          <w:highlight w:val="none"/>
        </w:rPr>
        <w:t>量</w:t>
      </w:r>
      <w:r>
        <w:rPr>
          <w:rFonts w:hint="eastAsia" w:ascii="宋体" w:hAnsi="宋体"/>
          <w:bCs/>
          <w:color w:val="auto"/>
          <w:sz w:val="28"/>
          <w:szCs w:val="28"/>
          <w:highlight w:val="none"/>
        </w:rPr>
        <w:t>清单总</w:t>
      </w:r>
      <w:r>
        <w:rPr>
          <w:rFonts w:ascii="宋体" w:hAnsi="宋体"/>
          <w:bCs/>
          <w:color w:val="auto"/>
          <w:sz w:val="28"/>
          <w:szCs w:val="28"/>
          <w:highlight w:val="none"/>
        </w:rPr>
        <w:t>说明</w:t>
      </w:r>
      <w:r>
        <w:rPr>
          <w:rFonts w:hint="eastAsia" w:ascii="宋体" w:hAnsi="宋体"/>
          <w:bCs/>
          <w:color w:val="auto"/>
          <w:sz w:val="28"/>
          <w:szCs w:val="28"/>
          <w:highlight w:val="none"/>
        </w:rPr>
        <w:t>规定计取规费的；</w:t>
      </w:r>
    </w:p>
    <w:p>
      <w:pPr>
        <w:widowControl w:val="0"/>
        <w:numPr>
          <w:ilvl w:val="0"/>
          <w:numId w:val="15"/>
        </w:numPr>
        <w:tabs>
          <w:tab w:val="left" w:pos="1418"/>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采购</w:t>
      </w:r>
      <w:r>
        <w:rPr>
          <w:rFonts w:ascii="宋体" w:hAnsi="宋体"/>
          <w:bCs/>
          <w:color w:val="auto"/>
          <w:sz w:val="28"/>
          <w:szCs w:val="28"/>
          <w:highlight w:val="none"/>
        </w:rPr>
        <w:t>文件</w:t>
      </w:r>
      <w:r>
        <w:rPr>
          <w:rFonts w:hint="eastAsia" w:ascii="宋体" w:hAnsi="宋体"/>
          <w:bCs/>
          <w:color w:val="auto"/>
          <w:sz w:val="28"/>
          <w:szCs w:val="28"/>
          <w:highlight w:val="none"/>
        </w:rPr>
        <w:t>明确了安全文明施工费金额或费率并要求按此金额或费率填报而供应商填报错误或未填报的；</w:t>
      </w:r>
    </w:p>
    <w:p>
      <w:pPr>
        <w:widowControl w:val="0"/>
        <w:numPr>
          <w:ilvl w:val="0"/>
          <w:numId w:val="15"/>
        </w:numPr>
        <w:tabs>
          <w:tab w:val="left" w:pos="1418"/>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已标价工程量清单中暂列金额未按采购</w:t>
      </w:r>
      <w:r>
        <w:rPr>
          <w:rFonts w:ascii="宋体" w:hAnsi="宋体"/>
          <w:bCs/>
          <w:color w:val="auto"/>
          <w:sz w:val="28"/>
          <w:szCs w:val="28"/>
          <w:highlight w:val="none"/>
        </w:rPr>
        <w:t>文件</w:t>
      </w:r>
      <w:r>
        <w:rPr>
          <w:rFonts w:hint="eastAsia" w:ascii="宋体" w:hAnsi="宋体"/>
          <w:bCs/>
          <w:color w:val="auto"/>
          <w:sz w:val="28"/>
          <w:szCs w:val="28"/>
          <w:highlight w:val="none"/>
        </w:rPr>
        <w:t>工程量清单中列明的金额填报的；</w:t>
      </w:r>
    </w:p>
    <w:p>
      <w:pPr>
        <w:widowControl w:val="0"/>
        <w:numPr>
          <w:ilvl w:val="0"/>
          <w:numId w:val="15"/>
        </w:numPr>
        <w:tabs>
          <w:tab w:val="left" w:pos="1418"/>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已标价工程量清单中材料、工程设备暂估价未按采购文件工程量清单中列出的单价计入综合单价的；</w:t>
      </w:r>
    </w:p>
    <w:p>
      <w:pPr>
        <w:widowControl w:val="0"/>
        <w:numPr>
          <w:ilvl w:val="0"/>
          <w:numId w:val="15"/>
        </w:numPr>
        <w:tabs>
          <w:tab w:val="left" w:pos="1418"/>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已标价工程量清单中专业工程暂估价未按采购文件工程量清单中列明的金额填写的；</w:t>
      </w:r>
    </w:p>
    <w:p>
      <w:pPr>
        <w:widowControl w:val="0"/>
        <w:numPr>
          <w:ilvl w:val="0"/>
          <w:numId w:val="15"/>
        </w:numPr>
        <w:tabs>
          <w:tab w:val="left" w:pos="1418"/>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已标价工程量清单中计日工未按采购文件工程量清单中列明的数量进行报价的；</w:t>
      </w:r>
    </w:p>
    <w:p>
      <w:pPr>
        <w:widowControl w:val="0"/>
        <w:numPr>
          <w:ilvl w:val="0"/>
          <w:numId w:val="15"/>
        </w:numPr>
        <w:tabs>
          <w:tab w:val="left" w:pos="1418"/>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当已标价工程量清单中的任何单价、合价或总价，出现两个及以上金额的。</w:t>
      </w:r>
    </w:p>
    <w:p>
      <w:pPr>
        <w:widowControl w:val="0"/>
        <w:numPr>
          <w:ilvl w:val="0"/>
          <w:numId w:val="14"/>
        </w:numPr>
        <w:tabs>
          <w:tab w:val="left" w:pos="1134"/>
        </w:tabs>
        <w:spacing w:line="360" w:lineRule="auto"/>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若供应商的最后报价只有一个总价，且相对首次报价有调整（上调取“+”，下调取“-”</w:t>
      </w:r>
      <w:r>
        <w:rPr>
          <w:rFonts w:ascii="宋体" w:hAnsi="宋体"/>
          <w:bCs/>
          <w:color w:val="auto"/>
          <w:sz w:val="28"/>
          <w:szCs w:val="28"/>
          <w:highlight w:val="none"/>
        </w:rPr>
        <w:t>）</w:t>
      </w:r>
      <w:r>
        <w:rPr>
          <w:rFonts w:hint="eastAsia" w:ascii="宋体" w:hAnsi="宋体"/>
          <w:bCs/>
          <w:color w:val="auto"/>
          <w:sz w:val="28"/>
          <w:szCs w:val="28"/>
          <w:highlight w:val="none"/>
        </w:rPr>
        <w:t>，则该调整金额将会以百分比（A</w:t>
      </w:r>
      <w:r>
        <w:rPr>
          <w:rFonts w:ascii="宋体" w:hAnsi="宋体"/>
          <w:bCs/>
          <w:color w:val="auto"/>
          <w:sz w:val="28"/>
          <w:szCs w:val="28"/>
          <w:highlight w:val="none"/>
        </w:rPr>
        <w:t>）</w:t>
      </w:r>
      <w:r>
        <w:rPr>
          <w:rFonts w:hint="eastAsia" w:ascii="宋体" w:hAnsi="宋体"/>
          <w:bCs/>
          <w:color w:val="auto"/>
          <w:sz w:val="28"/>
          <w:szCs w:val="28"/>
          <w:highlight w:val="none"/>
        </w:rPr>
        <w:t>形式套用于首次报价中除暂列金额、专业暂估价以及包干费用以外的各项目单价，调整后的单价（B</w:t>
      </w:r>
      <w:r>
        <w:rPr>
          <w:rFonts w:ascii="宋体" w:hAnsi="宋体"/>
          <w:bCs/>
          <w:color w:val="auto"/>
          <w:sz w:val="28"/>
          <w:szCs w:val="28"/>
          <w:highlight w:val="none"/>
        </w:rPr>
        <w:t>）</w:t>
      </w:r>
      <w:r>
        <w:rPr>
          <w:rFonts w:hint="eastAsia" w:ascii="宋体" w:hAnsi="宋体"/>
          <w:bCs/>
          <w:color w:val="auto"/>
          <w:sz w:val="28"/>
          <w:szCs w:val="28"/>
          <w:highlight w:val="none"/>
        </w:rPr>
        <w:t>作为工程变更及竣工结算的依据。百分比（A</w:t>
      </w:r>
      <w:r>
        <w:rPr>
          <w:rFonts w:ascii="宋体" w:hAnsi="宋体"/>
          <w:bCs/>
          <w:color w:val="auto"/>
          <w:sz w:val="28"/>
          <w:szCs w:val="28"/>
          <w:highlight w:val="none"/>
        </w:rPr>
        <w:t>）</w:t>
      </w:r>
      <w:r>
        <w:rPr>
          <w:rFonts w:hint="eastAsia" w:ascii="宋体" w:hAnsi="宋体"/>
          <w:bCs/>
          <w:color w:val="auto"/>
          <w:sz w:val="28"/>
          <w:szCs w:val="28"/>
          <w:highlight w:val="none"/>
        </w:rPr>
        <w:t>计算如下（保留两位小数）：</w:t>
      </w:r>
    </w:p>
    <w:p>
      <w:pPr>
        <w:spacing w:line="240" w:lineRule="atLeast"/>
        <w:ind w:firstLine="546" w:firstLineChars="195"/>
        <w:rPr>
          <w:rFonts w:ascii="宋体" w:hAnsi="宋体"/>
          <w:bCs/>
          <w:color w:val="auto"/>
          <w:sz w:val="28"/>
          <w:szCs w:val="28"/>
          <w:highlight w:val="none"/>
        </w:rPr>
      </w:pPr>
      <w:r>
        <w:rPr>
          <w:rFonts w:hint="eastAsia" w:ascii="宋体" w:hAnsi="宋体"/>
          <w:bCs/>
          <w:color w:val="auto"/>
          <w:sz w:val="28"/>
          <w:szCs w:val="28"/>
          <w:highlight w:val="none"/>
        </w:rPr>
        <w:t xml:space="preserve">             </w:t>
      </w:r>
      <w:r>
        <w:rPr>
          <w:rFonts w:hint="eastAsia" w:ascii="宋体" w:hAnsi="宋体"/>
          <w:bCs/>
          <w:color w:val="auto"/>
          <w:sz w:val="28"/>
          <w:szCs w:val="28"/>
          <w:highlight w:val="none"/>
        </w:rPr>
        <w:tab/>
      </w:r>
      <w:r>
        <w:rPr>
          <w:rFonts w:hint="eastAsia" w:ascii="宋体" w:hAnsi="宋体"/>
          <w:bCs/>
          <w:color w:val="auto"/>
          <w:sz w:val="28"/>
          <w:szCs w:val="28"/>
          <w:highlight w:val="none"/>
        </w:rPr>
        <w:tab/>
      </w:r>
      <w:r>
        <w:rPr>
          <w:rFonts w:hint="eastAsia" w:ascii="宋体" w:hAnsi="宋体"/>
          <w:bCs/>
          <w:color w:val="auto"/>
          <w:sz w:val="28"/>
          <w:szCs w:val="28"/>
          <w:highlight w:val="none"/>
        </w:rPr>
        <w:t xml:space="preserve">          （</w:t>
      </w:r>
      <w:r>
        <w:rPr>
          <w:rFonts w:hint="eastAsia" w:ascii="宋体" w:hAnsi="宋体" w:cs="Cambria Math"/>
          <w:bCs/>
          <w:color w:val="auto"/>
          <w:sz w:val="28"/>
          <w:szCs w:val="28"/>
          <w:highlight w:val="none"/>
        </w:rPr>
        <w:t>±</w:t>
      </w:r>
      <w:r>
        <w:rPr>
          <w:rFonts w:ascii="宋体" w:hAnsi="宋体"/>
          <w:bCs/>
          <w:color w:val="auto"/>
          <w:sz w:val="28"/>
          <w:szCs w:val="28"/>
          <w:highlight w:val="none"/>
        </w:rPr>
        <w:t>）</w:t>
      </w:r>
      <w:r>
        <w:rPr>
          <w:rFonts w:hint="eastAsia" w:ascii="宋体" w:hAnsi="宋体"/>
          <w:bCs/>
          <w:color w:val="auto"/>
          <w:sz w:val="28"/>
          <w:szCs w:val="28"/>
          <w:highlight w:val="none"/>
        </w:rPr>
        <w:t xml:space="preserve">调整金额                                                  </w:t>
      </w:r>
    </w:p>
    <w:p>
      <w:pPr>
        <w:spacing w:line="240" w:lineRule="atLeast"/>
        <w:rPr>
          <w:rFonts w:ascii="宋体" w:hAnsi="宋体"/>
          <w:bCs/>
          <w:color w:val="auto"/>
          <w:sz w:val="28"/>
          <w:szCs w:val="28"/>
          <w:highlight w:val="none"/>
        </w:rPr>
      </w:pPr>
      <w:r>
        <w:rPr>
          <w:rFonts w:hint="eastAsia" w:ascii="宋体" w:hAnsi="宋体"/>
          <w:bCs/>
          <w:color w:val="auto"/>
          <w:sz w:val="28"/>
          <w:szCs w:val="28"/>
          <w:highlight w:val="none"/>
        </w:rPr>
        <w:t>百分比（A</w:t>
      </w:r>
      <w:r>
        <w:rPr>
          <w:rFonts w:ascii="宋体" w:hAnsi="宋体"/>
          <w:bCs/>
          <w:color w:val="auto"/>
          <w:sz w:val="28"/>
          <w:szCs w:val="28"/>
          <w:highlight w:val="none"/>
        </w:rPr>
        <w:t>）</w:t>
      </w:r>
      <w:r>
        <w:rPr>
          <w:rFonts w:hint="eastAsia" w:ascii="宋体" w:hAnsi="宋体"/>
          <w:bCs/>
          <w:color w:val="auto"/>
          <w:sz w:val="28"/>
          <w:szCs w:val="28"/>
          <w:highlight w:val="none"/>
        </w:rPr>
        <w:t xml:space="preserve">= </w:t>
      </w:r>
      <w:r>
        <w:rPr>
          <w:rFonts w:hint="eastAsia" w:ascii="宋体" w:hAnsi="宋体"/>
          <w:bCs/>
          <w:strike/>
          <w:color w:val="auto"/>
          <w:sz w:val="28"/>
          <w:szCs w:val="28"/>
          <w:highlight w:val="none"/>
        </w:rPr>
        <w:t xml:space="preserve">                           </w:t>
      </w:r>
      <w:r>
        <w:rPr>
          <w:rFonts w:ascii="宋体" w:hAnsi="宋体"/>
          <w:bCs/>
          <w:strike/>
          <w:color w:val="auto"/>
          <w:sz w:val="28"/>
          <w:szCs w:val="28"/>
          <w:highlight w:val="none"/>
        </w:rPr>
        <w:t xml:space="preserve"> </w:t>
      </w:r>
      <w:r>
        <w:rPr>
          <w:rFonts w:hint="eastAsia" w:ascii="宋体" w:hAnsi="宋体"/>
          <w:bCs/>
          <w:strike/>
          <w:color w:val="auto"/>
          <w:sz w:val="28"/>
          <w:szCs w:val="28"/>
          <w:highlight w:val="none"/>
        </w:rPr>
        <w:t xml:space="preserve">      </w:t>
      </w:r>
      <w:r>
        <w:rPr>
          <w:rFonts w:ascii="宋体" w:hAnsi="宋体"/>
          <w:bCs/>
          <w:strike/>
          <w:color w:val="auto"/>
          <w:sz w:val="28"/>
          <w:szCs w:val="28"/>
          <w:highlight w:val="none"/>
        </w:rPr>
        <w:t xml:space="preserve">    </w:t>
      </w:r>
      <w:r>
        <w:rPr>
          <w:rFonts w:hint="eastAsia" w:ascii="宋体" w:hAnsi="宋体"/>
          <w:bCs/>
          <w:strike/>
          <w:color w:val="auto"/>
          <w:sz w:val="28"/>
          <w:szCs w:val="28"/>
          <w:highlight w:val="none"/>
        </w:rPr>
        <w:t xml:space="preserve">         </w:t>
      </w:r>
      <w:r>
        <w:rPr>
          <w:rFonts w:hint="eastAsia" w:ascii="宋体" w:hAnsi="宋体"/>
          <w:bCs/>
          <w:color w:val="auto"/>
          <w:sz w:val="28"/>
          <w:szCs w:val="28"/>
          <w:highlight w:val="none"/>
        </w:rPr>
        <w:t>×100%</w:t>
      </w:r>
    </w:p>
    <w:p>
      <w:pPr>
        <w:spacing w:line="360" w:lineRule="auto"/>
        <w:ind w:firstLine="1540" w:firstLineChars="550"/>
        <w:rPr>
          <w:rFonts w:ascii="宋体" w:hAnsi="宋体"/>
          <w:bCs/>
          <w:color w:val="auto"/>
          <w:sz w:val="28"/>
          <w:szCs w:val="28"/>
          <w:highlight w:val="none"/>
        </w:rPr>
      </w:pPr>
      <w:r>
        <w:rPr>
          <w:rFonts w:hint="eastAsia" w:ascii="宋体" w:hAnsi="宋体"/>
          <w:bCs/>
          <w:color w:val="auto"/>
          <w:sz w:val="28"/>
          <w:szCs w:val="28"/>
          <w:highlight w:val="none"/>
        </w:rPr>
        <w:t>修正后的首次报价-暂列金额-</w:t>
      </w:r>
      <w:r>
        <w:rPr>
          <w:rFonts w:ascii="宋体" w:hAnsi="宋体"/>
          <w:bCs/>
          <w:color w:val="auto"/>
          <w:sz w:val="28"/>
          <w:szCs w:val="28"/>
          <w:highlight w:val="none"/>
        </w:rPr>
        <w:t>专业工程</w:t>
      </w:r>
      <w:r>
        <w:rPr>
          <w:rFonts w:hint="eastAsia" w:ascii="宋体" w:hAnsi="宋体"/>
          <w:bCs/>
          <w:color w:val="auto"/>
          <w:sz w:val="28"/>
          <w:szCs w:val="28"/>
          <w:highlight w:val="none"/>
        </w:rPr>
        <w:t>暂估价-包干费用</w:t>
      </w:r>
    </w:p>
    <w:p>
      <w:pPr>
        <w:spacing w:line="360" w:lineRule="auto"/>
        <w:rPr>
          <w:rFonts w:ascii="宋体" w:hAnsi="宋体"/>
          <w:bCs/>
          <w:color w:val="auto"/>
          <w:sz w:val="28"/>
          <w:szCs w:val="28"/>
          <w:highlight w:val="none"/>
        </w:rPr>
      </w:pPr>
      <w:r>
        <w:rPr>
          <w:rFonts w:hint="eastAsia" w:ascii="宋体" w:hAnsi="宋体"/>
          <w:bCs/>
          <w:color w:val="auto"/>
          <w:sz w:val="28"/>
          <w:szCs w:val="28"/>
          <w:highlight w:val="none"/>
        </w:rPr>
        <w:t>调整</w:t>
      </w:r>
      <w:r>
        <w:rPr>
          <w:rFonts w:ascii="宋体" w:hAnsi="宋体"/>
          <w:bCs/>
          <w:color w:val="auto"/>
          <w:sz w:val="28"/>
          <w:szCs w:val="28"/>
          <w:highlight w:val="none"/>
        </w:rPr>
        <w:t>后的单价</w:t>
      </w:r>
      <w:r>
        <w:rPr>
          <w:rFonts w:hint="eastAsia" w:ascii="宋体" w:hAnsi="宋体"/>
          <w:bCs/>
          <w:color w:val="auto"/>
          <w:sz w:val="28"/>
          <w:szCs w:val="28"/>
          <w:highlight w:val="none"/>
        </w:rPr>
        <w:t>B</w:t>
      </w:r>
      <w:r>
        <w:rPr>
          <w:rFonts w:ascii="宋体" w:hAnsi="宋体"/>
          <w:bCs/>
          <w:color w:val="auto"/>
          <w:sz w:val="28"/>
          <w:szCs w:val="28"/>
          <w:highlight w:val="none"/>
        </w:rPr>
        <w:t xml:space="preserve"> =</w:t>
      </w:r>
      <w:r>
        <w:rPr>
          <w:rFonts w:hint="eastAsia" w:ascii="宋体" w:hAnsi="宋体"/>
          <w:bCs/>
          <w:color w:val="auto"/>
          <w:sz w:val="28"/>
          <w:szCs w:val="28"/>
          <w:highlight w:val="none"/>
        </w:rPr>
        <w:t>修正后的首次报价中</w:t>
      </w:r>
      <w:r>
        <w:rPr>
          <w:rFonts w:ascii="宋体" w:hAnsi="宋体"/>
          <w:bCs/>
          <w:color w:val="auto"/>
          <w:sz w:val="28"/>
          <w:szCs w:val="28"/>
          <w:highlight w:val="none"/>
        </w:rPr>
        <w:t>的单价</w:t>
      </w:r>
      <w:r>
        <w:rPr>
          <w:rFonts w:hint="eastAsia" w:ascii="宋体" w:hAnsi="宋体"/>
          <w:bCs/>
          <w:color w:val="auto"/>
          <w:sz w:val="28"/>
          <w:szCs w:val="28"/>
          <w:highlight w:val="none"/>
        </w:rPr>
        <w:t>×（</w:t>
      </w:r>
      <w:r>
        <w:rPr>
          <w:rFonts w:ascii="宋体" w:hAnsi="宋体"/>
          <w:bCs/>
          <w:color w:val="auto"/>
          <w:sz w:val="28"/>
          <w:szCs w:val="28"/>
          <w:highlight w:val="none"/>
        </w:rPr>
        <w:t>1 + A</w:t>
      </w:r>
      <w:r>
        <w:rPr>
          <w:rFonts w:hint="eastAsia" w:ascii="宋体" w:hAnsi="宋体"/>
          <w:bCs/>
          <w:color w:val="auto"/>
          <w:sz w:val="28"/>
          <w:szCs w:val="28"/>
          <w:highlight w:val="none"/>
        </w:rPr>
        <w:t>）</w:t>
      </w:r>
    </w:p>
    <w:p>
      <w:pPr>
        <w:pStyle w:val="6"/>
        <w:spacing w:line="600" w:lineRule="exact"/>
        <w:rPr>
          <w:color w:val="auto"/>
          <w:highlight w:val="none"/>
        </w:rPr>
      </w:pPr>
      <w:r>
        <w:rPr>
          <w:rFonts w:hint="eastAsia"/>
          <w:color w:val="auto"/>
          <w:highlight w:val="none"/>
        </w:rPr>
        <w:t>联合体</w:t>
      </w:r>
      <w:bookmarkEnd w:id="33"/>
      <w:r>
        <w:rPr>
          <w:rFonts w:hint="eastAsia" w:ascii="仿宋" w:hAnsi="仿宋" w:eastAsia="仿宋"/>
          <w:color w:val="auto"/>
          <w:szCs w:val="21"/>
          <w:highlight w:val="none"/>
          <w:lang w:val="zh-CN"/>
        </w:rPr>
        <w:t>（实质性要求）</w:t>
      </w:r>
    </w:p>
    <w:p>
      <w:pPr>
        <w:tabs>
          <w:tab w:val="left" w:pos="1200"/>
        </w:tabs>
        <w:spacing w:line="60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本次政府采购活动</w:t>
      </w:r>
      <w:r>
        <w:rPr>
          <w:rFonts w:hint="eastAsia" w:ascii="宋体" w:hAnsi="宋体"/>
          <w:b/>
          <w:color w:val="auto"/>
          <w:sz w:val="28"/>
          <w:szCs w:val="28"/>
          <w:highlight w:val="none"/>
        </w:rPr>
        <w:t>不接受</w:t>
      </w:r>
      <w:r>
        <w:rPr>
          <w:rFonts w:hint="eastAsia" w:ascii="宋体" w:hAnsi="宋体"/>
          <w:color w:val="auto"/>
          <w:sz w:val="28"/>
          <w:szCs w:val="28"/>
          <w:highlight w:val="none"/>
        </w:rPr>
        <w:t>供应商以联合体的形式参加磋商。</w:t>
      </w:r>
    </w:p>
    <w:p>
      <w:pPr>
        <w:pStyle w:val="6"/>
        <w:spacing w:line="600" w:lineRule="exact"/>
        <w:ind w:left="0" w:firstLine="0"/>
        <w:rPr>
          <w:color w:val="auto"/>
          <w:highlight w:val="none"/>
        </w:rPr>
      </w:pPr>
      <w:bookmarkStart w:id="34" w:name="_Toc217446047"/>
      <w:r>
        <w:rPr>
          <w:rFonts w:hint="eastAsia"/>
          <w:color w:val="auto"/>
          <w:highlight w:val="none"/>
        </w:rPr>
        <w:t>知识产权</w:t>
      </w:r>
      <w:bookmarkEnd w:id="34"/>
      <w:r>
        <w:rPr>
          <w:rFonts w:hint="eastAsia" w:ascii="仿宋" w:hAnsi="仿宋" w:eastAsia="仿宋"/>
          <w:color w:val="auto"/>
          <w:szCs w:val="21"/>
          <w:highlight w:val="none"/>
          <w:lang w:val="zh-CN"/>
        </w:rPr>
        <w:t>（实质性要求）</w:t>
      </w:r>
    </w:p>
    <w:p>
      <w:pPr>
        <w:pStyle w:val="154"/>
        <w:widowControl w:val="0"/>
        <w:numPr>
          <w:ilvl w:val="0"/>
          <w:numId w:val="16"/>
        </w:numPr>
        <w:tabs>
          <w:tab w:val="left" w:pos="1134"/>
        </w:tabs>
        <w:spacing w:line="600" w:lineRule="exact"/>
        <w:ind w:left="0" w:firstLine="549" w:firstLineChars="0"/>
        <w:jc w:val="both"/>
        <w:rPr>
          <w:rFonts w:ascii="宋体" w:hAnsi="宋体"/>
          <w:color w:val="auto"/>
          <w:sz w:val="28"/>
          <w:szCs w:val="28"/>
          <w:highlight w:val="none"/>
        </w:rPr>
      </w:pPr>
      <w:r>
        <w:rPr>
          <w:rFonts w:hint="eastAsia" w:ascii="宋体" w:hAnsi="宋体"/>
          <w:color w:val="auto"/>
          <w:sz w:val="28"/>
          <w:szCs w:val="28"/>
          <w:highlight w:val="none"/>
        </w:rPr>
        <w:t>供应商应保证在本项目使用的任何产品和服务（包括部分使用）时，不会产生因第三方提出侵犯其专利权、商标权或其它知识产权而引起的法律和经济纠纷，如因专利权、商标权或其它知识产权而引起法律和经济纠纷，由供应商承担所有相关责任。</w:t>
      </w:r>
    </w:p>
    <w:p>
      <w:pPr>
        <w:pStyle w:val="154"/>
        <w:widowControl w:val="0"/>
        <w:numPr>
          <w:ilvl w:val="0"/>
          <w:numId w:val="16"/>
        </w:numPr>
        <w:tabs>
          <w:tab w:val="left" w:pos="1134"/>
        </w:tabs>
        <w:spacing w:line="600" w:lineRule="exact"/>
        <w:ind w:left="0" w:firstLine="549" w:firstLineChars="0"/>
        <w:jc w:val="both"/>
        <w:rPr>
          <w:rFonts w:ascii="宋体" w:hAnsi="宋体"/>
          <w:color w:val="auto"/>
          <w:sz w:val="28"/>
          <w:szCs w:val="28"/>
          <w:highlight w:val="none"/>
        </w:rPr>
      </w:pPr>
      <w:r>
        <w:rPr>
          <w:rFonts w:hint="eastAsia" w:ascii="宋体" w:hAnsi="宋体"/>
          <w:color w:val="auto"/>
          <w:sz w:val="28"/>
          <w:szCs w:val="28"/>
          <w:highlight w:val="none"/>
        </w:rPr>
        <w:t>非</w:t>
      </w:r>
      <w:r>
        <w:rPr>
          <w:rFonts w:ascii="宋体" w:hAnsi="宋体"/>
          <w:color w:val="auto"/>
          <w:sz w:val="28"/>
          <w:szCs w:val="28"/>
          <w:highlight w:val="none"/>
        </w:rPr>
        <w:t>磋商文件特别规定，</w:t>
      </w:r>
      <w:r>
        <w:rPr>
          <w:rFonts w:hint="eastAsia" w:ascii="宋体" w:hAnsi="宋体"/>
          <w:color w:val="auto"/>
          <w:sz w:val="28"/>
          <w:szCs w:val="28"/>
          <w:highlight w:val="none"/>
        </w:rPr>
        <w:t>采购人享有本项目实施过程中产生的知识成果及知识产权。</w:t>
      </w:r>
    </w:p>
    <w:p>
      <w:pPr>
        <w:pStyle w:val="154"/>
        <w:widowControl w:val="0"/>
        <w:numPr>
          <w:ilvl w:val="0"/>
          <w:numId w:val="16"/>
        </w:numPr>
        <w:tabs>
          <w:tab w:val="left" w:pos="1134"/>
        </w:tabs>
        <w:spacing w:line="600" w:lineRule="exact"/>
        <w:ind w:left="0" w:firstLine="549" w:firstLineChars="0"/>
        <w:jc w:val="both"/>
        <w:rPr>
          <w:rFonts w:ascii="宋体" w:hAnsi="宋体"/>
          <w:color w:val="auto"/>
          <w:sz w:val="28"/>
          <w:szCs w:val="28"/>
          <w:highlight w:val="none"/>
        </w:rPr>
      </w:pPr>
      <w:r>
        <w:rPr>
          <w:rFonts w:hint="eastAsia" w:ascii="宋体" w:hAnsi="宋体"/>
          <w:color w:val="auto"/>
          <w:sz w:val="28"/>
          <w:szCs w:val="28"/>
          <w:highlight w:val="none"/>
        </w:rPr>
        <w:t>供应商如拟在项目实施过程中采用自有知识成果，需在施工响应文件中声明，并提供相关知识产权证明文件。使用该知识成果后，供应商需提供开发接口和开发手册等技术文档，并承诺提供无限期技术支持，采购人享有永久使用权（含采购人委托第三方在该项目后续开发的使用权）。</w:t>
      </w:r>
    </w:p>
    <w:p>
      <w:pPr>
        <w:pStyle w:val="154"/>
        <w:widowControl w:val="0"/>
        <w:numPr>
          <w:ilvl w:val="0"/>
          <w:numId w:val="16"/>
        </w:numPr>
        <w:tabs>
          <w:tab w:val="left" w:pos="1134"/>
        </w:tabs>
        <w:spacing w:line="600" w:lineRule="exact"/>
        <w:ind w:left="0" w:firstLine="549" w:firstLineChars="0"/>
        <w:jc w:val="both"/>
        <w:rPr>
          <w:rFonts w:ascii="宋体" w:hAnsi="宋体"/>
          <w:color w:val="auto"/>
          <w:sz w:val="28"/>
          <w:szCs w:val="28"/>
          <w:highlight w:val="none"/>
        </w:rPr>
      </w:pPr>
      <w:r>
        <w:rPr>
          <w:rFonts w:hint="eastAsia" w:ascii="宋体" w:hAnsi="宋体"/>
          <w:color w:val="auto"/>
          <w:sz w:val="28"/>
          <w:szCs w:val="28"/>
          <w:highlight w:val="none"/>
        </w:rPr>
        <w:t>如采用供应商所不拥有的知识产权，则在报价中必须包括合法获取该知识产权的相关费用。</w:t>
      </w:r>
    </w:p>
    <w:p>
      <w:pPr>
        <w:pStyle w:val="6"/>
        <w:spacing w:line="600" w:lineRule="exact"/>
        <w:rPr>
          <w:color w:val="auto"/>
          <w:highlight w:val="none"/>
        </w:rPr>
      </w:pPr>
      <w:bookmarkStart w:id="35" w:name="_Toc320698724"/>
      <w:bookmarkStart w:id="36" w:name="_Toc320698725"/>
      <w:r>
        <w:rPr>
          <w:rFonts w:hint="eastAsia"/>
          <w:color w:val="auto"/>
          <w:highlight w:val="none"/>
        </w:rPr>
        <w:t>施工响应文件的</w:t>
      </w:r>
      <w:bookmarkEnd w:id="35"/>
      <w:r>
        <w:rPr>
          <w:rFonts w:hint="eastAsia"/>
          <w:color w:val="auto"/>
          <w:highlight w:val="none"/>
        </w:rPr>
        <w:t>组成</w:t>
      </w:r>
      <w:r>
        <w:rPr>
          <w:rFonts w:hint="eastAsia" w:ascii="仿宋" w:hAnsi="仿宋" w:eastAsia="仿宋"/>
          <w:color w:val="auto"/>
          <w:szCs w:val="21"/>
          <w:highlight w:val="none"/>
          <w:lang w:val="zh-CN"/>
        </w:rPr>
        <w:t>（实质性要求）</w:t>
      </w:r>
    </w:p>
    <w:p>
      <w:pPr>
        <w:pStyle w:val="154"/>
        <w:tabs>
          <w:tab w:val="left" w:pos="1200"/>
        </w:tabs>
        <w:spacing w:line="600" w:lineRule="exact"/>
        <w:ind w:firstLine="560"/>
        <w:rPr>
          <w:color w:val="auto"/>
          <w:highlight w:val="none"/>
        </w:rPr>
      </w:pPr>
      <w:r>
        <w:rPr>
          <w:rFonts w:hint="eastAsia" w:ascii="宋体" w:hAnsi="宋体"/>
          <w:color w:val="auto"/>
          <w:sz w:val="28"/>
          <w:szCs w:val="28"/>
          <w:highlight w:val="none"/>
        </w:rPr>
        <w:t>供应商应按照磋商文件的规定和要求编制施工响应文件。供应商编写的施工响应文件应包括下列部分：</w:t>
      </w:r>
    </w:p>
    <w:p>
      <w:pPr>
        <w:pStyle w:val="154"/>
        <w:widowControl w:val="0"/>
        <w:numPr>
          <w:ilvl w:val="0"/>
          <w:numId w:val="17"/>
        </w:numPr>
        <w:tabs>
          <w:tab w:val="left" w:pos="1134"/>
        </w:tabs>
        <w:spacing w:line="600" w:lineRule="exact"/>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施工响应文件：用于供应商与磋商小组磋商；</w:t>
      </w:r>
    </w:p>
    <w:p>
      <w:pPr>
        <w:pStyle w:val="154"/>
        <w:widowControl w:val="0"/>
        <w:numPr>
          <w:ilvl w:val="0"/>
          <w:numId w:val="17"/>
        </w:numPr>
        <w:tabs>
          <w:tab w:val="left" w:pos="1134"/>
        </w:tabs>
        <w:spacing w:line="600" w:lineRule="exact"/>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最后报价文件（按磋商小组的要求提供最后报价）。</w:t>
      </w:r>
    </w:p>
    <w:bookmarkEnd w:id="36"/>
    <w:p>
      <w:pPr>
        <w:pStyle w:val="6"/>
        <w:numPr>
          <w:ilvl w:val="3"/>
          <w:numId w:val="1"/>
        </w:numPr>
        <w:spacing w:line="600" w:lineRule="exact"/>
        <w:ind w:left="1843" w:hanging="1843"/>
        <w:rPr>
          <w:color w:val="auto"/>
          <w:highlight w:val="none"/>
        </w:rPr>
      </w:pPr>
      <w:bookmarkStart w:id="37" w:name="_Toc320698726"/>
      <w:r>
        <w:rPr>
          <w:rFonts w:hint="eastAsia"/>
          <w:color w:val="auto"/>
          <w:highlight w:val="none"/>
        </w:rPr>
        <w:t>施工响应文件</w:t>
      </w:r>
      <w:bookmarkEnd w:id="37"/>
    </w:p>
    <w:p>
      <w:pPr>
        <w:pStyle w:val="6"/>
        <w:numPr>
          <w:ilvl w:val="4"/>
          <w:numId w:val="1"/>
        </w:numPr>
        <w:spacing w:line="600" w:lineRule="exact"/>
        <w:ind w:left="993" w:hanging="993"/>
        <w:rPr>
          <w:color w:val="auto"/>
          <w:highlight w:val="none"/>
        </w:rPr>
      </w:pPr>
      <w:r>
        <w:rPr>
          <w:rFonts w:hint="eastAsia"/>
          <w:color w:val="auto"/>
          <w:highlight w:val="none"/>
        </w:rPr>
        <w:t>商务技术响应文件</w:t>
      </w:r>
    </w:p>
    <w:p>
      <w:pPr>
        <w:pStyle w:val="154"/>
        <w:widowControl w:val="0"/>
        <w:numPr>
          <w:ilvl w:val="0"/>
          <w:numId w:val="18"/>
        </w:numPr>
        <w:tabs>
          <w:tab w:val="left" w:pos="1134"/>
        </w:tabs>
        <w:spacing w:line="600" w:lineRule="exact"/>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报价函；</w:t>
      </w:r>
    </w:p>
    <w:p>
      <w:pPr>
        <w:pStyle w:val="154"/>
        <w:widowControl w:val="0"/>
        <w:numPr>
          <w:ilvl w:val="0"/>
          <w:numId w:val="18"/>
        </w:numPr>
        <w:tabs>
          <w:tab w:val="left" w:pos="1134"/>
        </w:tabs>
        <w:spacing w:line="600" w:lineRule="exact"/>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法定代表人身份证明书；</w:t>
      </w:r>
    </w:p>
    <w:p>
      <w:pPr>
        <w:pStyle w:val="154"/>
        <w:widowControl w:val="0"/>
        <w:numPr>
          <w:ilvl w:val="0"/>
          <w:numId w:val="18"/>
        </w:numPr>
        <w:tabs>
          <w:tab w:val="left" w:pos="1134"/>
        </w:tabs>
        <w:spacing w:line="600" w:lineRule="exact"/>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承诺函（说明：供应商应按承诺函格式中要求的承诺内容进行承诺）；</w:t>
      </w:r>
    </w:p>
    <w:p>
      <w:pPr>
        <w:pStyle w:val="154"/>
        <w:widowControl w:val="0"/>
        <w:numPr>
          <w:ilvl w:val="0"/>
          <w:numId w:val="18"/>
        </w:numPr>
        <w:tabs>
          <w:tab w:val="left" w:pos="1134"/>
        </w:tabs>
        <w:spacing w:line="600" w:lineRule="exact"/>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施工组织设计（说明：施工组织设计格式及内容自拟）；</w:t>
      </w:r>
    </w:p>
    <w:p>
      <w:pPr>
        <w:pStyle w:val="154"/>
        <w:widowControl w:val="0"/>
        <w:numPr>
          <w:ilvl w:val="0"/>
          <w:numId w:val="18"/>
        </w:numPr>
        <w:tabs>
          <w:tab w:val="left" w:pos="1134"/>
        </w:tabs>
        <w:spacing w:line="600" w:lineRule="exact"/>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技术、服务、合同条款要求应答表（说明：供应商必须根据磋商文件要求据实逐条填写，不得虚假陈述，否则，其施工响应文件无效并按规定追究其相关责任）</w:t>
      </w:r>
    </w:p>
    <w:p>
      <w:pPr>
        <w:pStyle w:val="154"/>
        <w:widowControl w:val="0"/>
        <w:numPr>
          <w:ilvl w:val="0"/>
          <w:numId w:val="18"/>
        </w:numPr>
        <w:tabs>
          <w:tab w:val="left" w:pos="1134"/>
        </w:tabs>
        <w:spacing w:line="600" w:lineRule="exact"/>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项目管理机构组成表（说明：供应商未提供项目管理机构组成表的，不影响供应商施工响应文件的有效性）；</w:t>
      </w:r>
    </w:p>
    <w:p>
      <w:pPr>
        <w:pStyle w:val="154"/>
        <w:widowControl w:val="0"/>
        <w:numPr>
          <w:ilvl w:val="0"/>
          <w:numId w:val="18"/>
        </w:numPr>
        <w:tabs>
          <w:tab w:val="left" w:pos="1134"/>
        </w:tabs>
        <w:spacing w:line="600" w:lineRule="exact"/>
        <w:ind w:left="0" w:firstLine="567" w:firstLineChars="0"/>
        <w:jc w:val="both"/>
        <w:rPr>
          <w:rFonts w:ascii="宋体" w:hAnsi="宋体"/>
          <w:color w:val="auto"/>
          <w:sz w:val="28"/>
          <w:szCs w:val="28"/>
          <w:highlight w:val="none"/>
        </w:rPr>
      </w:pPr>
      <w:r>
        <w:rPr>
          <w:rFonts w:hint="eastAsia" w:ascii="宋体" w:hAnsi="宋体"/>
          <w:color w:val="auto"/>
          <w:sz w:val="28"/>
          <w:szCs w:val="28"/>
          <w:highlight w:val="none"/>
        </w:rPr>
        <w:t>相关管理机构主要人员简历表（说明：供应商未提供相关机构主要人员简历表的，不影响供应商施工响应文件的有效性）。</w:t>
      </w:r>
    </w:p>
    <w:p>
      <w:pPr>
        <w:pStyle w:val="6"/>
        <w:numPr>
          <w:ilvl w:val="4"/>
          <w:numId w:val="1"/>
        </w:numPr>
        <w:spacing w:line="600" w:lineRule="exact"/>
        <w:ind w:left="993" w:hanging="993"/>
        <w:rPr>
          <w:color w:val="auto"/>
          <w:highlight w:val="none"/>
        </w:rPr>
      </w:pPr>
      <w:r>
        <w:rPr>
          <w:rFonts w:hint="eastAsia"/>
          <w:color w:val="auto"/>
          <w:highlight w:val="none"/>
        </w:rPr>
        <w:t>报价要求响应文件</w:t>
      </w:r>
    </w:p>
    <w:p>
      <w:pPr>
        <w:pStyle w:val="154"/>
        <w:widowControl w:val="0"/>
        <w:tabs>
          <w:tab w:val="left" w:pos="1276"/>
        </w:tabs>
        <w:spacing w:line="600" w:lineRule="exact"/>
        <w:ind w:firstLine="560"/>
        <w:jc w:val="both"/>
        <w:rPr>
          <w:rFonts w:ascii="宋体" w:hAnsi="宋体"/>
          <w:color w:val="auto"/>
          <w:sz w:val="28"/>
          <w:szCs w:val="28"/>
          <w:highlight w:val="none"/>
        </w:rPr>
      </w:pPr>
      <w:r>
        <w:rPr>
          <w:rFonts w:hint="eastAsia" w:ascii="宋体" w:hAnsi="宋体"/>
          <w:color w:val="auto"/>
          <w:sz w:val="28"/>
          <w:szCs w:val="28"/>
          <w:highlight w:val="none"/>
        </w:rPr>
        <w:t>已标价工程量清单（说明：已标价工程量清单应符合磋商文件“第二章磋商须知”第2.4.3条关于报价货币及报价要求的相关要求以及工程量清单总说明的相关要求）。</w:t>
      </w:r>
    </w:p>
    <w:p>
      <w:pPr>
        <w:pStyle w:val="6"/>
        <w:numPr>
          <w:ilvl w:val="3"/>
          <w:numId w:val="1"/>
        </w:numPr>
        <w:spacing w:line="600" w:lineRule="exact"/>
        <w:ind w:left="1843" w:hanging="1843"/>
        <w:rPr>
          <w:color w:val="auto"/>
          <w:highlight w:val="none"/>
        </w:rPr>
      </w:pPr>
      <w:bookmarkStart w:id="38" w:name="_Toc320698727"/>
      <w:r>
        <w:rPr>
          <w:rFonts w:hint="eastAsia"/>
          <w:color w:val="auto"/>
          <w:highlight w:val="none"/>
        </w:rPr>
        <w:t>最后报价</w:t>
      </w:r>
    </w:p>
    <w:p>
      <w:pPr>
        <w:pStyle w:val="82"/>
        <w:ind w:firstLine="551"/>
        <w:rPr>
          <w:b/>
          <w:color w:val="auto"/>
          <w:highlight w:val="none"/>
        </w:rPr>
      </w:pPr>
      <w:r>
        <w:rPr>
          <w:rFonts w:hint="eastAsia" w:ascii="宋体" w:hAnsi="宋体"/>
          <w:color w:val="auto"/>
          <w:sz w:val="28"/>
          <w:highlight w:val="none"/>
        </w:rPr>
        <w:t>参加最后报价的供应商按磋商小组的要求在政府采购云平台中提供最后报价，报价应是包括磋商文件规定的全部相应内容的报价。</w:t>
      </w:r>
    </w:p>
    <w:p>
      <w:pPr>
        <w:pStyle w:val="6"/>
        <w:spacing w:line="600" w:lineRule="exact"/>
        <w:rPr>
          <w:color w:val="auto"/>
          <w:highlight w:val="none"/>
        </w:rPr>
      </w:pPr>
      <w:r>
        <w:rPr>
          <w:rFonts w:hint="eastAsia"/>
          <w:color w:val="auto"/>
          <w:highlight w:val="none"/>
        </w:rPr>
        <w:t>施工响应文件格式</w:t>
      </w:r>
    </w:p>
    <w:p>
      <w:pPr>
        <w:pStyle w:val="2"/>
        <w:tabs>
          <w:tab w:val="left" w:pos="1134"/>
        </w:tabs>
        <w:spacing w:after="0" w:line="600" w:lineRule="exact"/>
        <w:ind w:firstLine="565" w:firstLineChars="202"/>
        <w:rPr>
          <w:rFonts w:ascii="宋体" w:hAnsi="宋体"/>
          <w:bCs/>
          <w:color w:val="auto"/>
          <w:sz w:val="28"/>
          <w:szCs w:val="28"/>
          <w:highlight w:val="none"/>
        </w:rPr>
      </w:pPr>
      <w:r>
        <w:rPr>
          <w:rFonts w:hint="eastAsia" w:ascii="宋体" w:hAnsi="宋体"/>
          <w:bCs/>
          <w:color w:val="auto"/>
          <w:sz w:val="28"/>
          <w:szCs w:val="28"/>
          <w:highlight w:val="none"/>
        </w:rPr>
        <w:t>一、供应商应按照竞争性磋商文件第3章中提供的“施工响应文件格式”填写相关内容。</w:t>
      </w:r>
    </w:p>
    <w:p>
      <w:pPr>
        <w:pStyle w:val="2"/>
        <w:tabs>
          <w:tab w:val="left" w:pos="1134"/>
        </w:tabs>
        <w:spacing w:after="0" w:line="600" w:lineRule="exact"/>
        <w:ind w:firstLine="565" w:firstLineChars="202"/>
        <w:rPr>
          <w:rFonts w:ascii="宋体" w:hAnsi="宋体"/>
          <w:bCs/>
          <w:color w:val="auto"/>
          <w:sz w:val="28"/>
          <w:szCs w:val="28"/>
          <w:highlight w:val="none"/>
        </w:rPr>
      </w:pPr>
      <w:r>
        <w:rPr>
          <w:rFonts w:hint="eastAsia" w:ascii="宋体" w:hAnsi="宋体"/>
          <w:bCs/>
          <w:color w:val="auto"/>
          <w:sz w:val="28"/>
          <w:szCs w:val="28"/>
          <w:highlight w:val="none"/>
        </w:rPr>
        <w:t>二、对于没有格式要求的施工响应文件由供应商自行编写。</w:t>
      </w:r>
    </w:p>
    <w:p>
      <w:pPr>
        <w:pStyle w:val="6"/>
        <w:spacing w:line="600" w:lineRule="exact"/>
        <w:rPr>
          <w:color w:val="auto"/>
          <w:highlight w:val="none"/>
        </w:rPr>
      </w:pPr>
      <w:r>
        <w:rPr>
          <w:rFonts w:hint="eastAsia"/>
          <w:color w:val="auto"/>
          <w:highlight w:val="none"/>
        </w:rPr>
        <w:t>最后报价</w:t>
      </w:r>
    </w:p>
    <w:p>
      <w:pPr>
        <w:widowControl w:val="0"/>
        <w:numPr>
          <w:ilvl w:val="0"/>
          <w:numId w:val="19"/>
        </w:numPr>
        <w:tabs>
          <w:tab w:val="left" w:pos="1134"/>
        </w:tabs>
        <w:spacing w:line="600" w:lineRule="exact"/>
        <w:ind w:left="0" w:firstLine="560"/>
        <w:jc w:val="both"/>
        <w:rPr>
          <w:rFonts w:ascii="宋体" w:hAnsi="宋体"/>
          <w:color w:val="auto"/>
          <w:sz w:val="28"/>
          <w:szCs w:val="28"/>
          <w:highlight w:val="none"/>
        </w:rPr>
      </w:pPr>
      <w:r>
        <w:rPr>
          <w:rFonts w:hint="eastAsia" w:ascii="宋体" w:hAnsi="宋体"/>
          <w:color w:val="auto"/>
          <w:sz w:val="28"/>
          <w:szCs w:val="28"/>
          <w:highlight w:val="none"/>
        </w:rPr>
        <w:t>供应商的最后报价是供应商响应采购项目要求的价格体现，包括供应商完成本项目所需的一切费用。</w:t>
      </w:r>
    </w:p>
    <w:p>
      <w:pPr>
        <w:widowControl w:val="0"/>
        <w:numPr>
          <w:ilvl w:val="0"/>
          <w:numId w:val="19"/>
        </w:numPr>
        <w:tabs>
          <w:tab w:val="left" w:pos="1134"/>
        </w:tabs>
        <w:spacing w:line="600" w:lineRule="exact"/>
        <w:ind w:left="0" w:firstLine="560"/>
        <w:jc w:val="both"/>
        <w:rPr>
          <w:rFonts w:ascii="宋体" w:hAnsi="宋体"/>
          <w:color w:val="auto"/>
          <w:sz w:val="28"/>
          <w:szCs w:val="28"/>
          <w:highlight w:val="none"/>
        </w:rPr>
      </w:pPr>
      <w:r>
        <w:rPr>
          <w:rFonts w:hint="eastAsia" w:ascii="宋体" w:hAnsi="宋体"/>
          <w:color w:val="auto"/>
          <w:sz w:val="28"/>
          <w:szCs w:val="28"/>
          <w:highlight w:val="none"/>
        </w:rPr>
        <w:t>供应商的最后报价只允许有一个报价，任何有选择或可调整的报价将不予接受，并按无效响应处理。</w:t>
      </w:r>
    </w:p>
    <w:p>
      <w:pPr>
        <w:widowControl w:val="0"/>
        <w:numPr>
          <w:ilvl w:val="0"/>
          <w:numId w:val="19"/>
        </w:numPr>
        <w:tabs>
          <w:tab w:val="left" w:pos="1134"/>
        </w:tabs>
        <w:spacing w:line="600" w:lineRule="exact"/>
        <w:ind w:left="0" w:firstLine="560"/>
        <w:jc w:val="both"/>
        <w:rPr>
          <w:rFonts w:ascii="宋体" w:hAnsi="宋体"/>
          <w:color w:val="auto"/>
          <w:sz w:val="28"/>
          <w:szCs w:val="28"/>
          <w:highlight w:val="none"/>
        </w:rPr>
      </w:pPr>
      <w:r>
        <w:rPr>
          <w:rFonts w:hint="eastAsia" w:ascii="宋体" w:hAnsi="宋体"/>
          <w:color w:val="auto"/>
          <w:sz w:val="28"/>
          <w:szCs w:val="28"/>
          <w:highlight w:val="none"/>
        </w:rPr>
        <w:t>参加最后报价的供应商按磋商小组的要求提供最后报价。</w:t>
      </w:r>
    </w:p>
    <w:bookmarkEnd w:id="38"/>
    <w:p>
      <w:pPr>
        <w:pStyle w:val="6"/>
        <w:spacing w:line="600" w:lineRule="exact"/>
        <w:rPr>
          <w:color w:val="auto"/>
          <w:highlight w:val="none"/>
        </w:rPr>
      </w:pPr>
      <w:bookmarkStart w:id="39" w:name="_Toc320698728"/>
      <w:r>
        <w:rPr>
          <w:rFonts w:hint="eastAsia"/>
          <w:color w:val="auto"/>
          <w:highlight w:val="none"/>
        </w:rPr>
        <w:t>磋商保证金</w:t>
      </w:r>
    </w:p>
    <w:p>
      <w:pPr>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本项目不收取磋商保证金。</w:t>
      </w:r>
    </w:p>
    <w:p>
      <w:pPr>
        <w:pStyle w:val="6"/>
        <w:spacing w:line="600" w:lineRule="exact"/>
        <w:rPr>
          <w:color w:val="auto"/>
          <w:highlight w:val="none"/>
        </w:rPr>
      </w:pPr>
      <w:r>
        <w:rPr>
          <w:rFonts w:hint="eastAsia"/>
          <w:color w:val="auto"/>
          <w:highlight w:val="none"/>
        </w:rPr>
        <w:t>施工响应文件有效期</w:t>
      </w:r>
      <w:bookmarkEnd w:id="39"/>
    </w:p>
    <w:p>
      <w:pPr>
        <w:pStyle w:val="80"/>
        <w:numPr>
          <w:ilvl w:val="0"/>
          <w:numId w:val="20"/>
        </w:numPr>
        <w:tabs>
          <w:tab w:val="left" w:pos="1134"/>
        </w:tabs>
        <w:spacing w:line="600" w:lineRule="exact"/>
        <w:ind w:left="0" w:firstLine="566" w:firstLineChars="0"/>
        <w:rPr>
          <w:rFonts w:ascii="宋体" w:hAnsi="宋体" w:eastAsia="宋体"/>
          <w:color w:val="auto"/>
          <w:sz w:val="28"/>
          <w:szCs w:val="28"/>
          <w:highlight w:val="none"/>
        </w:rPr>
      </w:pPr>
      <w:r>
        <w:rPr>
          <w:rFonts w:hint="eastAsia" w:ascii="仿宋" w:hAnsi="仿宋" w:eastAsia="仿宋"/>
          <w:color w:val="auto"/>
          <w:szCs w:val="21"/>
          <w:highlight w:val="none"/>
          <w:lang w:val="zh-CN"/>
        </w:rPr>
        <w:t>（实质性要求）</w:t>
      </w:r>
      <w:r>
        <w:rPr>
          <w:rFonts w:hint="eastAsia" w:ascii="宋体" w:hAnsi="宋体" w:eastAsia="宋体"/>
          <w:color w:val="auto"/>
          <w:sz w:val="28"/>
          <w:szCs w:val="28"/>
          <w:highlight w:val="none"/>
        </w:rPr>
        <w:t>施工响应文件有效期为递交施工响应文件截止之日起</w:t>
      </w:r>
      <w:r>
        <w:rPr>
          <w:rFonts w:hint="eastAsia" w:ascii="宋体" w:hAnsi="宋体" w:eastAsia="宋体"/>
          <w:color w:val="auto"/>
          <w:sz w:val="28"/>
          <w:szCs w:val="28"/>
          <w:highlight w:val="none"/>
          <w:u w:val="single"/>
        </w:rPr>
        <w:t>120</w:t>
      </w:r>
      <w:r>
        <w:rPr>
          <w:rFonts w:hint="eastAsia" w:ascii="宋体" w:hAnsi="宋体" w:eastAsia="宋体"/>
          <w:color w:val="auto"/>
          <w:sz w:val="28"/>
          <w:szCs w:val="28"/>
          <w:highlight w:val="none"/>
        </w:rPr>
        <w:t>天。施工响应文件有效期短于此规定期限的或不作响应的，其施工响应文件将按无效施工响应文件处理。</w:t>
      </w:r>
    </w:p>
    <w:p>
      <w:pPr>
        <w:pStyle w:val="80"/>
        <w:numPr>
          <w:ilvl w:val="0"/>
          <w:numId w:val="20"/>
        </w:numPr>
        <w:tabs>
          <w:tab w:val="left" w:pos="1134"/>
        </w:tabs>
        <w:spacing w:line="600" w:lineRule="exact"/>
        <w:ind w:left="0" w:firstLine="566"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特殊情况下，采购人可于施工响应文件有效期满之前要求供应商同意延长有效期，要求与答复均应为书面形式。供应商可以拒绝上述要求，其磋商保证金不被没收。同意延长施工响应文件有效期的供应商不能修改其施工响应文件，关于磋商保证金的有关规定在延长的施工响应文件有效期内继续有效。</w:t>
      </w:r>
    </w:p>
    <w:p>
      <w:pPr>
        <w:pStyle w:val="6"/>
        <w:spacing w:line="600" w:lineRule="exact"/>
        <w:rPr>
          <w:color w:val="auto"/>
          <w:highlight w:val="none"/>
        </w:rPr>
      </w:pPr>
      <w:bookmarkStart w:id="40" w:name="_Toc320698729"/>
      <w:bookmarkStart w:id="41" w:name="_Toc320698730"/>
      <w:r>
        <w:rPr>
          <w:rFonts w:hint="eastAsia"/>
          <w:color w:val="auto"/>
          <w:highlight w:val="none"/>
        </w:rPr>
        <w:t>施工响应文件的签章和</w:t>
      </w:r>
      <w:r>
        <w:rPr>
          <w:color w:val="auto"/>
          <w:highlight w:val="none"/>
        </w:rPr>
        <w:t>加密</w:t>
      </w:r>
      <w:bookmarkEnd w:id="40"/>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一、</w:t>
      </w:r>
      <w:r>
        <w:rPr>
          <w:rFonts w:hint="eastAsia" w:ascii="仿宋" w:hAnsi="仿宋" w:eastAsia="仿宋"/>
          <w:color w:val="auto"/>
          <w:szCs w:val="21"/>
          <w:highlight w:val="none"/>
          <w:lang w:val="zh-CN"/>
        </w:rPr>
        <w:t>（实质性要求）</w:t>
      </w:r>
      <w:r>
        <w:rPr>
          <w:rFonts w:hint="eastAsia" w:ascii="宋体" w:hAnsi="宋体"/>
          <w:color w:val="auto"/>
          <w:sz w:val="28"/>
          <w:szCs w:val="28"/>
          <w:highlight w:val="none"/>
        </w:rPr>
        <w:t>施工响应文件应根据磋商文件的要求进行制作。（说明：1、施工响应文件中要求提供复印件证明材料的，包含提供原件的影印件或复印件。2、要求提供复印件的证明材料须清晰可辨。）</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二、施工响应文件制作详情：</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1、本项目实行电子采购。供应商应先安装“政采云投标客户端”（下载地址1：前往成都市公共资源交易服务中心门户网站—业务办理—下载专区—政府采购下载专区下载“政采云投标客户端”；下载地址2：政府采购云平台—CA管理—绑定CA—下载驱动—“政采云投标客户端”立即下载）。供应商人应按施工响应文件要求，通过“政采云投标客户端”制作、加密并提交施工响应文件。</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2、</w:t>
      </w:r>
      <w:r>
        <w:rPr>
          <w:rFonts w:hint="eastAsia" w:ascii="仿宋" w:hAnsi="仿宋" w:eastAsia="仿宋"/>
          <w:color w:val="auto"/>
          <w:szCs w:val="21"/>
          <w:highlight w:val="none"/>
          <w:lang w:val="zh-CN"/>
        </w:rPr>
        <w:t>（实质性要求）</w:t>
      </w:r>
      <w:r>
        <w:rPr>
          <w:rFonts w:hint="eastAsia" w:ascii="宋体" w:hAnsi="宋体"/>
          <w:b/>
          <w:color w:val="auto"/>
          <w:sz w:val="28"/>
          <w:szCs w:val="28"/>
          <w:highlight w:val="none"/>
        </w:rPr>
        <w:t>施工响应文件应加盖供应商（法定名称）电子签章，不得使用供应商专用章（如经济合同章、投标专用章等）或下属单位印章代替</w:t>
      </w:r>
      <w:r>
        <w:rPr>
          <w:rFonts w:hint="eastAsia" w:ascii="宋体" w:hAnsi="宋体"/>
          <w:color w:val="auto"/>
          <w:sz w:val="28"/>
          <w:szCs w:val="28"/>
          <w:highlight w:val="none"/>
        </w:rPr>
        <w:t>。</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3、磋商文件有修改的，供应商须重新下载修改后的磋商文件（修改后的磋商文件在更正公告中下载），根据修改后的磋商文件制作、撤回修改，并递交施工响应文件。</w:t>
      </w:r>
    </w:p>
    <w:p>
      <w:pPr>
        <w:spacing w:line="360" w:lineRule="auto"/>
        <w:ind w:firstLine="560" w:firstLineChars="200"/>
        <w:rPr>
          <w:color w:val="auto"/>
          <w:highlight w:val="none"/>
        </w:rPr>
      </w:pPr>
      <w:r>
        <w:rPr>
          <w:rFonts w:hint="eastAsia" w:ascii="宋体" w:hAnsi="宋体"/>
          <w:color w:val="auto"/>
          <w:sz w:val="28"/>
          <w:szCs w:val="28"/>
          <w:highlight w:val="none"/>
        </w:rPr>
        <w:t>4、使用“政府采购云平台”（含政采云电子交易客户端）需要提前申领CA数字证书及电子签章，请自行前往四川CA、CFCA、天威CA服务点办理，只需办理其中一家CA数字证书及签章（提示：办理时请说明参与成都市政府采购项目）。供应商应及时完成在“政府采购云平台”的CA账号绑定，确保顺利参与电子采购。</w:t>
      </w:r>
    </w:p>
    <w:bookmarkEnd w:id="41"/>
    <w:p>
      <w:pPr>
        <w:pStyle w:val="6"/>
        <w:spacing w:line="600" w:lineRule="exact"/>
        <w:rPr>
          <w:color w:val="auto"/>
          <w:highlight w:val="none"/>
        </w:rPr>
      </w:pPr>
      <w:bookmarkStart w:id="42" w:name="_Toc320698731"/>
      <w:r>
        <w:rPr>
          <w:rFonts w:hint="eastAsia"/>
          <w:color w:val="auto"/>
          <w:highlight w:val="none"/>
        </w:rPr>
        <w:t>施工响应文件的递交</w:t>
      </w:r>
      <w:bookmarkEnd w:id="42"/>
    </w:p>
    <w:p>
      <w:pPr>
        <w:widowControl w:val="0"/>
        <w:numPr>
          <w:ilvl w:val="0"/>
          <w:numId w:val="21"/>
        </w:numPr>
        <w:tabs>
          <w:tab w:val="left" w:pos="1134"/>
        </w:tabs>
        <w:spacing w:line="600" w:lineRule="exact"/>
        <w:ind w:left="0" w:firstLine="567"/>
        <w:jc w:val="both"/>
        <w:rPr>
          <w:rFonts w:ascii="宋体" w:hAnsi="宋体"/>
          <w:bCs/>
          <w:color w:val="auto"/>
          <w:sz w:val="28"/>
          <w:szCs w:val="28"/>
          <w:highlight w:val="none"/>
        </w:rPr>
      </w:pPr>
      <w:r>
        <w:rPr>
          <w:rFonts w:hint="eastAsia" w:ascii="宋体" w:hAnsi="宋体" w:eastAsia="宋体" w:cs="Times New Roman"/>
          <w:bCs/>
          <w:color w:val="auto"/>
          <w:sz w:val="28"/>
          <w:szCs w:val="28"/>
          <w:highlight w:val="none"/>
          <w:lang w:val="zh-CN"/>
        </w:rPr>
        <w:t>（实质性要求）</w:t>
      </w:r>
      <w:r>
        <w:rPr>
          <w:rFonts w:hint="eastAsia" w:ascii="宋体" w:hAnsi="宋体"/>
          <w:bCs/>
          <w:color w:val="auto"/>
          <w:sz w:val="28"/>
          <w:szCs w:val="28"/>
          <w:highlight w:val="none"/>
        </w:rPr>
        <w:t>供应商应当在施工响应文件递交截止时间前，将生成的已加密的施工响应文件成功递交至“政府采购云平台”。</w:t>
      </w:r>
    </w:p>
    <w:p>
      <w:pPr>
        <w:widowControl w:val="0"/>
        <w:numPr>
          <w:ilvl w:val="0"/>
          <w:numId w:val="21"/>
        </w:numPr>
        <w:tabs>
          <w:tab w:val="left" w:pos="1134"/>
        </w:tabs>
        <w:spacing w:line="600" w:lineRule="exact"/>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因磋商文件的修改推迟施工相应文件递交截止日期的，供应商按高新区采购中心在“四川政府采购网”和“成都市公共资源交易服务中心”网站上发布的澄清公告中修改的时间递交施工响应文件，同时通过“政府采购云平台”将澄清或者修改的内容告知所有在系统中成功获取磋商文件的潜在供应商。</w:t>
      </w:r>
    </w:p>
    <w:p>
      <w:pPr>
        <w:widowControl w:val="0"/>
        <w:numPr>
          <w:ilvl w:val="0"/>
          <w:numId w:val="21"/>
        </w:numPr>
        <w:tabs>
          <w:tab w:val="left" w:pos="1134"/>
        </w:tabs>
        <w:spacing w:line="600" w:lineRule="exact"/>
        <w:ind w:left="0" w:firstLine="567"/>
        <w:jc w:val="both"/>
        <w:rPr>
          <w:rFonts w:ascii="宋体" w:hAnsi="宋体"/>
          <w:bCs/>
          <w:color w:val="auto"/>
          <w:sz w:val="28"/>
          <w:szCs w:val="28"/>
          <w:highlight w:val="none"/>
        </w:rPr>
      </w:pPr>
      <w:r>
        <w:rPr>
          <w:rFonts w:hint="eastAsia" w:ascii="宋体" w:hAnsi="宋体"/>
          <w:bCs/>
          <w:color w:val="auto"/>
          <w:sz w:val="28"/>
          <w:szCs w:val="28"/>
          <w:highlight w:val="none"/>
        </w:rPr>
        <w:t>供应商应充分考虑递交施工响应文件的不可预见因素，未在递交施工</w:t>
      </w:r>
      <w:r>
        <w:rPr>
          <w:rFonts w:ascii="宋体" w:hAnsi="宋体"/>
          <w:bCs/>
          <w:color w:val="auto"/>
          <w:sz w:val="28"/>
          <w:szCs w:val="28"/>
          <w:highlight w:val="none"/>
        </w:rPr>
        <w:t>响应文件</w:t>
      </w:r>
      <w:r>
        <w:rPr>
          <w:rFonts w:hint="eastAsia" w:ascii="宋体" w:hAnsi="宋体"/>
          <w:bCs/>
          <w:color w:val="auto"/>
          <w:sz w:val="28"/>
          <w:szCs w:val="28"/>
          <w:highlight w:val="none"/>
        </w:rPr>
        <w:t>截止时间前完成递交的，在递交施工</w:t>
      </w:r>
      <w:r>
        <w:rPr>
          <w:rFonts w:ascii="宋体" w:hAnsi="宋体"/>
          <w:bCs/>
          <w:color w:val="auto"/>
          <w:sz w:val="28"/>
          <w:szCs w:val="28"/>
          <w:highlight w:val="none"/>
        </w:rPr>
        <w:t>响应文件</w:t>
      </w:r>
      <w:r>
        <w:rPr>
          <w:rFonts w:hint="eastAsia" w:ascii="宋体" w:hAnsi="宋体"/>
          <w:bCs/>
          <w:color w:val="auto"/>
          <w:sz w:val="28"/>
          <w:szCs w:val="28"/>
          <w:highlight w:val="none"/>
        </w:rPr>
        <w:t>截止时间后将无法递交。</w:t>
      </w:r>
    </w:p>
    <w:p>
      <w:pPr>
        <w:pStyle w:val="6"/>
        <w:spacing w:line="600" w:lineRule="exact"/>
        <w:rPr>
          <w:color w:val="auto"/>
          <w:highlight w:val="none"/>
        </w:rPr>
      </w:pPr>
      <w:bookmarkStart w:id="43" w:name="_Toc446487098"/>
      <w:r>
        <w:rPr>
          <w:rFonts w:hint="eastAsia"/>
          <w:color w:val="auto"/>
          <w:highlight w:val="none"/>
        </w:rPr>
        <w:t>施工响应文件的补充、修改和撤回</w:t>
      </w:r>
      <w:bookmarkEnd w:id="43"/>
      <w:r>
        <w:rPr>
          <w:rFonts w:hint="eastAsia" w:ascii="仿宋" w:hAnsi="仿宋" w:eastAsia="仿宋"/>
          <w:color w:val="auto"/>
          <w:szCs w:val="21"/>
          <w:highlight w:val="none"/>
          <w:lang w:val="zh-CN"/>
        </w:rPr>
        <w:t>（实质性要求）</w:t>
      </w:r>
    </w:p>
    <w:p>
      <w:pPr>
        <w:widowControl w:val="0"/>
        <w:numPr>
          <w:ilvl w:val="0"/>
          <w:numId w:val="22"/>
        </w:numPr>
        <w:tabs>
          <w:tab w:val="left" w:pos="1134"/>
        </w:tabs>
        <w:spacing w:line="360" w:lineRule="auto"/>
        <w:ind w:left="0" w:firstLine="567"/>
        <w:jc w:val="both"/>
        <w:rPr>
          <w:rFonts w:ascii="宋体" w:hAnsi="宋体"/>
          <w:color w:val="auto"/>
          <w:sz w:val="28"/>
          <w:szCs w:val="28"/>
          <w:highlight w:val="none"/>
        </w:rPr>
      </w:pPr>
      <w:bookmarkStart w:id="44" w:name="_Toc494095623"/>
      <w:bookmarkEnd w:id="44"/>
      <w:bookmarkStart w:id="45" w:name="_Toc494356977"/>
      <w:bookmarkEnd w:id="45"/>
      <w:r>
        <w:rPr>
          <w:rFonts w:hint="eastAsia" w:ascii="宋体" w:hAnsi="宋体"/>
          <w:color w:val="auto"/>
          <w:sz w:val="28"/>
          <w:szCs w:val="28"/>
          <w:highlight w:val="none"/>
        </w:rPr>
        <w:t>在递交施工</w:t>
      </w:r>
      <w:r>
        <w:rPr>
          <w:rFonts w:ascii="宋体" w:hAnsi="宋体"/>
          <w:color w:val="auto"/>
          <w:sz w:val="28"/>
          <w:szCs w:val="28"/>
          <w:highlight w:val="none"/>
        </w:rPr>
        <w:t>响应文件</w:t>
      </w:r>
      <w:r>
        <w:rPr>
          <w:rFonts w:hint="eastAsia" w:ascii="宋体" w:hAnsi="宋体"/>
          <w:color w:val="auto"/>
          <w:sz w:val="28"/>
          <w:szCs w:val="28"/>
          <w:highlight w:val="none"/>
        </w:rPr>
        <w:t>截止时间之前，供应商可对已递交的施工响应文件进行补充、修改。补充或者修改施工响应文件的，应当先撤回已递交的施工响应文件，在“政采云投标客户端”补充、修改施工响应文件并签章、加密后重新递交。撤回施工响应文件进行补充、修改，在递交施工响应文件截止时间前未重新递交的，视为撤回施工响应文件。</w:t>
      </w:r>
    </w:p>
    <w:p>
      <w:pPr>
        <w:widowControl w:val="0"/>
        <w:numPr>
          <w:ilvl w:val="0"/>
          <w:numId w:val="22"/>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在递交施工响应文件截止时间之后，供应商不得对其递交的施工响应文件做任何补充、修改。</w:t>
      </w:r>
    </w:p>
    <w:p>
      <w:pPr>
        <w:widowControl w:val="0"/>
        <w:numPr>
          <w:ilvl w:val="0"/>
          <w:numId w:val="22"/>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在递交施工响应文件截止时间之前，供应商可对已递交的施工响应文件进行撤回。在递交施工响应文件截止时间之后，供应商不得撤回施工响应文件。</w:t>
      </w:r>
    </w:p>
    <w:p>
      <w:pPr>
        <w:pStyle w:val="6"/>
        <w:spacing w:line="600" w:lineRule="exact"/>
        <w:rPr>
          <w:color w:val="auto"/>
          <w:highlight w:val="none"/>
        </w:rPr>
      </w:pPr>
      <w:r>
        <w:rPr>
          <w:rFonts w:hint="eastAsia"/>
          <w:color w:val="auto"/>
          <w:highlight w:val="none"/>
        </w:rPr>
        <w:t>施工响应文件的解密</w:t>
      </w:r>
      <w:r>
        <w:rPr>
          <w:rFonts w:hint="eastAsia" w:ascii="仿宋" w:hAnsi="仿宋" w:eastAsia="仿宋"/>
          <w:color w:val="auto"/>
          <w:szCs w:val="21"/>
          <w:highlight w:val="none"/>
          <w:lang w:val="zh-CN"/>
        </w:rPr>
        <w:t>（实质性要求）</w:t>
      </w:r>
    </w:p>
    <w:p>
      <w:pPr>
        <w:tabs>
          <w:tab w:val="left" w:pos="1134"/>
        </w:tabs>
        <w:spacing w:before="120" w:line="360" w:lineRule="auto"/>
        <w:ind w:firstLine="565" w:firstLineChars="202"/>
        <w:rPr>
          <w:rFonts w:ascii="宋体" w:hAnsi="宋体"/>
          <w:bCs/>
          <w:color w:val="auto"/>
          <w:sz w:val="28"/>
          <w:szCs w:val="28"/>
          <w:highlight w:val="none"/>
        </w:rPr>
      </w:pPr>
      <w:r>
        <w:rPr>
          <w:rFonts w:hint="eastAsia" w:ascii="宋体" w:hAnsi="宋体"/>
          <w:bCs/>
          <w:color w:val="auto"/>
          <w:sz w:val="28"/>
          <w:szCs w:val="28"/>
          <w:highlight w:val="none"/>
        </w:rPr>
        <w:t>供应商</w:t>
      </w:r>
      <w:r>
        <w:rPr>
          <w:rFonts w:hint="eastAsia" w:ascii="宋体" w:hAnsi="宋体"/>
          <w:color w:val="auto"/>
          <w:sz w:val="28"/>
          <w:szCs w:val="28"/>
          <w:highlight w:val="none"/>
        </w:rPr>
        <w:t>登录政府采购云平台，点击“项目采购—开标评标”模块，找到对应项目，进入“开标大厅”，等待</w:t>
      </w:r>
      <w:r>
        <w:rPr>
          <w:rFonts w:hint="eastAsia" w:ascii="宋体" w:hAnsi="宋体"/>
          <w:bCs/>
          <w:color w:val="auto"/>
          <w:sz w:val="28"/>
          <w:szCs w:val="28"/>
          <w:highlight w:val="none"/>
        </w:rPr>
        <w:t>高新区采购中心</w:t>
      </w:r>
      <w:r>
        <w:rPr>
          <w:rFonts w:hint="eastAsia" w:ascii="宋体" w:hAnsi="宋体"/>
          <w:color w:val="auto"/>
          <w:sz w:val="28"/>
          <w:szCs w:val="28"/>
          <w:highlight w:val="none"/>
        </w:rPr>
        <w:t>开启解密后，</w:t>
      </w:r>
      <w:r>
        <w:rPr>
          <w:rFonts w:hint="eastAsia" w:ascii="宋体" w:hAnsi="宋体" w:cs="宋体"/>
          <w:color w:val="auto"/>
          <w:sz w:val="28"/>
          <w:szCs w:val="28"/>
          <w:highlight w:val="none"/>
        </w:rPr>
        <w:t>供应商应在60分钟内，使用加密该施工响应文件的CA数字证书在线完成施工响应文件的解密。</w:t>
      </w:r>
      <w:r>
        <w:rPr>
          <w:rFonts w:hint="eastAsia" w:ascii="宋体" w:hAnsi="宋体"/>
          <w:bCs/>
          <w:color w:val="auto"/>
          <w:sz w:val="28"/>
          <w:szCs w:val="28"/>
          <w:highlight w:val="none"/>
        </w:rPr>
        <w:t>除因</w:t>
      </w:r>
      <w:r>
        <w:rPr>
          <w:rFonts w:hint="eastAsia" w:ascii="宋体" w:hAnsi="宋体"/>
          <w:color w:val="auto"/>
          <w:sz w:val="28"/>
          <w:szCs w:val="28"/>
          <w:highlight w:val="none"/>
        </w:rPr>
        <w:t>市公资交易中心</w:t>
      </w:r>
      <w:r>
        <w:rPr>
          <w:rFonts w:hint="eastAsia" w:ascii="宋体" w:hAnsi="宋体"/>
          <w:bCs/>
          <w:color w:val="auto"/>
          <w:sz w:val="28"/>
          <w:szCs w:val="28"/>
          <w:highlight w:val="none"/>
        </w:rPr>
        <w:t>断电、断网、系统故障或其他不可抗力等因素，导致系统无法使用外，供应商在规定的解密时间内，未成功解密的施工响应文件将视为无效响应文件。</w:t>
      </w:r>
    </w:p>
    <w:p>
      <w:pPr>
        <w:pStyle w:val="5"/>
        <w:tabs>
          <w:tab w:val="clear" w:pos="567"/>
        </w:tabs>
        <w:spacing w:line="600" w:lineRule="exact"/>
        <w:ind w:left="0" w:firstLine="0"/>
        <w:rPr>
          <w:color w:val="auto"/>
          <w:highlight w:val="none"/>
        </w:rPr>
      </w:pPr>
      <w:bookmarkStart w:id="46" w:name="_Toc183582232"/>
      <w:bookmarkStart w:id="47" w:name="_Toc183682369"/>
      <w:bookmarkStart w:id="48" w:name="_Toc217446057"/>
      <w:bookmarkStart w:id="49" w:name="_Toc9797"/>
      <w:bookmarkStart w:id="50" w:name="_Toc72938431"/>
      <w:bookmarkStart w:id="51" w:name="_Toc19085"/>
      <w:r>
        <w:rPr>
          <w:rFonts w:hint="eastAsia"/>
          <w:color w:val="auto"/>
          <w:highlight w:val="none"/>
        </w:rPr>
        <w:t>开标</w:t>
      </w:r>
      <w:bookmarkEnd w:id="46"/>
      <w:bookmarkEnd w:id="47"/>
      <w:bookmarkEnd w:id="48"/>
      <w:r>
        <w:rPr>
          <w:rFonts w:hint="eastAsia"/>
          <w:color w:val="auto"/>
          <w:highlight w:val="none"/>
        </w:rPr>
        <w:t>及开标程序</w:t>
      </w:r>
      <w:bookmarkEnd w:id="49"/>
      <w:bookmarkEnd w:id="50"/>
      <w:bookmarkEnd w:id="51"/>
    </w:p>
    <w:p>
      <w:pPr>
        <w:pStyle w:val="80"/>
        <w:widowControl w:val="0"/>
        <w:numPr>
          <w:ilvl w:val="0"/>
          <w:numId w:val="23"/>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递交施工响应文件的供应商不足3家的，不予开标。</w:t>
      </w:r>
    </w:p>
    <w:p>
      <w:pPr>
        <w:pStyle w:val="80"/>
        <w:widowControl w:val="0"/>
        <w:numPr>
          <w:ilvl w:val="0"/>
          <w:numId w:val="23"/>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开标准备工作。供应商需在开标当日、递交施工响应</w:t>
      </w:r>
      <w:r>
        <w:rPr>
          <w:rFonts w:ascii="宋体" w:hAnsi="宋体" w:eastAsia="宋体" w:cs="宋体"/>
          <w:b/>
          <w:color w:val="auto"/>
          <w:sz w:val="28"/>
          <w:szCs w:val="28"/>
          <w:highlight w:val="none"/>
        </w:rPr>
        <w:t>文件</w:t>
      </w:r>
      <w:r>
        <w:rPr>
          <w:rFonts w:hint="eastAsia" w:ascii="宋体" w:hAnsi="宋体" w:eastAsia="宋体" w:cs="宋体"/>
          <w:b/>
          <w:color w:val="auto"/>
          <w:sz w:val="28"/>
          <w:szCs w:val="28"/>
          <w:highlight w:val="none"/>
        </w:rPr>
        <w:t>截止时间前登录“政府采购云平台”，通过“开标大厅”参与开标。登录成都市公共资源交易服务中心门户网站（https://www.cdggzy.com/）—政府采购云平台—</w:t>
      </w:r>
      <w:r>
        <w:rPr>
          <w:rFonts w:hint="eastAsia" w:ascii="宋体" w:hAnsi="宋体" w:eastAsia="宋体" w:cs="宋体"/>
          <w:b/>
          <w:color w:val="auto"/>
          <w:sz w:val="28"/>
          <w:szCs w:val="28"/>
          <w:highlight w:val="none"/>
          <w:lang w:eastAsia="zh-CN"/>
        </w:rPr>
        <w:t>高新区项目采购</w:t>
      </w:r>
      <w:r>
        <w:rPr>
          <w:rFonts w:hint="eastAsia" w:ascii="宋体" w:hAnsi="宋体" w:eastAsia="宋体" w:cs="宋体"/>
          <w:b/>
          <w:color w:val="auto"/>
          <w:sz w:val="28"/>
          <w:szCs w:val="28"/>
          <w:highlight w:val="none"/>
        </w:rPr>
        <w:t>—开标评标—开标大厅（找到对应项目）。提示：供应商未按时登录不见面开标系统，错过开标解密时间的，由供应商自行承担不利后果。</w:t>
      </w:r>
    </w:p>
    <w:p>
      <w:pPr>
        <w:pStyle w:val="80"/>
        <w:widowControl w:val="0"/>
        <w:numPr>
          <w:ilvl w:val="0"/>
          <w:numId w:val="23"/>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解密施工响应文件。等待高新区采购中心开启解密后，供应商进行线上解密。除因市公资交易中心断电、断网、系统故障或其他不可抗力等因素，导致系统无法使用外，供应商在规定的解密时间内，未成功解密的施工响应文件将视为无效施工响应文件。</w:t>
      </w:r>
    </w:p>
    <w:p>
      <w:pPr>
        <w:pStyle w:val="80"/>
        <w:widowControl w:val="0"/>
        <w:numPr>
          <w:ilvl w:val="0"/>
          <w:numId w:val="23"/>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确认开标记录。解密时间截止或者所有供应商施工</w:t>
      </w:r>
      <w:r>
        <w:rPr>
          <w:rFonts w:ascii="宋体" w:hAnsi="宋体" w:eastAsia="宋体" w:cs="宋体"/>
          <w:b/>
          <w:color w:val="auto"/>
          <w:sz w:val="28"/>
          <w:szCs w:val="28"/>
          <w:highlight w:val="none"/>
        </w:rPr>
        <w:t>响应文件</w:t>
      </w:r>
      <w:r>
        <w:rPr>
          <w:rFonts w:hint="eastAsia" w:ascii="宋体" w:hAnsi="宋体" w:eastAsia="宋体" w:cs="宋体"/>
          <w:b/>
          <w:color w:val="auto"/>
          <w:sz w:val="28"/>
          <w:szCs w:val="28"/>
          <w:highlight w:val="none"/>
        </w:rPr>
        <w:t>均完成解密后（以发生在先的时间为准），由“政府采购云平台”系统展示供应商名称、施工相应文件解密情况等内容。供应商对开标记录（包含解密情况、其他情况等）在规定时间内确认，如未确认，视为认同开标记录。</w:t>
      </w:r>
    </w:p>
    <w:p>
      <w:pPr>
        <w:pStyle w:val="80"/>
        <w:widowControl w:val="0"/>
        <w:numPr>
          <w:ilvl w:val="0"/>
          <w:numId w:val="23"/>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供应商对开标过程和开标记录有疑义，以及认为采购人、高新区采购中心相关工作人员有需要回避的情形的，及时向工作人员提出询问或者回避申请。采购人、高新区采购中心对投标人提出的询问或者回避申请应当及时处理。</w:t>
      </w:r>
    </w:p>
    <w:p>
      <w:pPr>
        <w:pStyle w:val="80"/>
        <w:widowControl w:val="0"/>
        <w:numPr>
          <w:ilvl w:val="0"/>
          <w:numId w:val="23"/>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供应商电脑终端等硬件设备和软件系统配置：供应商电脑终端等硬件设备和软件系统配置应符合电子投标（含不见面开标大厅）供应商电脑终端配置要求并运行正常，供应商承担因未尽职责产生的不利后果。</w:t>
      </w:r>
    </w:p>
    <w:p>
      <w:pPr>
        <w:pStyle w:val="80"/>
        <w:widowControl w:val="0"/>
        <w:numPr>
          <w:ilvl w:val="0"/>
          <w:numId w:val="23"/>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因市公资交易中心断电、断网、系统故障或其他不可抗力等因素导致不见面开标系统无法正常运行的，开标活动中止或延迟，待系统恢复正常后继续进行开标活动。</w:t>
      </w:r>
    </w:p>
    <w:p>
      <w:pPr>
        <w:pStyle w:val="80"/>
        <w:widowControl w:val="0"/>
        <w:numPr>
          <w:ilvl w:val="0"/>
          <w:numId w:val="23"/>
        </w:numPr>
        <w:tabs>
          <w:tab w:val="left" w:pos="1134"/>
        </w:tabs>
        <w:spacing w:before="120" w:after="200" w:line="360" w:lineRule="auto"/>
        <w:ind w:left="0" w:right="210" w:firstLine="567" w:firstLineChars="0"/>
        <w:jc w:val="both"/>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不见面开标过程中，各方主体均应遵守互联网有关规定，不得发表与交易活动无关的言论。</w:t>
      </w:r>
    </w:p>
    <w:p>
      <w:pPr>
        <w:pStyle w:val="5"/>
        <w:tabs>
          <w:tab w:val="clear" w:pos="567"/>
        </w:tabs>
        <w:spacing w:line="600" w:lineRule="exact"/>
        <w:ind w:left="0" w:firstLine="0"/>
        <w:rPr>
          <w:color w:val="auto"/>
          <w:highlight w:val="none"/>
        </w:rPr>
      </w:pPr>
      <w:bookmarkStart w:id="52" w:name="_Toc72938432"/>
      <w:bookmarkStart w:id="53" w:name="_Toc20524"/>
      <w:bookmarkStart w:id="54" w:name="_Toc17816"/>
      <w:r>
        <w:rPr>
          <w:rFonts w:hint="eastAsia"/>
          <w:color w:val="auto"/>
          <w:highlight w:val="none"/>
        </w:rPr>
        <w:t>资格</w:t>
      </w:r>
      <w:r>
        <w:rPr>
          <w:color w:val="auto"/>
          <w:highlight w:val="none"/>
        </w:rPr>
        <w:t>预审和评审</w:t>
      </w:r>
      <w:bookmarkEnd w:id="52"/>
      <w:bookmarkEnd w:id="53"/>
      <w:bookmarkEnd w:id="54"/>
    </w:p>
    <w:p>
      <w:pPr>
        <w:widowControl w:val="0"/>
        <w:numPr>
          <w:ilvl w:val="0"/>
          <w:numId w:val="24"/>
        </w:numPr>
        <w:tabs>
          <w:tab w:val="left" w:pos="1134"/>
        </w:tabs>
        <w:spacing w:line="600" w:lineRule="exact"/>
        <w:ind w:left="0" w:firstLine="540"/>
        <w:jc w:val="both"/>
        <w:rPr>
          <w:rFonts w:ascii="宋体" w:hAnsi="宋体"/>
          <w:color w:val="auto"/>
          <w:sz w:val="28"/>
          <w:szCs w:val="28"/>
          <w:highlight w:val="none"/>
        </w:rPr>
      </w:pPr>
      <w:r>
        <w:rPr>
          <w:rFonts w:hint="eastAsia" w:ascii="宋体" w:hAnsi="宋体"/>
          <w:color w:val="auto"/>
          <w:sz w:val="28"/>
          <w:szCs w:val="28"/>
          <w:highlight w:val="none"/>
        </w:rPr>
        <w:t>本项目资格预审已按资格预审文件完成。</w:t>
      </w:r>
    </w:p>
    <w:p>
      <w:pPr>
        <w:widowControl w:val="0"/>
        <w:numPr>
          <w:ilvl w:val="0"/>
          <w:numId w:val="24"/>
        </w:numPr>
        <w:tabs>
          <w:tab w:val="left" w:pos="1134"/>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磋商小组的组建及其评审工作按照有关法律制度和本文件第五章的规定进行。</w:t>
      </w:r>
    </w:p>
    <w:p>
      <w:pPr>
        <w:pStyle w:val="5"/>
        <w:spacing w:line="600" w:lineRule="exact"/>
        <w:rPr>
          <w:color w:val="auto"/>
          <w:highlight w:val="none"/>
        </w:rPr>
      </w:pPr>
      <w:bookmarkStart w:id="55" w:name="_Toc26754"/>
      <w:bookmarkStart w:id="56" w:name="_Toc72938433"/>
      <w:bookmarkStart w:id="57" w:name="_Toc21806"/>
      <w:r>
        <w:rPr>
          <w:color w:val="auto"/>
          <w:highlight w:val="none"/>
        </w:rPr>
        <w:t>成交通知书</w:t>
      </w:r>
      <w:bookmarkEnd w:id="55"/>
      <w:bookmarkEnd w:id="56"/>
      <w:bookmarkEnd w:id="57"/>
    </w:p>
    <w:p>
      <w:pPr>
        <w:pStyle w:val="80"/>
        <w:widowControl w:val="0"/>
        <w:numPr>
          <w:ilvl w:val="0"/>
          <w:numId w:val="25"/>
        </w:numPr>
        <w:tabs>
          <w:tab w:val="left" w:pos="1134"/>
        </w:tabs>
        <w:spacing w:after="200" w:line="600" w:lineRule="exact"/>
        <w:ind w:left="0" w:right="210" w:firstLine="560"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成交通知书为采购人签订政府采购合同的依据，是合同的有效组成部分。如果出现政府采购法律法规、规章制度规定的成交无效情形的，将以公告形式宣布发出的成交通知书无效，成交通知书将自动失效，并依法重新确定成交供应商或者重新开展采购活动。</w:t>
      </w:r>
    </w:p>
    <w:p>
      <w:pPr>
        <w:pStyle w:val="80"/>
        <w:widowControl w:val="0"/>
        <w:numPr>
          <w:ilvl w:val="0"/>
          <w:numId w:val="25"/>
        </w:numPr>
        <w:tabs>
          <w:tab w:val="left" w:pos="1134"/>
        </w:tabs>
        <w:spacing w:after="200" w:line="600" w:lineRule="exact"/>
        <w:ind w:left="0" w:right="210" w:firstLine="560"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成交通知书对采购人和成交供应商均具有法律效力。成交通知书发出后，采购人改变成交结果，或者成交供应商无正当理由放弃成交的，应当承担相应的法律责任。</w:t>
      </w:r>
    </w:p>
    <w:p>
      <w:pPr>
        <w:pStyle w:val="80"/>
        <w:widowControl w:val="0"/>
        <w:numPr>
          <w:ilvl w:val="0"/>
          <w:numId w:val="25"/>
        </w:numPr>
        <w:tabs>
          <w:tab w:val="left" w:pos="1134"/>
        </w:tabs>
        <w:spacing w:after="200" w:line="600" w:lineRule="exact"/>
        <w:ind w:left="0" w:right="210" w:firstLine="560"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成交公告在四川政府采购网上公告后，成交供应商自行登录政府</w:t>
      </w:r>
      <w:r>
        <w:rPr>
          <w:rFonts w:ascii="宋体" w:hAnsi="宋体" w:eastAsia="宋体"/>
          <w:color w:val="auto"/>
          <w:sz w:val="28"/>
          <w:szCs w:val="28"/>
          <w:highlight w:val="none"/>
        </w:rPr>
        <w:t>采购</w:t>
      </w:r>
      <w:r>
        <w:rPr>
          <w:rFonts w:hint="eastAsia" w:ascii="宋体" w:hAnsi="宋体" w:eastAsia="宋体"/>
          <w:color w:val="auto"/>
          <w:sz w:val="28"/>
          <w:szCs w:val="28"/>
          <w:highlight w:val="none"/>
        </w:rPr>
        <w:t>云平台下载成交通知书。</w:t>
      </w:r>
    </w:p>
    <w:p>
      <w:pPr>
        <w:pStyle w:val="5"/>
        <w:spacing w:line="600" w:lineRule="exact"/>
        <w:rPr>
          <w:color w:val="auto"/>
          <w:highlight w:val="none"/>
        </w:rPr>
      </w:pPr>
      <w:bookmarkStart w:id="58" w:name="_Toc72938434"/>
      <w:bookmarkStart w:id="59" w:name="_Toc27059"/>
      <w:bookmarkStart w:id="60" w:name="_Toc1492"/>
      <w:bookmarkStart w:id="61" w:name="_Toc287623650"/>
      <w:r>
        <w:rPr>
          <w:rFonts w:hint="eastAsia"/>
          <w:color w:val="auto"/>
          <w:highlight w:val="none"/>
        </w:rPr>
        <w:t>签订及履行合同和验收</w:t>
      </w:r>
      <w:bookmarkEnd w:id="58"/>
      <w:bookmarkEnd w:id="59"/>
      <w:bookmarkEnd w:id="60"/>
    </w:p>
    <w:p>
      <w:pPr>
        <w:pStyle w:val="6"/>
        <w:spacing w:line="600" w:lineRule="exact"/>
        <w:rPr>
          <w:color w:val="auto"/>
          <w:highlight w:val="none"/>
        </w:rPr>
      </w:pPr>
      <w:r>
        <w:rPr>
          <w:rFonts w:hint="eastAsia"/>
          <w:color w:val="auto"/>
          <w:highlight w:val="none"/>
        </w:rPr>
        <w:t>签订合同</w:t>
      </w:r>
      <w:bookmarkEnd w:id="61"/>
    </w:p>
    <w:p>
      <w:pPr>
        <w:widowControl w:val="0"/>
        <w:numPr>
          <w:ilvl w:val="0"/>
          <w:numId w:val="26"/>
        </w:numPr>
        <w:tabs>
          <w:tab w:val="left" w:pos="1134"/>
        </w:tabs>
        <w:spacing w:line="360" w:lineRule="auto"/>
        <w:ind w:left="0" w:firstLine="565" w:firstLineChars="202"/>
        <w:jc w:val="both"/>
        <w:rPr>
          <w:rFonts w:ascii="宋体" w:hAnsi="宋体"/>
          <w:color w:val="auto"/>
          <w:sz w:val="28"/>
          <w:szCs w:val="28"/>
          <w:highlight w:val="none"/>
        </w:rPr>
      </w:pPr>
      <w:bookmarkStart w:id="62" w:name="_Toc217446069"/>
      <w:r>
        <w:rPr>
          <w:rFonts w:hint="eastAsia" w:ascii="宋体" w:hAnsi="宋体"/>
          <w:color w:val="auto"/>
          <w:sz w:val="28"/>
          <w:szCs w:val="28"/>
          <w:highlight w:val="none"/>
        </w:rPr>
        <w:t>疫情防控期间，采购人原则</w:t>
      </w:r>
      <w:r>
        <w:rPr>
          <w:rFonts w:ascii="宋体" w:hAnsi="宋体"/>
          <w:color w:val="auto"/>
          <w:sz w:val="28"/>
          <w:szCs w:val="28"/>
          <w:highlight w:val="none"/>
        </w:rPr>
        <w:t>上</w:t>
      </w:r>
      <w:r>
        <w:rPr>
          <w:rFonts w:hint="eastAsia" w:ascii="宋体" w:hAnsi="宋体"/>
          <w:color w:val="auto"/>
          <w:sz w:val="28"/>
          <w:szCs w:val="28"/>
          <w:highlight w:val="none"/>
        </w:rPr>
        <w:t>在成交通知书发出之日起</w:t>
      </w:r>
      <w:r>
        <w:rPr>
          <w:rFonts w:ascii="宋体" w:hAnsi="宋体"/>
          <w:color w:val="auto"/>
          <w:sz w:val="28"/>
          <w:szCs w:val="28"/>
          <w:highlight w:val="none"/>
        </w:rPr>
        <w:t>5</w:t>
      </w:r>
      <w:r>
        <w:rPr>
          <w:rFonts w:hint="eastAsia" w:ascii="宋体" w:hAnsi="宋体"/>
          <w:color w:val="auto"/>
          <w:sz w:val="28"/>
          <w:szCs w:val="28"/>
          <w:highlight w:val="none"/>
        </w:rPr>
        <w:t>个</w:t>
      </w:r>
      <w:r>
        <w:rPr>
          <w:rFonts w:ascii="宋体" w:hAnsi="宋体"/>
          <w:color w:val="auto"/>
          <w:sz w:val="28"/>
          <w:szCs w:val="28"/>
          <w:highlight w:val="none"/>
        </w:rPr>
        <w:t>工作日</w:t>
      </w:r>
      <w:r>
        <w:rPr>
          <w:rFonts w:hint="eastAsia" w:ascii="宋体" w:hAnsi="宋体"/>
          <w:color w:val="auto"/>
          <w:sz w:val="28"/>
          <w:szCs w:val="28"/>
          <w:highlight w:val="none"/>
        </w:rPr>
        <w:t>内与成交供应商签订采购合同。因成交供应商的原因</w:t>
      </w:r>
      <w:r>
        <w:rPr>
          <w:rFonts w:ascii="宋体" w:hAnsi="宋体"/>
          <w:color w:val="auto"/>
          <w:sz w:val="28"/>
          <w:szCs w:val="28"/>
          <w:highlight w:val="none"/>
        </w:rPr>
        <w:t>在</w:t>
      </w:r>
      <w:r>
        <w:rPr>
          <w:rFonts w:hint="eastAsia" w:ascii="宋体" w:hAnsi="宋体"/>
          <w:color w:val="auto"/>
          <w:sz w:val="28"/>
          <w:szCs w:val="28"/>
          <w:highlight w:val="none"/>
        </w:rPr>
        <w:t>成交通知书发出之日起</w:t>
      </w:r>
      <w:r>
        <w:rPr>
          <w:rFonts w:ascii="宋体" w:hAnsi="宋体"/>
          <w:color w:val="auto"/>
          <w:sz w:val="28"/>
          <w:szCs w:val="28"/>
          <w:highlight w:val="none"/>
        </w:rPr>
        <w:t>30日</w:t>
      </w:r>
      <w:r>
        <w:rPr>
          <w:rFonts w:hint="eastAsia" w:ascii="宋体" w:hAnsi="宋体"/>
          <w:color w:val="auto"/>
          <w:sz w:val="28"/>
          <w:szCs w:val="28"/>
          <w:highlight w:val="none"/>
        </w:rPr>
        <w:t>内未与采购人签订采购合同或者成交供应商拒绝与采购人签订合同的，采购人可以按照评审报告推荐的中标候选人名单排序，确定下一候选人为成交供应商，也可以重新开展政府采购活动。</w:t>
      </w:r>
    </w:p>
    <w:p>
      <w:pPr>
        <w:widowControl w:val="0"/>
        <w:numPr>
          <w:ilvl w:val="0"/>
          <w:numId w:val="26"/>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采购人不得向</w:t>
      </w:r>
      <w:r>
        <w:rPr>
          <w:rFonts w:ascii="宋体" w:hAnsi="宋体"/>
          <w:color w:val="auto"/>
          <w:sz w:val="28"/>
          <w:szCs w:val="28"/>
          <w:highlight w:val="none"/>
        </w:rPr>
        <w:t>成交</w:t>
      </w:r>
      <w:r>
        <w:rPr>
          <w:rFonts w:hint="eastAsia" w:ascii="宋体" w:hAnsi="宋体"/>
          <w:color w:val="auto"/>
          <w:sz w:val="28"/>
          <w:szCs w:val="28"/>
          <w:highlight w:val="none"/>
        </w:rPr>
        <w:t>供应商提出任何不合理的要求作为签订合同的条件，不得与</w:t>
      </w:r>
      <w:r>
        <w:rPr>
          <w:rFonts w:ascii="宋体" w:hAnsi="宋体"/>
          <w:color w:val="auto"/>
          <w:sz w:val="28"/>
          <w:szCs w:val="28"/>
          <w:highlight w:val="none"/>
        </w:rPr>
        <w:t>成交</w:t>
      </w:r>
      <w:r>
        <w:rPr>
          <w:rFonts w:hint="eastAsia" w:ascii="宋体" w:hAnsi="宋体"/>
          <w:color w:val="auto"/>
          <w:sz w:val="28"/>
          <w:szCs w:val="28"/>
          <w:highlight w:val="none"/>
        </w:rPr>
        <w:t>供应商私下订立背离合同实质性内容的任何协议，所签订的合同不得对磋商文件和</w:t>
      </w:r>
      <w:r>
        <w:rPr>
          <w:rFonts w:ascii="宋体" w:hAnsi="宋体"/>
          <w:color w:val="auto"/>
          <w:sz w:val="28"/>
          <w:szCs w:val="28"/>
          <w:highlight w:val="none"/>
        </w:rPr>
        <w:t>成交</w:t>
      </w:r>
      <w:r>
        <w:rPr>
          <w:rFonts w:hint="eastAsia" w:ascii="宋体" w:hAnsi="宋体"/>
          <w:color w:val="auto"/>
          <w:sz w:val="28"/>
          <w:szCs w:val="28"/>
          <w:highlight w:val="none"/>
        </w:rPr>
        <w:t>供应商施工响应文件作实质性修改。</w:t>
      </w:r>
    </w:p>
    <w:p>
      <w:pPr>
        <w:widowControl w:val="0"/>
        <w:numPr>
          <w:ilvl w:val="0"/>
          <w:numId w:val="26"/>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磋商文件</w:t>
      </w:r>
      <w:r>
        <w:rPr>
          <w:rFonts w:ascii="宋体" w:hAnsi="宋体"/>
          <w:color w:val="auto"/>
          <w:sz w:val="28"/>
          <w:szCs w:val="28"/>
          <w:highlight w:val="none"/>
        </w:rPr>
        <w:t>、</w:t>
      </w:r>
      <w:r>
        <w:rPr>
          <w:rFonts w:hint="eastAsia" w:ascii="宋体" w:hAnsi="宋体"/>
          <w:color w:val="auto"/>
          <w:sz w:val="28"/>
          <w:szCs w:val="28"/>
          <w:highlight w:val="none"/>
        </w:rPr>
        <w:t>施工响应文件</w:t>
      </w:r>
      <w:r>
        <w:rPr>
          <w:rFonts w:ascii="宋体" w:hAnsi="宋体"/>
          <w:color w:val="auto"/>
          <w:sz w:val="28"/>
          <w:szCs w:val="28"/>
          <w:highlight w:val="none"/>
        </w:rPr>
        <w:t>、</w:t>
      </w:r>
      <w:r>
        <w:rPr>
          <w:rFonts w:hint="eastAsia" w:ascii="宋体" w:hAnsi="宋体"/>
          <w:color w:val="auto"/>
          <w:sz w:val="28"/>
          <w:szCs w:val="28"/>
          <w:highlight w:val="none"/>
        </w:rPr>
        <w:t>成交</w:t>
      </w:r>
      <w:r>
        <w:rPr>
          <w:rFonts w:ascii="宋体" w:hAnsi="宋体"/>
          <w:color w:val="auto"/>
          <w:sz w:val="28"/>
          <w:szCs w:val="28"/>
          <w:highlight w:val="none"/>
        </w:rPr>
        <w:t>通知书</w:t>
      </w:r>
      <w:r>
        <w:rPr>
          <w:rFonts w:hint="eastAsia" w:ascii="宋体" w:hAnsi="宋体"/>
          <w:color w:val="auto"/>
          <w:sz w:val="28"/>
          <w:szCs w:val="28"/>
          <w:highlight w:val="none"/>
        </w:rPr>
        <w:t>等一切与本项目评审结果有关且经责任主体确认的资料均为合同的有效组成部分。</w:t>
      </w:r>
    </w:p>
    <w:p>
      <w:pPr>
        <w:widowControl w:val="0"/>
        <w:numPr>
          <w:ilvl w:val="0"/>
          <w:numId w:val="26"/>
        </w:numPr>
        <w:tabs>
          <w:tab w:val="left" w:pos="1134"/>
        </w:tabs>
        <w:spacing w:line="360" w:lineRule="auto"/>
        <w:ind w:left="0" w:firstLine="565" w:firstLineChars="202"/>
        <w:jc w:val="both"/>
        <w:rPr>
          <w:rFonts w:ascii="宋体" w:hAnsi="宋体"/>
          <w:color w:val="auto"/>
          <w:sz w:val="28"/>
          <w:szCs w:val="28"/>
          <w:highlight w:val="none"/>
        </w:rPr>
      </w:pPr>
      <w:r>
        <w:rPr>
          <w:rFonts w:ascii="宋体" w:hAnsi="宋体"/>
          <w:color w:val="auto"/>
          <w:sz w:val="28"/>
          <w:szCs w:val="28"/>
          <w:highlight w:val="none"/>
        </w:rPr>
        <w:t>询问或者质疑事项可能影响成交结果的，采购人应当暂停签订合同，已经签订合同的，应当中止履行合同。</w:t>
      </w:r>
    </w:p>
    <w:p>
      <w:pPr>
        <w:pStyle w:val="6"/>
        <w:spacing w:line="600" w:lineRule="exact"/>
        <w:rPr>
          <w:color w:val="auto"/>
          <w:highlight w:val="none"/>
        </w:rPr>
      </w:pPr>
      <w:bookmarkStart w:id="63" w:name="_Toc217446066"/>
      <w:r>
        <w:rPr>
          <w:rFonts w:hint="eastAsia"/>
          <w:color w:val="auto"/>
          <w:highlight w:val="none"/>
        </w:rPr>
        <w:t>合同分包</w:t>
      </w:r>
      <w:bookmarkEnd w:id="63"/>
      <w:r>
        <w:rPr>
          <w:rFonts w:hint="eastAsia"/>
          <w:color w:val="auto"/>
          <w:highlight w:val="none"/>
        </w:rPr>
        <w:t>和转包</w:t>
      </w:r>
      <w:r>
        <w:rPr>
          <w:rFonts w:hint="eastAsia" w:ascii="仿宋" w:hAnsi="仿宋" w:eastAsia="仿宋"/>
          <w:color w:val="auto"/>
          <w:szCs w:val="21"/>
          <w:highlight w:val="none"/>
          <w:lang w:val="zh-CN"/>
        </w:rPr>
        <w:t>（实质性要求）</w:t>
      </w:r>
    </w:p>
    <w:p>
      <w:pPr>
        <w:widowControl w:val="0"/>
        <w:numPr>
          <w:ilvl w:val="0"/>
          <w:numId w:val="27"/>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合同分包</w:t>
      </w:r>
    </w:p>
    <w:p>
      <w:pPr>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本项目不允许分包。</w:t>
      </w:r>
    </w:p>
    <w:p>
      <w:pPr>
        <w:widowControl w:val="0"/>
        <w:numPr>
          <w:ilvl w:val="0"/>
          <w:numId w:val="27"/>
        </w:numPr>
        <w:tabs>
          <w:tab w:val="left" w:pos="1134"/>
        </w:tabs>
        <w:spacing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合同转包</w:t>
      </w:r>
    </w:p>
    <w:p>
      <w:pPr>
        <w:pStyle w:val="80"/>
        <w:widowControl w:val="0"/>
        <w:numPr>
          <w:ilvl w:val="0"/>
          <w:numId w:val="28"/>
        </w:numPr>
        <w:tabs>
          <w:tab w:val="left" w:pos="1134"/>
        </w:tabs>
        <w:spacing w:after="200" w:line="600" w:lineRule="exact"/>
        <w:ind w:left="0" w:firstLine="560" w:firstLineChars="0"/>
        <w:jc w:val="both"/>
        <w:rPr>
          <w:rFonts w:ascii="宋体" w:hAnsi="宋体" w:eastAsia="宋体"/>
          <w:bCs/>
          <w:color w:val="auto"/>
          <w:sz w:val="28"/>
          <w:szCs w:val="28"/>
          <w:highlight w:val="none"/>
        </w:rPr>
      </w:pPr>
      <w:r>
        <w:rPr>
          <w:rFonts w:hint="eastAsia" w:ascii="宋体" w:hAnsi="宋体" w:eastAsia="宋体"/>
          <w:bCs/>
          <w:color w:val="auto"/>
          <w:sz w:val="28"/>
          <w:szCs w:val="28"/>
          <w:highlight w:val="none"/>
        </w:rPr>
        <w:t>严禁成交供应商将本项目转包。本项目所称转包，是指</w:t>
      </w:r>
      <w:r>
        <w:rPr>
          <w:rFonts w:ascii="宋体" w:hAnsi="宋体" w:eastAsia="宋体"/>
          <w:bCs/>
          <w:color w:val="auto"/>
          <w:sz w:val="28"/>
          <w:szCs w:val="28"/>
          <w:highlight w:val="none"/>
        </w:rPr>
        <w:t>将本项目转给他人或者将本项目全部肢解</w:t>
      </w:r>
      <w:r>
        <w:rPr>
          <w:rFonts w:hint="eastAsia" w:ascii="宋体" w:hAnsi="宋体" w:eastAsia="宋体"/>
          <w:bCs/>
          <w:color w:val="auto"/>
          <w:sz w:val="28"/>
          <w:szCs w:val="28"/>
          <w:highlight w:val="none"/>
        </w:rPr>
        <w:t>或部分肢解</w:t>
      </w:r>
      <w:r>
        <w:rPr>
          <w:rFonts w:ascii="宋体" w:hAnsi="宋体" w:eastAsia="宋体"/>
          <w:bCs/>
          <w:color w:val="auto"/>
          <w:sz w:val="28"/>
          <w:szCs w:val="28"/>
          <w:highlight w:val="none"/>
        </w:rPr>
        <w:t>以后以分包的名义分别转给他人</w:t>
      </w:r>
      <w:r>
        <w:rPr>
          <w:rFonts w:hint="eastAsia" w:ascii="宋体" w:hAnsi="宋体" w:eastAsia="宋体"/>
          <w:bCs/>
          <w:color w:val="auto"/>
          <w:sz w:val="28"/>
          <w:szCs w:val="28"/>
          <w:highlight w:val="none"/>
        </w:rPr>
        <w:t>的</w:t>
      </w:r>
      <w:r>
        <w:rPr>
          <w:rFonts w:ascii="宋体" w:hAnsi="宋体" w:eastAsia="宋体"/>
          <w:bCs/>
          <w:color w:val="auto"/>
          <w:sz w:val="28"/>
          <w:szCs w:val="28"/>
          <w:highlight w:val="none"/>
        </w:rPr>
        <w:t>行为。</w:t>
      </w:r>
    </w:p>
    <w:p>
      <w:pPr>
        <w:pStyle w:val="80"/>
        <w:widowControl w:val="0"/>
        <w:numPr>
          <w:ilvl w:val="0"/>
          <w:numId w:val="28"/>
        </w:numPr>
        <w:tabs>
          <w:tab w:val="left" w:pos="1134"/>
        </w:tabs>
        <w:spacing w:after="200" w:line="600" w:lineRule="exact"/>
        <w:ind w:left="0" w:firstLine="560" w:firstLineChars="0"/>
        <w:jc w:val="both"/>
        <w:rPr>
          <w:rFonts w:ascii="宋体" w:hAnsi="宋体" w:eastAsia="宋体"/>
          <w:bCs/>
          <w:color w:val="auto"/>
          <w:sz w:val="28"/>
          <w:szCs w:val="28"/>
          <w:highlight w:val="none"/>
        </w:rPr>
      </w:pPr>
      <w:r>
        <w:rPr>
          <w:rFonts w:hint="eastAsia" w:ascii="宋体" w:hAnsi="宋体" w:eastAsia="宋体"/>
          <w:bCs/>
          <w:color w:val="auto"/>
          <w:sz w:val="28"/>
          <w:szCs w:val="28"/>
          <w:highlight w:val="none"/>
        </w:rPr>
        <w:t>成交供应商转包的，视同拒绝履行政府采购合同，将依法追究法律责任。</w:t>
      </w:r>
    </w:p>
    <w:p>
      <w:pPr>
        <w:pStyle w:val="6"/>
        <w:spacing w:line="600" w:lineRule="exact"/>
        <w:rPr>
          <w:color w:val="auto"/>
          <w:highlight w:val="none"/>
        </w:rPr>
      </w:pPr>
      <w:bookmarkStart w:id="64" w:name="_Toc217446067"/>
      <w:r>
        <w:rPr>
          <w:rFonts w:hint="eastAsia"/>
          <w:color w:val="auto"/>
          <w:highlight w:val="none"/>
        </w:rPr>
        <w:t>采购人增加合同标的的权</w:t>
      </w:r>
      <w:bookmarkEnd w:id="64"/>
      <w:r>
        <w:rPr>
          <w:rFonts w:hint="eastAsia"/>
          <w:color w:val="auto"/>
          <w:highlight w:val="none"/>
        </w:rPr>
        <w:t>利</w:t>
      </w:r>
    </w:p>
    <w:p>
      <w:pPr>
        <w:spacing w:line="600" w:lineRule="exact"/>
        <w:ind w:firstLine="567"/>
        <w:rPr>
          <w:rFonts w:ascii="宋体" w:hAnsi="宋体"/>
          <w:color w:val="auto"/>
          <w:sz w:val="28"/>
          <w:szCs w:val="28"/>
          <w:highlight w:val="none"/>
        </w:rPr>
      </w:pPr>
      <w:r>
        <w:rPr>
          <w:rFonts w:hint="eastAsia" w:ascii="宋体" w:hAnsi="宋体"/>
          <w:color w:val="auto"/>
          <w:sz w:val="28"/>
          <w:szCs w:val="28"/>
          <w:highlight w:val="none"/>
        </w:rPr>
        <w:t>采购合同履行过程中，采购人需要追加与合同标的相同的货物、工程或者服务的，在不改变合同其他条款的前提下，可以与成交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w:t>
      </w:r>
    </w:p>
    <w:p>
      <w:pPr>
        <w:pStyle w:val="6"/>
        <w:spacing w:line="600" w:lineRule="exact"/>
        <w:rPr>
          <w:color w:val="auto"/>
          <w:highlight w:val="none"/>
        </w:rPr>
      </w:pPr>
      <w:bookmarkStart w:id="65" w:name="_Toc217446068"/>
      <w:r>
        <w:rPr>
          <w:rFonts w:hint="eastAsia"/>
          <w:color w:val="auto"/>
          <w:highlight w:val="none"/>
        </w:rPr>
        <w:t>履约保证金</w:t>
      </w:r>
      <w:bookmarkEnd w:id="65"/>
    </w:p>
    <w:p>
      <w:pPr>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本项目不收取履约保证金。</w:t>
      </w:r>
    </w:p>
    <w:p>
      <w:pPr>
        <w:pStyle w:val="6"/>
        <w:spacing w:line="600" w:lineRule="exact"/>
        <w:rPr>
          <w:color w:val="auto"/>
          <w:highlight w:val="none"/>
        </w:rPr>
      </w:pPr>
      <w:r>
        <w:rPr>
          <w:color w:val="auto"/>
          <w:highlight w:val="none"/>
        </w:rPr>
        <w:t>合同公告</w:t>
      </w:r>
    </w:p>
    <w:p>
      <w:pPr>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采购人应当自政府采购合同签订之日起</w:t>
      </w:r>
      <w:r>
        <w:rPr>
          <w:rFonts w:ascii="宋体" w:hAnsi="宋体"/>
          <w:color w:val="auto"/>
          <w:sz w:val="28"/>
          <w:szCs w:val="28"/>
          <w:highlight w:val="none"/>
        </w:rPr>
        <w:t>2个工作日内，</w:t>
      </w:r>
      <w:r>
        <w:rPr>
          <w:rFonts w:hint="eastAsia" w:ascii="宋体" w:hAnsi="宋体"/>
          <w:color w:val="auto"/>
          <w:sz w:val="28"/>
          <w:szCs w:val="28"/>
          <w:highlight w:val="none"/>
        </w:rPr>
        <w:t>将政府采购合同在四川政府采购网公告，但政府采购合同中涉及国家秘密、商业秘密的内容除外。</w:t>
      </w:r>
    </w:p>
    <w:p>
      <w:pPr>
        <w:pStyle w:val="6"/>
        <w:spacing w:line="600" w:lineRule="exact"/>
        <w:rPr>
          <w:color w:val="auto"/>
          <w:highlight w:val="none"/>
        </w:rPr>
      </w:pPr>
      <w:r>
        <w:rPr>
          <w:color w:val="auto"/>
          <w:highlight w:val="none"/>
        </w:rPr>
        <w:t>合同备案</w:t>
      </w:r>
    </w:p>
    <w:p>
      <w:pPr>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疫情防控期间，采购人原则</w:t>
      </w:r>
      <w:r>
        <w:rPr>
          <w:rFonts w:ascii="宋体" w:hAnsi="宋体"/>
          <w:color w:val="auto"/>
          <w:sz w:val="28"/>
          <w:szCs w:val="28"/>
          <w:highlight w:val="none"/>
        </w:rPr>
        <w:t>上在5个工作日内</w:t>
      </w:r>
      <w:r>
        <w:rPr>
          <w:rFonts w:hint="eastAsia" w:ascii="宋体" w:hAnsi="宋体"/>
          <w:color w:val="auto"/>
          <w:sz w:val="28"/>
          <w:szCs w:val="28"/>
          <w:highlight w:val="none"/>
        </w:rPr>
        <w:t>与供应商</w:t>
      </w:r>
      <w:r>
        <w:rPr>
          <w:rFonts w:ascii="宋体" w:hAnsi="宋体"/>
          <w:color w:val="auto"/>
          <w:sz w:val="28"/>
          <w:szCs w:val="28"/>
          <w:highlight w:val="none"/>
        </w:rPr>
        <w:t>签订政府采购合同</w:t>
      </w:r>
      <w:r>
        <w:rPr>
          <w:rFonts w:hint="eastAsia" w:ascii="宋体" w:hAnsi="宋体"/>
          <w:color w:val="auto"/>
          <w:sz w:val="28"/>
          <w:szCs w:val="28"/>
          <w:highlight w:val="none"/>
        </w:rPr>
        <w:t>及按成都高新区财政金融局的要求完成合同备案工作。</w:t>
      </w:r>
    </w:p>
    <w:bookmarkEnd w:id="62"/>
    <w:p>
      <w:pPr>
        <w:pStyle w:val="6"/>
        <w:spacing w:line="600" w:lineRule="exact"/>
        <w:rPr>
          <w:color w:val="auto"/>
          <w:highlight w:val="none"/>
        </w:rPr>
      </w:pPr>
      <w:bookmarkStart w:id="66" w:name="_Toc217446070"/>
      <w:r>
        <w:rPr>
          <w:rFonts w:hint="eastAsia" w:cs="宋体"/>
          <w:color w:val="auto"/>
          <w:highlight w:val="none"/>
        </w:rPr>
        <w:t>履行</w:t>
      </w:r>
      <w:r>
        <w:rPr>
          <w:rFonts w:hint="eastAsia"/>
          <w:color w:val="auto"/>
          <w:highlight w:val="none"/>
        </w:rPr>
        <w:t>合同</w:t>
      </w:r>
    </w:p>
    <w:p>
      <w:pPr>
        <w:widowControl w:val="0"/>
        <w:numPr>
          <w:ilvl w:val="0"/>
          <w:numId w:val="29"/>
        </w:numPr>
        <w:tabs>
          <w:tab w:val="left" w:pos="1134"/>
        </w:tabs>
        <w:spacing w:line="600" w:lineRule="exact"/>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合同一经签订，双方应严格履行合同规定的义务。</w:t>
      </w:r>
    </w:p>
    <w:p>
      <w:pPr>
        <w:widowControl w:val="0"/>
        <w:numPr>
          <w:ilvl w:val="0"/>
          <w:numId w:val="29"/>
        </w:numPr>
        <w:tabs>
          <w:tab w:val="left" w:pos="1134"/>
        </w:tabs>
        <w:spacing w:line="600" w:lineRule="exact"/>
        <w:ind w:left="0" w:firstLine="565" w:firstLineChars="202"/>
        <w:jc w:val="both"/>
        <w:rPr>
          <w:color w:val="auto"/>
          <w:highlight w:val="none"/>
        </w:rPr>
      </w:pPr>
      <w:r>
        <w:rPr>
          <w:rFonts w:hint="eastAsia" w:ascii="宋体" w:hAnsi="宋体"/>
          <w:color w:val="auto"/>
          <w:sz w:val="28"/>
          <w:szCs w:val="28"/>
          <w:highlight w:val="none"/>
        </w:rPr>
        <w:t>在合同履行过程中，如发生合同纠纷，合同双方应按照《中华人民</w:t>
      </w:r>
      <w:r>
        <w:rPr>
          <w:rFonts w:ascii="宋体" w:hAnsi="宋体"/>
          <w:color w:val="auto"/>
          <w:sz w:val="28"/>
          <w:szCs w:val="28"/>
          <w:highlight w:val="none"/>
        </w:rPr>
        <w:t>共和国民法典</w:t>
      </w:r>
      <w:r>
        <w:rPr>
          <w:rFonts w:hint="eastAsia" w:ascii="宋体" w:hAnsi="宋体"/>
          <w:color w:val="auto"/>
          <w:sz w:val="28"/>
          <w:szCs w:val="28"/>
          <w:highlight w:val="none"/>
        </w:rPr>
        <w:t>》及合同条款的有关规定进行处理。</w:t>
      </w:r>
    </w:p>
    <w:p>
      <w:pPr>
        <w:pStyle w:val="6"/>
        <w:spacing w:line="600" w:lineRule="exact"/>
        <w:rPr>
          <w:color w:val="auto"/>
          <w:highlight w:val="none"/>
        </w:rPr>
      </w:pPr>
      <w:r>
        <w:rPr>
          <w:rFonts w:hint="eastAsia"/>
          <w:color w:val="auto"/>
          <w:highlight w:val="none"/>
        </w:rPr>
        <w:t>验收</w:t>
      </w:r>
      <w:bookmarkEnd w:id="66"/>
    </w:p>
    <w:p>
      <w:pPr>
        <w:pStyle w:val="14"/>
        <w:spacing w:line="600" w:lineRule="exact"/>
        <w:ind w:firstLine="560"/>
        <w:rPr>
          <w:rFonts w:ascii="宋体" w:hAnsi="宋体" w:eastAsia="宋体"/>
          <w:color w:val="auto"/>
          <w:sz w:val="28"/>
          <w:szCs w:val="28"/>
          <w:highlight w:val="none"/>
        </w:rPr>
      </w:pPr>
      <w:r>
        <w:rPr>
          <w:rFonts w:hint="eastAsia" w:ascii="宋体" w:hAnsi="宋体" w:eastAsia="宋体"/>
          <w:color w:val="auto"/>
          <w:sz w:val="28"/>
          <w:szCs w:val="28"/>
          <w:highlight w:val="none"/>
        </w:rPr>
        <w:t>采购人严格按照国家相关法律法规的要求组织验收或考核。</w:t>
      </w:r>
    </w:p>
    <w:p>
      <w:pPr>
        <w:pStyle w:val="6"/>
        <w:spacing w:line="600" w:lineRule="exact"/>
        <w:rPr>
          <w:color w:val="auto"/>
          <w:highlight w:val="none"/>
        </w:rPr>
      </w:pPr>
      <w:r>
        <w:rPr>
          <w:rFonts w:hint="eastAsia"/>
          <w:color w:val="auto"/>
          <w:highlight w:val="none"/>
        </w:rPr>
        <w:t>资金支付</w:t>
      </w:r>
    </w:p>
    <w:p>
      <w:pPr>
        <w:pStyle w:val="28"/>
        <w:spacing w:line="60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采购人按财政部门得有关规定及采购合同的约定进行支付。</w:t>
      </w:r>
    </w:p>
    <w:p>
      <w:pPr>
        <w:pStyle w:val="5"/>
        <w:spacing w:line="600" w:lineRule="exact"/>
        <w:rPr>
          <w:color w:val="auto"/>
          <w:highlight w:val="none"/>
        </w:rPr>
      </w:pPr>
      <w:bookmarkStart w:id="67" w:name="_Toc5406"/>
      <w:bookmarkStart w:id="68" w:name="_Toc72938435"/>
      <w:bookmarkStart w:id="69" w:name="_Toc32374"/>
      <w:r>
        <w:rPr>
          <w:rFonts w:hint="eastAsia"/>
          <w:color w:val="auto"/>
          <w:highlight w:val="none"/>
        </w:rPr>
        <w:t>竞争性磋商工作纪律及要求</w:t>
      </w:r>
      <w:bookmarkEnd w:id="67"/>
      <w:bookmarkEnd w:id="68"/>
      <w:bookmarkEnd w:id="69"/>
    </w:p>
    <w:p>
      <w:pPr>
        <w:pStyle w:val="6"/>
        <w:spacing w:line="600" w:lineRule="exact"/>
        <w:ind w:left="0" w:firstLine="0"/>
        <w:rPr>
          <w:color w:val="auto"/>
          <w:highlight w:val="none"/>
        </w:rPr>
      </w:pPr>
      <w:bookmarkStart w:id="70" w:name="_Toc217446075"/>
      <w:r>
        <w:rPr>
          <w:rFonts w:hint="eastAsia"/>
          <w:color w:val="auto"/>
          <w:highlight w:val="none"/>
        </w:rPr>
        <w:t>供应商不得具有的情形</w:t>
      </w:r>
      <w:bookmarkEnd w:id="70"/>
    </w:p>
    <w:p>
      <w:pPr>
        <w:pStyle w:val="14"/>
        <w:spacing w:line="600" w:lineRule="exact"/>
        <w:ind w:firstLine="560"/>
        <w:rPr>
          <w:rFonts w:ascii="宋体" w:hAnsi="宋体" w:eastAsia="宋体"/>
          <w:color w:val="auto"/>
          <w:sz w:val="28"/>
          <w:szCs w:val="28"/>
          <w:highlight w:val="none"/>
        </w:rPr>
      </w:pPr>
      <w:r>
        <w:rPr>
          <w:rFonts w:hint="eastAsia" w:ascii="宋体" w:hAnsi="宋体" w:eastAsia="宋体"/>
          <w:color w:val="auto"/>
          <w:sz w:val="28"/>
          <w:szCs w:val="28"/>
          <w:highlight w:val="none"/>
        </w:rPr>
        <w:t>供应商参加磋商不得有下列情形：</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有下列情形之一的，视为供应商串通参加本次竞争性磋商采购活动：</w:t>
      </w:r>
    </w:p>
    <w:p>
      <w:pPr>
        <w:tabs>
          <w:tab w:val="left" w:pos="1134"/>
        </w:tabs>
        <w:spacing w:line="600" w:lineRule="exact"/>
        <w:ind w:left="538"/>
        <w:rPr>
          <w:rFonts w:ascii="宋体" w:hAnsi="宋体"/>
          <w:color w:val="auto"/>
          <w:sz w:val="28"/>
          <w:szCs w:val="28"/>
          <w:highlight w:val="none"/>
        </w:rPr>
      </w:pPr>
      <w:r>
        <w:rPr>
          <w:rFonts w:hint="eastAsia" w:ascii="宋体" w:hAnsi="宋体"/>
          <w:color w:val="auto"/>
          <w:sz w:val="28"/>
          <w:szCs w:val="28"/>
          <w:highlight w:val="none"/>
        </w:rPr>
        <w:t>（一）不同供应商的施工响应文件由同一单位或者个人编制；</w:t>
      </w:r>
    </w:p>
    <w:p>
      <w:pPr>
        <w:tabs>
          <w:tab w:val="left" w:pos="1134"/>
        </w:tabs>
        <w:spacing w:line="600" w:lineRule="exact"/>
        <w:ind w:left="538"/>
        <w:rPr>
          <w:rFonts w:ascii="宋体" w:hAnsi="宋体"/>
          <w:color w:val="auto"/>
          <w:sz w:val="28"/>
          <w:szCs w:val="28"/>
          <w:highlight w:val="none"/>
        </w:rPr>
      </w:pPr>
      <w:r>
        <w:rPr>
          <w:rFonts w:hint="eastAsia" w:ascii="宋体" w:hAnsi="宋体"/>
          <w:color w:val="auto"/>
          <w:sz w:val="28"/>
          <w:szCs w:val="28"/>
          <w:highlight w:val="none"/>
        </w:rPr>
        <w:t>（二）不同供应商委托同一单位或者个人办理磋商事宜；</w:t>
      </w:r>
    </w:p>
    <w:p>
      <w:pPr>
        <w:tabs>
          <w:tab w:val="left" w:pos="1134"/>
        </w:tabs>
        <w:spacing w:line="600" w:lineRule="exact"/>
        <w:ind w:firstLine="537" w:firstLineChars="192"/>
        <w:rPr>
          <w:rFonts w:ascii="宋体" w:hAnsi="宋体"/>
          <w:color w:val="auto"/>
          <w:sz w:val="28"/>
          <w:szCs w:val="28"/>
          <w:highlight w:val="none"/>
        </w:rPr>
      </w:pPr>
      <w:r>
        <w:rPr>
          <w:rFonts w:hint="eastAsia" w:ascii="宋体" w:hAnsi="宋体"/>
          <w:color w:val="auto"/>
          <w:sz w:val="28"/>
          <w:szCs w:val="28"/>
          <w:highlight w:val="none"/>
        </w:rPr>
        <w:t>（三）不同供应商的施工响应文件载明的项目管理成员或者联系人员为同一人；</w:t>
      </w:r>
    </w:p>
    <w:p>
      <w:pPr>
        <w:tabs>
          <w:tab w:val="left" w:pos="1134"/>
        </w:tabs>
        <w:spacing w:line="600" w:lineRule="exact"/>
        <w:ind w:left="538"/>
        <w:rPr>
          <w:rFonts w:ascii="宋体" w:hAnsi="宋体"/>
          <w:color w:val="auto"/>
          <w:sz w:val="28"/>
          <w:szCs w:val="28"/>
          <w:highlight w:val="none"/>
        </w:rPr>
      </w:pPr>
      <w:r>
        <w:rPr>
          <w:rFonts w:hint="eastAsia" w:ascii="宋体" w:hAnsi="宋体"/>
          <w:color w:val="auto"/>
          <w:sz w:val="28"/>
          <w:szCs w:val="28"/>
          <w:highlight w:val="none"/>
        </w:rPr>
        <w:t>（四）不同供应商的施工响应文件异常一致或者最后报价呈规律性差异；</w:t>
      </w:r>
    </w:p>
    <w:p>
      <w:pPr>
        <w:tabs>
          <w:tab w:val="left" w:pos="1134"/>
        </w:tabs>
        <w:spacing w:line="600" w:lineRule="exact"/>
        <w:ind w:left="538"/>
        <w:rPr>
          <w:rFonts w:ascii="宋体" w:hAnsi="宋体"/>
          <w:color w:val="auto"/>
          <w:sz w:val="28"/>
          <w:szCs w:val="28"/>
          <w:highlight w:val="none"/>
        </w:rPr>
      </w:pPr>
      <w:r>
        <w:rPr>
          <w:rFonts w:hint="eastAsia" w:ascii="宋体" w:hAnsi="宋体"/>
          <w:color w:val="auto"/>
          <w:sz w:val="28"/>
          <w:szCs w:val="28"/>
          <w:highlight w:val="none"/>
        </w:rPr>
        <w:t>（五）不同供应商的施工响应文件相互混装；</w:t>
      </w:r>
    </w:p>
    <w:p>
      <w:pPr>
        <w:tabs>
          <w:tab w:val="left" w:pos="1134"/>
        </w:tabs>
        <w:spacing w:line="600" w:lineRule="exact"/>
        <w:ind w:left="538"/>
        <w:rPr>
          <w:rFonts w:ascii="宋体" w:hAnsi="宋体"/>
          <w:color w:val="auto"/>
          <w:sz w:val="28"/>
          <w:szCs w:val="28"/>
          <w:highlight w:val="none"/>
        </w:rPr>
      </w:pPr>
      <w:r>
        <w:rPr>
          <w:rFonts w:hint="eastAsia" w:ascii="宋体" w:hAnsi="宋体"/>
          <w:color w:val="auto"/>
          <w:sz w:val="28"/>
          <w:szCs w:val="28"/>
          <w:highlight w:val="none"/>
        </w:rPr>
        <w:t>（六）不同供应商的磋商保证金从同一单位或者个人的账户转出；</w:t>
      </w:r>
      <w:r>
        <w:rPr>
          <w:rFonts w:ascii="宋体" w:hAnsi="宋体"/>
          <w:color w:val="auto"/>
          <w:sz w:val="28"/>
          <w:szCs w:val="28"/>
          <w:highlight w:val="none"/>
        </w:rPr>
        <w:t xml:space="preserve"> </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提供虚假材料谋取成交；</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采取不正当手段诋毁、排挤其他供应商；</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与采购人或</w:t>
      </w:r>
      <w:r>
        <w:rPr>
          <w:rFonts w:hint="eastAsia" w:ascii="宋体" w:hAnsi="宋体" w:cs="宋体"/>
          <w:color w:val="auto"/>
          <w:sz w:val="28"/>
          <w:szCs w:val="28"/>
          <w:highlight w:val="none"/>
        </w:rPr>
        <w:t>高新区采购中心</w:t>
      </w:r>
      <w:r>
        <w:rPr>
          <w:rFonts w:hint="eastAsia" w:ascii="宋体" w:hAnsi="宋体"/>
          <w:color w:val="auto"/>
          <w:sz w:val="28"/>
          <w:szCs w:val="28"/>
          <w:highlight w:val="none"/>
        </w:rPr>
        <w:t>、其他供应商恶意串通；</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向采购人或</w:t>
      </w:r>
      <w:r>
        <w:rPr>
          <w:rFonts w:hint="eastAsia" w:ascii="宋体" w:hAnsi="宋体" w:cs="宋体"/>
          <w:color w:val="auto"/>
          <w:sz w:val="28"/>
          <w:szCs w:val="28"/>
          <w:highlight w:val="none"/>
        </w:rPr>
        <w:t>高新区采购中心</w:t>
      </w:r>
      <w:r>
        <w:rPr>
          <w:rFonts w:hint="eastAsia" w:ascii="宋体" w:hAnsi="宋体"/>
          <w:color w:val="auto"/>
          <w:sz w:val="28"/>
          <w:szCs w:val="28"/>
          <w:highlight w:val="none"/>
        </w:rPr>
        <w:t>、磋商小组成员行贿或者提供其他不正当利益；</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成交后无正当理由拒不与采购人签订政府采购合同；</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未按照采购文件确定的事项签订政府采购合同；</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将政府采购合同转包或者违规分包；</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提供假冒伪劣产品；</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擅自变更、中止或者终止政府采购合同；</w:t>
      </w:r>
    </w:p>
    <w:p>
      <w:pPr>
        <w:widowControl w:val="0"/>
        <w:numPr>
          <w:ilvl w:val="1"/>
          <w:numId w:val="30"/>
        </w:numPr>
        <w:tabs>
          <w:tab w:val="left" w:pos="1418"/>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被列入失信被执行人、重大税收违法案件当事人名单、政府采购严重违法失信行为记录名单，参加政府采购活动前三年内，在经营活动中有重大违法记录；</w:t>
      </w:r>
    </w:p>
    <w:p>
      <w:pPr>
        <w:widowControl w:val="0"/>
        <w:numPr>
          <w:ilvl w:val="1"/>
          <w:numId w:val="30"/>
        </w:numPr>
        <w:tabs>
          <w:tab w:val="left" w:pos="1134"/>
          <w:tab w:val="left" w:pos="1418"/>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在行贿犯罪信息查询期限内，根据中国裁判文书网（http://wenshu.court.gov.cn）查询结果供应商及其现任法定代表人、主要负责人有行贿犯罪记录；</w:t>
      </w:r>
    </w:p>
    <w:p>
      <w:pPr>
        <w:widowControl w:val="0"/>
        <w:numPr>
          <w:ilvl w:val="1"/>
          <w:numId w:val="30"/>
        </w:numPr>
        <w:tabs>
          <w:tab w:val="left" w:pos="1134"/>
          <w:tab w:val="left" w:pos="1418"/>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处于被行政部门禁止参与政府采购活动的期限内；</w:t>
      </w:r>
    </w:p>
    <w:p>
      <w:pPr>
        <w:widowControl w:val="0"/>
        <w:numPr>
          <w:ilvl w:val="1"/>
          <w:numId w:val="30"/>
        </w:numPr>
        <w:tabs>
          <w:tab w:val="left" w:pos="1134"/>
          <w:tab w:val="left" w:pos="1418"/>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拒绝有关部门的监督检查或者向监督检查部门提供虚假情况；</w:t>
      </w:r>
    </w:p>
    <w:p>
      <w:pPr>
        <w:widowControl w:val="0"/>
        <w:numPr>
          <w:ilvl w:val="1"/>
          <w:numId w:val="30"/>
        </w:numPr>
        <w:tabs>
          <w:tab w:val="left" w:pos="1134"/>
          <w:tab w:val="left" w:pos="1418"/>
        </w:tabs>
        <w:spacing w:line="600" w:lineRule="exact"/>
        <w:ind w:left="0" w:firstLine="567"/>
        <w:jc w:val="both"/>
        <w:rPr>
          <w:rFonts w:ascii="宋体" w:hAnsi="宋体"/>
          <w:color w:val="auto"/>
          <w:sz w:val="28"/>
          <w:szCs w:val="28"/>
          <w:highlight w:val="none"/>
        </w:rPr>
      </w:pPr>
      <w:r>
        <w:rPr>
          <w:rFonts w:hint="eastAsia" w:ascii="宋体" w:hAnsi="宋体"/>
          <w:color w:val="auto"/>
          <w:sz w:val="28"/>
          <w:szCs w:val="28"/>
          <w:highlight w:val="none"/>
        </w:rPr>
        <w:t>法律法规规定的其他情形。</w:t>
      </w:r>
    </w:p>
    <w:p>
      <w:pPr>
        <w:pStyle w:val="14"/>
        <w:spacing w:line="600" w:lineRule="exact"/>
        <w:ind w:firstLine="565" w:firstLineChars="202"/>
        <w:rPr>
          <w:rFonts w:ascii="宋体" w:hAnsi="宋体" w:eastAsia="宋体"/>
          <w:color w:val="auto"/>
          <w:sz w:val="28"/>
          <w:szCs w:val="28"/>
          <w:highlight w:val="none"/>
        </w:rPr>
      </w:pPr>
      <w:r>
        <w:rPr>
          <w:rFonts w:hint="eastAsia" w:ascii="宋体" w:hAnsi="宋体" w:eastAsia="宋体"/>
          <w:color w:val="auto"/>
          <w:sz w:val="28"/>
          <w:szCs w:val="28"/>
          <w:highlight w:val="none"/>
        </w:rPr>
        <w:t>供应商有上述情形的，按照规定追究法律责任，具备一至十四条情形之一的，同时将认定供应商施工响应文件无效或不确定其为成交供应商，或者取消成交资格或认定成交无效。</w:t>
      </w:r>
    </w:p>
    <w:p>
      <w:pPr>
        <w:pStyle w:val="6"/>
        <w:spacing w:line="600" w:lineRule="exact"/>
        <w:ind w:left="0" w:firstLine="0"/>
        <w:rPr>
          <w:color w:val="auto"/>
          <w:highlight w:val="none"/>
        </w:rPr>
      </w:pPr>
      <w:bookmarkStart w:id="71" w:name="_Toc314574786"/>
      <w:r>
        <w:rPr>
          <w:rFonts w:hint="eastAsia"/>
          <w:color w:val="auto"/>
          <w:highlight w:val="none"/>
        </w:rPr>
        <w:t>保密</w:t>
      </w:r>
      <w:bookmarkEnd w:id="71"/>
    </w:p>
    <w:p>
      <w:pPr>
        <w:pStyle w:val="14"/>
        <w:numPr>
          <w:ilvl w:val="0"/>
          <w:numId w:val="31"/>
        </w:numPr>
        <w:tabs>
          <w:tab w:val="left" w:pos="1134"/>
        </w:tabs>
        <w:spacing w:line="600" w:lineRule="exact"/>
        <w:ind w:left="0" w:firstLine="560"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不得透露有关潜在供应商的任何情况。</w:t>
      </w:r>
    </w:p>
    <w:p>
      <w:pPr>
        <w:pStyle w:val="14"/>
        <w:numPr>
          <w:ilvl w:val="0"/>
          <w:numId w:val="31"/>
        </w:numPr>
        <w:tabs>
          <w:tab w:val="left" w:pos="1134"/>
        </w:tabs>
        <w:spacing w:line="600" w:lineRule="exact"/>
        <w:ind w:left="0" w:firstLine="560"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有关施工响应文件的审查、澄清、评估和比较以及合同授予意向等情况都不得对外透露。</w:t>
      </w:r>
    </w:p>
    <w:p>
      <w:pPr>
        <w:pStyle w:val="6"/>
        <w:spacing w:line="600" w:lineRule="exact"/>
        <w:ind w:left="0" w:firstLine="0"/>
        <w:rPr>
          <w:color w:val="auto"/>
          <w:highlight w:val="none"/>
        </w:rPr>
      </w:pPr>
      <w:r>
        <w:rPr>
          <w:rFonts w:hint="eastAsia"/>
          <w:color w:val="auto"/>
          <w:highlight w:val="none"/>
        </w:rPr>
        <w:t>回避</w:t>
      </w:r>
    </w:p>
    <w:p>
      <w:pPr>
        <w:pStyle w:val="42"/>
        <w:shd w:val="clear" w:color="auto" w:fill="FFFFFF"/>
        <w:spacing w:before="156" w:beforeAutospacing="0" w:after="156" w:afterAutospacing="0" w:line="600" w:lineRule="exact"/>
        <w:ind w:firstLine="565" w:firstLineChars="202"/>
        <w:jc w:val="both"/>
        <w:rPr>
          <w:rFonts w:cs="Helvetica"/>
          <w:color w:val="auto"/>
          <w:sz w:val="28"/>
          <w:szCs w:val="28"/>
          <w:highlight w:val="none"/>
        </w:rPr>
      </w:pPr>
      <w:r>
        <w:rPr>
          <w:rFonts w:cs="Helvetica"/>
          <w:color w:val="auto"/>
          <w:sz w:val="28"/>
          <w:szCs w:val="28"/>
          <w:highlight w:val="none"/>
        </w:rPr>
        <w:t>在政府采购活动中，采购人员</w:t>
      </w:r>
      <w:r>
        <w:rPr>
          <w:rFonts w:hint="eastAsia" w:cs="Helvetica"/>
          <w:color w:val="auto"/>
          <w:sz w:val="28"/>
          <w:szCs w:val="28"/>
          <w:highlight w:val="none"/>
        </w:rPr>
        <w:t>（</w:t>
      </w:r>
      <w:r>
        <w:rPr>
          <w:color w:val="auto"/>
          <w:sz w:val="28"/>
          <w:szCs w:val="28"/>
          <w:highlight w:val="none"/>
        </w:rPr>
        <w:t>在政府采购活动中需要依法回避的采购人员包括采购人内部负责采购项目的具体经办工作人员和直接分管采购项目的负责人，以及采购代理机构负责采购项目的具体经办工作人员和直接分管采购活动的负责人</w:t>
      </w:r>
      <w:r>
        <w:rPr>
          <w:rFonts w:hint="eastAsia" w:cs="Helvetica"/>
          <w:color w:val="auto"/>
          <w:sz w:val="28"/>
          <w:szCs w:val="28"/>
          <w:highlight w:val="none"/>
        </w:rPr>
        <w:t>）</w:t>
      </w:r>
      <w:r>
        <w:rPr>
          <w:rFonts w:cs="Helvetica"/>
          <w:color w:val="auto"/>
          <w:sz w:val="28"/>
          <w:szCs w:val="28"/>
          <w:highlight w:val="none"/>
        </w:rPr>
        <w:t>及相关人员与供应商有下列利害关系之一的，应当回避：</w:t>
      </w:r>
    </w:p>
    <w:p>
      <w:pPr>
        <w:pStyle w:val="42"/>
        <w:shd w:val="clear" w:color="auto" w:fill="FFFFFF"/>
        <w:spacing w:before="156" w:beforeAutospacing="0" w:after="156" w:afterAutospacing="0" w:line="600" w:lineRule="exact"/>
        <w:ind w:firstLine="560" w:firstLineChars="200"/>
        <w:rPr>
          <w:rFonts w:cs="Helvetica"/>
          <w:color w:val="auto"/>
          <w:sz w:val="28"/>
          <w:szCs w:val="28"/>
          <w:highlight w:val="none"/>
        </w:rPr>
      </w:pPr>
      <w:r>
        <w:rPr>
          <w:rFonts w:cs="Helvetica"/>
          <w:color w:val="auto"/>
          <w:sz w:val="28"/>
          <w:szCs w:val="28"/>
          <w:highlight w:val="none"/>
        </w:rPr>
        <w:t>（一）参加采购活动前3年内与供应商存在劳动关系；</w:t>
      </w:r>
    </w:p>
    <w:p>
      <w:pPr>
        <w:pStyle w:val="42"/>
        <w:shd w:val="clear" w:color="auto" w:fill="FFFFFF"/>
        <w:spacing w:before="156" w:beforeAutospacing="0" w:after="156" w:afterAutospacing="0" w:line="600" w:lineRule="exact"/>
        <w:rPr>
          <w:rFonts w:cs="Helvetica"/>
          <w:color w:val="auto"/>
          <w:sz w:val="28"/>
          <w:szCs w:val="28"/>
          <w:highlight w:val="none"/>
        </w:rPr>
      </w:pPr>
      <w:r>
        <w:rPr>
          <w:rFonts w:cs="Helvetica"/>
          <w:color w:val="auto"/>
          <w:sz w:val="28"/>
          <w:szCs w:val="28"/>
          <w:highlight w:val="none"/>
        </w:rPr>
        <w:t>　　（二）参加采购活动前3年内担任供应商的董事、监事；</w:t>
      </w:r>
    </w:p>
    <w:p>
      <w:pPr>
        <w:pStyle w:val="42"/>
        <w:shd w:val="clear" w:color="auto" w:fill="FFFFFF"/>
        <w:spacing w:before="156" w:beforeAutospacing="0" w:after="156" w:afterAutospacing="0" w:line="600" w:lineRule="exact"/>
        <w:rPr>
          <w:rFonts w:cs="Helvetica"/>
          <w:color w:val="auto"/>
          <w:sz w:val="28"/>
          <w:szCs w:val="28"/>
          <w:highlight w:val="none"/>
        </w:rPr>
      </w:pPr>
      <w:r>
        <w:rPr>
          <w:rFonts w:cs="Helvetica"/>
          <w:color w:val="auto"/>
          <w:sz w:val="28"/>
          <w:szCs w:val="28"/>
          <w:highlight w:val="none"/>
        </w:rPr>
        <w:t>　　（三）参加采购活动前3年内是供应商的控股股东或者实际控制人；</w:t>
      </w:r>
    </w:p>
    <w:p>
      <w:pPr>
        <w:pStyle w:val="42"/>
        <w:shd w:val="clear" w:color="auto" w:fill="FFFFFF"/>
        <w:spacing w:before="156" w:beforeAutospacing="0" w:after="156" w:afterAutospacing="0" w:line="600" w:lineRule="exact"/>
        <w:rPr>
          <w:rFonts w:cs="Helvetica"/>
          <w:color w:val="auto"/>
          <w:sz w:val="28"/>
          <w:szCs w:val="28"/>
          <w:highlight w:val="none"/>
        </w:rPr>
      </w:pPr>
      <w:r>
        <w:rPr>
          <w:rFonts w:cs="Helvetica"/>
          <w:color w:val="auto"/>
          <w:sz w:val="28"/>
          <w:szCs w:val="28"/>
          <w:highlight w:val="none"/>
        </w:rPr>
        <w:t>　　（四）与供应商的法定代表人或者负责人有夫妻、直系血亲、三代以内旁系血亲或者近姻亲关系；</w:t>
      </w:r>
    </w:p>
    <w:p>
      <w:pPr>
        <w:pStyle w:val="42"/>
        <w:shd w:val="clear" w:color="auto" w:fill="FFFFFF"/>
        <w:spacing w:before="156" w:beforeAutospacing="0" w:after="156" w:afterAutospacing="0" w:line="600" w:lineRule="exact"/>
        <w:rPr>
          <w:rFonts w:cs="Helvetica"/>
          <w:color w:val="auto"/>
          <w:sz w:val="28"/>
          <w:szCs w:val="28"/>
          <w:highlight w:val="none"/>
        </w:rPr>
      </w:pPr>
      <w:r>
        <w:rPr>
          <w:rFonts w:cs="Helvetica"/>
          <w:color w:val="auto"/>
          <w:sz w:val="28"/>
          <w:szCs w:val="28"/>
          <w:highlight w:val="none"/>
        </w:rPr>
        <w:t>　　（五）与供应商有其他可能影响政府采购活动公平、公正进行的关系。</w:t>
      </w:r>
    </w:p>
    <w:p>
      <w:pPr>
        <w:spacing w:line="600" w:lineRule="exact"/>
        <w:ind w:firstLine="560" w:firstLineChars="200"/>
        <w:rPr>
          <w:rFonts w:cs="Helvetica"/>
          <w:color w:val="auto"/>
          <w:sz w:val="28"/>
          <w:szCs w:val="28"/>
          <w:highlight w:val="none"/>
        </w:rPr>
      </w:pPr>
      <w:r>
        <w:rPr>
          <w:rFonts w:cs="Helvetica"/>
          <w:color w:val="auto"/>
          <w:sz w:val="28"/>
          <w:szCs w:val="28"/>
          <w:highlight w:val="none"/>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pPr>
        <w:pStyle w:val="5"/>
        <w:spacing w:line="600" w:lineRule="exact"/>
        <w:rPr>
          <w:color w:val="auto"/>
          <w:highlight w:val="none"/>
        </w:rPr>
      </w:pPr>
      <w:bookmarkStart w:id="72" w:name="_Toc405886181"/>
      <w:bookmarkStart w:id="73" w:name="_Toc72938436"/>
      <w:bookmarkStart w:id="74" w:name="_Toc21098"/>
      <w:bookmarkStart w:id="75" w:name="_Toc1326"/>
      <w:r>
        <w:rPr>
          <w:rFonts w:hint="eastAsia"/>
          <w:color w:val="auto"/>
          <w:highlight w:val="none"/>
        </w:rPr>
        <w:t>询问、质疑</w:t>
      </w:r>
      <w:bookmarkEnd w:id="72"/>
      <w:r>
        <w:rPr>
          <w:rFonts w:hint="eastAsia"/>
          <w:color w:val="auto"/>
          <w:highlight w:val="none"/>
        </w:rPr>
        <w:t>和投诉</w:t>
      </w:r>
      <w:bookmarkEnd w:id="73"/>
      <w:bookmarkEnd w:id="74"/>
      <w:bookmarkEnd w:id="75"/>
    </w:p>
    <w:p>
      <w:pPr>
        <w:pStyle w:val="28"/>
        <w:numPr>
          <w:ilvl w:val="0"/>
          <w:numId w:val="32"/>
        </w:numPr>
        <w:tabs>
          <w:tab w:val="left" w:pos="1134"/>
        </w:tabs>
        <w:spacing w:line="600" w:lineRule="exact"/>
        <w:ind w:left="0" w:firstLine="567" w:firstLineChars="0"/>
        <w:rPr>
          <w:rFonts w:ascii="宋体" w:hAnsi="宋体" w:cs="宋体"/>
          <w:color w:val="auto"/>
          <w:sz w:val="28"/>
          <w:szCs w:val="28"/>
          <w:highlight w:val="none"/>
        </w:rPr>
      </w:pPr>
      <w:r>
        <w:rPr>
          <w:rFonts w:hint="eastAsia" w:ascii="宋体" w:hAnsi="宋体" w:cs="宋体"/>
          <w:color w:val="auto"/>
          <w:sz w:val="28"/>
          <w:szCs w:val="28"/>
          <w:highlight w:val="none"/>
        </w:rPr>
        <w:t>供应商认为磋商文件、磋商过程和成交结果使自己的合法权益受到损害的，可以依法进行质疑。</w:t>
      </w:r>
    </w:p>
    <w:p>
      <w:pPr>
        <w:pStyle w:val="80"/>
        <w:numPr>
          <w:ilvl w:val="0"/>
          <w:numId w:val="32"/>
        </w:numPr>
        <w:tabs>
          <w:tab w:val="left" w:pos="1134"/>
        </w:tabs>
        <w:ind w:left="0" w:firstLine="565" w:firstLineChars="202"/>
        <w:rPr>
          <w:rFonts w:ascii="宋体" w:hAnsi="宋体" w:eastAsia="宋体"/>
          <w:color w:val="auto"/>
          <w:sz w:val="28"/>
          <w:szCs w:val="28"/>
          <w:highlight w:val="none"/>
        </w:rPr>
      </w:pPr>
      <w:r>
        <w:rPr>
          <w:rFonts w:hint="eastAsia" w:ascii="宋体" w:hAnsi="宋体" w:eastAsia="宋体"/>
          <w:color w:val="auto"/>
          <w:sz w:val="28"/>
          <w:szCs w:val="28"/>
          <w:highlight w:val="none"/>
        </w:rPr>
        <w:t>询问、质疑、投诉的接收和处理严格按照《中华人民共和国政府采购法》《中华人民共和国政府采购法实施条例》和《政府采购质疑和投诉办法》（财政部94号令）的规定办理。</w:t>
      </w:r>
    </w:p>
    <w:p>
      <w:pPr>
        <w:pStyle w:val="28"/>
        <w:numPr>
          <w:ilvl w:val="0"/>
          <w:numId w:val="32"/>
        </w:numPr>
        <w:tabs>
          <w:tab w:val="left" w:pos="1134"/>
        </w:tabs>
        <w:spacing w:line="600" w:lineRule="exact"/>
        <w:ind w:left="0" w:firstLine="567" w:firstLineChars="0"/>
        <w:rPr>
          <w:rFonts w:ascii="宋体" w:hAnsi="宋体"/>
          <w:color w:val="auto"/>
          <w:sz w:val="28"/>
          <w:szCs w:val="28"/>
          <w:highlight w:val="none"/>
        </w:rPr>
      </w:pPr>
      <w:r>
        <w:rPr>
          <w:rFonts w:hint="eastAsia" w:ascii="宋体" w:hAnsi="宋体"/>
          <w:color w:val="auto"/>
          <w:sz w:val="28"/>
          <w:szCs w:val="28"/>
          <w:highlight w:val="none"/>
        </w:rPr>
        <w:t>供应商询问、质疑的对象</w:t>
      </w:r>
    </w:p>
    <w:p>
      <w:pPr>
        <w:pStyle w:val="28"/>
        <w:numPr>
          <w:ilvl w:val="1"/>
          <w:numId w:val="33"/>
        </w:numPr>
        <w:tabs>
          <w:tab w:val="left" w:pos="1134"/>
        </w:tabs>
        <w:spacing w:after="120" w:line="600" w:lineRule="exact"/>
        <w:ind w:left="0" w:firstLine="567" w:firstLineChars="0"/>
        <w:rPr>
          <w:rFonts w:ascii="宋体" w:hAnsi="宋体"/>
          <w:color w:val="auto"/>
          <w:sz w:val="28"/>
          <w:szCs w:val="28"/>
          <w:highlight w:val="none"/>
        </w:rPr>
      </w:pPr>
      <w:r>
        <w:rPr>
          <w:rFonts w:hint="eastAsia" w:ascii="宋体" w:hAnsi="宋体"/>
          <w:color w:val="auto"/>
          <w:sz w:val="28"/>
          <w:szCs w:val="28"/>
          <w:highlight w:val="none"/>
        </w:rPr>
        <w:t>供应商对磋商文件中供应商参加本次政府采购活动应当具备的条件、项目技术、服务、商务及其他要求，评分细则及标准提出询问或质疑的，应向采购人提出；</w:t>
      </w:r>
    </w:p>
    <w:p>
      <w:pPr>
        <w:pStyle w:val="28"/>
        <w:numPr>
          <w:ilvl w:val="1"/>
          <w:numId w:val="33"/>
        </w:numPr>
        <w:tabs>
          <w:tab w:val="left" w:pos="1134"/>
        </w:tabs>
        <w:spacing w:after="120" w:line="600" w:lineRule="exact"/>
        <w:ind w:left="0" w:firstLine="567" w:firstLineChars="0"/>
        <w:rPr>
          <w:rFonts w:ascii="宋体" w:hAnsi="宋体"/>
          <w:color w:val="auto"/>
          <w:sz w:val="28"/>
          <w:szCs w:val="28"/>
          <w:highlight w:val="none"/>
        </w:rPr>
      </w:pPr>
      <w:r>
        <w:rPr>
          <w:rFonts w:hint="eastAsia" w:ascii="宋体" w:hAnsi="宋体"/>
          <w:color w:val="auto"/>
          <w:sz w:val="28"/>
          <w:szCs w:val="28"/>
          <w:highlight w:val="none"/>
        </w:rPr>
        <w:t>供应商对除上述磋商文件中的其他内容、采购过程及成交结果提出询问、质疑的，应向</w:t>
      </w:r>
      <w:r>
        <w:rPr>
          <w:rFonts w:hint="eastAsia" w:ascii="宋体" w:hAnsi="宋体"/>
          <w:bCs/>
          <w:color w:val="auto"/>
          <w:sz w:val="28"/>
          <w:szCs w:val="28"/>
          <w:highlight w:val="none"/>
        </w:rPr>
        <w:t>高新区采购中心</w:t>
      </w:r>
      <w:r>
        <w:rPr>
          <w:rFonts w:hint="eastAsia" w:ascii="宋体" w:hAnsi="宋体"/>
          <w:color w:val="auto"/>
          <w:sz w:val="28"/>
          <w:szCs w:val="28"/>
          <w:highlight w:val="none"/>
        </w:rPr>
        <w:t>提出。</w:t>
      </w:r>
    </w:p>
    <w:p>
      <w:pPr>
        <w:pStyle w:val="28"/>
        <w:numPr>
          <w:ilvl w:val="0"/>
          <w:numId w:val="32"/>
        </w:numPr>
        <w:tabs>
          <w:tab w:val="left" w:pos="1134"/>
        </w:tabs>
        <w:spacing w:line="600" w:lineRule="exact"/>
        <w:ind w:left="0" w:firstLine="567" w:firstLineChars="0"/>
        <w:rPr>
          <w:rFonts w:ascii="宋体" w:hAnsi="宋体"/>
          <w:color w:val="auto"/>
          <w:sz w:val="28"/>
          <w:szCs w:val="28"/>
          <w:highlight w:val="none"/>
        </w:rPr>
      </w:pPr>
      <w:r>
        <w:rPr>
          <w:rFonts w:hint="eastAsia" w:ascii="宋体" w:hAnsi="宋体"/>
          <w:color w:val="auto"/>
          <w:sz w:val="28"/>
          <w:szCs w:val="28"/>
          <w:highlight w:val="none"/>
        </w:rPr>
        <w:t>供应商提出的询问，应当明确询问事项，如以书面形式提出的，应由供应商签字并加盖公章。</w:t>
      </w:r>
    </w:p>
    <w:p>
      <w:pPr>
        <w:pStyle w:val="28"/>
        <w:numPr>
          <w:ilvl w:val="0"/>
          <w:numId w:val="32"/>
        </w:numPr>
        <w:tabs>
          <w:tab w:val="left" w:pos="1134"/>
        </w:tabs>
        <w:spacing w:line="600" w:lineRule="exact"/>
        <w:ind w:left="0" w:firstLine="567" w:firstLineChars="0"/>
        <w:rPr>
          <w:rFonts w:ascii="宋体" w:hAnsi="宋体"/>
          <w:color w:val="auto"/>
          <w:sz w:val="28"/>
          <w:szCs w:val="28"/>
          <w:highlight w:val="none"/>
        </w:rPr>
      </w:pPr>
      <w:r>
        <w:rPr>
          <w:rFonts w:hint="eastAsia" w:ascii="宋体" w:hAnsi="宋体"/>
          <w:color w:val="auto"/>
          <w:sz w:val="28"/>
          <w:szCs w:val="28"/>
          <w:highlight w:val="none"/>
        </w:rPr>
        <w:t>供应商应在法定质疑期内一次性提出针对同一采购程序环节的质疑。</w:t>
      </w:r>
    </w:p>
    <w:p>
      <w:pPr>
        <w:pStyle w:val="28"/>
        <w:numPr>
          <w:ilvl w:val="0"/>
          <w:numId w:val="32"/>
        </w:numPr>
        <w:tabs>
          <w:tab w:val="left" w:pos="1134"/>
        </w:tabs>
        <w:spacing w:line="600" w:lineRule="exact"/>
        <w:ind w:left="0" w:firstLine="567" w:firstLineChars="0"/>
        <w:rPr>
          <w:rFonts w:ascii="宋体" w:hAnsi="宋体"/>
          <w:color w:val="auto"/>
          <w:sz w:val="28"/>
          <w:szCs w:val="28"/>
          <w:highlight w:val="none"/>
        </w:rPr>
      </w:pPr>
      <w:r>
        <w:rPr>
          <w:rFonts w:hint="eastAsia" w:ascii="宋体" w:hAnsi="宋体"/>
          <w:color w:val="auto"/>
          <w:sz w:val="28"/>
          <w:szCs w:val="28"/>
          <w:highlight w:val="none"/>
        </w:rPr>
        <w:t>供应商提出质疑时应当准备的资料</w:t>
      </w:r>
    </w:p>
    <w:p>
      <w:pPr>
        <w:pStyle w:val="80"/>
        <w:widowControl w:val="0"/>
        <w:numPr>
          <w:ilvl w:val="1"/>
          <w:numId w:val="34"/>
        </w:numPr>
        <w:tabs>
          <w:tab w:val="left" w:pos="1134"/>
        </w:tabs>
        <w:spacing w:after="200" w:line="600" w:lineRule="exact"/>
        <w:ind w:left="0" w:firstLine="567" w:firstLineChars="0"/>
        <w:jc w:val="both"/>
        <w:rPr>
          <w:rFonts w:ascii="宋体" w:hAnsi="宋体" w:eastAsia="宋体"/>
          <w:color w:val="auto"/>
          <w:sz w:val="28"/>
          <w:szCs w:val="28"/>
          <w:highlight w:val="none"/>
        </w:rPr>
      </w:pPr>
      <w:r>
        <w:rPr>
          <w:rFonts w:ascii="宋体" w:hAnsi="宋体" w:eastAsia="宋体"/>
          <w:color w:val="auto"/>
          <w:sz w:val="28"/>
          <w:szCs w:val="28"/>
          <w:highlight w:val="none"/>
        </w:rPr>
        <w:t>质疑书</w:t>
      </w:r>
      <w:r>
        <w:rPr>
          <w:rFonts w:hint="eastAsia" w:ascii="宋体" w:hAnsi="宋体" w:eastAsia="宋体"/>
          <w:color w:val="auto"/>
          <w:sz w:val="28"/>
          <w:szCs w:val="28"/>
          <w:highlight w:val="none"/>
        </w:rPr>
        <w:t>1</w:t>
      </w:r>
      <w:r>
        <w:rPr>
          <w:rFonts w:ascii="宋体" w:hAnsi="宋体" w:eastAsia="宋体"/>
          <w:color w:val="auto"/>
          <w:sz w:val="28"/>
          <w:szCs w:val="28"/>
          <w:highlight w:val="none"/>
        </w:rPr>
        <w:t>份</w:t>
      </w:r>
      <w:r>
        <w:rPr>
          <w:rFonts w:hint="eastAsia" w:ascii="宋体" w:hAnsi="宋体" w:eastAsia="宋体"/>
          <w:color w:val="auto"/>
          <w:sz w:val="28"/>
          <w:szCs w:val="28"/>
          <w:highlight w:val="none"/>
        </w:rPr>
        <w:t>（加盖公章）；</w:t>
      </w:r>
    </w:p>
    <w:p>
      <w:pPr>
        <w:pStyle w:val="80"/>
        <w:widowControl w:val="0"/>
        <w:numPr>
          <w:ilvl w:val="1"/>
          <w:numId w:val="34"/>
        </w:numPr>
        <w:tabs>
          <w:tab w:val="left" w:pos="1134"/>
        </w:tabs>
        <w:spacing w:after="200" w:line="600" w:lineRule="exact"/>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委托代理人办理质疑事宜的需提供：法定代表人授权委托书1份（加盖公章）；</w:t>
      </w:r>
    </w:p>
    <w:p>
      <w:pPr>
        <w:pStyle w:val="80"/>
        <w:widowControl w:val="0"/>
        <w:numPr>
          <w:ilvl w:val="1"/>
          <w:numId w:val="34"/>
        </w:numPr>
        <w:tabs>
          <w:tab w:val="left" w:pos="1134"/>
        </w:tabs>
        <w:spacing w:after="200" w:line="600" w:lineRule="exact"/>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营业执照或法人证书复印件1份；</w:t>
      </w:r>
    </w:p>
    <w:p>
      <w:pPr>
        <w:pStyle w:val="80"/>
        <w:widowControl w:val="0"/>
        <w:numPr>
          <w:ilvl w:val="1"/>
          <w:numId w:val="34"/>
        </w:numPr>
        <w:tabs>
          <w:tab w:val="left" w:pos="1134"/>
        </w:tabs>
        <w:spacing w:after="200" w:line="600" w:lineRule="exact"/>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法定代表人身份证复印件1份；</w:t>
      </w:r>
    </w:p>
    <w:p>
      <w:pPr>
        <w:pStyle w:val="80"/>
        <w:widowControl w:val="0"/>
        <w:numPr>
          <w:ilvl w:val="1"/>
          <w:numId w:val="34"/>
        </w:numPr>
        <w:tabs>
          <w:tab w:val="left" w:pos="1134"/>
        </w:tabs>
        <w:spacing w:after="200" w:line="600" w:lineRule="exact"/>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委托代理人身份证复印件1份（委托代理人办理质疑事宜的需提供）；</w:t>
      </w:r>
    </w:p>
    <w:p>
      <w:pPr>
        <w:pStyle w:val="80"/>
        <w:widowControl w:val="0"/>
        <w:numPr>
          <w:ilvl w:val="1"/>
          <w:numId w:val="34"/>
        </w:numPr>
        <w:tabs>
          <w:tab w:val="left" w:pos="1134"/>
        </w:tabs>
        <w:spacing w:after="200" w:line="600" w:lineRule="exact"/>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针对质疑事项必要的证明材料。</w:t>
      </w:r>
    </w:p>
    <w:p>
      <w:pPr>
        <w:pStyle w:val="28"/>
        <w:numPr>
          <w:ilvl w:val="0"/>
          <w:numId w:val="32"/>
        </w:numPr>
        <w:tabs>
          <w:tab w:val="left" w:pos="1134"/>
        </w:tabs>
        <w:spacing w:line="600" w:lineRule="exact"/>
        <w:ind w:left="0" w:firstLine="567" w:firstLineChars="0"/>
        <w:rPr>
          <w:rFonts w:ascii="宋体" w:hAnsi="宋体"/>
          <w:color w:val="auto"/>
          <w:sz w:val="28"/>
          <w:szCs w:val="28"/>
          <w:highlight w:val="none"/>
        </w:rPr>
      </w:pPr>
      <w:r>
        <w:rPr>
          <w:rFonts w:hint="eastAsia" w:ascii="宋体" w:hAnsi="宋体"/>
          <w:color w:val="auto"/>
          <w:sz w:val="28"/>
          <w:szCs w:val="28"/>
          <w:highlight w:val="none"/>
        </w:rPr>
        <w:t>供应商对采购人、集中代理机构的质疑答复不满意，或者采购人、集中代理机构未在规定期限内作出答复的，供应商可以在答复期满后15个工作日内向同级财政部门提起投诉。</w:t>
      </w:r>
    </w:p>
    <w:p>
      <w:pPr>
        <w:pStyle w:val="5"/>
        <w:spacing w:line="600" w:lineRule="exact"/>
        <w:rPr>
          <w:color w:val="auto"/>
          <w:highlight w:val="none"/>
        </w:rPr>
      </w:pPr>
      <w:bookmarkStart w:id="76" w:name="_Toc376425021"/>
      <w:bookmarkEnd w:id="76"/>
      <w:bookmarkStart w:id="77" w:name="_Toc72938437"/>
      <w:bookmarkStart w:id="78" w:name="_Toc8231"/>
      <w:bookmarkStart w:id="79" w:name="_Toc17475"/>
      <w:bookmarkStart w:id="80" w:name="_Toc3363724"/>
      <w:r>
        <w:rPr>
          <w:rFonts w:hint="eastAsia"/>
          <w:color w:val="auto"/>
          <w:highlight w:val="none"/>
        </w:rPr>
        <w:t>中小企业政府采购信用融资</w:t>
      </w:r>
      <w:bookmarkEnd w:id="77"/>
      <w:bookmarkEnd w:id="78"/>
      <w:bookmarkEnd w:id="79"/>
      <w:bookmarkEnd w:id="80"/>
    </w:p>
    <w:p>
      <w:pPr>
        <w:pStyle w:val="28"/>
        <w:numPr>
          <w:ilvl w:val="0"/>
          <w:numId w:val="35"/>
        </w:numPr>
        <w:tabs>
          <w:tab w:val="left" w:pos="1134"/>
        </w:tabs>
        <w:spacing w:line="600" w:lineRule="exact"/>
        <w:ind w:left="0" w:firstLine="567" w:firstLineChars="0"/>
        <w:rPr>
          <w:rFonts w:ascii="宋体" w:hAnsi="宋体"/>
          <w:color w:val="auto"/>
          <w:sz w:val="28"/>
          <w:szCs w:val="28"/>
          <w:highlight w:val="none"/>
        </w:rPr>
      </w:pPr>
      <w:r>
        <w:rPr>
          <w:rFonts w:hint="eastAsia" w:ascii="宋体" w:hAnsi="宋体"/>
          <w:color w:val="auto"/>
          <w:sz w:val="28"/>
          <w:szCs w:val="28"/>
          <w:highlight w:val="none"/>
        </w:rPr>
        <w:t>参加本次采购活动成交的中小企业无需提供财产抵押或第三方担保，凭借政府采购合同可向融资机构申请融资。</w:t>
      </w:r>
    </w:p>
    <w:p>
      <w:pPr>
        <w:pStyle w:val="28"/>
        <w:numPr>
          <w:ilvl w:val="0"/>
          <w:numId w:val="35"/>
        </w:numPr>
        <w:tabs>
          <w:tab w:val="left" w:pos="1134"/>
        </w:tabs>
        <w:spacing w:line="600" w:lineRule="exact"/>
        <w:ind w:left="0" w:firstLine="567" w:firstLineChars="0"/>
        <w:rPr>
          <w:rFonts w:ascii="宋体" w:hAnsi="宋体"/>
          <w:color w:val="auto"/>
          <w:sz w:val="28"/>
          <w:szCs w:val="28"/>
          <w:highlight w:val="none"/>
        </w:rPr>
      </w:pPr>
      <w:r>
        <w:rPr>
          <w:rFonts w:hint="eastAsia" w:ascii="宋体" w:hAnsi="宋体" w:cs="宋体"/>
          <w:color w:val="auto"/>
          <w:sz w:val="28"/>
          <w:szCs w:val="28"/>
          <w:highlight w:val="none"/>
        </w:rPr>
        <w:t>《成都市财政局 中国人民银行成都分行营业管理部关于印发〈成都市中小企业政府采购信用融资暂行办法〉、〈成都市级支持中小企业政府采购信用融资实施方案〉的通知》（成财采[2019]17号）、《</w:t>
      </w:r>
      <w:r>
        <w:rPr>
          <w:rFonts w:hint="eastAsia" w:ascii="宋体" w:hAnsi="宋体" w:cs="宋体"/>
          <w:iCs/>
          <w:color w:val="auto"/>
          <w:sz w:val="28"/>
          <w:szCs w:val="28"/>
          <w:highlight w:val="none"/>
        </w:rPr>
        <w:t>成都高新区财政金融局</w:t>
      </w:r>
      <w:r>
        <w:rPr>
          <w:rFonts w:hint="eastAsia" w:ascii="宋体" w:hAnsi="宋体" w:cs="宋体"/>
          <w:color w:val="auto"/>
          <w:sz w:val="28"/>
          <w:szCs w:val="28"/>
          <w:highlight w:val="none"/>
        </w:rPr>
        <w:t>关于印发&lt;成都高新区支持中小企业政府采购信用融资实施方案&gt;的通知》（成高财发[2019]141号）见附件。</w:t>
      </w:r>
    </w:p>
    <w:p>
      <w:pPr>
        <w:pStyle w:val="5"/>
        <w:spacing w:line="600" w:lineRule="exact"/>
        <w:rPr>
          <w:color w:val="auto"/>
          <w:highlight w:val="none"/>
        </w:rPr>
      </w:pPr>
      <w:bookmarkStart w:id="81" w:name="_Toc72938438"/>
      <w:bookmarkStart w:id="82" w:name="_Toc32495"/>
      <w:bookmarkStart w:id="83" w:name="_Toc30795"/>
      <w:r>
        <w:rPr>
          <w:rFonts w:hint="eastAsia"/>
          <w:color w:val="auto"/>
          <w:highlight w:val="none"/>
        </w:rPr>
        <w:t>其他</w:t>
      </w:r>
      <w:bookmarkEnd w:id="81"/>
      <w:bookmarkEnd w:id="82"/>
      <w:bookmarkEnd w:id="83"/>
    </w:p>
    <w:p>
      <w:pPr>
        <w:tabs>
          <w:tab w:val="left" w:pos="1134"/>
        </w:tabs>
        <w:spacing w:line="600" w:lineRule="exact"/>
        <w:ind w:firstLine="565" w:firstLineChars="202"/>
        <w:rPr>
          <w:rFonts w:ascii="宋体" w:hAnsi="宋体"/>
          <w:color w:val="auto"/>
          <w:sz w:val="28"/>
          <w:szCs w:val="28"/>
          <w:highlight w:val="none"/>
        </w:rPr>
      </w:pPr>
      <w:r>
        <w:rPr>
          <w:rFonts w:hint="eastAsia" w:ascii="宋体" w:hAnsi="宋体" w:eastAsia="宋体" w:cs="Times New Roman"/>
          <w:color w:val="auto"/>
          <w:sz w:val="28"/>
          <w:szCs w:val="28"/>
          <w:highlight w:val="none"/>
          <w:lang w:val="zh-CN"/>
        </w:rPr>
        <w:t>（实质性要求）</w:t>
      </w:r>
      <w:r>
        <w:rPr>
          <w:rFonts w:hint="eastAsia" w:ascii="宋体" w:hAnsi="宋体"/>
          <w:color w:val="auto"/>
          <w:sz w:val="28"/>
          <w:szCs w:val="28"/>
          <w:highlight w:val="none"/>
        </w:rPr>
        <w:t>国家或行业主管部门对工程项目的技术标准、质量标准等有强制性规定的，必须符合其要求。</w:t>
      </w:r>
    </w:p>
    <w:p>
      <w:pPr>
        <w:rPr>
          <w:color w:val="auto"/>
          <w:highlight w:val="none"/>
        </w:rPr>
      </w:pPr>
    </w:p>
    <w:p>
      <w:pPr>
        <w:pStyle w:val="2"/>
        <w:rPr>
          <w:color w:val="auto"/>
          <w:highlight w:val="none"/>
        </w:rPr>
      </w:pPr>
    </w:p>
    <w:p>
      <w:pPr>
        <w:rPr>
          <w:color w:val="auto"/>
          <w:highlight w:val="none"/>
        </w:rPr>
        <w:sectPr>
          <w:pgSz w:w="11906" w:h="16838"/>
          <w:pgMar w:top="1134" w:right="1274" w:bottom="1440" w:left="1418" w:header="851" w:footer="992" w:gutter="0"/>
          <w:cols w:space="720" w:num="1"/>
          <w:titlePg/>
          <w:docGrid w:type="lines" w:linePitch="312" w:charSpace="0"/>
        </w:sectPr>
      </w:pPr>
    </w:p>
    <w:p>
      <w:pPr>
        <w:pStyle w:val="4"/>
        <w:numPr>
          <w:ilvl w:val="0"/>
          <w:numId w:val="1"/>
        </w:numPr>
        <w:spacing w:before="0" w:after="0"/>
        <w:ind w:left="0" w:firstLine="0"/>
        <w:rPr>
          <w:color w:val="auto"/>
          <w:highlight w:val="none"/>
        </w:rPr>
      </w:pPr>
      <w:bookmarkStart w:id="84" w:name="_Toc16373"/>
      <w:bookmarkStart w:id="85" w:name="_Toc72938439"/>
      <w:bookmarkStart w:id="86" w:name="_Toc1903"/>
      <w:r>
        <w:rPr>
          <w:rFonts w:hint="eastAsia"/>
          <w:color w:val="auto"/>
          <w:highlight w:val="none"/>
        </w:rPr>
        <w:t>施工响应文件格式</w:t>
      </w:r>
      <w:bookmarkEnd w:id="84"/>
      <w:bookmarkEnd w:id="85"/>
      <w:bookmarkEnd w:id="86"/>
    </w:p>
    <w:p>
      <w:pPr>
        <w:pStyle w:val="5"/>
        <w:rPr>
          <w:color w:val="auto"/>
          <w:highlight w:val="none"/>
        </w:rPr>
      </w:pPr>
      <w:bookmarkStart w:id="87" w:name="_Toc24436"/>
      <w:bookmarkStart w:id="88" w:name="_Toc16510"/>
      <w:bookmarkStart w:id="89" w:name="_Toc72938440"/>
      <w:bookmarkStart w:id="90" w:name="_Toc448403805"/>
      <w:bookmarkStart w:id="91" w:name="_Toc320698765"/>
      <w:r>
        <w:rPr>
          <w:rFonts w:hint="eastAsia"/>
          <w:color w:val="auto"/>
          <w:highlight w:val="none"/>
        </w:rPr>
        <w:t>施工响应文件格式</w:t>
      </w:r>
      <w:bookmarkEnd w:id="87"/>
      <w:bookmarkEnd w:id="88"/>
      <w:bookmarkEnd w:id="89"/>
    </w:p>
    <w:p>
      <w:pPr>
        <w:pStyle w:val="6"/>
        <w:tabs>
          <w:tab w:val="left" w:pos="709"/>
        </w:tabs>
        <w:ind w:left="1135" w:hanging="1135"/>
        <w:jc w:val="left"/>
        <w:rPr>
          <w:color w:val="auto"/>
          <w:highlight w:val="none"/>
        </w:rPr>
      </w:pPr>
      <w:r>
        <w:rPr>
          <w:rFonts w:hint="eastAsia"/>
          <w:color w:val="auto"/>
          <w:highlight w:val="none"/>
        </w:rPr>
        <w:t>施工响应文件封面格式</w:t>
      </w:r>
      <w:bookmarkEnd w:id="90"/>
    </w:p>
    <w:p>
      <w:pPr>
        <w:rPr>
          <w:color w:val="auto"/>
          <w:highlight w:val="none"/>
        </w:rPr>
      </w:pPr>
    </w:p>
    <w:p>
      <w:pPr>
        <w:rPr>
          <w:color w:val="auto"/>
          <w:highlight w:val="none"/>
        </w:rPr>
      </w:pPr>
    </w:p>
    <w:p>
      <w:pPr>
        <w:rPr>
          <w:color w:val="auto"/>
          <w:highlight w:val="none"/>
        </w:rPr>
      </w:pPr>
    </w:p>
    <w:p>
      <w:pPr>
        <w:rPr>
          <w:color w:val="auto"/>
          <w:highlight w:val="none"/>
        </w:rPr>
      </w:pPr>
    </w:p>
    <w:p>
      <w:pPr>
        <w:spacing w:line="360" w:lineRule="auto"/>
        <w:jc w:val="center"/>
        <w:rPr>
          <w:rFonts w:ascii="宋体" w:hAnsi="宋体"/>
          <w:color w:val="auto"/>
          <w:spacing w:val="78"/>
          <w:sz w:val="96"/>
          <w:szCs w:val="120"/>
          <w:highlight w:val="none"/>
        </w:rPr>
      </w:pPr>
      <w:r>
        <w:rPr>
          <w:rFonts w:hint="eastAsia" w:ascii="宋体" w:hAnsi="宋体"/>
          <w:color w:val="auto"/>
          <w:spacing w:val="78"/>
          <w:sz w:val="96"/>
          <w:szCs w:val="120"/>
          <w:highlight w:val="none"/>
        </w:rPr>
        <w:t>施工响应文件</w:t>
      </w:r>
    </w:p>
    <w:p>
      <w:pPr>
        <w:rPr>
          <w:color w:val="auto"/>
          <w:highlight w:val="none"/>
        </w:rPr>
      </w:pPr>
    </w:p>
    <w:p>
      <w:pPr>
        <w:rPr>
          <w:color w:val="auto"/>
          <w:highlight w:val="none"/>
        </w:rPr>
      </w:pPr>
    </w:p>
    <w:p>
      <w:pPr>
        <w:rPr>
          <w:color w:val="auto"/>
          <w:highlight w:val="none"/>
        </w:rPr>
      </w:pPr>
    </w:p>
    <w:p>
      <w:pPr>
        <w:spacing w:line="360" w:lineRule="auto"/>
        <w:jc w:val="center"/>
        <w:rPr>
          <w:rFonts w:ascii="宋体" w:hAnsi="宋体"/>
          <w:bCs/>
          <w:color w:val="auto"/>
          <w:sz w:val="36"/>
          <w:highlight w:val="none"/>
        </w:rPr>
      </w:pPr>
    </w:p>
    <w:p>
      <w:pPr>
        <w:spacing w:line="360" w:lineRule="auto"/>
        <w:jc w:val="center"/>
        <w:rPr>
          <w:rFonts w:ascii="宋体" w:hAnsi="宋体"/>
          <w:bCs/>
          <w:color w:val="auto"/>
          <w:sz w:val="36"/>
          <w:highlight w:val="none"/>
        </w:rPr>
      </w:pPr>
    </w:p>
    <w:p>
      <w:pPr>
        <w:spacing w:line="360" w:lineRule="auto"/>
        <w:jc w:val="center"/>
        <w:rPr>
          <w:rFonts w:ascii="宋体" w:hAnsi="宋体"/>
          <w:bCs/>
          <w:color w:val="auto"/>
          <w:sz w:val="36"/>
          <w:highlight w:val="none"/>
        </w:rPr>
      </w:pPr>
    </w:p>
    <w:p>
      <w:pPr>
        <w:spacing w:line="360" w:lineRule="auto"/>
        <w:ind w:left="1751" w:hanging="1751" w:hangingChars="545"/>
        <w:rPr>
          <w:rFonts w:ascii="宋体" w:hAnsi="宋体"/>
          <w:b/>
          <w:bCs/>
          <w:color w:val="auto"/>
          <w:sz w:val="32"/>
          <w:szCs w:val="32"/>
          <w:highlight w:val="none"/>
        </w:rPr>
      </w:pPr>
      <w:r>
        <w:rPr>
          <w:rFonts w:hint="eastAsia" w:ascii="宋体" w:hAnsi="宋体"/>
          <w:b/>
          <w:bCs/>
          <w:color w:val="auto"/>
          <w:sz w:val="32"/>
          <w:szCs w:val="32"/>
          <w:highlight w:val="none"/>
        </w:rPr>
        <w:t>项目名称：</w:t>
      </w:r>
      <w:r>
        <w:rPr>
          <w:rFonts w:hint="eastAsia" w:ascii="宋体" w:hAnsi="宋体"/>
          <w:b/>
          <w:bCs/>
          <w:color w:val="auto"/>
          <w:sz w:val="32"/>
          <w:szCs w:val="32"/>
          <w:highlight w:val="none"/>
          <w:lang w:eastAsia="zh-CN"/>
        </w:rPr>
        <w:t>成都高新区合作街道办事处</w:t>
      </w:r>
      <w:r>
        <w:rPr>
          <w:rFonts w:hint="eastAsia" w:ascii="宋体" w:hAnsi="宋体"/>
          <w:b/>
          <w:bCs/>
          <w:color w:val="auto"/>
          <w:sz w:val="32"/>
          <w:szCs w:val="32"/>
          <w:highlight w:val="none"/>
        </w:rPr>
        <w:t>社区公园康养中心装修工程采购项目</w:t>
      </w:r>
    </w:p>
    <w:p>
      <w:pPr>
        <w:spacing w:line="360" w:lineRule="auto"/>
        <w:rPr>
          <w:rFonts w:hint="eastAsia" w:ascii="宋体" w:hAnsi="宋体" w:eastAsia="宋体"/>
          <w:b/>
          <w:color w:val="auto"/>
          <w:sz w:val="32"/>
          <w:szCs w:val="32"/>
          <w:highlight w:val="none"/>
          <w:u w:val="single"/>
          <w:lang w:eastAsia="zh-CN"/>
        </w:rPr>
      </w:pPr>
      <w:r>
        <w:rPr>
          <w:rFonts w:hint="eastAsia" w:ascii="宋体" w:hAnsi="宋体"/>
          <w:b/>
          <w:bCs/>
          <w:color w:val="auto"/>
          <w:sz w:val="32"/>
          <w:szCs w:val="32"/>
          <w:highlight w:val="none"/>
        </w:rPr>
        <w:t>项目编号：</w:t>
      </w:r>
      <w:r>
        <w:rPr>
          <w:rFonts w:hint="eastAsia" w:ascii="宋体" w:hAnsi="宋体"/>
          <w:b/>
          <w:bCs/>
          <w:color w:val="auto"/>
          <w:sz w:val="32"/>
          <w:szCs w:val="32"/>
          <w:highlight w:val="none"/>
          <w:lang w:eastAsia="zh-CN"/>
        </w:rPr>
        <w:t>成都高新技术产业开发区政采（2021）A0031号</w:t>
      </w:r>
    </w:p>
    <w:p>
      <w:pPr>
        <w:spacing w:line="360" w:lineRule="auto"/>
        <w:rPr>
          <w:rFonts w:ascii="宋体" w:hAnsi="宋体"/>
          <w:b/>
          <w:bCs/>
          <w:color w:val="auto"/>
          <w:sz w:val="32"/>
          <w:szCs w:val="32"/>
          <w:highlight w:val="none"/>
        </w:rPr>
      </w:pPr>
    </w:p>
    <w:p>
      <w:pPr>
        <w:spacing w:line="360" w:lineRule="auto"/>
        <w:rPr>
          <w:rFonts w:ascii="宋体" w:hAnsi="宋体"/>
          <w:b/>
          <w:bCs/>
          <w:color w:val="auto"/>
          <w:sz w:val="32"/>
          <w:szCs w:val="32"/>
          <w:highlight w:val="none"/>
        </w:rPr>
      </w:pPr>
    </w:p>
    <w:p>
      <w:pPr>
        <w:spacing w:line="360" w:lineRule="auto"/>
        <w:rPr>
          <w:rFonts w:ascii="宋体" w:hAnsi="宋体"/>
          <w:b/>
          <w:bCs/>
          <w:color w:val="auto"/>
          <w:sz w:val="32"/>
          <w:szCs w:val="32"/>
          <w:highlight w:val="none"/>
        </w:rPr>
      </w:pPr>
    </w:p>
    <w:p>
      <w:pPr>
        <w:spacing w:line="360" w:lineRule="auto"/>
        <w:ind w:firstLine="630" w:firstLineChars="196"/>
        <w:rPr>
          <w:rFonts w:ascii="宋体" w:hAnsi="宋体"/>
          <w:b/>
          <w:bCs/>
          <w:color w:val="auto"/>
          <w:sz w:val="32"/>
          <w:szCs w:val="32"/>
          <w:highlight w:val="none"/>
        </w:rPr>
      </w:pPr>
      <w:r>
        <w:rPr>
          <w:rFonts w:hint="eastAsia" w:ascii="宋体" w:hAnsi="宋体"/>
          <w:b/>
          <w:bCs/>
          <w:color w:val="auto"/>
          <w:sz w:val="32"/>
          <w:szCs w:val="32"/>
          <w:highlight w:val="none"/>
        </w:rPr>
        <w:t>供应商名称：XXXX</w:t>
      </w:r>
    </w:p>
    <w:p>
      <w:pPr>
        <w:spacing w:line="360" w:lineRule="auto"/>
        <w:ind w:firstLine="565" w:firstLineChars="176"/>
        <w:rPr>
          <w:rFonts w:ascii="宋体" w:hAnsi="宋体"/>
          <w:b/>
          <w:bCs/>
          <w:color w:val="auto"/>
          <w:sz w:val="32"/>
          <w:szCs w:val="32"/>
          <w:highlight w:val="none"/>
        </w:rPr>
      </w:pPr>
      <w:r>
        <w:rPr>
          <w:rFonts w:hint="eastAsia" w:ascii="宋体" w:hAnsi="宋体"/>
          <w:b/>
          <w:bCs/>
          <w:color w:val="auto"/>
          <w:sz w:val="32"/>
          <w:szCs w:val="32"/>
          <w:highlight w:val="none"/>
        </w:rPr>
        <w:t>日      期：202X年XX月XX日</w:t>
      </w: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pStyle w:val="6"/>
        <w:tabs>
          <w:tab w:val="left" w:pos="709"/>
        </w:tabs>
        <w:ind w:left="1135" w:hanging="1135"/>
        <w:jc w:val="left"/>
        <w:rPr>
          <w:color w:val="auto"/>
          <w:highlight w:val="none"/>
        </w:rPr>
      </w:pPr>
      <w:r>
        <w:rPr>
          <w:rFonts w:hint="eastAsia"/>
          <w:color w:val="auto"/>
          <w:highlight w:val="none"/>
        </w:rPr>
        <w:t>商务技术响应文件</w:t>
      </w:r>
    </w:p>
    <w:p>
      <w:pPr>
        <w:pStyle w:val="6"/>
        <w:numPr>
          <w:ilvl w:val="3"/>
          <w:numId w:val="1"/>
        </w:numPr>
        <w:tabs>
          <w:tab w:val="left" w:pos="709"/>
        </w:tabs>
        <w:jc w:val="left"/>
        <w:rPr>
          <w:color w:val="auto"/>
          <w:highlight w:val="none"/>
        </w:rPr>
      </w:pPr>
      <w:r>
        <w:rPr>
          <w:rFonts w:hint="eastAsia"/>
          <w:color w:val="auto"/>
          <w:highlight w:val="none"/>
        </w:rPr>
        <w:t>报价函</w:t>
      </w:r>
    </w:p>
    <w:p>
      <w:pPr>
        <w:snapToGrid w:val="0"/>
        <w:spacing w:line="360" w:lineRule="auto"/>
        <w:rPr>
          <w:rFonts w:ascii="宋体" w:hAnsi="宋体"/>
          <w:b/>
          <w:color w:val="auto"/>
          <w:sz w:val="28"/>
          <w:szCs w:val="28"/>
          <w:highlight w:val="none"/>
          <w:u w:val="single"/>
        </w:rPr>
      </w:pPr>
      <w:r>
        <w:rPr>
          <w:rFonts w:hint="eastAsia" w:ascii="宋体" w:hAnsi="宋体"/>
          <w:b/>
          <w:color w:val="auto"/>
          <w:sz w:val="28"/>
          <w:szCs w:val="28"/>
          <w:highlight w:val="none"/>
        </w:rPr>
        <w:t>项</w:t>
      </w:r>
      <w:r>
        <w:rPr>
          <w:rFonts w:hint="eastAsia" w:ascii="宋体" w:hAnsi="宋体"/>
          <w:b/>
          <w:color w:val="auto"/>
          <w:spacing w:val="-20"/>
          <w:sz w:val="28"/>
          <w:szCs w:val="28"/>
          <w:highlight w:val="none"/>
        </w:rPr>
        <w:t>目名称：</w:t>
      </w:r>
      <w:r>
        <w:rPr>
          <w:rFonts w:hint="eastAsia" w:ascii="宋体" w:hAnsi="宋体"/>
          <w:b/>
          <w:color w:val="auto"/>
          <w:sz w:val="28"/>
          <w:szCs w:val="28"/>
          <w:highlight w:val="none"/>
          <w:u w:val="single"/>
          <w:lang w:eastAsia="zh-CN"/>
        </w:rPr>
        <w:t>成都高新区合作街道办事处</w:t>
      </w:r>
      <w:r>
        <w:rPr>
          <w:rFonts w:hint="eastAsia" w:ascii="宋体" w:hAnsi="宋体"/>
          <w:b/>
          <w:color w:val="auto"/>
          <w:sz w:val="28"/>
          <w:szCs w:val="28"/>
          <w:highlight w:val="none"/>
          <w:u w:val="single"/>
        </w:rPr>
        <w:t>社区公园康养中心装修工程采购项目</w:t>
      </w:r>
    </w:p>
    <w:p>
      <w:pPr>
        <w:snapToGrid w:val="0"/>
        <w:spacing w:line="360" w:lineRule="auto"/>
        <w:rPr>
          <w:rFonts w:hint="eastAsia" w:ascii="宋体" w:hAnsi="宋体" w:eastAsia="宋体"/>
          <w:b/>
          <w:color w:val="auto"/>
          <w:sz w:val="28"/>
          <w:szCs w:val="28"/>
          <w:highlight w:val="none"/>
          <w:u w:val="single"/>
          <w:lang w:eastAsia="zh-CN"/>
        </w:rPr>
      </w:pPr>
      <w:r>
        <w:rPr>
          <w:rFonts w:hint="eastAsia" w:ascii="宋体" w:hAnsi="宋体"/>
          <w:b/>
          <w:color w:val="auto"/>
          <w:sz w:val="28"/>
          <w:szCs w:val="28"/>
          <w:highlight w:val="none"/>
        </w:rPr>
        <w:t>项目编号：</w:t>
      </w:r>
      <w:r>
        <w:rPr>
          <w:rFonts w:hint="eastAsia" w:ascii="宋体" w:hAnsi="宋体"/>
          <w:b/>
          <w:color w:val="auto"/>
          <w:sz w:val="28"/>
          <w:szCs w:val="28"/>
          <w:highlight w:val="none"/>
          <w:u w:val="single"/>
          <w:lang w:eastAsia="zh-CN"/>
        </w:rPr>
        <w:t>成都高新技术产业开发区政采（2021）A0031号</w:t>
      </w:r>
    </w:p>
    <w:p>
      <w:pPr>
        <w:spacing w:line="588" w:lineRule="exact"/>
        <w:rPr>
          <w:rFonts w:ascii="宋体" w:hAnsi="宋体"/>
          <w:color w:val="auto"/>
          <w:spacing w:val="6"/>
          <w:sz w:val="28"/>
          <w:szCs w:val="28"/>
          <w:highlight w:val="none"/>
        </w:rPr>
      </w:pPr>
      <w:r>
        <w:rPr>
          <w:rFonts w:hint="eastAsia" w:ascii="宋体" w:hAnsi="宋体"/>
          <w:color w:val="auto"/>
          <w:sz w:val="28"/>
          <w:szCs w:val="28"/>
          <w:highlight w:val="none"/>
        </w:rPr>
        <w:t>成都高新区政府采购服务中心</w:t>
      </w:r>
      <w:r>
        <w:rPr>
          <w:rFonts w:ascii="宋体" w:hAnsi="宋体"/>
          <w:color w:val="auto"/>
          <w:spacing w:val="6"/>
          <w:sz w:val="28"/>
          <w:szCs w:val="28"/>
          <w:highlight w:val="none"/>
        </w:rPr>
        <w:t xml:space="preserve">: </w:t>
      </w:r>
    </w:p>
    <w:p>
      <w:pPr>
        <w:spacing w:line="588" w:lineRule="exact"/>
        <w:ind w:firstLine="560" w:firstLineChars="200"/>
        <w:rPr>
          <w:rFonts w:ascii="宋体" w:hAnsi="宋体"/>
          <w:color w:val="auto"/>
          <w:spacing w:val="6"/>
          <w:sz w:val="28"/>
          <w:szCs w:val="28"/>
          <w:highlight w:val="none"/>
        </w:rPr>
      </w:pPr>
      <w:r>
        <w:rPr>
          <w:rFonts w:hint="eastAsia" w:ascii="宋体" w:hAnsi="宋体"/>
          <w:bCs/>
          <w:color w:val="auto"/>
          <w:sz w:val="28"/>
          <w:szCs w:val="28"/>
          <w:highlight w:val="none"/>
        </w:rPr>
        <w:t>我方全面研究了</w:t>
      </w:r>
      <w:r>
        <w:rPr>
          <w:rFonts w:hint="eastAsia" w:ascii="宋体" w:hAnsi="宋体"/>
          <w:bCs/>
          <w:color w:val="auto"/>
          <w:sz w:val="28"/>
          <w:szCs w:val="28"/>
          <w:highlight w:val="none"/>
          <w:u w:val="single"/>
        </w:rPr>
        <w:t>“</w:t>
      </w:r>
      <w:r>
        <w:rPr>
          <w:rFonts w:hint="eastAsia" w:ascii="宋体" w:hAnsi="宋体"/>
          <w:b/>
          <w:color w:val="auto"/>
          <w:sz w:val="28"/>
          <w:szCs w:val="28"/>
          <w:highlight w:val="none"/>
          <w:u w:val="single"/>
          <w:lang w:eastAsia="zh-CN"/>
        </w:rPr>
        <w:t>成都高新区合作街道办事处</w:t>
      </w:r>
      <w:r>
        <w:rPr>
          <w:rFonts w:hint="eastAsia" w:ascii="宋体" w:hAnsi="宋体"/>
          <w:b/>
          <w:color w:val="auto"/>
          <w:sz w:val="28"/>
          <w:szCs w:val="28"/>
          <w:highlight w:val="none"/>
          <w:u w:val="single"/>
        </w:rPr>
        <w:t>社区公园康养中心装修工程采购项目</w:t>
      </w:r>
      <w:r>
        <w:rPr>
          <w:rFonts w:hint="eastAsia" w:ascii="宋体" w:hAnsi="宋体"/>
          <w:b/>
          <w:bCs/>
          <w:color w:val="auto"/>
          <w:sz w:val="28"/>
          <w:szCs w:val="28"/>
          <w:highlight w:val="none"/>
          <w:u w:val="single"/>
        </w:rPr>
        <w:t>”（项目编号：</w:t>
      </w:r>
      <w:r>
        <w:rPr>
          <w:rFonts w:hint="eastAsia" w:ascii="宋体" w:hAnsi="宋体"/>
          <w:b/>
          <w:color w:val="auto"/>
          <w:sz w:val="28"/>
          <w:szCs w:val="28"/>
          <w:highlight w:val="none"/>
          <w:u w:val="single"/>
          <w:lang w:eastAsia="zh-CN"/>
        </w:rPr>
        <w:t>成都高新技术产业开发区政采（2021）A0031号</w:t>
      </w:r>
      <w:r>
        <w:rPr>
          <w:rFonts w:hint="eastAsia" w:ascii="宋体" w:hAnsi="宋体"/>
          <w:b/>
          <w:bCs/>
          <w:color w:val="auto"/>
          <w:sz w:val="28"/>
          <w:szCs w:val="28"/>
          <w:highlight w:val="none"/>
          <w:u w:val="single"/>
        </w:rPr>
        <w:t>）</w:t>
      </w:r>
      <w:r>
        <w:rPr>
          <w:rFonts w:hint="eastAsia" w:ascii="宋体" w:hAnsi="宋体"/>
          <w:bCs/>
          <w:color w:val="auto"/>
          <w:sz w:val="28"/>
          <w:szCs w:val="28"/>
          <w:highlight w:val="none"/>
        </w:rPr>
        <w:t>的磋商文件，决定参加贵单位组织的本项目的磋商。我方授权</w:t>
      </w:r>
      <w:r>
        <w:rPr>
          <w:rFonts w:ascii="宋体" w:hAnsi="宋体"/>
          <w:bCs/>
          <w:color w:val="auto"/>
          <w:sz w:val="28"/>
          <w:szCs w:val="28"/>
          <w:highlight w:val="none"/>
          <w:u w:val="single"/>
        </w:rPr>
        <w:t>XXX（姓名、职务）</w:t>
      </w:r>
      <w:r>
        <w:rPr>
          <w:rFonts w:hint="eastAsia" w:ascii="宋体" w:hAnsi="宋体"/>
          <w:bCs/>
          <w:color w:val="auto"/>
          <w:sz w:val="28"/>
          <w:szCs w:val="28"/>
          <w:highlight w:val="none"/>
        </w:rPr>
        <w:t>代表我方</w:t>
      </w:r>
      <w:r>
        <w:rPr>
          <w:rFonts w:ascii="宋体" w:hAnsi="宋体"/>
          <w:bCs/>
          <w:color w:val="auto"/>
          <w:sz w:val="28"/>
          <w:szCs w:val="28"/>
          <w:highlight w:val="none"/>
          <w:u w:val="single"/>
        </w:rPr>
        <w:t>XXXXXXX（</w:t>
      </w:r>
      <w:r>
        <w:rPr>
          <w:rFonts w:hint="eastAsia" w:ascii="宋体" w:hAnsi="宋体"/>
          <w:bCs/>
          <w:color w:val="auto"/>
          <w:sz w:val="28"/>
          <w:szCs w:val="28"/>
          <w:highlight w:val="none"/>
          <w:u w:val="single"/>
        </w:rPr>
        <w:t>供应商名称）</w:t>
      </w:r>
      <w:r>
        <w:rPr>
          <w:rFonts w:hint="eastAsia" w:ascii="宋体" w:hAnsi="宋体"/>
          <w:bCs/>
          <w:color w:val="auto"/>
          <w:sz w:val="28"/>
          <w:szCs w:val="28"/>
          <w:highlight w:val="none"/>
        </w:rPr>
        <w:t>全权处理本项目</w:t>
      </w:r>
      <w:r>
        <w:rPr>
          <w:rFonts w:hint="eastAsia" w:ascii="宋体" w:hAnsi="宋体"/>
          <w:color w:val="auto"/>
          <w:spacing w:val="6"/>
          <w:sz w:val="28"/>
          <w:szCs w:val="28"/>
          <w:highlight w:val="none"/>
        </w:rPr>
        <w:t>磋商</w:t>
      </w:r>
      <w:r>
        <w:rPr>
          <w:rFonts w:hint="eastAsia" w:ascii="宋体" w:hAnsi="宋体"/>
          <w:bCs/>
          <w:color w:val="auto"/>
          <w:sz w:val="28"/>
          <w:szCs w:val="28"/>
          <w:highlight w:val="none"/>
        </w:rPr>
        <w:t>的有关事宜。</w:t>
      </w:r>
    </w:p>
    <w:p>
      <w:pPr>
        <w:pStyle w:val="80"/>
        <w:numPr>
          <w:ilvl w:val="3"/>
          <w:numId w:val="36"/>
        </w:numPr>
        <w:tabs>
          <w:tab w:val="left" w:pos="1134"/>
        </w:tabs>
        <w:spacing w:line="588" w:lineRule="exact"/>
        <w:ind w:left="0" w:firstLine="567"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我方已知晓全部磋商文件的内容，包括修改文件（如有）以及全部相关资料和有关附件，并对上述文件均无异议，愿意以</w:t>
      </w:r>
      <w:r>
        <w:rPr>
          <w:rFonts w:hint="eastAsia" w:ascii="宋体" w:hAnsi="宋体" w:eastAsia="宋体"/>
          <w:b/>
          <w:color w:val="auto"/>
          <w:sz w:val="28"/>
          <w:szCs w:val="28"/>
          <w:highlight w:val="none"/>
        </w:rPr>
        <w:t>人民币（大写）</w:t>
      </w:r>
      <w:r>
        <w:rPr>
          <w:rFonts w:hint="eastAsia" w:ascii="宋体" w:hAnsi="宋体" w:eastAsia="宋体"/>
          <w:b/>
          <w:color w:val="auto"/>
          <w:sz w:val="28"/>
          <w:szCs w:val="28"/>
          <w:highlight w:val="none"/>
          <w:u w:val="single"/>
        </w:rPr>
        <w:t>　</w:t>
      </w:r>
      <w:r>
        <w:rPr>
          <w:rFonts w:ascii="宋体" w:hAnsi="宋体" w:eastAsia="宋体"/>
          <w:b/>
          <w:color w:val="auto"/>
          <w:sz w:val="28"/>
          <w:szCs w:val="28"/>
          <w:highlight w:val="none"/>
          <w:u w:val="single"/>
        </w:rPr>
        <w:t>XX</w:t>
      </w:r>
      <w:r>
        <w:rPr>
          <w:rFonts w:hint="eastAsia" w:ascii="宋体" w:hAnsi="宋体" w:eastAsia="宋体"/>
          <w:b/>
          <w:color w:val="auto"/>
          <w:sz w:val="28"/>
          <w:szCs w:val="28"/>
          <w:highlight w:val="none"/>
          <w:u w:val="single"/>
        </w:rPr>
        <w:t>　</w:t>
      </w:r>
      <w:r>
        <w:rPr>
          <w:rFonts w:hint="eastAsia" w:ascii="宋体" w:hAnsi="宋体" w:eastAsia="宋体"/>
          <w:b/>
          <w:color w:val="auto"/>
          <w:sz w:val="28"/>
          <w:szCs w:val="28"/>
          <w:highlight w:val="none"/>
        </w:rPr>
        <w:t>（￥）的总报价</w:t>
      </w:r>
      <w:r>
        <w:rPr>
          <w:rFonts w:hint="eastAsia" w:ascii="宋体" w:hAnsi="宋体" w:eastAsia="宋体"/>
          <w:color w:val="auto"/>
          <w:sz w:val="28"/>
          <w:szCs w:val="28"/>
          <w:highlight w:val="none"/>
        </w:rPr>
        <w:t>，</w:t>
      </w:r>
      <w:r>
        <w:rPr>
          <w:rFonts w:hint="eastAsia" w:ascii="宋体" w:hAnsi="宋体"/>
          <w:b/>
          <w:color w:val="auto"/>
          <w:sz w:val="28"/>
          <w:szCs w:val="28"/>
          <w:highlight w:val="none"/>
        </w:rPr>
        <w:t>工期XXX</w:t>
      </w:r>
      <w:r>
        <w:rPr>
          <w:rFonts w:hint="eastAsia" w:ascii="宋体" w:hAnsi="宋体"/>
          <w:b/>
          <w:color w:val="auto"/>
          <w:sz w:val="28"/>
          <w:szCs w:val="28"/>
          <w:highlight w:val="none"/>
          <w:lang w:val="en-US" w:eastAsia="zh-CN"/>
        </w:rPr>
        <w:t>日历</w:t>
      </w:r>
      <w:r>
        <w:rPr>
          <w:rFonts w:hint="eastAsia" w:ascii="宋体" w:hAnsi="宋体"/>
          <w:b/>
          <w:color w:val="auto"/>
          <w:sz w:val="28"/>
          <w:szCs w:val="28"/>
          <w:highlight w:val="none"/>
        </w:rPr>
        <w:t>天。</w:t>
      </w:r>
      <w:r>
        <w:rPr>
          <w:rFonts w:hint="eastAsia" w:ascii="宋体" w:hAnsi="宋体" w:eastAsia="宋体"/>
          <w:color w:val="auto"/>
          <w:sz w:val="28"/>
          <w:szCs w:val="28"/>
          <w:highlight w:val="none"/>
        </w:rPr>
        <w:t>按合同约定实施和完成承包工程，修补工程中的任何缺陷，工程质量达到规定要求标准。</w:t>
      </w:r>
    </w:p>
    <w:p>
      <w:pPr>
        <w:pStyle w:val="80"/>
        <w:numPr>
          <w:ilvl w:val="3"/>
          <w:numId w:val="36"/>
        </w:numPr>
        <w:tabs>
          <w:tab w:val="left" w:pos="1134"/>
        </w:tabs>
        <w:spacing w:line="588" w:lineRule="exact"/>
        <w:ind w:left="0" w:firstLine="567"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施工响应文件有效期为从递交施工响应文件截止之日起</w:t>
      </w:r>
      <w:r>
        <w:rPr>
          <w:rFonts w:ascii="宋体" w:hAnsi="宋体" w:eastAsia="宋体"/>
          <w:color w:val="auto"/>
          <w:sz w:val="28"/>
          <w:szCs w:val="28"/>
          <w:highlight w:val="none"/>
        </w:rPr>
        <w:t>120天。</w:t>
      </w:r>
      <w:r>
        <w:rPr>
          <w:rFonts w:hint="eastAsia" w:ascii="宋体" w:hAnsi="宋体" w:eastAsia="宋体"/>
          <w:color w:val="auto"/>
          <w:sz w:val="28"/>
          <w:szCs w:val="28"/>
          <w:highlight w:val="none"/>
        </w:rPr>
        <w:t>我方承诺在施工响应文件有效期天内不修改、撤销施工响应文件。</w:t>
      </w:r>
    </w:p>
    <w:p>
      <w:pPr>
        <w:pStyle w:val="80"/>
        <w:numPr>
          <w:ilvl w:val="3"/>
          <w:numId w:val="36"/>
        </w:numPr>
        <w:tabs>
          <w:tab w:val="left" w:pos="1134"/>
        </w:tabs>
        <w:spacing w:line="588" w:lineRule="exact"/>
        <w:ind w:left="0" w:firstLine="567"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我方愿意提供贵中心可能另外要求的，与本项目有关的文件资料，并保证我方已提供和将要提供的文件资料是真实、准确的，并对此承担一切法律后果。</w:t>
      </w:r>
    </w:p>
    <w:p>
      <w:pPr>
        <w:pStyle w:val="80"/>
        <w:numPr>
          <w:ilvl w:val="3"/>
          <w:numId w:val="36"/>
        </w:numPr>
        <w:tabs>
          <w:tab w:val="left" w:pos="1134"/>
        </w:tabs>
        <w:spacing w:line="588" w:lineRule="exact"/>
        <w:ind w:left="0" w:firstLine="567"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如我方成交：</w:t>
      </w:r>
    </w:p>
    <w:p>
      <w:pPr>
        <w:pStyle w:val="80"/>
        <w:numPr>
          <w:ilvl w:val="0"/>
          <w:numId w:val="37"/>
        </w:numPr>
        <w:spacing w:line="588" w:lineRule="exact"/>
        <w:ind w:left="0" w:firstLine="584" w:firstLineChars="0"/>
        <w:rPr>
          <w:rFonts w:ascii="宋体" w:hAnsi="宋体" w:eastAsia="宋体"/>
          <w:color w:val="auto"/>
          <w:spacing w:val="6"/>
          <w:sz w:val="28"/>
          <w:szCs w:val="28"/>
          <w:highlight w:val="none"/>
        </w:rPr>
      </w:pPr>
      <w:r>
        <w:rPr>
          <w:rFonts w:hint="eastAsia" w:ascii="宋体" w:hAnsi="宋体" w:eastAsia="宋体"/>
          <w:color w:val="auto"/>
          <w:spacing w:val="6"/>
          <w:sz w:val="28"/>
          <w:szCs w:val="28"/>
          <w:highlight w:val="none"/>
        </w:rPr>
        <w:t>我方承诺在收到成交通知书后，在规定的期限内与采购人签订合同。</w:t>
      </w:r>
    </w:p>
    <w:p>
      <w:pPr>
        <w:pStyle w:val="80"/>
        <w:numPr>
          <w:ilvl w:val="0"/>
          <w:numId w:val="37"/>
        </w:numPr>
        <w:spacing w:line="588" w:lineRule="exact"/>
        <w:ind w:left="0" w:firstLine="584" w:firstLineChars="0"/>
        <w:rPr>
          <w:rFonts w:ascii="宋体" w:hAnsi="宋体" w:eastAsia="宋体"/>
          <w:color w:val="auto"/>
          <w:spacing w:val="6"/>
          <w:sz w:val="28"/>
          <w:szCs w:val="28"/>
          <w:highlight w:val="none"/>
        </w:rPr>
      </w:pPr>
      <w:r>
        <w:rPr>
          <w:rFonts w:hint="eastAsia" w:ascii="宋体" w:hAnsi="宋体" w:eastAsia="宋体"/>
          <w:color w:val="auto"/>
          <w:spacing w:val="6"/>
          <w:sz w:val="28"/>
          <w:szCs w:val="28"/>
          <w:highlight w:val="none"/>
        </w:rPr>
        <w:t>我方将严格履行政府采购合同规定的责任和义务。</w:t>
      </w:r>
    </w:p>
    <w:p>
      <w:pPr>
        <w:pStyle w:val="80"/>
        <w:numPr>
          <w:ilvl w:val="0"/>
          <w:numId w:val="37"/>
        </w:numPr>
        <w:spacing w:line="588" w:lineRule="exact"/>
        <w:ind w:left="0" w:firstLine="584" w:firstLineChars="0"/>
        <w:rPr>
          <w:rFonts w:ascii="宋体" w:hAnsi="宋体" w:eastAsia="宋体"/>
          <w:color w:val="auto"/>
          <w:spacing w:val="6"/>
          <w:sz w:val="28"/>
          <w:szCs w:val="28"/>
          <w:highlight w:val="none"/>
        </w:rPr>
      </w:pPr>
      <w:r>
        <w:rPr>
          <w:rFonts w:hint="eastAsia" w:ascii="宋体" w:hAnsi="宋体" w:eastAsia="宋体"/>
          <w:color w:val="auto"/>
          <w:spacing w:val="6"/>
          <w:sz w:val="28"/>
          <w:szCs w:val="28"/>
          <w:highlight w:val="none"/>
        </w:rPr>
        <w:t>我方愿意提供贵单位可能另外要求的，与</w:t>
      </w:r>
      <w:r>
        <w:rPr>
          <w:rFonts w:hint="eastAsia" w:ascii="宋体" w:hAnsi="宋体" w:eastAsia="宋体"/>
          <w:color w:val="auto"/>
          <w:sz w:val="28"/>
          <w:szCs w:val="28"/>
          <w:highlight w:val="none"/>
        </w:rPr>
        <w:t>磋商</w:t>
      </w:r>
      <w:r>
        <w:rPr>
          <w:rFonts w:hint="eastAsia" w:ascii="宋体" w:hAnsi="宋体" w:eastAsia="宋体"/>
          <w:color w:val="auto"/>
          <w:spacing w:val="6"/>
          <w:sz w:val="28"/>
          <w:szCs w:val="28"/>
          <w:highlight w:val="none"/>
        </w:rPr>
        <w:t>报价有关的文件资料，并保证我方已提供和将要提供的文件资料是真实、准确的。</w:t>
      </w:r>
    </w:p>
    <w:p>
      <w:pPr>
        <w:pStyle w:val="80"/>
        <w:numPr>
          <w:ilvl w:val="0"/>
          <w:numId w:val="37"/>
        </w:numPr>
        <w:spacing w:line="588" w:lineRule="exact"/>
        <w:ind w:left="0" w:firstLine="584" w:firstLineChars="0"/>
        <w:rPr>
          <w:rFonts w:ascii="宋体" w:hAnsi="宋体" w:eastAsia="宋体"/>
          <w:color w:val="auto"/>
          <w:spacing w:val="6"/>
          <w:sz w:val="28"/>
          <w:szCs w:val="28"/>
          <w:highlight w:val="none"/>
        </w:rPr>
      </w:pPr>
      <w:r>
        <w:rPr>
          <w:rFonts w:hint="eastAsia" w:ascii="宋体" w:hAnsi="宋体" w:eastAsia="宋体"/>
          <w:color w:val="auto"/>
          <w:spacing w:val="6"/>
          <w:sz w:val="28"/>
          <w:szCs w:val="28"/>
          <w:highlight w:val="none"/>
        </w:rPr>
        <w:t>我方自愿按照</w:t>
      </w:r>
      <w:r>
        <w:rPr>
          <w:rFonts w:hint="eastAsia" w:ascii="宋体" w:hAnsi="宋体" w:eastAsia="宋体"/>
          <w:color w:val="auto"/>
          <w:sz w:val="28"/>
          <w:szCs w:val="28"/>
          <w:highlight w:val="none"/>
        </w:rPr>
        <w:t>磋商</w:t>
      </w:r>
      <w:r>
        <w:rPr>
          <w:rFonts w:hint="eastAsia" w:ascii="宋体" w:hAnsi="宋体" w:eastAsia="宋体"/>
          <w:color w:val="auto"/>
          <w:spacing w:val="6"/>
          <w:sz w:val="28"/>
          <w:szCs w:val="28"/>
          <w:highlight w:val="none"/>
        </w:rPr>
        <w:t>文件规定的各项要求完成工程建设项目，最后报价以在政府采购云平台提交为准，接受采购人按照政府采购合同约定金额支付采购资金。</w:t>
      </w:r>
    </w:p>
    <w:p>
      <w:pPr>
        <w:pStyle w:val="80"/>
        <w:numPr>
          <w:ilvl w:val="3"/>
          <w:numId w:val="36"/>
        </w:numPr>
        <w:tabs>
          <w:tab w:val="left" w:pos="1134"/>
        </w:tabs>
        <w:spacing w:line="588" w:lineRule="exact"/>
        <w:ind w:left="0" w:firstLine="567"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我单位联系方式：</w:t>
      </w:r>
    </w:p>
    <w:p>
      <w:pPr>
        <w:pStyle w:val="28"/>
        <w:snapToGrid w:val="0"/>
        <w:spacing w:line="620" w:lineRule="exact"/>
        <w:ind w:firstLine="145" w:firstLineChars="52"/>
        <w:rPr>
          <w:rFonts w:ascii="宋体" w:hAnsi="宋体"/>
          <w:color w:val="auto"/>
          <w:sz w:val="28"/>
          <w:szCs w:val="28"/>
          <w:highlight w:val="none"/>
          <w:u w:val="single"/>
        </w:rPr>
      </w:pPr>
      <w:r>
        <w:rPr>
          <w:rFonts w:hint="eastAsia" w:ascii="宋体" w:hAnsi="宋体"/>
          <w:color w:val="auto"/>
          <w:sz w:val="28"/>
          <w:szCs w:val="28"/>
          <w:highlight w:val="none"/>
        </w:rPr>
        <w:t>地址：</w:t>
      </w:r>
      <w:r>
        <w:rPr>
          <w:rFonts w:ascii="宋体" w:hAnsi="宋体"/>
          <w:color w:val="auto"/>
          <w:sz w:val="28"/>
          <w:szCs w:val="28"/>
          <w:highlight w:val="none"/>
          <w:u w:val="single"/>
        </w:rPr>
        <w:t>XXXX</w:t>
      </w:r>
    </w:p>
    <w:p>
      <w:pPr>
        <w:pStyle w:val="28"/>
        <w:snapToGrid w:val="0"/>
        <w:spacing w:line="620" w:lineRule="exact"/>
        <w:ind w:firstLine="145" w:firstLineChars="52"/>
        <w:rPr>
          <w:rFonts w:ascii="宋体" w:hAnsi="宋体"/>
          <w:color w:val="auto"/>
          <w:sz w:val="28"/>
          <w:szCs w:val="28"/>
          <w:highlight w:val="none"/>
          <w:u w:val="single"/>
        </w:rPr>
      </w:pPr>
      <w:r>
        <w:rPr>
          <w:rFonts w:hint="eastAsia" w:ascii="宋体" w:hAnsi="宋体"/>
          <w:color w:val="auto"/>
          <w:sz w:val="28"/>
          <w:szCs w:val="28"/>
          <w:highlight w:val="none"/>
        </w:rPr>
        <w:t>传真：</w:t>
      </w:r>
      <w:r>
        <w:rPr>
          <w:rFonts w:ascii="宋体" w:hAnsi="宋体"/>
          <w:color w:val="auto"/>
          <w:sz w:val="28"/>
          <w:szCs w:val="28"/>
          <w:highlight w:val="none"/>
          <w:u w:val="single"/>
        </w:rPr>
        <w:t>XXXX</w:t>
      </w:r>
    </w:p>
    <w:p>
      <w:pPr>
        <w:pStyle w:val="28"/>
        <w:snapToGrid w:val="0"/>
        <w:spacing w:line="620" w:lineRule="exact"/>
        <w:ind w:firstLine="145" w:firstLineChars="52"/>
        <w:rPr>
          <w:rFonts w:ascii="宋体" w:hAnsi="宋体"/>
          <w:color w:val="auto"/>
          <w:sz w:val="28"/>
          <w:szCs w:val="28"/>
          <w:highlight w:val="none"/>
          <w:u w:val="single"/>
        </w:rPr>
      </w:pPr>
      <w:r>
        <w:rPr>
          <w:rFonts w:hint="eastAsia" w:ascii="宋体" w:hAnsi="宋体"/>
          <w:color w:val="auto"/>
          <w:sz w:val="28"/>
          <w:szCs w:val="28"/>
          <w:highlight w:val="none"/>
        </w:rPr>
        <w:t>邮政编码：</w:t>
      </w:r>
      <w:r>
        <w:rPr>
          <w:rFonts w:ascii="宋体" w:hAnsi="宋体"/>
          <w:color w:val="auto"/>
          <w:sz w:val="28"/>
          <w:szCs w:val="28"/>
          <w:highlight w:val="none"/>
          <w:u w:val="single"/>
        </w:rPr>
        <w:t>XXXX</w:t>
      </w:r>
    </w:p>
    <w:p>
      <w:pPr>
        <w:pStyle w:val="28"/>
        <w:snapToGrid w:val="0"/>
        <w:spacing w:line="620" w:lineRule="exact"/>
        <w:ind w:firstLine="145" w:firstLineChars="52"/>
        <w:rPr>
          <w:rFonts w:ascii="宋体" w:hAnsi="宋体"/>
          <w:bCs/>
          <w:color w:val="auto"/>
          <w:sz w:val="28"/>
          <w:szCs w:val="28"/>
          <w:highlight w:val="none"/>
        </w:rPr>
      </w:pPr>
      <w:r>
        <w:rPr>
          <w:rFonts w:hint="eastAsia" w:ascii="宋体" w:hAnsi="宋体"/>
          <w:bCs/>
          <w:color w:val="auto"/>
          <w:sz w:val="28"/>
          <w:szCs w:val="28"/>
          <w:highlight w:val="none"/>
        </w:rPr>
        <w:t>供应商名称：</w:t>
      </w:r>
      <w:r>
        <w:rPr>
          <w:rFonts w:ascii="宋体" w:hAnsi="宋体"/>
          <w:bCs/>
          <w:color w:val="auto"/>
          <w:sz w:val="28"/>
          <w:szCs w:val="28"/>
          <w:highlight w:val="none"/>
          <w:u w:val="single"/>
        </w:rPr>
        <w:t>XXXXXXXXXX</w:t>
      </w:r>
    </w:p>
    <w:p>
      <w:pPr>
        <w:pStyle w:val="28"/>
        <w:snapToGrid w:val="0"/>
        <w:spacing w:line="620" w:lineRule="exact"/>
        <w:ind w:firstLine="145" w:firstLineChars="52"/>
        <w:rPr>
          <w:rFonts w:ascii="宋体" w:hAnsi="宋体"/>
          <w:color w:val="auto"/>
          <w:sz w:val="28"/>
          <w:szCs w:val="28"/>
          <w:highlight w:val="none"/>
          <w:u w:val="single"/>
        </w:rPr>
      </w:pPr>
      <w:r>
        <w:rPr>
          <w:rFonts w:hint="eastAsia" w:ascii="宋体" w:hAnsi="宋体"/>
          <w:color w:val="auto"/>
          <w:sz w:val="28"/>
          <w:szCs w:val="28"/>
          <w:highlight w:val="none"/>
        </w:rPr>
        <w:t>日期：</w:t>
      </w:r>
      <w:r>
        <w:rPr>
          <w:rFonts w:ascii="宋体" w:hAnsi="宋体"/>
          <w:color w:val="auto"/>
          <w:sz w:val="28"/>
          <w:szCs w:val="28"/>
          <w:highlight w:val="none"/>
          <w:u w:val="single"/>
        </w:rPr>
        <w:t>XX</w:t>
      </w:r>
      <w:r>
        <w:rPr>
          <w:rFonts w:hint="eastAsia" w:ascii="宋体" w:hAnsi="宋体"/>
          <w:color w:val="auto"/>
          <w:sz w:val="28"/>
          <w:szCs w:val="28"/>
          <w:highlight w:val="none"/>
        </w:rPr>
        <w:t>年</w:t>
      </w:r>
      <w:r>
        <w:rPr>
          <w:rFonts w:ascii="宋体" w:hAnsi="宋体"/>
          <w:color w:val="auto"/>
          <w:sz w:val="28"/>
          <w:szCs w:val="28"/>
          <w:highlight w:val="none"/>
          <w:u w:val="single"/>
        </w:rPr>
        <w:t>XX</w:t>
      </w:r>
      <w:r>
        <w:rPr>
          <w:rFonts w:hint="eastAsia" w:ascii="宋体" w:hAnsi="宋体"/>
          <w:color w:val="auto"/>
          <w:sz w:val="28"/>
          <w:szCs w:val="28"/>
          <w:highlight w:val="none"/>
        </w:rPr>
        <w:t>月</w:t>
      </w:r>
      <w:r>
        <w:rPr>
          <w:rFonts w:ascii="宋体" w:hAnsi="宋体"/>
          <w:color w:val="auto"/>
          <w:sz w:val="28"/>
          <w:szCs w:val="28"/>
          <w:highlight w:val="none"/>
          <w:u w:val="single"/>
        </w:rPr>
        <w:t>XX</w:t>
      </w:r>
      <w:r>
        <w:rPr>
          <w:rFonts w:hint="eastAsia" w:ascii="宋体" w:hAnsi="宋体"/>
          <w:color w:val="auto"/>
          <w:sz w:val="28"/>
          <w:szCs w:val="28"/>
          <w:highlight w:val="none"/>
        </w:rPr>
        <w:t>日</w:t>
      </w:r>
    </w:p>
    <w:p>
      <w:pPr>
        <w:pStyle w:val="82"/>
        <w:snapToGrid w:val="0"/>
        <w:ind w:firstLineChars="176"/>
        <w:rPr>
          <w:color w:val="auto"/>
          <w:sz w:val="28"/>
          <w:highlight w:val="none"/>
        </w:rPr>
      </w:pPr>
    </w:p>
    <w:p>
      <w:pPr>
        <w:pStyle w:val="82"/>
        <w:snapToGrid w:val="0"/>
        <w:ind w:firstLineChars="176"/>
        <w:rPr>
          <w:color w:val="auto"/>
          <w:sz w:val="28"/>
          <w:highlight w:val="none"/>
        </w:rPr>
      </w:pPr>
    </w:p>
    <w:p>
      <w:pPr>
        <w:pStyle w:val="82"/>
        <w:snapToGrid w:val="0"/>
        <w:ind w:firstLineChars="176"/>
        <w:rPr>
          <w:color w:val="auto"/>
          <w:sz w:val="28"/>
          <w:highlight w:val="none"/>
        </w:rPr>
      </w:pPr>
    </w:p>
    <w:p>
      <w:pPr>
        <w:pStyle w:val="82"/>
        <w:snapToGrid w:val="0"/>
        <w:ind w:firstLineChars="176"/>
        <w:rPr>
          <w:color w:val="auto"/>
          <w:sz w:val="28"/>
          <w:highlight w:val="none"/>
        </w:rPr>
      </w:pPr>
    </w:p>
    <w:p>
      <w:pPr>
        <w:pStyle w:val="82"/>
        <w:snapToGrid w:val="0"/>
        <w:ind w:firstLineChars="176"/>
        <w:rPr>
          <w:color w:val="auto"/>
          <w:sz w:val="28"/>
          <w:highlight w:val="none"/>
        </w:rPr>
      </w:pPr>
    </w:p>
    <w:p>
      <w:pPr>
        <w:pStyle w:val="82"/>
        <w:snapToGrid w:val="0"/>
        <w:ind w:firstLineChars="176"/>
        <w:rPr>
          <w:color w:val="auto"/>
          <w:sz w:val="28"/>
          <w:highlight w:val="none"/>
        </w:rPr>
      </w:pPr>
    </w:p>
    <w:p>
      <w:pPr>
        <w:pStyle w:val="82"/>
        <w:snapToGrid w:val="0"/>
        <w:ind w:firstLineChars="176"/>
        <w:rPr>
          <w:color w:val="auto"/>
          <w:sz w:val="28"/>
          <w:highlight w:val="none"/>
        </w:rPr>
      </w:pPr>
    </w:p>
    <w:p>
      <w:pPr>
        <w:pStyle w:val="6"/>
        <w:numPr>
          <w:ilvl w:val="3"/>
          <w:numId w:val="1"/>
        </w:numPr>
        <w:tabs>
          <w:tab w:val="left" w:pos="709"/>
        </w:tabs>
        <w:jc w:val="left"/>
        <w:rPr>
          <w:color w:val="auto"/>
          <w:highlight w:val="none"/>
        </w:rPr>
      </w:pPr>
      <w:r>
        <w:rPr>
          <w:rFonts w:hint="eastAsia"/>
          <w:color w:val="auto"/>
          <w:highlight w:val="none"/>
        </w:rPr>
        <w:t>法定代表人身份证明书</w:t>
      </w:r>
    </w:p>
    <w:p>
      <w:pPr>
        <w:tabs>
          <w:tab w:val="left" w:pos="6300"/>
        </w:tabs>
        <w:spacing w:line="360" w:lineRule="auto"/>
        <w:ind w:firstLine="573"/>
        <w:rPr>
          <w:rFonts w:ascii="宋体" w:hAnsi="宋体"/>
          <w:color w:val="auto"/>
          <w:sz w:val="28"/>
          <w:szCs w:val="28"/>
          <w:highlight w:val="none"/>
          <w:lang w:val="zh-CN"/>
        </w:rPr>
      </w:pPr>
      <w:r>
        <w:rPr>
          <w:rFonts w:hint="eastAsia" w:ascii="宋体" w:hAnsi="宋体"/>
          <w:color w:val="auto"/>
          <w:sz w:val="28"/>
          <w:szCs w:val="28"/>
          <w:highlight w:val="none"/>
          <w:u w:val="single"/>
          <w:lang w:val="zh-CN"/>
        </w:rPr>
        <w:t xml:space="preserve">       （法定代表人姓名）       </w:t>
      </w:r>
      <w:r>
        <w:rPr>
          <w:rFonts w:hint="eastAsia" w:ascii="宋体" w:hAnsi="宋体"/>
          <w:color w:val="auto"/>
          <w:sz w:val="28"/>
          <w:szCs w:val="28"/>
          <w:highlight w:val="none"/>
          <w:lang w:val="zh-CN"/>
        </w:rPr>
        <w:t>在</w:t>
      </w:r>
      <w:r>
        <w:rPr>
          <w:rFonts w:hint="eastAsia" w:ascii="宋体" w:hAnsi="宋体"/>
          <w:color w:val="auto"/>
          <w:sz w:val="28"/>
          <w:szCs w:val="28"/>
          <w:highlight w:val="none"/>
          <w:u w:val="single"/>
          <w:lang w:val="zh-CN"/>
        </w:rPr>
        <w:t xml:space="preserve">       （供应商名称）       </w:t>
      </w:r>
      <w:r>
        <w:rPr>
          <w:rFonts w:hint="eastAsia" w:ascii="宋体" w:hAnsi="宋体"/>
          <w:color w:val="auto"/>
          <w:sz w:val="28"/>
          <w:szCs w:val="28"/>
          <w:highlight w:val="none"/>
          <w:lang w:val="zh-CN"/>
        </w:rPr>
        <w:t>处任</w:t>
      </w:r>
      <w:r>
        <w:rPr>
          <w:rFonts w:hint="eastAsia" w:ascii="宋体" w:hAnsi="宋体"/>
          <w:color w:val="auto"/>
          <w:sz w:val="28"/>
          <w:szCs w:val="28"/>
          <w:highlight w:val="none"/>
          <w:u w:val="single"/>
          <w:lang w:val="zh-CN"/>
        </w:rPr>
        <w:t xml:space="preserve">       （职务名称）       </w:t>
      </w:r>
      <w:r>
        <w:rPr>
          <w:rFonts w:hint="eastAsia" w:ascii="宋体" w:hAnsi="宋体"/>
          <w:color w:val="auto"/>
          <w:sz w:val="28"/>
          <w:szCs w:val="28"/>
          <w:highlight w:val="none"/>
          <w:lang w:val="zh-CN"/>
        </w:rPr>
        <w:t>职务，是</w:t>
      </w:r>
      <w:r>
        <w:rPr>
          <w:rFonts w:hint="eastAsia" w:ascii="宋体" w:hAnsi="宋体"/>
          <w:color w:val="auto"/>
          <w:sz w:val="28"/>
          <w:szCs w:val="28"/>
          <w:highlight w:val="none"/>
          <w:u w:val="single"/>
          <w:lang w:val="zh-CN"/>
        </w:rPr>
        <w:t xml:space="preserve">       （供应商名称）       </w:t>
      </w:r>
      <w:r>
        <w:rPr>
          <w:rFonts w:hint="eastAsia" w:ascii="宋体" w:hAnsi="宋体"/>
          <w:color w:val="auto"/>
          <w:sz w:val="28"/>
          <w:szCs w:val="28"/>
          <w:highlight w:val="none"/>
          <w:lang w:val="zh-CN"/>
        </w:rPr>
        <w:t>的法定代表人。</w:t>
      </w:r>
    </w:p>
    <w:p>
      <w:pPr>
        <w:tabs>
          <w:tab w:val="left" w:pos="6300"/>
        </w:tabs>
        <w:spacing w:line="360" w:lineRule="auto"/>
        <w:ind w:firstLine="573"/>
        <w:rPr>
          <w:rFonts w:ascii="宋体" w:hAnsi="宋体"/>
          <w:color w:val="auto"/>
          <w:sz w:val="28"/>
          <w:szCs w:val="28"/>
          <w:highlight w:val="none"/>
          <w:lang w:val="zh-CN"/>
        </w:rPr>
      </w:pPr>
      <w:r>
        <w:rPr>
          <w:rFonts w:hint="eastAsia" w:ascii="宋体" w:hAnsi="宋体"/>
          <w:color w:val="auto"/>
          <w:sz w:val="28"/>
          <w:szCs w:val="28"/>
          <w:highlight w:val="none"/>
          <w:lang w:val="zh-CN"/>
        </w:rPr>
        <w:t>特此证明。</w:t>
      </w:r>
    </w:p>
    <w:p>
      <w:pPr>
        <w:tabs>
          <w:tab w:val="left" w:pos="6300"/>
        </w:tabs>
        <w:spacing w:line="360" w:lineRule="auto"/>
        <w:ind w:firstLine="573"/>
        <w:rPr>
          <w:rFonts w:ascii="宋体" w:hAnsi="宋体"/>
          <w:color w:val="auto"/>
          <w:sz w:val="28"/>
          <w:szCs w:val="28"/>
          <w:highlight w:val="none"/>
          <w:lang w:val="zh-CN"/>
        </w:rPr>
      </w:pPr>
    </w:p>
    <w:p>
      <w:pPr>
        <w:tabs>
          <w:tab w:val="left" w:pos="6300"/>
        </w:tabs>
        <w:spacing w:line="360" w:lineRule="auto"/>
        <w:ind w:firstLine="573"/>
        <w:rPr>
          <w:rFonts w:ascii="宋体" w:hAnsi="宋体"/>
          <w:color w:val="auto"/>
          <w:sz w:val="28"/>
          <w:szCs w:val="28"/>
          <w:highlight w:val="none"/>
          <w:lang w:val="zh-CN"/>
        </w:rPr>
      </w:pPr>
    </w:p>
    <w:p>
      <w:pPr>
        <w:tabs>
          <w:tab w:val="left" w:pos="6300"/>
        </w:tabs>
        <w:spacing w:line="360" w:lineRule="auto"/>
        <w:ind w:firstLine="573"/>
        <w:rPr>
          <w:rFonts w:ascii="宋体" w:hAnsi="宋体"/>
          <w:color w:val="auto"/>
          <w:sz w:val="28"/>
          <w:szCs w:val="28"/>
          <w:highlight w:val="none"/>
          <w:lang w:val="zh-CN"/>
        </w:rPr>
      </w:pPr>
    </w:p>
    <w:p>
      <w:pPr>
        <w:tabs>
          <w:tab w:val="left" w:pos="6300"/>
        </w:tabs>
        <w:spacing w:line="360" w:lineRule="auto"/>
        <w:ind w:firstLine="573"/>
        <w:rPr>
          <w:rFonts w:ascii="宋体" w:hAnsi="宋体"/>
          <w:color w:val="auto"/>
          <w:sz w:val="28"/>
          <w:szCs w:val="28"/>
          <w:highlight w:val="none"/>
          <w:lang w:val="zh-CN"/>
        </w:rPr>
      </w:pPr>
    </w:p>
    <w:p>
      <w:pPr>
        <w:tabs>
          <w:tab w:val="left" w:pos="6300"/>
        </w:tabs>
        <w:spacing w:line="360" w:lineRule="auto"/>
        <w:ind w:firstLine="573"/>
        <w:rPr>
          <w:rFonts w:ascii="宋体" w:hAnsi="宋体"/>
          <w:color w:val="auto"/>
          <w:sz w:val="28"/>
          <w:szCs w:val="28"/>
          <w:highlight w:val="none"/>
          <w:lang w:val="zh-CN"/>
        </w:rPr>
      </w:pPr>
    </w:p>
    <w:p>
      <w:pPr>
        <w:spacing w:line="360" w:lineRule="auto"/>
        <w:rPr>
          <w:rFonts w:ascii="宋体" w:hAnsi="宋体"/>
          <w:color w:val="auto"/>
          <w:sz w:val="28"/>
          <w:szCs w:val="28"/>
          <w:highlight w:val="none"/>
          <w:lang w:val="zh-CN"/>
        </w:rPr>
      </w:pPr>
      <w:r>
        <w:rPr>
          <w:rFonts w:hint="eastAsia" w:ascii="宋体" w:hAnsi="宋体"/>
          <w:color w:val="auto"/>
          <w:sz w:val="28"/>
          <w:szCs w:val="28"/>
          <w:highlight w:val="none"/>
          <w:lang w:val="zh-CN"/>
        </w:rPr>
        <w:t>供应商名称：</w:t>
      </w:r>
      <w:r>
        <w:rPr>
          <w:rFonts w:hint="eastAsia" w:ascii="宋体" w:hAnsi="宋体"/>
          <w:color w:val="auto"/>
          <w:sz w:val="28"/>
          <w:szCs w:val="28"/>
          <w:highlight w:val="none"/>
          <w:u w:val="single"/>
          <w:lang w:val="zh-CN"/>
        </w:rPr>
        <w:t>XXXX</w:t>
      </w:r>
    </w:p>
    <w:p>
      <w:pPr>
        <w:spacing w:line="500" w:lineRule="exact"/>
        <w:ind w:right="560"/>
        <w:rPr>
          <w:rFonts w:ascii="宋体" w:hAnsi="宋体"/>
          <w:color w:val="auto"/>
          <w:sz w:val="28"/>
          <w:szCs w:val="28"/>
          <w:highlight w:val="none"/>
        </w:rPr>
      </w:pPr>
      <w:r>
        <w:rPr>
          <w:rFonts w:hint="eastAsia" w:ascii="宋体" w:hAnsi="宋体"/>
          <w:color w:val="auto"/>
          <w:sz w:val="28"/>
          <w:szCs w:val="28"/>
          <w:highlight w:val="none"/>
        </w:rPr>
        <w:t>日      期：</w:t>
      </w:r>
      <w:r>
        <w:rPr>
          <w:rFonts w:hint="eastAsia" w:ascii="宋体" w:hAnsi="宋体"/>
          <w:color w:val="auto"/>
          <w:sz w:val="28"/>
          <w:szCs w:val="28"/>
          <w:highlight w:val="none"/>
          <w:u w:val="single"/>
          <w:lang w:val="zh-CN"/>
        </w:rPr>
        <w:t>XX</w:t>
      </w:r>
      <w:r>
        <w:rPr>
          <w:rFonts w:hint="eastAsia" w:ascii="宋体" w:hAnsi="宋体"/>
          <w:color w:val="auto"/>
          <w:sz w:val="28"/>
          <w:szCs w:val="28"/>
          <w:highlight w:val="none"/>
        </w:rPr>
        <w:t>年</w:t>
      </w:r>
      <w:r>
        <w:rPr>
          <w:rFonts w:hint="eastAsia" w:ascii="宋体" w:hAnsi="宋体"/>
          <w:color w:val="auto"/>
          <w:sz w:val="28"/>
          <w:szCs w:val="28"/>
          <w:highlight w:val="none"/>
          <w:u w:val="single"/>
          <w:lang w:val="zh-CN"/>
        </w:rPr>
        <w:t>XX</w:t>
      </w:r>
      <w:r>
        <w:rPr>
          <w:rFonts w:hint="eastAsia" w:ascii="宋体" w:hAnsi="宋体"/>
          <w:color w:val="auto"/>
          <w:sz w:val="28"/>
          <w:szCs w:val="28"/>
          <w:highlight w:val="none"/>
        </w:rPr>
        <w:t>月</w:t>
      </w:r>
      <w:r>
        <w:rPr>
          <w:rFonts w:hint="eastAsia" w:ascii="宋体" w:hAnsi="宋体"/>
          <w:color w:val="auto"/>
          <w:sz w:val="28"/>
          <w:szCs w:val="28"/>
          <w:highlight w:val="none"/>
          <w:u w:val="single"/>
          <w:lang w:val="zh-CN"/>
        </w:rPr>
        <w:t>XX</w:t>
      </w:r>
      <w:r>
        <w:rPr>
          <w:rFonts w:hint="eastAsia" w:ascii="宋体" w:hAnsi="宋体"/>
          <w:color w:val="auto"/>
          <w:sz w:val="28"/>
          <w:szCs w:val="28"/>
          <w:highlight w:val="none"/>
        </w:rPr>
        <w:t>日</w:t>
      </w:r>
    </w:p>
    <w:p>
      <w:pPr>
        <w:spacing w:line="360" w:lineRule="auto"/>
        <w:rPr>
          <w:rFonts w:ascii="宋体" w:hAnsi="宋体"/>
          <w:color w:val="auto"/>
          <w:sz w:val="28"/>
          <w:szCs w:val="28"/>
          <w:highlight w:val="none"/>
          <w:lang w:val="zh-CN"/>
        </w:rPr>
      </w:pPr>
    </w:p>
    <w:p>
      <w:pPr>
        <w:spacing w:line="360" w:lineRule="auto"/>
        <w:ind w:firstLine="568" w:firstLineChars="202"/>
        <w:rPr>
          <w:rFonts w:ascii="宋体" w:hAnsi="宋体"/>
          <w:b/>
          <w:color w:val="auto"/>
          <w:sz w:val="28"/>
          <w:szCs w:val="28"/>
          <w:highlight w:val="none"/>
          <w:lang w:val="zh-CN"/>
        </w:rPr>
      </w:pPr>
      <w:r>
        <w:rPr>
          <w:rFonts w:hint="eastAsia" w:ascii="宋体" w:hAnsi="宋体"/>
          <w:b/>
          <w:color w:val="auto"/>
          <w:sz w:val="28"/>
          <w:szCs w:val="28"/>
          <w:highlight w:val="none"/>
          <w:lang w:val="zh-CN"/>
        </w:rPr>
        <w:t>说明：上述证明文件在施工响应文件中附有法定代表人身份证复印件（</w:t>
      </w:r>
      <w:r>
        <w:rPr>
          <w:rFonts w:ascii="宋体" w:hAnsi="宋体"/>
          <w:b/>
          <w:color w:val="auto"/>
          <w:sz w:val="28"/>
          <w:highlight w:val="none"/>
          <w:lang w:val="zh-CN"/>
        </w:rPr>
        <w:t>身份证</w:t>
      </w:r>
      <w:r>
        <w:rPr>
          <w:rFonts w:hint="eastAsia" w:ascii="宋体" w:hAnsi="宋体"/>
          <w:b/>
          <w:color w:val="auto"/>
          <w:sz w:val="28"/>
          <w:highlight w:val="none"/>
          <w:lang w:val="zh-CN"/>
        </w:rPr>
        <w:t>两面均应复印</w:t>
      </w:r>
      <w:r>
        <w:rPr>
          <w:rFonts w:hint="eastAsia" w:ascii="宋体" w:hAnsi="宋体"/>
          <w:b/>
          <w:color w:val="auto"/>
          <w:sz w:val="28"/>
          <w:szCs w:val="28"/>
          <w:highlight w:val="none"/>
          <w:lang w:val="zh-CN"/>
        </w:rPr>
        <w:t>）或护照复印件（供应商的法定代表人为外籍人士的，则提供护照复印件）时才能生效。</w:t>
      </w:r>
    </w:p>
    <w:p>
      <w:pPr>
        <w:pStyle w:val="2"/>
        <w:rPr>
          <w:color w:val="auto"/>
          <w:highlight w:val="none"/>
          <w:lang w:val="zh-CN"/>
        </w:rPr>
      </w:pPr>
    </w:p>
    <w:p>
      <w:pPr>
        <w:rPr>
          <w:color w:val="auto"/>
          <w:highlight w:val="none"/>
          <w:lang w:val="zh-CN"/>
        </w:rPr>
      </w:pPr>
    </w:p>
    <w:p>
      <w:pPr>
        <w:pStyle w:val="2"/>
        <w:rPr>
          <w:color w:val="auto"/>
          <w:highlight w:val="none"/>
          <w:lang w:val="zh-CN"/>
        </w:rPr>
      </w:pPr>
    </w:p>
    <w:p>
      <w:pPr>
        <w:rPr>
          <w:color w:val="auto"/>
          <w:highlight w:val="none"/>
          <w:lang w:val="zh-CN"/>
        </w:rPr>
      </w:pPr>
    </w:p>
    <w:p>
      <w:pPr>
        <w:rPr>
          <w:color w:val="auto"/>
          <w:highlight w:val="none"/>
          <w:lang w:val="zh-CN"/>
        </w:rPr>
      </w:pPr>
    </w:p>
    <w:p>
      <w:pPr>
        <w:rPr>
          <w:color w:val="auto"/>
          <w:highlight w:val="none"/>
          <w:lang w:val="zh-CN"/>
        </w:rPr>
      </w:pPr>
    </w:p>
    <w:p>
      <w:pPr>
        <w:rPr>
          <w:color w:val="auto"/>
          <w:highlight w:val="none"/>
          <w:lang w:val="zh-CN"/>
        </w:rPr>
      </w:pPr>
    </w:p>
    <w:p>
      <w:pPr>
        <w:rPr>
          <w:color w:val="auto"/>
          <w:highlight w:val="none"/>
          <w:lang w:val="zh-CN"/>
        </w:rPr>
      </w:pPr>
    </w:p>
    <w:p>
      <w:pPr>
        <w:rPr>
          <w:color w:val="auto"/>
          <w:highlight w:val="none"/>
          <w:lang w:val="zh-CN"/>
        </w:rPr>
      </w:pPr>
    </w:p>
    <w:p>
      <w:pPr>
        <w:rPr>
          <w:color w:val="auto"/>
          <w:highlight w:val="none"/>
          <w:lang w:val="zh-CN"/>
        </w:rPr>
      </w:pPr>
    </w:p>
    <w:p>
      <w:pPr>
        <w:rPr>
          <w:color w:val="auto"/>
          <w:highlight w:val="none"/>
          <w:lang w:val="zh-CN"/>
        </w:rPr>
      </w:pPr>
    </w:p>
    <w:p>
      <w:pPr>
        <w:snapToGrid w:val="0"/>
        <w:spacing w:line="360" w:lineRule="auto"/>
        <w:rPr>
          <w:rFonts w:ascii="宋体" w:hAnsi="宋体"/>
          <w:b/>
          <w:color w:val="auto"/>
          <w:sz w:val="28"/>
          <w:szCs w:val="28"/>
          <w:highlight w:val="none"/>
        </w:rPr>
      </w:pPr>
    </w:p>
    <w:p>
      <w:pPr>
        <w:pStyle w:val="6"/>
        <w:numPr>
          <w:ilvl w:val="3"/>
          <w:numId w:val="1"/>
        </w:numPr>
        <w:tabs>
          <w:tab w:val="left" w:pos="709"/>
        </w:tabs>
        <w:jc w:val="left"/>
        <w:rPr>
          <w:color w:val="auto"/>
          <w:highlight w:val="none"/>
        </w:rPr>
      </w:pPr>
      <w:r>
        <w:rPr>
          <w:rFonts w:hint="eastAsia"/>
          <w:color w:val="auto"/>
          <w:highlight w:val="none"/>
        </w:rPr>
        <w:t>承诺函</w:t>
      </w:r>
    </w:p>
    <w:p>
      <w:pPr>
        <w:snapToGrid w:val="0"/>
        <w:spacing w:line="360" w:lineRule="auto"/>
        <w:rPr>
          <w:rFonts w:ascii="宋体" w:hAnsi="宋体"/>
          <w:b/>
          <w:color w:val="auto"/>
          <w:spacing w:val="-20"/>
          <w:sz w:val="28"/>
          <w:szCs w:val="28"/>
          <w:highlight w:val="none"/>
        </w:rPr>
      </w:pPr>
      <w:r>
        <w:rPr>
          <w:rFonts w:hint="eastAsia" w:ascii="宋体" w:hAnsi="宋体"/>
          <w:b/>
          <w:color w:val="auto"/>
          <w:spacing w:val="-20"/>
          <w:sz w:val="28"/>
          <w:szCs w:val="28"/>
          <w:highlight w:val="none"/>
        </w:rPr>
        <w:t>项目名称：</w:t>
      </w:r>
      <w:r>
        <w:rPr>
          <w:rFonts w:hint="eastAsia" w:ascii="宋体" w:hAnsi="宋体"/>
          <w:b/>
          <w:color w:val="auto"/>
          <w:sz w:val="28"/>
          <w:szCs w:val="28"/>
          <w:highlight w:val="none"/>
          <w:u w:val="single"/>
          <w:lang w:eastAsia="zh-CN"/>
        </w:rPr>
        <w:t>成都高新区合作街道办事处</w:t>
      </w:r>
      <w:r>
        <w:rPr>
          <w:rFonts w:hint="eastAsia" w:ascii="宋体" w:hAnsi="宋体"/>
          <w:b/>
          <w:color w:val="auto"/>
          <w:sz w:val="28"/>
          <w:szCs w:val="28"/>
          <w:highlight w:val="none"/>
          <w:u w:val="single"/>
        </w:rPr>
        <w:t>社区公园康养中心装修工程采购项目</w:t>
      </w:r>
    </w:p>
    <w:p>
      <w:pPr>
        <w:snapToGrid w:val="0"/>
        <w:spacing w:line="360" w:lineRule="auto"/>
        <w:rPr>
          <w:rFonts w:hint="eastAsia" w:ascii="宋体" w:hAnsi="宋体" w:eastAsia="宋体"/>
          <w:b/>
          <w:color w:val="auto"/>
          <w:sz w:val="28"/>
          <w:szCs w:val="28"/>
          <w:highlight w:val="none"/>
          <w:u w:val="single"/>
          <w:lang w:eastAsia="zh-CN"/>
        </w:rPr>
      </w:pPr>
      <w:r>
        <w:rPr>
          <w:rFonts w:hint="eastAsia" w:ascii="宋体" w:hAnsi="宋体"/>
          <w:b/>
          <w:color w:val="auto"/>
          <w:sz w:val="28"/>
          <w:szCs w:val="28"/>
          <w:highlight w:val="none"/>
        </w:rPr>
        <w:t>项目编号：</w:t>
      </w:r>
      <w:r>
        <w:rPr>
          <w:rFonts w:hint="eastAsia" w:ascii="宋体" w:hAnsi="宋体"/>
          <w:b/>
          <w:color w:val="auto"/>
          <w:sz w:val="28"/>
          <w:szCs w:val="28"/>
          <w:highlight w:val="none"/>
          <w:u w:val="single"/>
          <w:lang w:eastAsia="zh-CN"/>
        </w:rPr>
        <w:t>成都高新技术产业开发区政采（2021）A0031号</w:t>
      </w:r>
    </w:p>
    <w:p>
      <w:pPr>
        <w:snapToGrid w:val="0"/>
        <w:spacing w:line="360" w:lineRule="auto"/>
        <w:ind w:firstLine="560" w:firstLineChars="200"/>
        <w:rPr>
          <w:rFonts w:ascii="宋体" w:hAnsi="宋体"/>
          <w:color w:val="auto"/>
          <w:sz w:val="28"/>
          <w:highlight w:val="none"/>
        </w:rPr>
      </w:pPr>
      <w:r>
        <w:rPr>
          <w:rFonts w:hint="eastAsia" w:ascii="宋体" w:hAnsi="宋体"/>
          <w:color w:val="auto"/>
          <w:sz w:val="28"/>
          <w:highlight w:val="none"/>
        </w:rPr>
        <w:t>我公司作为参加</w:t>
      </w:r>
      <w:r>
        <w:rPr>
          <w:rFonts w:hint="eastAsia" w:ascii="宋体" w:hAnsi="宋体"/>
          <w:b/>
          <w:color w:val="auto"/>
          <w:sz w:val="28"/>
          <w:highlight w:val="none"/>
          <w:u w:val="single"/>
          <w:lang w:eastAsia="zh-CN"/>
        </w:rPr>
        <w:t>成都高新区合作街道办事处</w:t>
      </w:r>
      <w:r>
        <w:rPr>
          <w:rFonts w:hint="eastAsia" w:ascii="宋体" w:hAnsi="宋体"/>
          <w:b/>
          <w:color w:val="auto"/>
          <w:sz w:val="28"/>
          <w:highlight w:val="none"/>
          <w:u w:val="single"/>
        </w:rPr>
        <w:t>社区公园康养中心装修工程采购项目</w:t>
      </w:r>
      <w:r>
        <w:rPr>
          <w:rFonts w:hint="eastAsia" w:ascii="宋体" w:hAnsi="宋体"/>
          <w:color w:val="auto"/>
          <w:sz w:val="28"/>
          <w:highlight w:val="none"/>
        </w:rPr>
        <w:t>的竞争性磋商的供应商，在此郑重承诺：</w:t>
      </w:r>
    </w:p>
    <w:p>
      <w:pPr>
        <w:pStyle w:val="80"/>
        <w:numPr>
          <w:ilvl w:val="0"/>
          <w:numId w:val="38"/>
        </w:numPr>
        <w:tabs>
          <w:tab w:val="left" w:pos="1134"/>
        </w:tabs>
        <w:snapToGrid w:val="0"/>
        <w:spacing w:line="360" w:lineRule="auto"/>
        <w:ind w:left="0" w:firstLine="560" w:firstLineChars="0"/>
        <w:jc w:val="both"/>
        <w:rPr>
          <w:rFonts w:ascii="宋体" w:hAnsi="宋体" w:eastAsia="宋体" w:cs="仿宋"/>
          <w:color w:val="auto"/>
          <w:sz w:val="28"/>
          <w:szCs w:val="28"/>
          <w:highlight w:val="none"/>
        </w:rPr>
      </w:pPr>
      <w:r>
        <w:rPr>
          <w:rFonts w:hint="eastAsia" w:ascii="宋体" w:hAnsi="宋体"/>
          <w:b/>
          <w:color w:val="auto"/>
          <w:sz w:val="28"/>
          <w:szCs w:val="28"/>
          <w:highlight w:val="none"/>
        </w:rPr>
        <w:t>施工过程中，发现工程量清单存在漏项工程的，该漏项工程作为本项目本章采购需求的组成部分，采购人和供应商可以按照《中华人民共和国政府采购法》的规定签订不超过成交金额百分之十的补充合同。</w:t>
      </w:r>
    </w:p>
    <w:p>
      <w:pPr>
        <w:pStyle w:val="80"/>
        <w:numPr>
          <w:ilvl w:val="0"/>
          <w:numId w:val="38"/>
        </w:numPr>
        <w:tabs>
          <w:tab w:val="left" w:pos="1134"/>
        </w:tabs>
        <w:snapToGrid w:val="0"/>
        <w:spacing w:line="360" w:lineRule="auto"/>
        <w:ind w:left="0" w:firstLine="560" w:firstLineChars="0"/>
        <w:jc w:val="both"/>
        <w:rPr>
          <w:rFonts w:ascii="宋体" w:hAnsi="宋体" w:eastAsia="宋体" w:cs="仿宋"/>
          <w:color w:val="auto"/>
          <w:sz w:val="28"/>
          <w:szCs w:val="28"/>
          <w:highlight w:val="none"/>
        </w:rPr>
      </w:pPr>
      <w:r>
        <w:rPr>
          <w:rFonts w:hint="eastAsia" w:ascii="宋体" w:hAnsi="宋体"/>
          <w:b/>
          <w:color w:val="auto"/>
          <w:sz w:val="28"/>
          <w:szCs w:val="28"/>
          <w:highlight w:val="none"/>
        </w:rPr>
        <w:t>供应商针对本项目的施工，</w:t>
      </w:r>
      <w:r>
        <w:rPr>
          <w:rFonts w:ascii="宋体" w:hAnsi="宋体"/>
          <w:b/>
          <w:color w:val="auto"/>
          <w:sz w:val="28"/>
          <w:szCs w:val="28"/>
          <w:highlight w:val="none"/>
        </w:rPr>
        <w:t>必</w:t>
      </w:r>
      <w:r>
        <w:rPr>
          <w:rFonts w:hint="eastAsia" w:ascii="宋体" w:hAnsi="宋体"/>
          <w:b/>
          <w:color w:val="auto"/>
          <w:sz w:val="28"/>
          <w:szCs w:val="28"/>
          <w:highlight w:val="none"/>
        </w:rPr>
        <w:t>须达到国家及行业现行技术规范标准，符合国家及行业验收合格标准。</w:t>
      </w:r>
    </w:p>
    <w:p>
      <w:pPr>
        <w:pStyle w:val="80"/>
        <w:numPr>
          <w:ilvl w:val="0"/>
          <w:numId w:val="38"/>
        </w:numPr>
        <w:tabs>
          <w:tab w:val="left" w:pos="1134"/>
        </w:tabs>
        <w:snapToGrid w:val="0"/>
        <w:spacing w:line="360" w:lineRule="auto"/>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为本项目提供的所有产品、辅材中</w:t>
      </w:r>
      <w:r>
        <w:rPr>
          <w:rFonts w:ascii="宋体" w:hAnsi="宋体" w:eastAsia="宋体" w:cs="仿宋"/>
          <w:color w:val="auto"/>
          <w:sz w:val="28"/>
          <w:szCs w:val="28"/>
          <w:highlight w:val="none"/>
        </w:rPr>
        <w:t>属于《国家强制性产品认证目录》范围内产品的，均通过国家强制性产品认证并取得认证证书。</w:t>
      </w:r>
    </w:p>
    <w:p>
      <w:pPr>
        <w:pStyle w:val="80"/>
        <w:numPr>
          <w:ilvl w:val="0"/>
          <w:numId w:val="38"/>
        </w:numPr>
        <w:tabs>
          <w:tab w:val="left" w:pos="1134"/>
        </w:tabs>
        <w:snapToGrid w:val="0"/>
        <w:spacing w:line="360" w:lineRule="auto"/>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为本项目提供的所有产品、辅材等符合现行的强制性国家相关标准、行业标准。</w:t>
      </w:r>
    </w:p>
    <w:p>
      <w:pPr>
        <w:pStyle w:val="80"/>
        <w:numPr>
          <w:ilvl w:val="0"/>
          <w:numId w:val="38"/>
        </w:numPr>
        <w:tabs>
          <w:tab w:val="left" w:pos="1134"/>
        </w:tabs>
        <w:snapToGrid w:val="0"/>
        <w:spacing w:line="360" w:lineRule="auto"/>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为本项目提供的所有产品中属于节能产品政府采购品目清单中的政府强制采购产品的，均具有国家确定的认证机构出具的有效期内的节能产品认证证书。</w:t>
      </w:r>
    </w:p>
    <w:p>
      <w:pPr>
        <w:pStyle w:val="80"/>
        <w:numPr>
          <w:ilvl w:val="0"/>
          <w:numId w:val="38"/>
        </w:numPr>
        <w:tabs>
          <w:tab w:val="left" w:pos="1134"/>
        </w:tabs>
        <w:snapToGrid w:val="0"/>
        <w:spacing w:line="360" w:lineRule="auto"/>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为本工程项目实施涉及的商品包装和快递包装，均符合财政部等三部门联合印发商品包装和快递包装政府采购需求标准（试行）（财办库[2020]123号）的要求。</w:t>
      </w:r>
    </w:p>
    <w:p>
      <w:pPr>
        <w:pStyle w:val="80"/>
        <w:numPr>
          <w:ilvl w:val="0"/>
          <w:numId w:val="38"/>
        </w:numPr>
        <w:tabs>
          <w:tab w:val="left" w:pos="1134"/>
        </w:tabs>
        <w:snapToGrid w:val="0"/>
        <w:spacing w:line="360" w:lineRule="auto"/>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为本项目提供的工程、货物及服务均为本国工程、货物及服务。</w:t>
      </w:r>
    </w:p>
    <w:p>
      <w:pPr>
        <w:pStyle w:val="80"/>
        <w:numPr>
          <w:ilvl w:val="0"/>
          <w:numId w:val="38"/>
        </w:numPr>
        <w:tabs>
          <w:tab w:val="left" w:pos="1134"/>
        </w:tabs>
        <w:snapToGrid w:val="0"/>
        <w:spacing w:line="360" w:lineRule="auto"/>
        <w:ind w:left="0" w:firstLine="560" w:firstLineChars="0"/>
        <w:jc w:val="both"/>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我方承诺严格按照工程量清单、工程量清单编制说明进行施工，工程施工满足当地建设行政主管部门对工程建设的有关规定，并按经批准的施工组织设计实施，并符合施工规范及验收标准的相关要求。</w:t>
      </w:r>
    </w:p>
    <w:p>
      <w:pPr>
        <w:pStyle w:val="80"/>
        <w:numPr>
          <w:ilvl w:val="0"/>
          <w:numId w:val="38"/>
        </w:numPr>
        <w:tabs>
          <w:tab w:val="left" w:pos="1134"/>
        </w:tabs>
        <w:snapToGrid w:val="0"/>
        <w:spacing w:line="360" w:lineRule="auto"/>
        <w:ind w:left="0" w:firstLine="560" w:firstLineChars="0"/>
        <w:rPr>
          <w:rFonts w:ascii="宋体" w:hAnsi="宋体" w:eastAsia="宋体" w:cs="仿宋"/>
          <w:color w:val="auto"/>
          <w:sz w:val="28"/>
          <w:szCs w:val="28"/>
          <w:highlight w:val="none"/>
        </w:rPr>
      </w:pPr>
      <w:r>
        <w:rPr>
          <w:rFonts w:hint="eastAsia" w:ascii="宋体" w:hAnsi="宋体" w:cs="仿宋"/>
          <w:b/>
          <w:color w:val="auto"/>
          <w:sz w:val="28"/>
          <w:szCs w:val="28"/>
          <w:highlight w:val="none"/>
        </w:rPr>
        <w:t>履约要求:如果供应商无故拖延超过完工日期，逾期每日扣合同金额的1%作为违约金，并且采购人有权无条件解除合同，并要求供应商赔偿一切损失。</w:t>
      </w:r>
    </w:p>
    <w:p>
      <w:pPr>
        <w:pStyle w:val="80"/>
        <w:numPr>
          <w:ilvl w:val="0"/>
          <w:numId w:val="38"/>
        </w:numPr>
        <w:tabs>
          <w:tab w:val="left" w:pos="1134"/>
        </w:tabs>
        <w:snapToGrid w:val="0"/>
        <w:spacing w:line="360" w:lineRule="auto"/>
        <w:ind w:left="0" w:firstLine="560" w:firstLineChars="0"/>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在参加本次采购活动中，不存在与单位负责人为同一人或者存在直接控股、管理关系的其他供应商参与同一合同项下的政府采购活动的行为。</w:t>
      </w:r>
    </w:p>
    <w:p>
      <w:pPr>
        <w:pStyle w:val="80"/>
        <w:numPr>
          <w:ilvl w:val="0"/>
          <w:numId w:val="38"/>
        </w:numPr>
        <w:tabs>
          <w:tab w:val="left" w:pos="1134"/>
        </w:tabs>
        <w:snapToGrid w:val="0"/>
        <w:spacing w:line="360" w:lineRule="auto"/>
        <w:ind w:left="0" w:firstLine="560" w:firstLineChars="0"/>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为采购项目提供整体设计、规范编制或者项目管理、监理、检测等服务的供应商，不得再参加该采购项目的其他采购活动，我方承诺不属于此类禁止参加本项目的供应商。</w:t>
      </w:r>
    </w:p>
    <w:p>
      <w:pPr>
        <w:pStyle w:val="80"/>
        <w:numPr>
          <w:ilvl w:val="0"/>
          <w:numId w:val="38"/>
        </w:numPr>
        <w:tabs>
          <w:tab w:val="left" w:pos="1134"/>
        </w:tabs>
        <w:snapToGrid w:val="0"/>
        <w:spacing w:line="360" w:lineRule="auto"/>
        <w:ind w:left="0" w:firstLine="560" w:firstLineChars="0"/>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在参加本次采购活动中，不存在和其他供应商在同一合同项下的采购项目中，同时委托同一个自然人、同一家庭的人员、同一单位的人员作为代理人的行为。</w:t>
      </w:r>
    </w:p>
    <w:p>
      <w:pPr>
        <w:pStyle w:val="80"/>
        <w:numPr>
          <w:ilvl w:val="0"/>
          <w:numId w:val="38"/>
        </w:numPr>
        <w:tabs>
          <w:tab w:val="left" w:pos="1418"/>
        </w:tabs>
        <w:snapToGrid w:val="0"/>
        <w:spacing w:line="360" w:lineRule="auto"/>
        <w:ind w:left="0" w:firstLine="560" w:firstLineChars="0"/>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施工响应文件中提供的任何资料和技术、服务、商务等响应承诺情况都是真实的、有效的、合法的。</w:t>
      </w:r>
    </w:p>
    <w:p>
      <w:pPr>
        <w:pStyle w:val="80"/>
        <w:numPr>
          <w:ilvl w:val="0"/>
          <w:numId w:val="38"/>
        </w:numPr>
        <w:tabs>
          <w:tab w:val="left" w:pos="1418"/>
        </w:tabs>
        <w:snapToGrid w:val="0"/>
        <w:spacing w:line="360" w:lineRule="auto"/>
        <w:ind w:left="0" w:firstLine="560" w:firstLineChars="0"/>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如本项目磋商采购过程中需要提供样品，则我方提供的样品即为成交后将要提供的成交产品，我方对提供样品的性能和质量负责，因样品存在缺陷或者不符合磋商文件要求导致未能成交的，我方愿意承担相应不利后果。</w:t>
      </w:r>
    </w:p>
    <w:p>
      <w:pPr>
        <w:pStyle w:val="80"/>
        <w:numPr>
          <w:ilvl w:val="0"/>
          <w:numId w:val="38"/>
        </w:numPr>
        <w:tabs>
          <w:tab w:val="left" w:pos="1418"/>
        </w:tabs>
        <w:snapToGrid w:val="0"/>
        <w:spacing w:line="360" w:lineRule="auto"/>
        <w:ind w:left="0" w:firstLine="560" w:firstLineChars="0"/>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国家或行业主管部门对工程项目的技术标准、质量标准和资格资质条件等有强制性规定的，我方承诺符合其要求。</w:t>
      </w:r>
    </w:p>
    <w:p>
      <w:pPr>
        <w:pStyle w:val="80"/>
        <w:numPr>
          <w:ilvl w:val="0"/>
          <w:numId w:val="38"/>
        </w:numPr>
        <w:tabs>
          <w:tab w:val="left" w:pos="1418"/>
        </w:tabs>
        <w:snapToGrid w:val="0"/>
        <w:spacing w:line="360" w:lineRule="auto"/>
        <w:ind w:left="0" w:firstLine="560" w:firstLineChars="0"/>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参加本次采购活动，我方完全同意磋商文件第二章关于“磋商费用”、“合同分包”、“合同转包”、等实质性要求，并承诺严格按照磋商文件要求履行。</w:t>
      </w:r>
    </w:p>
    <w:p>
      <w:pPr>
        <w:pStyle w:val="80"/>
        <w:numPr>
          <w:ilvl w:val="0"/>
          <w:numId w:val="38"/>
        </w:numPr>
        <w:tabs>
          <w:tab w:val="left" w:pos="1418"/>
        </w:tabs>
        <w:snapToGrid w:val="0"/>
        <w:spacing w:line="360" w:lineRule="auto"/>
        <w:ind w:left="0" w:firstLine="560" w:firstLineChars="0"/>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我方保证在本项目使用的任何技术、产品和服务（包括部分使用）时，不会产生因第三方提出侵犯其专利权、商标权或其它知识产权而引起的法律和经济纠纷，如因专利权、商标权或其它知识产权而引起法律和经济纠纷，由我方承担所有相关责任。除非磋商文件特别规定，采购人享有本项目实施过程中产生的知识成果及知识产权。如我方在采购项目实施过程中采用自有或者第三方知识成果的，使用该知识成果后，我方承诺提供开发接口和开发手册等技术资料，并提供无限期支持，采购人享有使用权（含采购人委托第三方在该项目后续开发的使用权）。如我方在项目实施过程中采用非自有的知识产权，则在报价中已包括合法获取该知识产权的相关费用。</w:t>
      </w:r>
    </w:p>
    <w:p>
      <w:pPr>
        <w:pStyle w:val="80"/>
        <w:numPr>
          <w:ilvl w:val="0"/>
          <w:numId w:val="38"/>
        </w:numPr>
        <w:tabs>
          <w:tab w:val="left" w:pos="1418"/>
        </w:tabs>
        <w:snapToGrid w:val="0"/>
        <w:spacing w:line="360" w:lineRule="auto"/>
        <w:ind w:left="0" w:firstLine="560" w:firstLineChars="0"/>
        <w:rPr>
          <w:rFonts w:ascii="宋体" w:hAnsi="宋体" w:eastAsia="宋体" w:cs="仿宋"/>
          <w:color w:val="auto"/>
          <w:sz w:val="28"/>
          <w:szCs w:val="28"/>
          <w:highlight w:val="none"/>
        </w:rPr>
      </w:pPr>
      <w:r>
        <w:rPr>
          <w:rFonts w:hint="eastAsia" w:ascii="宋体" w:hAnsi="宋体" w:eastAsia="宋体" w:cs="仿宋"/>
          <w:color w:val="auto"/>
          <w:sz w:val="28"/>
          <w:szCs w:val="28"/>
          <w:highlight w:val="none"/>
        </w:rPr>
        <w:t>与我方存在直接控股关系的单位为：</w:t>
      </w:r>
      <w:r>
        <w:rPr>
          <w:rFonts w:hint="eastAsia" w:ascii="宋体" w:hAnsi="宋体" w:eastAsia="宋体" w:cs="仿宋"/>
          <w:b/>
          <w:color w:val="auto"/>
          <w:sz w:val="28"/>
          <w:szCs w:val="28"/>
          <w:highlight w:val="none"/>
          <w:u w:val="single"/>
        </w:rPr>
        <w:t>　　</w:t>
      </w:r>
      <w:r>
        <w:rPr>
          <w:rFonts w:ascii="宋体" w:hAnsi="宋体" w:eastAsia="宋体" w:cs="仿宋"/>
          <w:b/>
          <w:color w:val="auto"/>
          <w:sz w:val="28"/>
          <w:szCs w:val="28"/>
          <w:highlight w:val="none"/>
          <w:u w:val="single"/>
        </w:rPr>
        <w:t>XXXX</w:t>
      </w:r>
      <w:r>
        <w:rPr>
          <w:rFonts w:hint="eastAsia" w:ascii="宋体" w:hAnsi="宋体" w:eastAsia="宋体" w:cs="仿宋"/>
          <w:b/>
          <w:color w:val="auto"/>
          <w:sz w:val="28"/>
          <w:szCs w:val="28"/>
          <w:highlight w:val="none"/>
          <w:u w:val="single"/>
        </w:rPr>
        <w:t>（说明：填写“无”或“（一）供应商名称１；（二）供应商名称２ ；（三）……”）　　</w:t>
      </w:r>
      <w:r>
        <w:rPr>
          <w:rFonts w:hint="eastAsia" w:ascii="宋体" w:hAnsi="宋体" w:eastAsia="宋体" w:cs="仿宋"/>
          <w:color w:val="auto"/>
          <w:sz w:val="28"/>
          <w:szCs w:val="28"/>
          <w:highlight w:val="none"/>
        </w:rPr>
        <w:t>；存在管理关系单位为：</w:t>
      </w:r>
      <w:r>
        <w:rPr>
          <w:rFonts w:hint="eastAsia" w:ascii="宋体" w:hAnsi="宋体" w:eastAsia="宋体" w:cs="仿宋"/>
          <w:b/>
          <w:color w:val="auto"/>
          <w:sz w:val="28"/>
          <w:szCs w:val="28"/>
          <w:highlight w:val="none"/>
          <w:u w:val="single"/>
        </w:rPr>
        <w:t>　　</w:t>
      </w:r>
      <w:r>
        <w:rPr>
          <w:rFonts w:ascii="宋体" w:hAnsi="宋体" w:eastAsia="宋体" w:cs="仿宋"/>
          <w:b/>
          <w:color w:val="auto"/>
          <w:sz w:val="28"/>
          <w:szCs w:val="28"/>
          <w:highlight w:val="none"/>
          <w:u w:val="single"/>
        </w:rPr>
        <w:t>XXXX</w:t>
      </w:r>
      <w:r>
        <w:rPr>
          <w:rFonts w:hint="eastAsia" w:ascii="宋体" w:hAnsi="宋体" w:eastAsia="宋体" w:cs="仿宋"/>
          <w:b/>
          <w:color w:val="auto"/>
          <w:sz w:val="28"/>
          <w:szCs w:val="28"/>
          <w:highlight w:val="none"/>
          <w:u w:val="single"/>
        </w:rPr>
        <w:t>（说明：填写“无”或“（一）供应商名称１；（二）供应商名称２ ；（三）……”）　　</w:t>
      </w:r>
      <w:r>
        <w:rPr>
          <w:rFonts w:hint="eastAsia" w:ascii="宋体" w:hAnsi="宋体" w:eastAsia="宋体" w:cs="仿宋"/>
          <w:color w:val="auto"/>
          <w:sz w:val="28"/>
          <w:szCs w:val="28"/>
          <w:highlight w:val="none"/>
        </w:rPr>
        <w:t>。</w:t>
      </w:r>
    </w:p>
    <w:p>
      <w:pPr>
        <w:snapToGrid w:val="0"/>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我方对上述承诺的内容事项真实性负责。如经查实上述承诺的内容事项存在虚假，我方愿意接受以提供虚假材料谋取成交的法律责任。</w:t>
      </w:r>
    </w:p>
    <w:p>
      <w:pPr>
        <w:snapToGrid w:val="0"/>
        <w:spacing w:line="360" w:lineRule="auto"/>
        <w:ind w:firstLine="560" w:firstLineChars="200"/>
        <w:rPr>
          <w:i/>
          <w:color w:val="auto"/>
          <w:highlight w:val="none"/>
        </w:rPr>
      </w:pPr>
      <w:r>
        <w:rPr>
          <w:rFonts w:hint="eastAsia" w:ascii="宋体" w:hAnsi="宋体"/>
          <w:color w:val="auto"/>
          <w:sz w:val="28"/>
          <w:szCs w:val="28"/>
          <w:highlight w:val="none"/>
        </w:rPr>
        <w:t>特此承诺。</w:t>
      </w:r>
    </w:p>
    <w:p>
      <w:pPr>
        <w:snapToGrid w:val="0"/>
        <w:spacing w:line="360" w:lineRule="auto"/>
        <w:rPr>
          <w:color w:val="auto"/>
          <w:highlight w:val="none"/>
        </w:rPr>
      </w:pPr>
    </w:p>
    <w:p>
      <w:pPr>
        <w:snapToGrid w:val="0"/>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供应商名称：</w:t>
      </w:r>
      <w:r>
        <w:rPr>
          <w:rFonts w:ascii="宋体" w:hAnsi="宋体"/>
          <w:color w:val="auto"/>
          <w:sz w:val="28"/>
          <w:szCs w:val="28"/>
          <w:highlight w:val="none"/>
          <w:u w:val="single"/>
        </w:rPr>
        <w:t>XXXXXXXXX</w:t>
      </w:r>
    </w:p>
    <w:p>
      <w:pPr>
        <w:snapToGrid w:val="0"/>
        <w:spacing w:line="360" w:lineRule="auto"/>
        <w:ind w:firstLine="560" w:firstLineChars="200"/>
        <w:rPr>
          <w:rFonts w:ascii="宋体" w:hAnsi="宋体"/>
          <w:color w:val="auto"/>
          <w:sz w:val="28"/>
          <w:highlight w:val="none"/>
        </w:rPr>
      </w:pPr>
      <w:r>
        <w:rPr>
          <w:rFonts w:ascii="宋体" w:hAnsi="宋体"/>
          <w:color w:val="auto"/>
          <w:sz w:val="28"/>
          <w:highlight w:val="none"/>
        </w:rPr>
        <w:t>日期：</w:t>
      </w:r>
      <w:r>
        <w:rPr>
          <w:rFonts w:ascii="宋体" w:hAnsi="宋体"/>
          <w:color w:val="auto"/>
          <w:sz w:val="28"/>
          <w:highlight w:val="none"/>
          <w:u w:val="single"/>
        </w:rPr>
        <w:t>XX</w:t>
      </w:r>
      <w:r>
        <w:rPr>
          <w:rFonts w:ascii="宋体" w:hAnsi="宋体"/>
          <w:color w:val="auto"/>
          <w:sz w:val="28"/>
          <w:highlight w:val="none"/>
        </w:rPr>
        <w:t>年</w:t>
      </w:r>
      <w:r>
        <w:rPr>
          <w:rFonts w:ascii="宋体" w:hAnsi="宋体"/>
          <w:color w:val="auto"/>
          <w:sz w:val="28"/>
          <w:highlight w:val="none"/>
          <w:u w:val="single"/>
        </w:rPr>
        <w:t>XX</w:t>
      </w:r>
      <w:r>
        <w:rPr>
          <w:rFonts w:ascii="宋体" w:hAnsi="宋体"/>
          <w:color w:val="auto"/>
          <w:sz w:val="28"/>
          <w:highlight w:val="none"/>
        </w:rPr>
        <w:t>月</w:t>
      </w:r>
      <w:r>
        <w:rPr>
          <w:rFonts w:ascii="宋体" w:hAnsi="宋体"/>
          <w:color w:val="auto"/>
          <w:sz w:val="28"/>
          <w:highlight w:val="none"/>
          <w:u w:val="single"/>
        </w:rPr>
        <w:t>XX</w:t>
      </w:r>
      <w:r>
        <w:rPr>
          <w:rFonts w:ascii="宋体" w:hAnsi="宋体"/>
          <w:color w:val="auto"/>
          <w:sz w:val="28"/>
          <w:highlight w:val="none"/>
        </w:rPr>
        <w:t>日</w:t>
      </w:r>
    </w:p>
    <w:p>
      <w:pPr>
        <w:pStyle w:val="20"/>
        <w:rPr>
          <w:color w:val="auto"/>
          <w:highlight w:val="none"/>
        </w:rPr>
      </w:pPr>
    </w:p>
    <w:p>
      <w:pPr>
        <w:pStyle w:val="6"/>
        <w:numPr>
          <w:ilvl w:val="3"/>
          <w:numId w:val="1"/>
        </w:numPr>
        <w:tabs>
          <w:tab w:val="left" w:pos="709"/>
        </w:tabs>
        <w:jc w:val="left"/>
        <w:rPr>
          <w:color w:val="auto"/>
          <w:highlight w:val="none"/>
        </w:rPr>
      </w:pPr>
      <w:r>
        <w:rPr>
          <w:rFonts w:hint="eastAsia"/>
          <w:color w:val="auto"/>
          <w:highlight w:val="none"/>
        </w:rPr>
        <w:t>施工组织设计</w:t>
      </w:r>
    </w:p>
    <w:p>
      <w:pPr>
        <w:snapToGrid w:val="0"/>
        <w:spacing w:line="360" w:lineRule="auto"/>
        <w:ind w:firstLine="563"/>
        <w:rPr>
          <w:rFonts w:ascii="宋体" w:hAnsi="宋体"/>
          <w:color w:val="auto"/>
          <w:spacing w:val="6"/>
          <w:sz w:val="28"/>
          <w:szCs w:val="28"/>
          <w:highlight w:val="none"/>
        </w:rPr>
      </w:pPr>
      <w:r>
        <w:rPr>
          <w:rFonts w:hint="eastAsia" w:ascii="宋体" w:hAnsi="宋体"/>
          <w:color w:val="auto"/>
          <w:spacing w:val="6"/>
          <w:sz w:val="28"/>
          <w:szCs w:val="28"/>
          <w:highlight w:val="none"/>
        </w:rPr>
        <w:t>施工组织设计格式及内容自拟。</w:t>
      </w:r>
    </w:p>
    <w:p>
      <w:pPr>
        <w:pStyle w:val="2"/>
        <w:rPr>
          <w:color w:val="auto"/>
          <w:highlight w:val="none"/>
        </w:rPr>
      </w:pPr>
    </w:p>
    <w:p>
      <w:pPr>
        <w:rPr>
          <w:color w:val="auto"/>
          <w:highlight w:val="none"/>
        </w:rPr>
      </w:pPr>
    </w:p>
    <w:p>
      <w:pPr>
        <w:pStyle w:val="2"/>
        <w:rPr>
          <w:color w:val="auto"/>
          <w:highlight w:val="none"/>
        </w:rPr>
      </w:pPr>
    </w:p>
    <w:p>
      <w:pPr>
        <w:rPr>
          <w:color w:val="auto"/>
          <w:highlight w:val="none"/>
        </w:rPr>
      </w:pPr>
    </w:p>
    <w:p>
      <w:pPr>
        <w:pStyle w:val="2"/>
        <w:rPr>
          <w:color w:val="auto"/>
          <w:highlight w:val="none"/>
        </w:rPr>
      </w:pPr>
    </w:p>
    <w:p>
      <w:pPr>
        <w:rPr>
          <w:color w:val="auto"/>
          <w:highlight w:val="none"/>
        </w:rPr>
      </w:pPr>
    </w:p>
    <w:p>
      <w:pPr>
        <w:pStyle w:val="2"/>
        <w:rPr>
          <w:color w:val="auto"/>
          <w:highlight w:val="none"/>
        </w:rPr>
      </w:pPr>
    </w:p>
    <w:p>
      <w:pPr>
        <w:rPr>
          <w:color w:val="auto"/>
          <w:highlight w:val="none"/>
        </w:rPr>
      </w:pPr>
    </w:p>
    <w:p>
      <w:pPr>
        <w:pStyle w:val="20"/>
        <w:rPr>
          <w:color w:val="auto"/>
          <w:highlight w:val="none"/>
        </w:rPr>
      </w:pPr>
    </w:p>
    <w:p>
      <w:pPr>
        <w:pStyle w:val="2"/>
        <w:rPr>
          <w:color w:val="auto"/>
          <w:highlight w:val="none"/>
        </w:rPr>
      </w:pPr>
    </w:p>
    <w:p>
      <w:pPr>
        <w:pStyle w:val="2"/>
        <w:rPr>
          <w:color w:val="auto"/>
          <w:highlight w:val="none"/>
        </w:rPr>
      </w:pPr>
    </w:p>
    <w:p>
      <w:pPr>
        <w:snapToGrid w:val="0"/>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供应商名称：</w:t>
      </w:r>
      <w:r>
        <w:rPr>
          <w:rFonts w:ascii="宋体" w:hAnsi="宋体"/>
          <w:color w:val="auto"/>
          <w:sz w:val="28"/>
          <w:szCs w:val="28"/>
          <w:highlight w:val="none"/>
          <w:u w:val="single"/>
        </w:rPr>
        <w:t>XXXXXXXXX</w:t>
      </w:r>
    </w:p>
    <w:p>
      <w:pPr>
        <w:snapToGrid w:val="0"/>
        <w:spacing w:line="360" w:lineRule="auto"/>
        <w:ind w:firstLine="560" w:firstLineChars="200"/>
        <w:rPr>
          <w:rFonts w:ascii="宋体" w:hAnsi="宋体"/>
          <w:color w:val="auto"/>
          <w:sz w:val="28"/>
          <w:highlight w:val="none"/>
        </w:rPr>
      </w:pPr>
      <w:r>
        <w:rPr>
          <w:rFonts w:ascii="宋体" w:hAnsi="宋体"/>
          <w:color w:val="auto"/>
          <w:sz w:val="28"/>
          <w:highlight w:val="none"/>
        </w:rPr>
        <w:t>日期：</w:t>
      </w:r>
      <w:r>
        <w:rPr>
          <w:rFonts w:ascii="宋体" w:hAnsi="宋体"/>
          <w:color w:val="auto"/>
          <w:sz w:val="28"/>
          <w:highlight w:val="none"/>
          <w:u w:val="single"/>
        </w:rPr>
        <w:t>XX</w:t>
      </w:r>
      <w:r>
        <w:rPr>
          <w:rFonts w:ascii="宋体" w:hAnsi="宋体"/>
          <w:color w:val="auto"/>
          <w:sz w:val="28"/>
          <w:highlight w:val="none"/>
        </w:rPr>
        <w:t>年</w:t>
      </w:r>
      <w:r>
        <w:rPr>
          <w:rFonts w:ascii="宋体" w:hAnsi="宋体"/>
          <w:color w:val="auto"/>
          <w:sz w:val="28"/>
          <w:highlight w:val="none"/>
          <w:u w:val="single"/>
        </w:rPr>
        <w:t>XX</w:t>
      </w:r>
      <w:r>
        <w:rPr>
          <w:rFonts w:ascii="宋体" w:hAnsi="宋体"/>
          <w:color w:val="auto"/>
          <w:sz w:val="28"/>
          <w:highlight w:val="none"/>
        </w:rPr>
        <w:t>月</w:t>
      </w:r>
      <w:r>
        <w:rPr>
          <w:rFonts w:ascii="宋体" w:hAnsi="宋体"/>
          <w:color w:val="auto"/>
          <w:sz w:val="28"/>
          <w:highlight w:val="none"/>
          <w:u w:val="single"/>
        </w:rPr>
        <w:t>XX</w:t>
      </w:r>
      <w:r>
        <w:rPr>
          <w:rFonts w:ascii="宋体" w:hAnsi="宋体"/>
          <w:color w:val="auto"/>
          <w:sz w:val="28"/>
          <w:highlight w:val="none"/>
        </w:rPr>
        <w:t>日</w:t>
      </w:r>
    </w:p>
    <w:p>
      <w:pPr>
        <w:pStyle w:val="2"/>
        <w:rPr>
          <w:color w:val="auto"/>
          <w:highlight w:val="none"/>
        </w:rPr>
      </w:pPr>
    </w:p>
    <w:p>
      <w:pPr>
        <w:pStyle w:val="2"/>
        <w:rPr>
          <w:color w:val="auto"/>
          <w:highlight w:val="none"/>
        </w:rPr>
      </w:pPr>
    </w:p>
    <w:p>
      <w:pPr>
        <w:rPr>
          <w:color w:val="auto"/>
          <w:highlight w:val="none"/>
        </w:rPr>
      </w:pPr>
    </w:p>
    <w:p>
      <w:pPr>
        <w:pStyle w:val="6"/>
        <w:numPr>
          <w:ilvl w:val="3"/>
          <w:numId w:val="1"/>
        </w:numPr>
        <w:tabs>
          <w:tab w:val="left" w:pos="709"/>
        </w:tabs>
        <w:jc w:val="left"/>
        <w:rPr>
          <w:color w:val="auto"/>
          <w:highlight w:val="none"/>
        </w:rPr>
      </w:pPr>
      <w:r>
        <w:rPr>
          <w:rFonts w:hint="eastAsia"/>
          <w:color w:val="auto"/>
          <w:highlight w:val="none"/>
        </w:rPr>
        <w:t>技术、服务、合同条款要求应答表</w:t>
      </w:r>
    </w:p>
    <w:tbl>
      <w:tblPr>
        <w:tblStyle w:val="45"/>
        <w:tblW w:w="8613" w:type="dxa"/>
        <w:tblInd w:w="2" w:type="dxa"/>
        <w:tblLayout w:type="fixed"/>
        <w:tblCellMar>
          <w:top w:w="0" w:type="dxa"/>
          <w:left w:w="108" w:type="dxa"/>
          <w:bottom w:w="0" w:type="dxa"/>
          <w:right w:w="108" w:type="dxa"/>
        </w:tblCellMar>
      </w:tblPr>
      <w:tblGrid>
        <w:gridCol w:w="877"/>
        <w:gridCol w:w="2990"/>
        <w:gridCol w:w="3452"/>
        <w:gridCol w:w="1294"/>
      </w:tblGrid>
      <w:tr>
        <w:tblPrEx>
          <w:tblCellMar>
            <w:top w:w="0" w:type="dxa"/>
            <w:left w:w="108" w:type="dxa"/>
            <w:bottom w:w="0" w:type="dxa"/>
            <w:right w:w="108" w:type="dxa"/>
          </w:tblCellMar>
        </w:tblPrEx>
        <w:trPr>
          <w:trHeight w:val="81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序号</w:t>
            </w:r>
          </w:p>
        </w:tc>
        <w:tc>
          <w:tcPr>
            <w:tcW w:w="2990"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项目</w:t>
            </w:r>
          </w:p>
        </w:tc>
        <w:tc>
          <w:tcPr>
            <w:tcW w:w="3452"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响应内容</w:t>
            </w:r>
          </w:p>
        </w:tc>
        <w:tc>
          <w:tcPr>
            <w:tcW w:w="1294"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备注</w:t>
            </w:r>
          </w:p>
        </w:tc>
      </w:tr>
      <w:tr>
        <w:tblPrEx>
          <w:tblCellMar>
            <w:top w:w="0" w:type="dxa"/>
            <w:left w:w="108" w:type="dxa"/>
            <w:bottom w:w="0" w:type="dxa"/>
            <w:right w:w="108" w:type="dxa"/>
          </w:tblCellMar>
        </w:tblPrEx>
        <w:trPr>
          <w:trHeight w:val="120"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ascii="宋体" w:hAnsi="宋体" w:cs="仿宋"/>
                <w:color w:val="auto"/>
                <w:highlight w:val="none"/>
              </w:rPr>
              <w:t>1</w:t>
            </w:r>
          </w:p>
        </w:tc>
        <w:tc>
          <w:tcPr>
            <w:tcW w:w="2990"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olor w:val="auto"/>
                <w:highlight w:val="none"/>
              </w:rPr>
              <w:t>项目负责人（项目经理）</w:t>
            </w:r>
          </w:p>
        </w:tc>
        <w:tc>
          <w:tcPr>
            <w:tcW w:w="3452" w:type="dxa"/>
            <w:tcBorders>
              <w:top w:val="single" w:color="auto" w:sz="4" w:space="0"/>
              <w:left w:val="nil"/>
              <w:bottom w:val="single" w:color="auto" w:sz="4" w:space="0"/>
              <w:right w:val="single" w:color="auto" w:sz="4" w:space="0"/>
            </w:tcBorders>
            <w:vAlign w:val="center"/>
          </w:tcPr>
          <w:p>
            <w:pPr>
              <w:spacing w:line="360" w:lineRule="auto"/>
              <w:ind w:right="24" w:rightChars="10"/>
              <w:rPr>
                <w:rFonts w:ascii="宋体" w:hAnsi="宋体"/>
                <w:color w:val="auto"/>
                <w:highlight w:val="none"/>
              </w:rPr>
            </w:pPr>
            <w:r>
              <w:rPr>
                <w:rFonts w:hint="eastAsia" w:ascii="宋体" w:hAnsi="宋体" w:cs="仿宋"/>
                <w:color w:val="auto"/>
                <w:highlight w:val="none"/>
              </w:rPr>
              <w:t>姓名：</w:t>
            </w:r>
          </w:p>
        </w:tc>
        <w:tc>
          <w:tcPr>
            <w:tcW w:w="1294"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p>
        </w:tc>
      </w:tr>
      <w:tr>
        <w:tblPrEx>
          <w:tblCellMar>
            <w:top w:w="0" w:type="dxa"/>
            <w:left w:w="108" w:type="dxa"/>
            <w:bottom w:w="0" w:type="dxa"/>
            <w:right w:w="108" w:type="dxa"/>
          </w:tblCellMar>
        </w:tblPrEx>
        <w:trPr>
          <w:trHeight w:val="690"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s="仿宋"/>
                <w:color w:val="auto"/>
                <w:highlight w:val="none"/>
              </w:rPr>
            </w:pPr>
            <w:r>
              <w:rPr>
                <w:rFonts w:ascii="宋体" w:hAnsi="宋体" w:cs="仿宋"/>
                <w:color w:val="auto"/>
                <w:highlight w:val="none"/>
              </w:rPr>
              <w:t>2</w:t>
            </w:r>
          </w:p>
        </w:tc>
        <w:tc>
          <w:tcPr>
            <w:tcW w:w="2990"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s="仿宋"/>
                <w:color w:val="auto"/>
                <w:highlight w:val="none"/>
              </w:rPr>
            </w:pPr>
            <w:r>
              <w:rPr>
                <w:rFonts w:hint="eastAsia" w:ascii="宋体" w:hAnsi="宋体" w:cs="仿宋"/>
                <w:color w:val="auto"/>
                <w:highlight w:val="none"/>
              </w:rPr>
              <w:t>技术负责人</w:t>
            </w:r>
          </w:p>
        </w:tc>
        <w:tc>
          <w:tcPr>
            <w:tcW w:w="3452" w:type="dxa"/>
            <w:tcBorders>
              <w:top w:val="single" w:color="auto" w:sz="4" w:space="0"/>
              <w:left w:val="nil"/>
              <w:bottom w:val="single" w:color="auto" w:sz="4" w:space="0"/>
              <w:right w:val="single" w:color="auto" w:sz="4" w:space="0"/>
            </w:tcBorders>
            <w:vAlign w:val="center"/>
          </w:tcPr>
          <w:p>
            <w:pPr>
              <w:spacing w:line="360" w:lineRule="auto"/>
              <w:ind w:right="24" w:rightChars="10"/>
              <w:rPr>
                <w:rFonts w:ascii="宋体" w:hAnsi="宋体" w:cs="仿宋"/>
                <w:color w:val="auto"/>
                <w:highlight w:val="none"/>
              </w:rPr>
            </w:pPr>
            <w:r>
              <w:rPr>
                <w:rFonts w:hint="eastAsia" w:ascii="宋体" w:hAnsi="宋体" w:cs="仿宋"/>
                <w:color w:val="auto"/>
                <w:highlight w:val="none"/>
              </w:rPr>
              <w:t>姓名：</w:t>
            </w:r>
          </w:p>
        </w:tc>
        <w:tc>
          <w:tcPr>
            <w:tcW w:w="1294"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p>
        </w:tc>
      </w:tr>
      <w:tr>
        <w:tblPrEx>
          <w:tblCellMar>
            <w:top w:w="0" w:type="dxa"/>
            <w:left w:w="108" w:type="dxa"/>
            <w:bottom w:w="0" w:type="dxa"/>
            <w:right w:w="108" w:type="dxa"/>
          </w:tblCellMar>
        </w:tblPrEx>
        <w:trPr>
          <w:trHeight w:val="81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ascii="宋体" w:hAnsi="宋体" w:cs="仿宋"/>
                <w:color w:val="auto"/>
                <w:highlight w:val="none"/>
              </w:rPr>
              <w:t>3</w:t>
            </w:r>
          </w:p>
        </w:tc>
        <w:tc>
          <w:tcPr>
            <w:tcW w:w="2990"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工期</w:t>
            </w:r>
          </w:p>
        </w:tc>
        <w:tc>
          <w:tcPr>
            <w:tcW w:w="3452" w:type="dxa"/>
            <w:tcBorders>
              <w:top w:val="single" w:color="auto" w:sz="4" w:space="0"/>
              <w:left w:val="nil"/>
              <w:bottom w:val="single" w:color="auto" w:sz="4" w:space="0"/>
              <w:right w:val="single" w:color="auto" w:sz="4" w:space="0"/>
            </w:tcBorders>
            <w:vAlign w:val="center"/>
          </w:tcPr>
          <w:p>
            <w:pPr>
              <w:spacing w:line="360" w:lineRule="auto"/>
              <w:ind w:right="-94" w:rightChars="-39"/>
              <w:rPr>
                <w:rFonts w:hint="default" w:ascii="宋体" w:hAnsi="宋体" w:eastAsia="宋体"/>
                <w:color w:val="auto"/>
                <w:highlight w:val="none"/>
                <w:lang w:val="en-US" w:eastAsia="zh-CN"/>
              </w:rPr>
            </w:pPr>
            <w:r>
              <w:rPr>
                <w:rFonts w:hint="eastAsia" w:ascii="宋体" w:hAnsi="宋体"/>
                <w:color w:val="auto"/>
                <w:highlight w:val="none"/>
                <w:lang w:val="en-US" w:eastAsia="zh-CN"/>
              </w:rPr>
              <w:t>工期总日历天数：  天</w:t>
            </w:r>
          </w:p>
        </w:tc>
        <w:tc>
          <w:tcPr>
            <w:tcW w:w="1294"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p>
        </w:tc>
      </w:tr>
      <w:tr>
        <w:tblPrEx>
          <w:tblCellMar>
            <w:top w:w="0" w:type="dxa"/>
            <w:left w:w="108" w:type="dxa"/>
            <w:bottom w:w="0" w:type="dxa"/>
            <w:right w:w="108" w:type="dxa"/>
          </w:tblCellMar>
        </w:tblPrEx>
        <w:trPr>
          <w:trHeight w:val="81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ascii="宋体" w:hAnsi="宋体" w:cs="仿宋"/>
                <w:color w:val="auto"/>
                <w:highlight w:val="none"/>
              </w:rPr>
              <w:t>4</w:t>
            </w:r>
          </w:p>
        </w:tc>
        <w:tc>
          <w:tcPr>
            <w:tcW w:w="2990"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缺陷责任期</w:t>
            </w:r>
          </w:p>
        </w:tc>
        <w:tc>
          <w:tcPr>
            <w:tcW w:w="3452"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微软雅黑"/>
                <w:color w:val="auto"/>
                <w:highlight w:val="none"/>
                <w:u w:val="single"/>
              </w:rPr>
              <w:t></w:t>
            </w:r>
            <w:r>
              <w:rPr>
                <w:rFonts w:hint="eastAsia" w:ascii="宋体" w:hAnsi="宋体" w:cs="仿宋"/>
                <w:color w:val="auto"/>
                <w:highlight w:val="none"/>
              </w:rPr>
              <w:t>个月</w:t>
            </w:r>
          </w:p>
        </w:tc>
        <w:tc>
          <w:tcPr>
            <w:tcW w:w="1294"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p>
        </w:tc>
      </w:tr>
      <w:tr>
        <w:tblPrEx>
          <w:tblCellMar>
            <w:top w:w="0" w:type="dxa"/>
            <w:left w:w="108" w:type="dxa"/>
            <w:bottom w:w="0" w:type="dxa"/>
            <w:right w:w="108" w:type="dxa"/>
          </w:tblCellMar>
        </w:tblPrEx>
        <w:trPr>
          <w:trHeight w:val="81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ascii="宋体" w:hAnsi="宋体" w:cs="仿宋"/>
                <w:color w:val="auto"/>
                <w:highlight w:val="none"/>
              </w:rPr>
              <w:t>5</w:t>
            </w:r>
          </w:p>
        </w:tc>
        <w:tc>
          <w:tcPr>
            <w:tcW w:w="2990"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分包</w:t>
            </w:r>
          </w:p>
        </w:tc>
        <w:tc>
          <w:tcPr>
            <w:tcW w:w="3452"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p>
        </w:tc>
        <w:tc>
          <w:tcPr>
            <w:tcW w:w="1294"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p>
        </w:tc>
      </w:tr>
      <w:tr>
        <w:tblPrEx>
          <w:tblCellMar>
            <w:top w:w="0" w:type="dxa"/>
            <w:left w:w="108" w:type="dxa"/>
            <w:bottom w:w="0" w:type="dxa"/>
            <w:right w:w="108" w:type="dxa"/>
          </w:tblCellMar>
        </w:tblPrEx>
        <w:trPr>
          <w:trHeight w:val="81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ascii="宋体" w:hAnsi="宋体" w:cs="仿宋"/>
                <w:color w:val="auto"/>
                <w:highlight w:val="none"/>
              </w:rPr>
              <w:t>6</w:t>
            </w:r>
          </w:p>
        </w:tc>
        <w:tc>
          <w:tcPr>
            <w:tcW w:w="2990"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价格调整</w:t>
            </w:r>
          </w:p>
        </w:tc>
        <w:tc>
          <w:tcPr>
            <w:tcW w:w="3452"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94"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p>
        </w:tc>
      </w:tr>
      <w:tr>
        <w:tblPrEx>
          <w:tblCellMar>
            <w:top w:w="0" w:type="dxa"/>
            <w:left w:w="108" w:type="dxa"/>
            <w:bottom w:w="0" w:type="dxa"/>
            <w:right w:w="108" w:type="dxa"/>
          </w:tblCellMar>
        </w:tblPrEx>
        <w:trPr>
          <w:trHeight w:val="81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ascii="宋体" w:hAnsi="宋体" w:cs="仿宋"/>
                <w:color w:val="auto"/>
                <w:highlight w:val="none"/>
              </w:rPr>
              <w:t>7</w:t>
            </w:r>
          </w:p>
        </w:tc>
        <w:tc>
          <w:tcPr>
            <w:tcW w:w="2990"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付款方式</w:t>
            </w:r>
          </w:p>
        </w:tc>
        <w:tc>
          <w:tcPr>
            <w:tcW w:w="3452"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94"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p>
        </w:tc>
      </w:tr>
      <w:tr>
        <w:tblPrEx>
          <w:tblCellMar>
            <w:top w:w="0" w:type="dxa"/>
            <w:left w:w="108" w:type="dxa"/>
            <w:bottom w:w="0" w:type="dxa"/>
            <w:right w:w="108" w:type="dxa"/>
          </w:tblCellMar>
        </w:tblPrEx>
        <w:trPr>
          <w:trHeight w:val="562"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p>
        </w:tc>
        <w:tc>
          <w:tcPr>
            <w:tcW w:w="2990"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p>
        </w:tc>
        <w:tc>
          <w:tcPr>
            <w:tcW w:w="3452"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94"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p>
        </w:tc>
      </w:tr>
      <w:tr>
        <w:tblPrEx>
          <w:tblCellMar>
            <w:top w:w="0" w:type="dxa"/>
            <w:left w:w="108" w:type="dxa"/>
            <w:bottom w:w="0" w:type="dxa"/>
            <w:right w:w="108" w:type="dxa"/>
          </w:tblCellMar>
        </w:tblPrEx>
        <w:trPr>
          <w:trHeight w:val="254"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w:t>
            </w:r>
          </w:p>
        </w:tc>
        <w:tc>
          <w:tcPr>
            <w:tcW w:w="2990"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w:t>
            </w:r>
          </w:p>
        </w:tc>
        <w:tc>
          <w:tcPr>
            <w:tcW w:w="3452"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w:t>
            </w:r>
          </w:p>
        </w:tc>
        <w:tc>
          <w:tcPr>
            <w:tcW w:w="1294"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olor w:val="auto"/>
                <w:highlight w:val="none"/>
              </w:rPr>
            </w:pPr>
            <w:r>
              <w:rPr>
                <w:rFonts w:hint="eastAsia" w:ascii="宋体" w:hAnsi="宋体" w:cs="仿宋"/>
                <w:color w:val="auto"/>
                <w:highlight w:val="none"/>
              </w:rPr>
              <w:t>…</w:t>
            </w:r>
          </w:p>
        </w:tc>
      </w:tr>
    </w:tbl>
    <w:p>
      <w:pPr>
        <w:rPr>
          <w:rFonts w:ascii="宋体" w:hAnsi="宋体"/>
          <w:color w:val="auto"/>
          <w:highlight w:val="none"/>
        </w:rPr>
      </w:pPr>
    </w:p>
    <w:p>
      <w:pPr>
        <w:snapToGrid w:val="0"/>
        <w:spacing w:line="360" w:lineRule="auto"/>
        <w:ind w:firstLine="584" w:firstLineChars="200"/>
        <w:rPr>
          <w:rFonts w:ascii="宋体" w:hAnsi="宋体"/>
          <w:color w:val="auto"/>
          <w:spacing w:val="6"/>
          <w:sz w:val="28"/>
          <w:szCs w:val="28"/>
          <w:highlight w:val="none"/>
        </w:rPr>
      </w:pPr>
      <w:r>
        <w:rPr>
          <w:rFonts w:hint="eastAsia" w:ascii="宋体" w:hAnsi="宋体"/>
          <w:color w:val="auto"/>
          <w:spacing w:val="6"/>
          <w:sz w:val="28"/>
          <w:szCs w:val="28"/>
          <w:highlight w:val="none"/>
        </w:rPr>
        <w:t>注：供应商必须根据磋商文件要求据实逐条填写，不得虚假陈述，否则，其施工响应文件无效并按规定追究其相关责任。</w:t>
      </w:r>
    </w:p>
    <w:p>
      <w:pPr>
        <w:snapToGrid w:val="0"/>
        <w:spacing w:line="360" w:lineRule="auto"/>
        <w:ind w:firstLine="584" w:firstLineChars="200"/>
        <w:rPr>
          <w:rFonts w:ascii="宋体" w:hAnsi="宋体"/>
          <w:color w:val="auto"/>
          <w:spacing w:val="6"/>
          <w:sz w:val="28"/>
          <w:szCs w:val="28"/>
          <w:highlight w:val="none"/>
        </w:rPr>
      </w:pPr>
    </w:p>
    <w:p>
      <w:pPr>
        <w:snapToGrid w:val="0"/>
        <w:spacing w:line="360" w:lineRule="auto"/>
        <w:ind w:firstLine="584" w:firstLineChars="200"/>
        <w:rPr>
          <w:rFonts w:ascii="宋体" w:hAnsi="宋体"/>
          <w:color w:val="auto"/>
          <w:spacing w:val="6"/>
          <w:sz w:val="28"/>
          <w:szCs w:val="28"/>
          <w:highlight w:val="none"/>
        </w:rPr>
      </w:pPr>
      <w:r>
        <w:rPr>
          <w:rFonts w:hint="eastAsia" w:ascii="宋体" w:hAnsi="宋体"/>
          <w:color w:val="auto"/>
          <w:spacing w:val="6"/>
          <w:sz w:val="28"/>
          <w:szCs w:val="28"/>
          <w:highlight w:val="none"/>
        </w:rPr>
        <w:t>供应商名称：</w:t>
      </w:r>
      <w:r>
        <w:rPr>
          <w:rFonts w:hint="eastAsia" w:ascii="宋体" w:hAnsi="宋体"/>
          <w:color w:val="auto"/>
          <w:spacing w:val="6"/>
          <w:sz w:val="28"/>
          <w:szCs w:val="28"/>
          <w:highlight w:val="none"/>
          <w:u w:val="single"/>
        </w:rPr>
        <w:t>　</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u w:val="single"/>
        </w:rPr>
        <w:t>　</w:t>
      </w:r>
    </w:p>
    <w:p>
      <w:pPr>
        <w:snapToGrid w:val="0"/>
        <w:spacing w:line="360" w:lineRule="auto"/>
        <w:ind w:firstLine="584" w:firstLineChars="200"/>
        <w:rPr>
          <w:rFonts w:ascii="宋体" w:hAnsi="宋体"/>
          <w:color w:val="auto"/>
          <w:spacing w:val="6"/>
          <w:sz w:val="28"/>
          <w:szCs w:val="28"/>
          <w:highlight w:val="none"/>
        </w:rPr>
      </w:pPr>
      <w:r>
        <w:rPr>
          <w:rFonts w:hint="eastAsia" w:ascii="宋体" w:hAnsi="宋体"/>
          <w:color w:val="auto"/>
          <w:spacing w:val="6"/>
          <w:sz w:val="28"/>
          <w:szCs w:val="28"/>
          <w:highlight w:val="none"/>
        </w:rPr>
        <w:t>日期：</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rPr>
        <w:t>年</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rPr>
        <w:t>月</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rPr>
        <w:t>日</w:t>
      </w:r>
    </w:p>
    <w:p>
      <w:pPr>
        <w:rPr>
          <w:rFonts w:ascii="宋体" w:hAnsi="宋体"/>
          <w:color w:val="auto"/>
          <w:highlight w:val="none"/>
        </w:rPr>
      </w:pPr>
    </w:p>
    <w:p>
      <w:pPr>
        <w:rPr>
          <w:rFonts w:ascii="宋体" w:hAnsi="宋体"/>
          <w:color w:val="auto"/>
          <w:highlight w:val="none"/>
        </w:rPr>
      </w:pPr>
    </w:p>
    <w:p>
      <w:pPr>
        <w:rPr>
          <w:color w:val="auto"/>
          <w:highlight w:val="none"/>
        </w:rPr>
      </w:pPr>
      <w:r>
        <w:rPr>
          <w:rFonts w:hint="eastAsia"/>
          <w:color w:val="auto"/>
          <w:highlight w:val="none"/>
        </w:rPr>
        <w:br w:type="page"/>
      </w:r>
    </w:p>
    <w:p>
      <w:pPr>
        <w:pStyle w:val="6"/>
        <w:numPr>
          <w:ilvl w:val="3"/>
          <w:numId w:val="1"/>
        </w:numPr>
        <w:tabs>
          <w:tab w:val="left" w:pos="709"/>
        </w:tabs>
        <w:jc w:val="left"/>
        <w:rPr>
          <w:color w:val="auto"/>
          <w:highlight w:val="none"/>
        </w:rPr>
      </w:pPr>
      <w:r>
        <w:rPr>
          <w:rFonts w:hint="eastAsia"/>
          <w:color w:val="auto"/>
          <w:highlight w:val="none"/>
        </w:rPr>
        <w:t>项目管理机构组成表</w:t>
      </w:r>
    </w:p>
    <w:tbl>
      <w:tblPr>
        <w:tblStyle w:val="45"/>
        <w:tblW w:w="9366" w:type="dxa"/>
        <w:jc w:val="center"/>
        <w:tblLayout w:type="fixed"/>
        <w:tblCellMar>
          <w:top w:w="0" w:type="dxa"/>
          <w:left w:w="0" w:type="dxa"/>
          <w:bottom w:w="0" w:type="dxa"/>
          <w:right w:w="0" w:type="dxa"/>
        </w:tblCellMar>
      </w:tblPr>
      <w:tblGrid>
        <w:gridCol w:w="857"/>
        <w:gridCol w:w="1695"/>
        <w:gridCol w:w="1423"/>
        <w:gridCol w:w="1276"/>
        <w:gridCol w:w="1301"/>
        <w:gridCol w:w="1134"/>
        <w:gridCol w:w="1680"/>
      </w:tblGrid>
      <w:tr>
        <w:tblPrEx>
          <w:tblCellMar>
            <w:top w:w="0" w:type="dxa"/>
            <w:left w:w="0" w:type="dxa"/>
            <w:bottom w:w="0" w:type="dxa"/>
            <w:right w:w="0" w:type="dxa"/>
          </w:tblCellMar>
        </w:tblPrEx>
        <w:trPr>
          <w:trHeight w:val="614" w:hRule="atLeast"/>
          <w:jc w:val="center"/>
        </w:trPr>
        <w:tc>
          <w:tcPr>
            <w:tcW w:w="857" w:type="dxa"/>
            <w:vMerge w:val="restart"/>
            <w:tcBorders>
              <w:top w:val="single" w:color="auto" w:sz="4" w:space="0"/>
              <w:left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序号</w:t>
            </w:r>
          </w:p>
        </w:tc>
        <w:tc>
          <w:tcPr>
            <w:tcW w:w="1695" w:type="dxa"/>
            <w:vMerge w:val="restart"/>
            <w:tcBorders>
              <w:top w:val="single" w:color="auto" w:sz="4" w:space="0"/>
              <w:left w:val="nil"/>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职务</w:t>
            </w:r>
          </w:p>
        </w:tc>
        <w:tc>
          <w:tcPr>
            <w:tcW w:w="1423" w:type="dxa"/>
            <w:vMerge w:val="restart"/>
            <w:tcBorders>
              <w:top w:val="single" w:color="auto" w:sz="4" w:space="0"/>
              <w:left w:val="nil"/>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姓名</w:t>
            </w:r>
          </w:p>
        </w:tc>
        <w:tc>
          <w:tcPr>
            <w:tcW w:w="2577" w:type="dxa"/>
            <w:gridSpan w:val="2"/>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执业或职业资格</w:t>
            </w:r>
          </w:p>
        </w:tc>
        <w:tc>
          <w:tcPr>
            <w:tcW w:w="2814" w:type="dxa"/>
            <w:gridSpan w:val="2"/>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职称</w:t>
            </w:r>
          </w:p>
        </w:tc>
      </w:tr>
      <w:tr>
        <w:tblPrEx>
          <w:tblCellMar>
            <w:top w:w="0" w:type="dxa"/>
            <w:left w:w="0" w:type="dxa"/>
            <w:bottom w:w="0" w:type="dxa"/>
            <w:right w:w="0" w:type="dxa"/>
          </w:tblCellMar>
        </w:tblPrEx>
        <w:trPr>
          <w:trHeight w:val="614" w:hRule="atLeast"/>
          <w:jc w:val="center"/>
        </w:trPr>
        <w:tc>
          <w:tcPr>
            <w:tcW w:w="857" w:type="dxa"/>
            <w:vMerge w:val="continue"/>
            <w:tcBorders>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695" w:type="dxa"/>
            <w:vMerge w:val="continue"/>
            <w:tcBorders>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423" w:type="dxa"/>
            <w:vMerge w:val="continue"/>
            <w:tcBorders>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证书名称</w:t>
            </w: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证书编号</w:t>
            </w: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职称专业</w:t>
            </w:r>
          </w:p>
        </w:tc>
        <w:tc>
          <w:tcPr>
            <w:tcW w:w="1680"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级别</w:t>
            </w: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ascii="宋体" w:hAnsi="宋体" w:cs="仿宋"/>
                <w:color w:val="auto"/>
                <w:highlight w:val="none"/>
              </w:rPr>
              <w:t>1</w:t>
            </w:r>
          </w:p>
        </w:tc>
        <w:tc>
          <w:tcPr>
            <w:tcW w:w="169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项目负责人</w:t>
            </w:r>
          </w:p>
          <w:p>
            <w:pPr>
              <w:spacing w:line="360" w:lineRule="auto"/>
              <w:jc w:val="center"/>
              <w:rPr>
                <w:rFonts w:ascii="宋体" w:hAnsi="宋体"/>
                <w:color w:val="auto"/>
                <w:highlight w:val="none"/>
              </w:rPr>
            </w:pPr>
            <w:r>
              <w:rPr>
                <w:rFonts w:hint="eastAsia" w:ascii="宋体" w:hAnsi="宋体" w:cs="仿宋"/>
                <w:color w:val="auto"/>
                <w:highlight w:val="none"/>
              </w:rPr>
              <w:t>（项目经理）</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ascii="宋体" w:hAnsi="宋体" w:cs="仿宋"/>
                <w:color w:val="auto"/>
                <w:highlight w:val="none"/>
              </w:rPr>
              <w:t>2</w:t>
            </w:r>
          </w:p>
        </w:tc>
        <w:tc>
          <w:tcPr>
            <w:tcW w:w="1695" w:type="dxa"/>
            <w:tcBorders>
              <w:top w:val="single" w:color="auto" w:sz="4" w:space="0"/>
              <w:left w:val="nil"/>
              <w:bottom w:val="single" w:color="auto" w:sz="4" w:space="0"/>
              <w:right w:val="single" w:color="auto" w:sz="4" w:space="0"/>
            </w:tcBorders>
            <w:vAlign w:val="center"/>
          </w:tcPr>
          <w:p>
            <w:pPr>
              <w:spacing w:line="360" w:lineRule="auto"/>
              <w:rPr>
                <w:rFonts w:ascii="宋体" w:hAnsi="宋体"/>
                <w:color w:val="auto"/>
                <w:highlight w:val="none"/>
              </w:rPr>
            </w:pPr>
            <w:r>
              <w:rPr>
                <w:rFonts w:hint="eastAsia" w:ascii="宋体" w:hAnsi="宋体" w:cs="仿宋"/>
                <w:color w:val="auto"/>
                <w:highlight w:val="none"/>
              </w:rPr>
              <w:t>项目技术负责人</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ascii="宋体" w:hAnsi="宋体" w:cs="仿宋"/>
                <w:color w:val="auto"/>
                <w:highlight w:val="none"/>
              </w:rPr>
              <w:t>3</w:t>
            </w:r>
          </w:p>
        </w:tc>
        <w:tc>
          <w:tcPr>
            <w:tcW w:w="169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施工员</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ascii="宋体" w:hAnsi="宋体" w:cs="仿宋"/>
                <w:color w:val="auto"/>
                <w:highlight w:val="none"/>
              </w:rPr>
              <w:t>4</w:t>
            </w:r>
          </w:p>
        </w:tc>
        <w:tc>
          <w:tcPr>
            <w:tcW w:w="169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质量员</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ascii="宋体" w:hAnsi="宋体" w:cs="仿宋"/>
                <w:color w:val="auto"/>
                <w:highlight w:val="none"/>
              </w:rPr>
              <w:t>5</w:t>
            </w:r>
          </w:p>
        </w:tc>
        <w:tc>
          <w:tcPr>
            <w:tcW w:w="169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安全员</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w:t>
            </w:r>
          </w:p>
        </w:tc>
        <w:tc>
          <w:tcPr>
            <w:tcW w:w="169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r>
    </w:tbl>
    <w:p>
      <w:pPr>
        <w:rPr>
          <w:rFonts w:ascii="宋体" w:hAnsi="宋体"/>
          <w:color w:val="auto"/>
          <w:highlight w:val="none"/>
        </w:rPr>
      </w:pPr>
    </w:p>
    <w:p>
      <w:pPr>
        <w:rPr>
          <w:rFonts w:ascii="宋体" w:hAnsi="宋体"/>
          <w:color w:val="auto"/>
          <w:highlight w:val="none"/>
        </w:rPr>
      </w:pPr>
    </w:p>
    <w:p>
      <w:pPr>
        <w:spacing w:line="360" w:lineRule="auto"/>
        <w:ind w:left="410" w:leftChars="171"/>
        <w:rPr>
          <w:rFonts w:ascii="宋体" w:hAnsi="宋体"/>
          <w:color w:val="auto"/>
          <w:highlight w:val="none"/>
        </w:rPr>
      </w:pPr>
    </w:p>
    <w:p>
      <w:pPr>
        <w:snapToGrid w:val="0"/>
        <w:spacing w:line="360" w:lineRule="auto"/>
        <w:ind w:firstLine="584" w:firstLineChars="200"/>
        <w:rPr>
          <w:rFonts w:ascii="宋体" w:hAnsi="宋体"/>
          <w:color w:val="auto"/>
          <w:spacing w:val="6"/>
          <w:sz w:val="28"/>
          <w:szCs w:val="28"/>
          <w:highlight w:val="none"/>
        </w:rPr>
      </w:pPr>
      <w:r>
        <w:rPr>
          <w:rFonts w:hint="eastAsia" w:ascii="宋体" w:hAnsi="宋体"/>
          <w:color w:val="auto"/>
          <w:spacing w:val="6"/>
          <w:sz w:val="28"/>
          <w:szCs w:val="28"/>
          <w:highlight w:val="none"/>
        </w:rPr>
        <w:t>供应商名称：</w:t>
      </w:r>
      <w:r>
        <w:rPr>
          <w:rFonts w:hint="eastAsia" w:ascii="宋体" w:hAnsi="宋体"/>
          <w:color w:val="auto"/>
          <w:spacing w:val="6"/>
          <w:sz w:val="28"/>
          <w:szCs w:val="28"/>
          <w:highlight w:val="none"/>
          <w:u w:val="single"/>
        </w:rPr>
        <w:t>　</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u w:val="single"/>
        </w:rPr>
        <w:t>　</w:t>
      </w:r>
    </w:p>
    <w:p>
      <w:pPr>
        <w:snapToGrid w:val="0"/>
        <w:spacing w:line="360" w:lineRule="auto"/>
        <w:ind w:firstLine="584" w:firstLineChars="200"/>
        <w:rPr>
          <w:rFonts w:ascii="宋体" w:hAnsi="宋体"/>
          <w:color w:val="auto"/>
          <w:spacing w:val="6"/>
          <w:sz w:val="28"/>
          <w:szCs w:val="28"/>
          <w:highlight w:val="none"/>
        </w:rPr>
      </w:pPr>
      <w:r>
        <w:rPr>
          <w:rFonts w:hint="eastAsia" w:ascii="宋体" w:hAnsi="宋体"/>
          <w:color w:val="auto"/>
          <w:spacing w:val="6"/>
          <w:sz w:val="28"/>
          <w:szCs w:val="28"/>
          <w:highlight w:val="none"/>
        </w:rPr>
        <w:t>日期：</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rPr>
        <w:t>年</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rPr>
        <w:t>月</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rPr>
        <w:t>日</w:t>
      </w:r>
    </w:p>
    <w:p>
      <w:pPr>
        <w:spacing w:line="360" w:lineRule="auto"/>
        <w:rPr>
          <w:rFonts w:ascii="宋体" w:hAnsi="宋体" w:cs="仿宋"/>
          <w:color w:val="auto"/>
          <w:highlight w:val="none"/>
        </w:rPr>
      </w:pPr>
    </w:p>
    <w:p>
      <w:pPr>
        <w:spacing w:line="360" w:lineRule="auto"/>
        <w:rPr>
          <w:rFonts w:ascii="宋体" w:hAnsi="宋体" w:cs="仿宋"/>
          <w:color w:val="auto"/>
          <w:highlight w:val="none"/>
        </w:rPr>
      </w:pPr>
      <w:r>
        <w:rPr>
          <w:rFonts w:hint="eastAsia" w:ascii="宋体" w:hAnsi="宋体" w:cs="仿宋"/>
          <w:b/>
          <w:color w:val="auto"/>
          <w:highlight w:val="none"/>
        </w:rPr>
        <w:t>注：</w:t>
      </w:r>
      <w:r>
        <w:rPr>
          <w:rFonts w:hint="eastAsia" w:ascii="宋体" w:hAnsi="宋体" w:cs="仿宋"/>
          <w:color w:val="auto"/>
          <w:highlight w:val="none"/>
        </w:rPr>
        <w:t>为降低供应商参加政府采购活动成本，除项目负责人、项目技术负责人以外，该表中的施工员、质量员、安全员等可以在供应商成交后在政府采购合同中约定，不得要求必须在参加采购活动前提供该类工作人员信息，如需办理施工许可证，人员配备需满足办理施工许可证相关要求。</w:t>
      </w:r>
    </w:p>
    <w:p>
      <w:pPr>
        <w:spacing w:line="360" w:lineRule="auto"/>
        <w:rPr>
          <w:rFonts w:ascii="宋体" w:hAnsi="宋体" w:cs="仿宋"/>
          <w:color w:val="auto"/>
          <w:highlight w:val="none"/>
        </w:rPr>
      </w:pPr>
    </w:p>
    <w:p>
      <w:pPr>
        <w:spacing w:line="360" w:lineRule="auto"/>
        <w:rPr>
          <w:rFonts w:ascii="宋体" w:hAnsi="宋体" w:cs="仿宋"/>
          <w:color w:val="auto"/>
          <w:highlight w:val="none"/>
        </w:rPr>
      </w:pPr>
    </w:p>
    <w:p>
      <w:pPr>
        <w:spacing w:line="360" w:lineRule="auto"/>
        <w:rPr>
          <w:rFonts w:ascii="宋体" w:hAnsi="宋体" w:cs="仿宋"/>
          <w:color w:val="auto"/>
          <w:highlight w:val="none"/>
        </w:rPr>
      </w:pPr>
    </w:p>
    <w:p>
      <w:pPr>
        <w:spacing w:line="360" w:lineRule="auto"/>
        <w:rPr>
          <w:rFonts w:ascii="宋体" w:hAnsi="宋体" w:cs="仿宋"/>
          <w:color w:val="auto"/>
          <w:highlight w:val="none"/>
        </w:rPr>
      </w:pPr>
    </w:p>
    <w:p>
      <w:pPr>
        <w:spacing w:line="360" w:lineRule="auto"/>
        <w:rPr>
          <w:rFonts w:ascii="宋体" w:hAnsi="宋体" w:cs="仿宋"/>
          <w:color w:val="auto"/>
          <w:highlight w:val="none"/>
        </w:rPr>
      </w:pPr>
    </w:p>
    <w:p>
      <w:pPr>
        <w:spacing w:line="360" w:lineRule="auto"/>
        <w:rPr>
          <w:rFonts w:ascii="宋体" w:hAnsi="宋体"/>
          <w:color w:val="auto"/>
          <w:highlight w:val="none"/>
        </w:rPr>
      </w:pPr>
    </w:p>
    <w:p>
      <w:pPr>
        <w:pStyle w:val="6"/>
        <w:numPr>
          <w:ilvl w:val="3"/>
          <w:numId w:val="1"/>
        </w:numPr>
        <w:tabs>
          <w:tab w:val="left" w:pos="709"/>
        </w:tabs>
        <w:jc w:val="left"/>
        <w:rPr>
          <w:color w:val="auto"/>
          <w:highlight w:val="none"/>
        </w:rPr>
      </w:pPr>
      <w:r>
        <w:rPr>
          <w:rFonts w:hint="eastAsia"/>
          <w:color w:val="auto"/>
          <w:highlight w:val="none"/>
        </w:rPr>
        <w:t>相关管理机构主要人员简历表</w:t>
      </w:r>
    </w:p>
    <w:tbl>
      <w:tblPr>
        <w:tblStyle w:val="45"/>
        <w:tblW w:w="9406" w:type="dxa"/>
        <w:jc w:val="center"/>
        <w:tblLayout w:type="fixed"/>
        <w:tblCellMar>
          <w:top w:w="0" w:type="dxa"/>
          <w:left w:w="0" w:type="dxa"/>
          <w:bottom w:w="0" w:type="dxa"/>
          <w:right w:w="0" w:type="dxa"/>
        </w:tblCellMar>
      </w:tblPr>
      <w:tblGrid>
        <w:gridCol w:w="1595"/>
        <w:gridCol w:w="25"/>
        <w:gridCol w:w="1215"/>
        <w:gridCol w:w="1134"/>
        <w:gridCol w:w="1276"/>
        <w:gridCol w:w="1843"/>
        <w:gridCol w:w="2318"/>
      </w:tblGrid>
      <w:tr>
        <w:tblPrEx>
          <w:tblCellMar>
            <w:top w:w="0" w:type="dxa"/>
            <w:left w:w="0" w:type="dxa"/>
            <w:bottom w:w="0" w:type="dxa"/>
            <w:right w:w="0" w:type="dxa"/>
          </w:tblCellMar>
        </w:tblPrEx>
        <w:trPr>
          <w:trHeight w:val="463" w:hRule="atLeast"/>
          <w:jc w:val="center"/>
        </w:trPr>
        <w:tc>
          <w:tcPr>
            <w:tcW w:w="159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姓名</w:t>
            </w:r>
          </w:p>
        </w:tc>
        <w:tc>
          <w:tcPr>
            <w:tcW w:w="1240" w:type="dxa"/>
            <w:gridSpan w:val="2"/>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年龄</w:t>
            </w:r>
          </w:p>
        </w:tc>
        <w:tc>
          <w:tcPr>
            <w:tcW w:w="5437" w:type="dxa"/>
            <w:gridSpan w:val="3"/>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451" w:hRule="atLeast"/>
          <w:jc w:val="center"/>
        </w:trPr>
        <w:tc>
          <w:tcPr>
            <w:tcW w:w="159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职称</w:t>
            </w:r>
          </w:p>
        </w:tc>
        <w:tc>
          <w:tcPr>
            <w:tcW w:w="1240" w:type="dxa"/>
            <w:gridSpan w:val="2"/>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职务</w:t>
            </w:r>
          </w:p>
        </w:tc>
        <w:tc>
          <w:tcPr>
            <w:tcW w:w="1276" w:type="dxa"/>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c>
          <w:tcPr>
            <w:tcW w:w="184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拟在本合同任职</w:t>
            </w:r>
          </w:p>
        </w:tc>
        <w:tc>
          <w:tcPr>
            <w:tcW w:w="2318" w:type="dxa"/>
            <w:tcBorders>
              <w:top w:val="single" w:color="auto" w:sz="4" w:space="0"/>
              <w:left w:val="nil"/>
              <w:bottom w:val="single" w:color="auto" w:sz="4" w:space="0"/>
              <w:right w:val="single" w:color="auto" w:sz="4" w:space="0"/>
            </w:tcBorders>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613" w:hRule="atLeast"/>
          <w:jc w:val="center"/>
        </w:trPr>
        <w:tc>
          <w:tcPr>
            <w:tcW w:w="9406" w:type="dxa"/>
            <w:gridSpan w:val="7"/>
            <w:tcBorders>
              <w:top w:val="single" w:color="auto" w:sz="4" w:space="0"/>
              <w:left w:val="single" w:color="auto" w:sz="4" w:space="0"/>
              <w:bottom w:val="single" w:color="auto" w:sz="4" w:space="0"/>
              <w:right w:val="single" w:color="auto" w:sz="4" w:space="0"/>
            </w:tcBorders>
            <w:vAlign w:val="center"/>
          </w:tcPr>
          <w:p>
            <w:pPr>
              <w:spacing w:line="360" w:lineRule="auto"/>
              <w:ind w:firstLine="4800" w:firstLineChars="2000"/>
              <w:rPr>
                <w:rFonts w:ascii="宋体" w:hAnsi="宋体"/>
                <w:color w:val="auto"/>
                <w:highlight w:val="none"/>
              </w:rPr>
            </w:pPr>
            <w:r>
              <w:rPr>
                <w:rFonts w:hint="eastAsia" w:ascii="宋体" w:hAnsi="宋体" w:cs="仿宋"/>
                <w:color w:val="auto"/>
                <w:highlight w:val="none"/>
              </w:rPr>
              <w:t>主要工作经历</w:t>
            </w:r>
          </w:p>
        </w:tc>
      </w:tr>
      <w:tr>
        <w:tblPrEx>
          <w:tblCellMar>
            <w:top w:w="0" w:type="dxa"/>
            <w:left w:w="0" w:type="dxa"/>
            <w:bottom w:w="0" w:type="dxa"/>
            <w:right w:w="0" w:type="dxa"/>
          </w:tblCellMar>
        </w:tblPrEx>
        <w:trPr>
          <w:trHeight w:val="613" w:hRule="atLeast"/>
          <w:jc w:val="center"/>
        </w:trPr>
        <w:tc>
          <w:tcPr>
            <w:tcW w:w="162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时间</w:t>
            </w:r>
          </w:p>
        </w:tc>
        <w:tc>
          <w:tcPr>
            <w:tcW w:w="3625" w:type="dxa"/>
            <w:gridSpan w:val="3"/>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项目名称</w:t>
            </w:r>
          </w:p>
        </w:tc>
        <w:tc>
          <w:tcPr>
            <w:tcW w:w="184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担任职务</w:t>
            </w:r>
          </w:p>
        </w:tc>
        <w:tc>
          <w:tcPr>
            <w:tcW w:w="231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发包人</w:t>
            </w:r>
          </w:p>
        </w:tc>
      </w:tr>
      <w:tr>
        <w:tblPrEx>
          <w:tblCellMar>
            <w:top w:w="0" w:type="dxa"/>
            <w:left w:w="0" w:type="dxa"/>
            <w:bottom w:w="0" w:type="dxa"/>
            <w:right w:w="0" w:type="dxa"/>
          </w:tblCellMar>
        </w:tblPrEx>
        <w:trPr>
          <w:trHeight w:val="613" w:hRule="atLeast"/>
          <w:jc w:val="center"/>
        </w:trPr>
        <w:tc>
          <w:tcPr>
            <w:tcW w:w="162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3625" w:type="dxa"/>
            <w:gridSpan w:val="3"/>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84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231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613" w:hRule="atLeast"/>
          <w:jc w:val="center"/>
        </w:trPr>
        <w:tc>
          <w:tcPr>
            <w:tcW w:w="162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3625" w:type="dxa"/>
            <w:gridSpan w:val="3"/>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84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231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r>
      <w:tr>
        <w:tblPrEx>
          <w:tblCellMar>
            <w:top w:w="0" w:type="dxa"/>
            <w:left w:w="0" w:type="dxa"/>
            <w:bottom w:w="0" w:type="dxa"/>
            <w:right w:w="0" w:type="dxa"/>
          </w:tblCellMar>
        </w:tblPrEx>
        <w:trPr>
          <w:trHeight w:val="613" w:hRule="atLeast"/>
          <w:jc w:val="center"/>
        </w:trPr>
        <w:tc>
          <w:tcPr>
            <w:tcW w:w="162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3625" w:type="dxa"/>
            <w:gridSpan w:val="3"/>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184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c>
          <w:tcPr>
            <w:tcW w:w="231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olor w:val="auto"/>
                <w:highlight w:val="none"/>
              </w:rPr>
            </w:pPr>
          </w:p>
        </w:tc>
      </w:tr>
    </w:tbl>
    <w:p>
      <w:pPr>
        <w:spacing w:line="360" w:lineRule="auto"/>
        <w:ind w:left="120" w:hanging="120" w:hangingChars="50"/>
        <w:rPr>
          <w:rFonts w:ascii="宋体" w:hAnsi="宋体"/>
          <w:b/>
          <w:color w:val="auto"/>
          <w:highlight w:val="none"/>
        </w:rPr>
      </w:pPr>
      <w:r>
        <w:rPr>
          <w:rFonts w:hint="eastAsia" w:ascii="宋体" w:hAnsi="宋体" w:cs="仿宋"/>
          <w:b/>
          <w:color w:val="auto"/>
          <w:highlight w:val="none"/>
        </w:rPr>
        <w:t>注：</w:t>
      </w:r>
    </w:p>
    <w:p>
      <w:pPr>
        <w:spacing w:line="360" w:lineRule="auto"/>
        <w:ind w:left="120" w:hanging="120" w:hangingChars="50"/>
        <w:rPr>
          <w:rFonts w:ascii="宋体" w:hAnsi="宋体"/>
          <w:color w:val="auto"/>
          <w:highlight w:val="none"/>
        </w:rPr>
      </w:pPr>
      <w:r>
        <w:rPr>
          <w:rFonts w:ascii="宋体" w:hAnsi="宋体" w:cs="仿宋"/>
          <w:color w:val="auto"/>
          <w:highlight w:val="none"/>
        </w:rPr>
        <w:t>1</w:t>
      </w:r>
      <w:r>
        <w:rPr>
          <w:rFonts w:hint="eastAsia" w:ascii="宋体" w:hAnsi="宋体" w:cs="仿宋"/>
          <w:color w:val="auto"/>
          <w:highlight w:val="none"/>
        </w:rPr>
        <w:t>、人员应附身份证复印件。</w:t>
      </w:r>
    </w:p>
    <w:p>
      <w:pPr>
        <w:spacing w:line="360" w:lineRule="auto"/>
        <w:ind w:left="120" w:hanging="120" w:hangingChars="50"/>
        <w:rPr>
          <w:rFonts w:ascii="宋体" w:hAnsi="宋体"/>
          <w:color w:val="auto"/>
          <w:highlight w:val="none"/>
        </w:rPr>
      </w:pPr>
      <w:r>
        <w:rPr>
          <w:rFonts w:ascii="宋体" w:hAnsi="宋体" w:cs="仿宋"/>
          <w:color w:val="auto"/>
          <w:highlight w:val="none"/>
        </w:rPr>
        <w:t>2</w:t>
      </w:r>
      <w:r>
        <w:rPr>
          <w:rFonts w:hint="eastAsia" w:ascii="宋体" w:hAnsi="宋体" w:cs="仿宋"/>
          <w:color w:val="auto"/>
          <w:highlight w:val="none"/>
        </w:rPr>
        <w:t>、人员应附执业或职业资格证或上岗证或职称证复印件。</w:t>
      </w:r>
    </w:p>
    <w:p>
      <w:pPr>
        <w:rPr>
          <w:rFonts w:ascii="宋体" w:hAnsi="宋体"/>
          <w:color w:val="auto"/>
          <w:highlight w:val="none"/>
        </w:rPr>
      </w:pPr>
    </w:p>
    <w:p>
      <w:pPr>
        <w:pStyle w:val="2"/>
        <w:rPr>
          <w:rFonts w:ascii="宋体" w:hAnsi="宋体"/>
          <w:color w:val="auto"/>
          <w:highlight w:val="none"/>
        </w:rPr>
      </w:pPr>
    </w:p>
    <w:p>
      <w:pPr>
        <w:rPr>
          <w:rFonts w:ascii="宋体" w:hAnsi="宋体"/>
          <w:color w:val="auto"/>
          <w:highlight w:val="none"/>
        </w:rPr>
      </w:pPr>
    </w:p>
    <w:p>
      <w:pPr>
        <w:pStyle w:val="2"/>
        <w:rPr>
          <w:rFonts w:ascii="宋体" w:hAnsi="宋体"/>
          <w:color w:val="auto"/>
          <w:highlight w:val="none"/>
        </w:rPr>
      </w:pPr>
    </w:p>
    <w:p>
      <w:pPr>
        <w:rPr>
          <w:rFonts w:ascii="宋体" w:hAnsi="宋体"/>
          <w:color w:val="auto"/>
          <w:highlight w:val="none"/>
        </w:rPr>
      </w:pPr>
    </w:p>
    <w:p>
      <w:pPr>
        <w:pStyle w:val="2"/>
        <w:rPr>
          <w:rFonts w:ascii="宋体" w:hAnsi="宋体"/>
          <w:color w:val="auto"/>
          <w:highlight w:val="none"/>
        </w:rPr>
      </w:pPr>
    </w:p>
    <w:p>
      <w:pPr>
        <w:pStyle w:val="6"/>
        <w:tabs>
          <w:tab w:val="left" w:pos="709"/>
        </w:tabs>
        <w:ind w:left="1135" w:hanging="1135"/>
        <w:jc w:val="left"/>
        <w:rPr>
          <w:color w:val="auto"/>
          <w:highlight w:val="none"/>
        </w:rPr>
      </w:pPr>
      <w:r>
        <w:rPr>
          <w:rFonts w:hint="eastAsia"/>
          <w:color w:val="auto"/>
          <w:highlight w:val="none"/>
        </w:rPr>
        <w:t>报价要求响应文件</w:t>
      </w:r>
    </w:p>
    <w:p>
      <w:pPr>
        <w:pStyle w:val="6"/>
        <w:numPr>
          <w:ilvl w:val="3"/>
          <w:numId w:val="1"/>
        </w:numPr>
        <w:tabs>
          <w:tab w:val="left" w:pos="709"/>
        </w:tabs>
        <w:jc w:val="left"/>
        <w:rPr>
          <w:color w:val="auto"/>
          <w:highlight w:val="none"/>
        </w:rPr>
      </w:pPr>
      <w:r>
        <w:rPr>
          <w:rFonts w:hint="eastAsia"/>
          <w:color w:val="auto"/>
          <w:highlight w:val="none"/>
        </w:rPr>
        <w:t>已标价工程量清单</w:t>
      </w:r>
    </w:p>
    <w:p>
      <w:pPr>
        <w:snapToGrid w:val="0"/>
        <w:spacing w:line="360" w:lineRule="auto"/>
        <w:ind w:firstLine="584" w:firstLineChars="200"/>
        <w:rPr>
          <w:rFonts w:ascii="宋体" w:hAnsi="宋体"/>
          <w:color w:val="auto"/>
          <w:spacing w:val="6"/>
          <w:sz w:val="28"/>
          <w:szCs w:val="28"/>
          <w:highlight w:val="none"/>
        </w:rPr>
      </w:pPr>
    </w:p>
    <w:p>
      <w:pPr>
        <w:snapToGrid w:val="0"/>
        <w:spacing w:line="360" w:lineRule="auto"/>
        <w:ind w:firstLine="584" w:firstLineChars="200"/>
        <w:rPr>
          <w:rFonts w:ascii="宋体" w:hAnsi="宋体"/>
          <w:color w:val="auto"/>
          <w:spacing w:val="6"/>
          <w:sz w:val="28"/>
          <w:szCs w:val="28"/>
          <w:highlight w:val="none"/>
        </w:rPr>
      </w:pPr>
      <w:r>
        <w:rPr>
          <w:rFonts w:hint="eastAsia" w:ascii="宋体" w:hAnsi="宋体"/>
          <w:color w:val="auto"/>
          <w:spacing w:val="6"/>
          <w:sz w:val="28"/>
          <w:szCs w:val="28"/>
          <w:highlight w:val="none"/>
        </w:rPr>
        <w:t>已标价工程量清单应符合磋商文件“第二章磋商须知”第2.4.3条报价货币及报价要求的相关要求以及工程量清单总说明的相关要求。</w:t>
      </w:r>
    </w:p>
    <w:p>
      <w:pPr>
        <w:pStyle w:val="2"/>
        <w:rPr>
          <w:rFonts w:ascii="宋体" w:hAnsi="宋体"/>
          <w:color w:val="auto"/>
          <w:highlight w:val="none"/>
        </w:rPr>
      </w:pPr>
    </w:p>
    <w:p>
      <w:pPr>
        <w:rPr>
          <w:rFonts w:ascii="宋体" w:hAnsi="宋体"/>
          <w:color w:val="auto"/>
          <w:highlight w:val="none"/>
        </w:rPr>
      </w:pPr>
    </w:p>
    <w:bookmarkEnd w:id="91"/>
    <w:p>
      <w:pPr>
        <w:rPr>
          <w:color w:val="auto"/>
          <w:highlight w:val="none"/>
        </w:rPr>
      </w:pPr>
      <w:bookmarkStart w:id="92" w:name="_Toc72938441"/>
    </w:p>
    <w:p>
      <w:pPr>
        <w:pStyle w:val="4"/>
        <w:numPr>
          <w:ilvl w:val="0"/>
          <w:numId w:val="1"/>
        </w:numPr>
        <w:spacing w:before="0" w:after="0"/>
        <w:ind w:left="0" w:firstLine="0"/>
        <w:rPr>
          <w:color w:val="auto"/>
          <w:highlight w:val="none"/>
        </w:rPr>
      </w:pPr>
      <w:bookmarkStart w:id="93" w:name="_Toc26958"/>
      <w:bookmarkStart w:id="94" w:name="_Toc10541"/>
      <w:r>
        <w:rPr>
          <w:rFonts w:hint="eastAsia"/>
          <w:color w:val="auto"/>
          <w:highlight w:val="none"/>
        </w:rPr>
        <w:t>技术、服务、商务及其他要求</w:t>
      </w:r>
      <w:bookmarkEnd w:id="92"/>
      <w:bookmarkEnd w:id="93"/>
      <w:bookmarkEnd w:id="94"/>
    </w:p>
    <w:p>
      <w:pPr>
        <w:ind w:firstLine="562" w:firstLineChars="200"/>
        <w:rPr>
          <w:rFonts w:ascii="宋体" w:hAnsi="宋体"/>
          <w:b/>
          <w:color w:val="auto"/>
          <w:sz w:val="28"/>
          <w:szCs w:val="28"/>
          <w:highlight w:val="none"/>
        </w:rPr>
      </w:pPr>
      <w:r>
        <w:rPr>
          <w:rFonts w:ascii="宋体" w:hAnsi="宋体"/>
          <w:b/>
          <w:color w:val="auto"/>
          <w:sz w:val="28"/>
          <w:szCs w:val="28"/>
          <w:highlight w:val="none"/>
        </w:rPr>
        <w:t>本章采购需求中标注“</w:t>
      </w:r>
      <w:r>
        <w:rPr>
          <w:rFonts w:hint="eastAsia" w:ascii="宋体" w:hAnsi="宋体"/>
          <w:b/>
          <w:color w:val="auto"/>
          <w:sz w:val="28"/>
          <w:szCs w:val="28"/>
          <w:highlight w:val="none"/>
        </w:rPr>
        <w:t>★</w:t>
      </w:r>
      <w:r>
        <w:rPr>
          <w:rFonts w:ascii="宋体" w:hAnsi="宋体"/>
          <w:b/>
          <w:color w:val="auto"/>
          <w:sz w:val="28"/>
          <w:szCs w:val="28"/>
          <w:highlight w:val="none"/>
        </w:rPr>
        <w:t>”号的条款为本次采购项目的实质性要求，供应商</w:t>
      </w:r>
      <w:r>
        <w:rPr>
          <w:rFonts w:hint="eastAsia" w:ascii="宋体" w:hAnsi="宋体"/>
          <w:b/>
          <w:color w:val="auto"/>
          <w:sz w:val="28"/>
          <w:szCs w:val="28"/>
          <w:highlight w:val="none"/>
        </w:rPr>
        <w:t>在磋商</w:t>
      </w:r>
      <w:r>
        <w:rPr>
          <w:rFonts w:ascii="宋体" w:hAnsi="宋体"/>
          <w:b/>
          <w:color w:val="auto"/>
          <w:sz w:val="28"/>
          <w:szCs w:val="28"/>
          <w:highlight w:val="none"/>
        </w:rPr>
        <w:t>结束后应全部满足</w:t>
      </w:r>
      <w:r>
        <w:rPr>
          <w:rFonts w:hint="eastAsia" w:ascii="宋体" w:hAnsi="宋体"/>
          <w:b/>
          <w:color w:val="auto"/>
          <w:sz w:val="28"/>
          <w:szCs w:val="28"/>
          <w:highlight w:val="none"/>
        </w:rPr>
        <w:t>。</w:t>
      </w:r>
    </w:p>
    <w:p>
      <w:pPr>
        <w:pStyle w:val="5"/>
        <w:tabs>
          <w:tab w:val="left" w:pos="576"/>
          <w:tab w:val="clear" w:pos="567"/>
        </w:tabs>
        <w:rPr>
          <w:color w:val="auto"/>
          <w:highlight w:val="none"/>
        </w:rPr>
      </w:pPr>
      <w:bookmarkStart w:id="95" w:name="_Toc9104"/>
      <w:bookmarkStart w:id="96" w:name="_Toc60658339"/>
      <w:bookmarkStart w:id="97" w:name="_Toc72938442"/>
      <w:bookmarkStart w:id="98" w:name="_Toc7315"/>
      <w:bookmarkStart w:id="99" w:name="_Toc496702872"/>
      <w:bookmarkStart w:id="100" w:name="_Toc321334066"/>
      <w:r>
        <w:rPr>
          <w:rFonts w:hint="eastAsia"/>
          <w:color w:val="auto"/>
          <w:highlight w:val="none"/>
        </w:rPr>
        <w:t>技术、服务、合同</w:t>
      </w:r>
      <w:r>
        <w:rPr>
          <w:color w:val="auto"/>
          <w:highlight w:val="none"/>
        </w:rPr>
        <w:t>条款</w:t>
      </w:r>
      <w:r>
        <w:rPr>
          <w:rFonts w:hint="eastAsia"/>
          <w:color w:val="auto"/>
          <w:highlight w:val="none"/>
        </w:rPr>
        <w:t>要求</w:t>
      </w:r>
      <w:bookmarkEnd w:id="95"/>
      <w:bookmarkEnd w:id="96"/>
      <w:bookmarkEnd w:id="97"/>
      <w:bookmarkEnd w:id="98"/>
    </w:p>
    <w:tbl>
      <w:tblPr>
        <w:tblStyle w:val="45"/>
        <w:tblW w:w="8897" w:type="dxa"/>
        <w:tblInd w:w="0" w:type="dxa"/>
        <w:tblLayout w:type="fixed"/>
        <w:tblCellMar>
          <w:top w:w="0" w:type="dxa"/>
          <w:left w:w="108" w:type="dxa"/>
          <w:bottom w:w="0" w:type="dxa"/>
          <w:right w:w="108" w:type="dxa"/>
        </w:tblCellMar>
      </w:tblPr>
      <w:tblGrid>
        <w:gridCol w:w="877"/>
        <w:gridCol w:w="2066"/>
        <w:gridCol w:w="5954"/>
      </w:tblGrid>
      <w:tr>
        <w:tblPrEx>
          <w:tblCellMar>
            <w:top w:w="0" w:type="dxa"/>
            <w:left w:w="108" w:type="dxa"/>
            <w:bottom w:w="0" w:type="dxa"/>
            <w:right w:w="108" w:type="dxa"/>
          </w:tblCellMar>
        </w:tblPrEx>
        <w:trPr>
          <w:trHeight w:val="664"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序号</w:t>
            </w:r>
          </w:p>
        </w:tc>
        <w:tc>
          <w:tcPr>
            <w:tcW w:w="2066"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项目</w:t>
            </w:r>
          </w:p>
        </w:tc>
        <w:tc>
          <w:tcPr>
            <w:tcW w:w="5954"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要求</w:t>
            </w:r>
          </w:p>
        </w:tc>
      </w:tr>
      <w:tr>
        <w:tblPrEx>
          <w:tblCellMar>
            <w:top w:w="0" w:type="dxa"/>
            <w:left w:w="108" w:type="dxa"/>
            <w:bottom w:w="0" w:type="dxa"/>
            <w:right w:w="108" w:type="dxa"/>
          </w:tblCellMar>
        </w:tblPrEx>
        <w:trPr>
          <w:trHeight w:val="655"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1</w:t>
            </w:r>
          </w:p>
        </w:tc>
        <w:tc>
          <w:tcPr>
            <w:tcW w:w="206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s="Arial"/>
                <w:b/>
                <w:color w:val="auto"/>
                <w:sz w:val="28"/>
                <w:szCs w:val="28"/>
                <w:highlight w:val="none"/>
              </w:rPr>
            </w:pPr>
            <w:r>
              <w:rPr>
                <w:rFonts w:hint="eastAsia" w:ascii="宋体" w:hAnsi="宋体"/>
                <w:b/>
                <w:color w:val="auto"/>
                <w:sz w:val="28"/>
                <w:szCs w:val="28"/>
                <w:highlight w:val="none"/>
              </w:rPr>
              <w:t>项目负责人（项目经理）</w:t>
            </w:r>
          </w:p>
        </w:tc>
        <w:tc>
          <w:tcPr>
            <w:tcW w:w="5954" w:type="dxa"/>
            <w:tcBorders>
              <w:top w:val="single" w:color="auto" w:sz="4" w:space="0"/>
              <w:left w:val="nil"/>
              <w:bottom w:val="single" w:color="auto" w:sz="4" w:space="0"/>
              <w:right w:val="single" w:color="auto" w:sz="4" w:space="0"/>
            </w:tcBorders>
            <w:vAlign w:val="center"/>
          </w:tcPr>
          <w:p>
            <w:pPr>
              <w:spacing w:line="360" w:lineRule="auto"/>
              <w:ind w:right="24" w:rightChars="10"/>
              <w:rPr>
                <w:rFonts w:ascii="宋体" w:hAnsi="宋体" w:cs="Arial"/>
                <w:color w:val="auto"/>
                <w:sz w:val="28"/>
                <w:szCs w:val="28"/>
                <w:highlight w:val="none"/>
              </w:rPr>
            </w:pPr>
            <w:r>
              <w:rPr>
                <w:rFonts w:hint="eastAsia" w:ascii="宋体" w:hAnsi="宋体"/>
                <w:color w:val="auto"/>
                <w:sz w:val="28"/>
                <w:szCs w:val="28"/>
                <w:highlight w:val="none"/>
              </w:rPr>
              <w:t>供应商为本项目配备的项目经理应具备建筑工程专业二级及以上建造师执业资格和有效的安全生产考核合格证书（B证）。</w:t>
            </w:r>
            <w:r>
              <w:rPr>
                <w:rFonts w:hint="eastAsia" w:ascii="宋体" w:hAnsi="宋体" w:cs="宋体"/>
                <w:iCs/>
                <w:color w:val="auto"/>
                <w:sz w:val="28"/>
                <w:szCs w:val="28"/>
                <w:highlight w:val="none"/>
              </w:rPr>
              <w:t>参加本项目磋商时没有在其他未完成项目担任项目经理，成交后至完工前也不得在其他项目担任项目经理。</w:t>
            </w:r>
          </w:p>
        </w:tc>
      </w:tr>
      <w:tr>
        <w:tblPrEx>
          <w:tblCellMar>
            <w:top w:w="0" w:type="dxa"/>
            <w:left w:w="108" w:type="dxa"/>
            <w:bottom w:w="0" w:type="dxa"/>
            <w:right w:w="108" w:type="dxa"/>
          </w:tblCellMar>
        </w:tblPrEx>
        <w:trPr>
          <w:trHeight w:val="551"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2</w:t>
            </w:r>
          </w:p>
        </w:tc>
        <w:tc>
          <w:tcPr>
            <w:tcW w:w="206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cs="Arial"/>
                <w:b/>
                <w:color w:val="auto"/>
                <w:sz w:val="28"/>
                <w:szCs w:val="28"/>
                <w:highlight w:val="none"/>
              </w:rPr>
            </w:pPr>
            <w:r>
              <w:rPr>
                <w:rFonts w:hint="eastAsia" w:ascii="宋体" w:hAnsi="宋体"/>
                <w:b/>
                <w:color w:val="auto"/>
                <w:sz w:val="28"/>
                <w:szCs w:val="28"/>
                <w:highlight w:val="none"/>
              </w:rPr>
              <w:t>技术负责人</w:t>
            </w:r>
          </w:p>
        </w:tc>
        <w:tc>
          <w:tcPr>
            <w:tcW w:w="5954" w:type="dxa"/>
            <w:tcBorders>
              <w:top w:val="single" w:color="auto" w:sz="4" w:space="0"/>
              <w:left w:val="nil"/>
              <w:bottom w:val="single" w:color="auto" w:sz="4" w:space="0"/>
              <w:right w:val="single" w:color="auto" w:sz="4" w:space="0"/>
            </w:tcBorders>
            <w:vAlign w:val="center"/>
          </w:tcPr>
          <w:p>
            <w:pPr>
              <w:spacing w:line="360" w:lineRule="auto"/>
              <w:ind w:right="24" w:rightChars="10"/>
              <w:rPr>
                <w:rFonts w:ascii="宋体" w:hAnsi="宋体"/>
                <w:color w:val="auto"/>
                <w:sz w:val="28"/>
                <w:szCs w:val="28"/>
                <w:highlight w:val="none"/>
              </w:rPr>
            </w:pPr>
            <w:r>
              <w:rPr>
                <w:rFonts w:hint="eastAsia" w:ascii="宋体" w:hAnsi="宋体"/>
                <w:color w:val="auto"/>
                <w:sz w:val="28"/>
                <w:szCs w:val="28"/>
                <w:highlight w:val="none"/>
              </w:rPr>
              <w:t>供应商为本项目配备的项目技术负责人应具备建筑工程专业中级及以上职称。</w:t>
            </w:r>
          </w:p>
        </w:tc>
      </w:tr>
      <w:tr>
        <w:tblPrEx>
          <w:tblCellMar>
            <w:top w:w="0" w:type="dxa"/>
            <w:left w:w="108" w:type="dxa"/>
            <w:bottom w:w="0" w:type="dxa"/>
            <w:right w:w="108" w:type="dxa"/>
          </w:tblCellMar>
        </w:tblPrEx>
        <w:trPr>
          <w:trHeight w:val="786"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3</w:t>
            </w:r>
          </w:p>
        </w:tc>
        <w:tc>
          <w:tcPr>
            <w:tcW w:w="2066"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工期</w:t>
            </w:r>
          </w:p>
        </w:tc>
        <w:tc>
          <w:tcPr>
            <w:tcW w:w="5954" w:type="dxa"/>
            <w:tcBorders>
              <w:top w:val="single" w:color="auto" w:sz="4" w:space="0"/>
              <w:left w:val="nil"/>
              <w:bottom w:val="single" w:color="auto" w:sz="4" w:space="0"/>
              <w:right w:val="single" w:color="auto" w:sz="4" w:space="0"/>
            </w:tcBorders>
            <w:vAlign w:val="center"/>
          </w:tcPr>
          <w:p>
            <w:pPr>
              <w:rPr>
                <w:rFonts w:ascii="宋体" w:hAnsi="宋体"/>
                <w:b/>
                <w:color w:val="auto"/>
                <w:sz w:val="28"/>
                <w:szCs w:val="28"/>
                <w:highlight w:val="none"/>
              </w:rPr>
            </w:pPr>
            <w:r>
              <w:rPr>
                <w:rFonts w:hint="eastAsia" w:ascii="宋体" w:hAnsi="宋体" w:cs="宋体"/>
                <w:iCs/>
                <w:color w:val="auto"/>
                <w:sz w:val="28"/>
                <w:szCs w:val="28"/>
                <w:highlight w:val="none"/>
              </w:rPr>
              <w:t>工期总日历天数：</w:t>
            </w:r>
            <w:r>
              <w:rPr>
                <w:rFonts w:hint="eastAsia" w:ascii="宋体" w:hAnsi="宋体" w:cs="宋体"/>
                <w:iCs/>
                <w:color w:val="auto"/>
                <w:sz w:val="28"/>
                <w:szCs w:val="28"/>
                <w:highlight w:val="none"/>
                <w:lang w:val="en-US" w:eastAsia="zh-CN"/>
              </w:rPr>
              <w:t>6</w:t>
            </w:r>
            <w:r>
              <w:rPr>
                <w:rFonts w:hint="eastAsia" w:ascii="宋体" w:hAnsi="宋体" w:cs="宋体"/>
                <w:iCs/>
                <w:color w:val="auto"/>
                <w:sz w:val="28"/>
                <w:szCs w:val="28"/>
                <w:highlight w:val="none"/>
              </w:rPr>
              <w:t>0天。</w:t>
            </w:r>
          </w:p>
        </w:tc>
      </w:tr>
      <w:tr>
        <w:tblPrEx>
          <w:tblCellMar>
            <w:top w:w="0" w:type="dxa"/>
            <w:left w:w="108" w:type="dxa"/>
            <w:bottom w:w="0" w:type="dxa"/>
            <w:right w:w="108" w:type="dxa"/>
          </w:tblCellMar>
        </w:tblPrEx>
        <w:trPr>
          <w:trHeight w:val="67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4</w:t>
            </w:r>
          </w:p>
        </w:tc>
        <w:tc>
          <w:tcPr>
            <w:tcW w:w="2066"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缺陷责任期</w:t>
            </w:r>
          </w:p>
        </w:tc>
        <w:tc>
          <w:tcPr>
            <w:tcW w:w="5954" w:type="dxa"/>
            <w:tcBorders>
              <w:top w:val="single" w:color="auto" w:sz="4" w:space="0"/>
              <w:left w:val="nil"/>
              <w:bottom w:val="single" w:color="auto" w:sz="4" w:space="0"/>
              <w:right w:val="single" w:color="auto" w:sz="4" w:space="0"/>
            </w:tcBorders>
            <w:vAlign w:val="center"/>
          </w:tcPr>
          <w:p>
            <w:pPr>
              <w:rPr>
                <w:rFonts w:ascii="宋体" w:hAnsi="宋体" w:cs="Arial"/>
                <w:b/>
                <w:color w:val="auto"/>
                <w:sz w:val="28"/>
                <w:szCs w:val="28"/>
                <w:highlight w:val="none"/>
              </w:rPr>
            </w:pPr>
            <w:r>
              <w:rPr>
                <w:rFonts w:hint="eastAsia" w:ascii="宋体" w:hAnsi="宋体" w:cs="宋体"/>
                <w:iCs/>
                <w:color w:val="auto"/>
                <w:sz w:val="28"/>
                <w:szCs w:val="28"/>
                <w:highlight w:val="none"/>
              </w:rPr>
              <w:t>24个月</w:t>
            </w:r>
          </w:p>
        </w:tc>
      </w:tr>
      <w:tr>
        <w:tblPrEx>
          <w:tblCellMar>
            <w:top w:w="0" w:type="dxa"/>
            <w:left w:w="108" w:type="dxa"/>
            <w:bottom w:w="0" w:type="dxa"/>
            <w:right w:w="108" w:type="dxa"/>
          </w:tblCellMar>
        </w:tblPrEx>
        <w:trPr>
          <w:trHeight w:val="808"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5</w:t>
            </w:r>
          </w:p>
        </w:tc>
        <w:tc>
          <w:tcPr>
            <w:tcW w:w="2066"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分包</w:t>
            </w:r>
          </w:p>
        </w:tc>
        <w:tc>
          <w:tcPr>
            <w:tcW w:w="5954" w:type="dxa"/>
            <w:tcBorders>
              <w:top w:val="single" w:color="auto" w:sz="4" w:space="0"/>
              <w:left w:val="nil"/>
              <w:bottom w:val="single" w:color="auto" w:sz="4" w:space="0"/>
              <w:right w:val="single" w:color="auto" w:sz="4" w:space="0"/>
            </w:tcBorders>
            <w:vAlign w:val="center"/>
          </w:tcPr>
          <w:p>
            <w:pPr>
              <w:rPr>
                <w:rFonts w:ascii="宋体" w:hAnsi="宋体" w:cs="Arial"/>
                <w:b/>
                <w:color w:val="auto"/>
                <w:sz w:val="28"/>
                <w:szCs w:val="28"/>
                <w:highlight w:val="none"/>
              </w:rPr>
            </w:pPr>
            <w:r>
              <w:rPr>
                <w:rFonts w:hint="eastAsia" w:ascii="宋体" w:hAnsi="宋体" w:cs="宋体"/>
                <w:iCs/>
                <w:color w:val="auto"/>
                <w:sz w:val="28"/>
                <w:szCs w:val="28"/>
                <w:highlight w:val="none"/>
              </w:rPr>
              <w:t>不允许</w:t>
            </w:r>
          </w:p>
        </w:tc>
      </w:tr>
      <w:tr>
        <w:tblPrEx>
          <w:tblCellMar>
            <w:top w:w="0" w:type="dxa"/>
            <w:left w:w="108" w:type="dxa"/>
            <w:bottom w:w="0" w:type="dxa"/>
            <w:right w:w="108" w:type="dxa"/>
          </w:tblCellMar>
        </w:tblPrEx>
        <w:trPr>
          <w:trHeight w:val="808"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6</w:t>
            </w:r>
          </w:p>
        </w:tc>
        <w:tc>
          <w:tcPr>
            <w:tcW w:w="2066"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s="Arial"/>
                <w:color w:val="auto"/>
                <w:sz w:val="28"/>
                <w:szCs w:val="28"/>
                <w:highlight w:val="none"/>
              </w:rPr>
            </w:pPr>
            <w:r>
              <w:rPr>
                <w:rFonts w:hint="eastAsia" w:ascii="宋体" w:hAnsi="宋体"/>
                <w:color w:val="auto"/>
                <w:sz w:val="28"/>
                <w:szCs w:val="28"/>
                <w:highlight w:val="none"/>
              </w:rPr>
              <w:t>价格调整</w:t>
            </w:r>
          </w:p>
        </w:tc>
        <w:tc>
          <w:tcPr>
            <w:tcW w:w="5954" w:type="dxa"/>
            <w:tcBorders>
              <w:top w:val="single" w:color="auto" w:sz="4" w:space="0"/>
              <w:left w:val="nil"/>
              <w:bottom w:val="single" w:color="auto" w:sz="4" w:space="0"/>
              <w:right w:val="single" w:color="auto" w:sz="4" w:space="0"/>
            </w:tcBorders>
            <w:vAlign w:val="center"/>
          </w:tcPr>
          <w:p>
            <w:pPr>
              <w:rPr>
                <w:rFonts w:ascii="宋体" w:hAnsi="宋体" w:cs="Arial"/>
                <w:b/>
                <w:color w:val="auto"/>
                <w:sz w:val="28"/>
                <w:szCs w:val="28"/>
                <w:highlight w:val="none"/>
              </w:rPr>
            </w:pPr>
            <w:r>
              <w:rPr>
                <w:rFonts w:hint="eastAsia" w:ascii="宋体" w:hAnsi="宋体" w:cs="宋体"/>
                <w:iCs/>
                <w:color w:val="auto"/>
                <w:sz w:val="28"/>
                <w:szCs w:val="28"/>
                <w:highlight w:val="none"/>
              </w:rPr>
              <w:t>见合同条款</w:t>
            </w:r>
          </w:p>
        </w:tc>
      </w:tr>
      <w:tr>
        <w:tblPrEx>
          <w:tblCellMar>
            <w:top w:w="0" w:type="dxa"/>
            <w:left w:w="108" w:type="dxa"/>
            <w:bottom w:w="0" w:type="dxa"/>
            <w:right w:w="108" w:type="dxa"/>
          </w:tblCellMar>
        </w:tblPrEx>
        <w:trPr>
          <w:trHeight w:val="604"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sz w:val="28"/>
                <w:szCs w:val="28"/>
                <w:highlight w:val="none"/>
              </w:rPr>
            </w:pPr>
            <w:r>
              <w:rPr>
                <w:rFonts w:hint="eastAsia" w:ascii="宋体" w:hAnsi="宋体"/>
                <w:color w:val="auto"/>
                <w:sz w:val="28"/>
                <w:szCs w:val="28"/>
                <w:highlight w:val="none"/>
              </w:rPr>
              <w:t>7</w:t>
            </w:r>
          </w:p>
        </w:tc>
        <w:tc>
          <w:tcPr>
            <w:tcW w:w="2066"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s="MingLiU"/>
                <w:color w:val="auto"/>
                <w:sz w:val="28"/>
                <w:szCs w:val="28"/>
                <w:highlight w:val="none"/>
              </w:rPr>
            </w:pPr>
            <w:r>
              <w:rPr>
                <w:rFonts w:hint="eastAsia" w:ascii="宋体" w:hAnsi="宋体" w:cs="MingLiU"/>
                <w:color w:val="auto"/>
                <w:sz w:val="28"/>
                <w:szCs w:val="28"/>
                <w:highlight w:val="none"/>
              </w:rPr>
              <w:t>履约保证金</w:t>
            </w:r>
          </w:p>
        </w:tc>
        <w:tc>
          <w:tcPr>
            <w:tcW w:w="5954" w:type="dxa"/>
            <w:tcBorders>
              <w:top w:val="single" w:color="auto" w:sz="4" w:space="0"/>
              <w:left w:val="nil"/>
              <w:bottom w:val="single" w:color="auto" w:sz="4" w:space="0"/>
              <w:right w:val="single" w:color="auto" w:sz="4" w:space="0"/>
            </w:tcBorders>
            <w:vAlign w:val="center"/>
          </w:tcPr>
          <w:p>
            <w:pPr>
              <w:rPr>
                <w:rFonts w:ascii="宋体" w:hAnsi="宋体"/>
                <w:b/>
                <w:color w:val="auto"/>
                <w:sz w:val="28"/>
                <w:szCs w:val="28"/>
                <w:highlight w:val="none"/>
              </w:rPr>
            </w:pPr>
            <w:r>
              <w:rPr>
                <w:rFonts w:hint="eastAsia" w:ascii="宋体" w:hAnsi="宋体" w:cs="宋体"/>
                <w:iCs/>
                <w:color w:val="auto"/>
                <w:sz w:val="28"/>
                <w:szCs w:val="28"/>
                <w:highlight w:val="none"/>
                <w:lang w:val="zh-CN"/>
              </w:rPr>
              <w:t>不收取</w:t>
            </w:r>
          </w:p>
        </w:tc>
      </w:tr>
      <w:tr>
        <w:tblPrEx>
          <w:tblCellMar>
            <w:top w:w="0" w:type="dxa"/>
            <w:left w:w="108" w:type="dxa"/>
            <w:bottom w:w="0" w:type="dxa"/>
            <w:right w:w="108" w:type="dxa"/>
          </w:tblCellMar>
        </w:tblPrEx>
        <w:trPr>
          <w:trHeight w:val="698"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olor w:val="auto"/>
                <w:sz w:val="28"/>
                <w:szCs w:val="28"/>
                <w:highlight w:val="none"/>
              </w:rPr>
            </w:pPr>
            <w:r>
              <w:rPr>
                <w:rFonts w:hint="eastAsia" w:ascii="宋体" w:hAnsi="宋体"/>
                <w:color w:val="auto"/>
                <w:sz w:val="28"/>
                <w:szCs w:val="28"/>
                <w:highlight w:val="none"/>
              </w:rPr>
              <w:t>8</w:t>
            </w:r>
          </w:p>
        </w:tc>
        <w:tc>
          <w:tcPr>
            <w:tcW w:w="2066"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s="MingLiU"/>
                <w:color w:val="auto"/>
                <w:sz w:val="28"/>
                <w:szCs w:val="28"/>
                <w:highlight w:val="none"/>
              </w:rPr>
            </w:pPr>
            <w:r>
              <w:rPr>
                <w:rFonts w:hint="eastAsia" w:ascii="宋体" w:hAnsi="宋体" w:cs="MingLiU"/>
                <w:color w:val="auto"/>
                <w:sz w:val="28"/>
                <w:szCs w:val="28"/>
                <w:highlight w:val="none"/>
              </w:rPr>
              <w:t>付款方式</w:t>
            </w:r>
          </w:p>
        </w:tc>
        <w:tc>
          <w:tcPr>
            <w:tcW w:w="5954" w:type="dxa"/>
            <w:tcBorders>
              <w:top w:val="single" w:color="auto" w:sz="4" w:space="0"/>
              <w:left w:val="nil"/>
              <w:bottom w:val="single" w:color="auto" w:sz="4" w:space="0"/>
              <w:right w:val="single" w:color="auto" w:sz="4" w:space="0"/>
            </w:tcBorders>
            <w:vAlign w:val="center"/>
          </w:tcPr>
          <w:p>
            <w:pPr>
              <w:rPr>
                <w:rFonts w:ascii="宋体" w:hAnsi="宋体" w:cs="宋体"/>
                <w:iCs/>
                <w:color w:val="auto"/>
                <w:sz w:val="28"/>
                <w:szCs w:val="28"/>
                <w:highlight w:val="none"/>
              </w:rPr>
            </w:pPr>
            <w:r>
              <w:rPr>
                <w:rFonts w:hint="eastAsia" w:ascii="宋体" w:hAnsi="宋体" w:cs="宋体"/>
                <w:iCs/>
                <w:color w:val="auto"/>
                <w:sz w:val="28"/>
                <w:szCs w:val="28"/>
                <w:highlight w:val="none"/>
              </w:rPr>
              <w:t>①第一次:在甲、 乙双方签订合同后，乙方进场施工前支付至工程合同价的</w:t>
            </w:r>
            <w:r>
              <w:rPr>
                <w:rFonts w:hint="eastAsia" w:ascii="宋体" w:hAnsi="宋体" w:cs="宋体"/>
                <w:iCs/>
                <w:color w:val="auto"/>
                <w:sz w:val="28"/>
                <w:szCs w:val="28"/>
                <w:highlight w:val="none"/>
                <w:lang w:val="en-US" w:eastAsia="zh-CN"/>
              </w:rPr>
              <w:t>3</w:t>
            </w:r>
            <w:r>
              <w:rPr>
                <w:rFonts w:hint="eastAsia" w:ascii="宋体" w:hAnsi="宋体" w:cs="宋体"/>
                <w:iCs/>
                <w:color w:val="auto"/>
                <w:sz w:val="28"/>
                <w:szCs w:val="28"/>
                <w:highlight w:val="none"/>
              </w:rPr>
              <w:t>0%做为预付款；</w:t>
            </w:r>
          </w:p>
          <w:p>
            <w:pPr>
              <w:rPr>
                <w:rFonts w:ascii="宋体" w:hAnsi="宋体" w:cs="宋体"/>
                <w:iCs/>
                <w:color w:val="auto"/>
                <w:sz w:val="28"/>
                <w:szCs w:val="28"/>
                <w:highlight w:val="none"/>
              </w:rPr>
            </w:pPr>
            <w:r>
              <w:rPr>
                <w:rFonts w:hint="eastAsia" w:ascii="宋体" w:hAnsi="宋体" w:cs="宋体"/>
                <w:iCs/>
                <w:color w:val="auto"/>
                <w:sz w:val="28"/>
                <w:szCs w:val="28"/>
                <w:highlight w:val="none"/>
              </w:rPr>
              <w:t>②第二次:当施工进度达到总工程进度的50%时，7日内经监理单位、甲方审核无误，进度款支付至不高于工程合同价的30%；</w:t>
            </w:r>
          </w:p>
          <w:p>
            <w:pPr>
              <w:rPr>
                <w:rFonts w:ascii="宋体" w:hAnsi="宋体" w:cs="宋体"/>
                <w:iCs/>
                <w:color w:val="auto"/>
                <w:sz w:val="28"/>
                <w:szCs w:val="28"/>
                <w:highlight w:val="none"/>
              </w:rPr>
            </w:pPr>
            <w:r>
              <w:rPr>
                <w:rFonts w:hint="eastAsia" w:ascii="宋体" w:hAnsi="宋体" w:cs="宋体"/>
                <w:iCs/>
                <w:color w:val="auto"/>
                <w:sz w:val="28"/>
                <w:szCs w:val="28"/>
                <w:highlight w:val="none"/>
              </w:rPr>
              <w:t>③第三次:通过竣工验收后，7日内经监理单位、甲方审核无误，由乙方在30个日历天内向甲方提交结算审计资料，甲方在收到乙方提交的结算审计资料后10日内,进度款支付至不高于工程合同价款或送审价的70% ( 两者取低)；</w:t>
            </w:r>
          </w:p>
          <w:p>
            <w:pPr>
              <w:rPr>
                <w:rFonts w:ascii="宋体" w:hAnsi="宋体" w:cs="宋体"/>
                <w:iCs/>
                <w:color w:val="auto"/>
                <w:sz w:val="28"/>
                <w:szCs w:val="28"/>
                <w:highlight w:val="none"/>
              </w:rPr>
            </w:pPr>
            <w:r>
              <w:rPr>
                <w:rFonts w:hint="eastAsia" w:ascii="宋体" w:hAnsi="宋体" w:cs="宋体"/>
                <w:iCs/>
                <w:color w:val="auto"/>
                <w:sz w:val="28"/>
                <w:szCs w:val="28"/>
                <w:highlight w:val="none"/>
              </w:rPr>
              <w:t>④第四次:甲方向乙方支付至工程款(按审定金额)的97%；</w:t>
            </w:r>
          </w:p>
          <w:p>
            <w:pPr>
              <w:rPr>
                <w:rFonts w:ascii="宋体" w:hAnsi="宋体" w:cs="宋体"/>
                <w:iCs/>
                <w:color w:val="auto"/>
                <w:sz w:val="28"/>
                <w:szCs w:val="28"/>
                <w:highlight w:val="none"/>
              </w:rPr>
            </w:pPr>
            <w:r>
              <w:rPr>
                <w:rFonts w:hint="eastAsia" w:ascii="宋体" w:hAnsi="宋体" w:cs="宋体"/>
                <w:iCs/>
                <w:color w:val="auto"/>
                <w:sz w:val="28"/>
                <w:szCs w:val="28"/>
                <w:highlight w:val="none"/>
              </w:rPr>
              <w:t>⑤第五次:剩余价款作为质保金，如无需要使用质保金情况，则在工程质保期二年满后支付(质保金额按工程审计结算价、无息支付)。</w:t>
            </w:r>
          </w:p>
        </w:tc>
      </w:tr>
    </w:tbl>
    <w:p>
      <w:pPr>
        <w:pStyle w:val="5"/>
        <w:tabs>
          <w:tab w:val="left" w:pos="576"/>
          <w:tab w:val="clear" w:pos="567"/>
        </w:tabs>
        <w:rPr>
          <w:color w:val="auto"/>
          <w:highlight w:val="none"/>
        </w:rPr>
      </w:pPr>
      <w:r>
        <w:rPr>
          <w:rFonts w:hint="eastAsia"/>
          <w:color w:val="auto"/>
          <w:highlight w:val="none"/>
        </w:rPr>
        <w:t xml:space="preserve"> </w:t>
      </w:r>
      <w:bookmarkStart w:id="101" w:name="_Toc32049"/>
      <w:bookmarkStart w:id="102" w:name="_Toc72938443"/>
      <w:bookmarkStart w:id="103" w:name="_Toc15511"/>
      <w:bookmarkStart w:id="104" w:name="_Toc60658340"/>
      <w:r>
        <w:rPr>
          <w:rFonts w:hint="eastAsia"/>
          <w:color w:val="auto"/>
          <w:highlight w:val="none"/>
        </w:rPr>
        <w:t>★漏项工程处理</w:t>
      </w:r>
      <w:bookmarkEnd w:id="101"/>
      <w:bookmarkEnd w:id="102"/>
      <w:bookmarkEnd w:id="103"/>
      <w:bookmarkEnd w:id="104"/>
    </w:p>
    <w:p>
      <w:pPr>
        <w:tabs>
          <w:tab w:val="left" w:pos="1134"/>
        </w:tabs>
        <w:snapToGrid w:val="0"/>
        <w:spacing w:line="620" w:lineRule="exact"/>
        <w:ind w:firstLine="568" w:firstLineChars="202"/>
        <w:rPr>
          <w:rFonts w:ascii="宋体" w:hAnsi="宋体"/>
          <w:color w:val="auto"/>
          <w:sz w:val="28"/>
          <w:szCs w:val="28"/>
          <w:highlight w:val="none"/>
        </w:rPr>
      </w:pPr>
      <w:r>
        <w:rPr>
          <w:rFonts w:hint="eastAsia" w:ascii="宋体" w:hAnsi="宋体"/>
          <w:b/>
          <w:color w:val="auto"/>
          <w:sz w:val="28"/>
          <w:szCs w:val="28"/>
          <w:highlight w:val="none"/>
        </w:rPr>
        <w:t>施工过程中，发现工程量清单存在漏项工程的，该漏项工程作为本项目本章采购需求的组成部分，采购人和供应商可以按照《中华人民共和国政府采购法》的规定签订不超过成交金额百分之十的补充合同。（说明：供应商</w:t>
      </w:r>
      <w:r>
        <w:rPr>
          <w:rFonts w:ascii="宋体" w:hAnsi="宋体"/>
          <w:b/>
          <w:color w:val="auto"/>
          <w:sz w:val="28"/>
          <w:szCs w:val="28"/>
          <w:highlight w:val="none"/>
        </w:rPr>
        <w:t>应按</w:t>
      </w:r>
      <w:r>
        <w:rPr>
          <w:rFonts w:hint="eastAsia" w:ascii="宋体" w:hAnsi="宋体"/>
          <w:b/>
          <w:color w:val="auto"/>
          <w:sz w:val="28"/>
          <w:szCs w:val="28"/>
          <w:highlight w:val="none"/>
        </w:rPr>
        <w:t>磋商</w:t>
      </w:r>
      <w:r>
        <w:rPr>
          <w:rFonts w:ascii="宋体" w:hAnsi="宋体"/>
          <w:b/>
          <w:color w:val="auto"/>
          <w:sz w:val="28"/>
          <w:szCs w:val="28"/>
          <w:highlight w:val="none"/>
        </w:rPr>
        <w:t>文件3.</w:t>
      </w:r>
      <w:r>
        <w:rPr>
          <w:rFonts w:hint="eastAsia" w:ascii="宋体" w:hAnsi="宋体"/>
          <w:b/>
          <w:color w:val="auto"/>
          <w:sz w:val="28"/>
          <w:szCs w:val="28"/>
          <w:highlight w:val="none"/>
        </w:rPr>
        <w:t>1</w:t>
      </w:r>
      <w:r>
        <w:rPr>
          <w:rFonts w:ascii="宋体" w:hAnsi="宋体"/>
          <w:b/>
          <w:color w:val="auto"/>
          <w:sz w:val="28"/>
          <w:szCs w:val="28"/>
          <w:highlight w:val="none"/>
        </w:rPr>
        <w:t>.</w:t>
      </w:r>
      <w:r>
        <w:rPr>
          <w:rFonts w:hint="eastAsia" w:ascii="宋体" w:hAnsi="宋体"/>
          <w:b/>
          <w:color w:val="auto"/>
          <w:sz w:val="28"/>
          <w:szCs w:val="28"/>
          <w:highlight w:val="none"/>
        </w:rPr>
        <w:t>2.3</w:t>
      </w:r>
      <w:r>
        <w:rPr>
          <w:rFonts w:ascii="宋体" w:hAnsi="宋体"/>
          <w:b/>
          <w:color w:val="auto"/>
          <w:sz w:val="28"/>
          <w:szCs w:val="28"/>
          <w:highlight w:val="none"/>
        </w:rPr>
        <w:t>承诺函的内容提供承诺函。</w:t>
      </w:r>
      <w:r>
        <w:rPr>
          <w:rFonts w:hint="eastAsia" w:ascii="宋体" w:hAnsi="宋体"/>
          <w:b/>
          <w:color w:val="auto"/>
          <w:sz w:val="28"/>
          <w:szCs w:val="28"/>
          <w:highlight w:val="none"/>
        </w:rPr>
        <w:t>）</w:t>
      </w:r>
    </w:p>
    <w:p>
      <w:pPr>
        <w:pStyle w:val="5"/>
        <w:tabs>
          <w:tab w:val="left" w:pos="993"/>
          <w:tab w:val="clear" w:pos="426"/>
          <w:tab w:val="clear" w:pos="567"/>
        </w:tabs>
        <w:ind w:left="0" w:firstLine="0"/>
        <w:rPr>
          <w:color w:val="auto"/>
          <w:highlight w:val="none"/>
        </w:rPr>
      </w:pPr>
      <w:r>
        <w:rPr>
          <w:rFonts w:hint="eastAsia"/>
          <w:color w:val="auto"/>
          <w:highlight w:val="none"/>
        </w:rPr>
        <w:t xml:space="preserve"> </w:t>
      </w:r>
      <w:bookmarkStart w:id="105" w:name="_Toc72938444"/>
      <w:bookmarkStart w:id="106" w:name="_Toc9792"/>
      <w:bookmarkStart w:id="107" w:name="_Toc26531"/>
      <w:bookmarkStart w:id="108" w:name="_Toc60658341"/>
      <w:r>
        <w:rPr>
          <w:rFonts w:hint="eastAsia"/>
          <w:color w:val="auto"/>
          <w:highlight w:val="none"/>
        </w:rPr>
        <w:t>★</w:t>
      </w:r>
      <w:r>
        <w:rPr>
          <w:rFonts w:hint="eastAsia" w:cs="仿宋"/>
          <w:color w:val="auto"/>
          <w:highlight w:val="none"/>
        </w:rPr>
        <w:t>施工及验收要求</w:t>
      </w:r>
      <w:bookmarkEnd w:id="105"/>
      <w:bookmarkEnd w:id="106"/>
      <w:bookmarkEnd w:id="107"/>
    </w:p>
    <w:p>
      <w:pPr>
        <w:tabs>
          <w:tab w:val="left" w:pos="1134"/>
        </w:tabs>
        <w:snapToGrid w:val="0"/>
        <w:spacing w:line="620" w:lineRule="exact"/>
        <w:ind w:firstLine="568" w:firstLineChars="202"/>
        <w:rPr>
          <w:rFonts w:ascii="宋体" w:hAnsi="宋体"/>
          <w:b/>
          <w:color w:val="auto"/>
          <w:sz w:val="28"/>
          <w:szCs w:val="28"/>
          <w:highlight w:val="none"/>
        </w:rPr>
      </w:pPr>
      <w:r>
        <w:rPr>
          <w:rFonts w:hint="eastAsia" w:ascii="宋体" w:hAnsi="宋体"/>
          <w:b/>
          <w:color w:val="auto"/>
          <w:sz w:val="28"/>
          <w:szCs w:val="28"/>
          <w:highlight w:val="none"/>
        </w:rPr>
        <w:t>供应商针对本项目的施工，</w:t>
      </w:r>
      <w:r>
        <w:rPr>
          <w:rFonts w:ascii="宋体" w:hAnsi="宋体"/>
          <w:b/>
          <w:color w:val="auto"/>
          <w:sz w:val="28"/>
          <w:szCs w:val="28"/>
          <w:highlight w:val="none"/>
        </w:rPr>
        <w:t>必</w:t>
      </w:r>
      <w:r>
        <w:rPr>
          <w:rFonts w:hint="eastAsia" w:ascii="宋体" w:hAnsi="宋体"/>
          <w:b/>
          <w:color w:val="auto"/>
          <w:sz w:val="28"/>
          <w:szCs w:val="28"/>
          <w:highlight w:val="none"/>
        </w:rPr>
        <w:t>须达到国家及行业现行技术规范标准，符合国家及行业验收合格标准。</w:t>
      </w:r>
      <w:bookmarkEnd w:id="108"/>
      <w:r>
        <w:rPr>
          <w:rFonts w:hint="eastAsia" w:ascii="宋体" w:hAnsi="宋体"/>
          <w:b/>
          <w:color w:val="auto"/>
          <w:sz w:val="28"/>
          <w:szCs w:val="28"/>
          <w:highlight w:val="none"/>
        </w:rPr>
        <w:t>（说明：供应商</w:t>
      </w:r>
      <w:r>
        <w:rPr>
          <w:rFonts w:ascii="宋体" w:hAnsi="宋体"/>
          <w:b/>
          <w:color w:val="auto"/>
          <w:sz w:val="28"/>
          <w:szCs w:val="28"/>
          <w:highlight w:val="none"/>
        </w:rPr>
        <w:t>应按</w:t>
      </w:r>
      <w:r>
        <w:rPr>
          <w:rFonts w:hint="eastAsia" w:ascii="宋体" w:hAnsi="宋体"/>
          <w:b/>
          <w:color w:val="auto"/>
          <w:sz w:val="28"/>
          <w:szCs w:val="28"/>
          <w:highlight w:val="none"/>
        </w:rPr>
        <w:t>磋商</w:t>
      </w:r>
      <w:r>
        <w:rPr>
          <w:rFonts w:ascii="宋体" w:hAnsi="宋体"/>
          <w:b/>
          <w:color w:val="auto"/>
          <w:sz w:val="28"/>
          <w:szCs w:val="28"/>
          <w:highlight w:val="none"/>
        </w:rPr>
        <w:t>文件3.</w:t>
      </w:r>
      <w:r>
        <w:rPr>
          <w:rFonts w:hint="eastAsia" w:ascii="宋体" w:hAnsi="宋体"/>
          <w:b/>
          <w:color w:val="auto"/>
          <w:sz w:val="28"/>
          <w:szCs w:val="28"/>
          <w:highlight w:val="none"/>
        </w:rPr>
        <w:t>1</w:t>
      </w:r>
      <w:r>
        <w:rPr>
          <w:rFonts w:ascii="宋体" w:hAnsi="宋体"/>
          <w:b/>
          <w:color w:val="auto"/>
          <w:sz w:val="28"/>
          <w:szCs w:val="28"/>
          <w:highlight w:val="none"/>
        </w:rPr>
        <w:t>.</w:t>
      </w:r>
      <w:r>
        <w:rPr>
          <w:rFonts w:hint="eastAsia" w:ascii="宋体" w:hAnsi="宋体"/>
          <w:b/>
          <w:color w:val="auto"/>
          <w:sz w:val="28"/>
          <w:szCs w:val="28"/>
          <w:highlight w:val="none"/>
        </w:rPr>
        <w:t>2.3</w:t>
      </w:r>
      <w:r>
        <w:rPr>
          <w:rFonts w:ascii="宋体" w:hAnsi="宋体"/>
          <w:b/>
          <w:color w:val="auto"/>
          <w:sz w:val="28"/>
          <w:szCs w:val="28"/>
          <w:highlight w:val="none"/>
        </w:rPr>
        <w:t>承诺函的内容提供承诺函。</w:t>
      </w:r>
      <w:r>
        <w:rPr>
          <w:rFonts w:hint="eastAsia" w:ascii="宋体" w:hAnsi="宋体"/>
          <w:b/>
          <w:color w:val="auto"/>
          <w:sz w:val="28"/>
          <w:szCs w:val="28"/>
          <w:highlight w:val="none"/>
        </w:rPr>
        <w:t>）</w:t>
      </w:r>
    </w:p>
    <w:bookmarkEnd w:id="99"/>
    <w:bookmarkEnd w:id="100"/>
    <w:p>
      <w:pPr>
        <w:pStyle w:val="5"/>
        <w:tabs>
          <w:tab w:val="left" w:pos="993"/>
          <w:tab w:val="clear" w:pos="426"/>
          <w:tab w:val="clear" w:pos="567"/>
        </w:tabs>
        <w:ind w:left="0" w:firstLine="0"/>
        <w:rPr>
          <w:color w:val="auto"/>
          <w:highlight w:val="none"/>
        </w:rPr>
      </w:pPr>
      <w:bookmarkStart w:id="109" w:name="_Toc3388"/>
      <w:bookmarkStart w:id="110" w:name="_Toc72938445"/>
      <w:bookmarkStart w:id="111" w:name="_Toc60658342"/>
      <w:bookmarkStart w:id="112" w:name="_Toc26266"/>
      <w:r>
        <w:rPr>
          <w:rFonts w:hint="eastAsia"/>
          <w:color w:val="auto"/>
          <w:highlight w:val="none"/>
        </w:rPr>
        <w:t>针对本项目的其他技术服务要求</w:t>
      </w:r>
      <w:bookmarkEnd w:id="109"/>
      <w:bookmarkEnd w:id="110"/>
      <w:bookmarkEnd w:id="111"/>
      <w:bookmarkEnd w:id="112"/>
    </w:p>
    <w:p>
      <w:pPr>
        <w:pStyle w:val="6"/>
        <w:tabs>
          <w:tab w:val="left" w:pos="709"/>
        </w:tabs>
        <w:ind w:left="709" w:hanging="709"/>
        <w:rPr>
          <w:color w:val="auto"/>
          <w:highlight w:val="none"/>
        </w:rPr>
      </w:pPr>
      <w:r>
        <w:rPr>
          <w:rFonts w:hint="eastAsia"/>
          <w:color w:val="auto"/>
          <w:highlight w:val="none"/>
        </w:rPr>
        <w:t>材料及技术规范要求</w:t>
      </w:r>
    </w:p>
    <w:p>
      <w:pPr>
        <w:pStyle w:val="80"/>
        <w:numPr>
          <w:ilvl w:val="0"/>
          <w:numId w:val="39"/>
        </w:numPr>
        <w:tabs>
          <w:tab w:val="left" w:pos="1134"/>
        </w:tabs>
        <w:spacing w:after="200" w:line="360" w:lineRule="auto"/>
        <w:ind w:left="0" w:firstLine="640" w:firstLineChars="0"/>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★供应商为本项目提供的所有产品、辅材中</w:t>
      </w:r>
      <w:r>
        <w:rPr>
          <w:rFonts w:ascii="宋体" w:hAnsi="宋体" w:eastAsia="宋体" w:cs="仿宋"/>
          <w:b/>
          <w:color w:val="auto"/>
          <w:sz w:val="28"/>
          <w:szCs w:val="28"/>
          <w:highlight w:val="none"/>
        </w:rPr>
        <w:t>属于《国家强制性产品认证目录》范围内产品的，均通过国家强制性产品认证并取得认证证书。</w:t>
      </w:r>
      <w:r>
        <w:rPr>
          <w:rFonts w:hint="eastAsia" w:ascii="宋体" w:hAnsi="宋体" w:eastAsia="宋体"/>
          <w:b/>
          <w:color w:val="auto"/>
          <w:sz w:val="28"/>
          <w:szCs w:val="28"/>
          <w:highlight w:val="none"/>
        </w:rPr>
        <w:t>（说明：供应商应按磋商文件</w:t>
      </w:r>
      <w:r>
        <w:rPr>
          <w:rFonts w:ascii="宋体" w:hAnsi="宋体"/>
          <w:b/>
          <w:color w:val="auto"/>
          <w:sz w:val="28"/>
          <w:szCs w:val="28"/>
          <w:highlight w:val="none"/>
        </w:rPr>
        <w:t>3.</w:t>
      </w:r>
      <w:r>
        <w:rPr>
          <w:rFonts w:hint="eastAsia" w:ascii="宋体" w:hAnsi="宋体"/>
          <w:b/>
          <w:color w:val="auto"/>
          <w:sz w:val="28"/>
          <w:szCs w:val="28"/>
          <w:highlight w:val="none"/>
        </w:rPr>
        <w:t>1</w:t>
      </w:r>
      <w:r>
        <w:rPr>
          <w:rFonts w:ascii="宋体" w:hAnsi="宋体"/>
          <w:b/>
          <w:color w:val="auto"/>
          <w:sz w:val="28"/>
          <w:szCs w:val="28"/>
          <w:highlight w:val="none"/>
        </w:rPr>
        <w:t>.</w:t>
      </w:r>
      <w:r>
        <w:rPr>
          <w:rFonts w:hint="eastAsia" w:ascii="宋体" w:hAnsi="宋体"/>
          <w:b/>
          <w:color w:val="auto"/>
          <w:sz w:val="28"/>
          <w:szCs w:val="28"/>
          <w:highlight w:val="none"/>
        </w:rPr>
        <w:t>2.3</w:t>
      </w:r>
      <w:r>
        <w:rPr>
          <w:rFonts w:hint="eastAsia" w:ascii="宋体" w:hAnsi="宋体" w:eastAsia="宋体"/>
          <w:b/>
          <w:color w:val="auto"/>
          <w:sz w:val="28"/>
          <w:szCs w:val="28"/>
          <w:highlight w:val="none"/>
        </w:rPr>
        <w:t>承诺函的内容提供承诺函。）</w:t>
      </w:r>
    </w:p>
    <w:p>
      <w:pPr>
        <w:pStyle w:val="80"/>
        <w:numPr>
          <w:ilvl w:val="0"/>
          <w:numId w:val="39"/>
        </w:numPr>
        <w:tabs>
          <w:tab w:val="left" w:pos="1134"/>
        </w:tabs>
        <w:spacing w:after="200" w:line="360" w:lineRule="auto"/>
        <w:ind w:left="0" w:firstLine="640" w:firstLineChars="0"/>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★供应商为本项目提供的所有产品、辅材等符合现行的强制性国家相关标准、行业标准。</w:t>
      </w:r>
      <w:r>
        <w:rPr>
          <w:rFonts w:hint="eastAsia" w:ascii="宋体" w:hAnsi="宋体" w:eastAsia="宋体"/>
          <w:b/>
          <w:color w:val="auto"/>
          <w:sz w:val="28"/>
          <w:szCs w:val="28"/>
          <w:highlight w:val="none"/>
        </w:rPr>
        <w:t>（说明：供应商应按磋商文件</w:t>
      </w:r>
      <w:r>
        <w:rPr>
          <w:rFonts w:ascii="宋体" w:hAnsi="宋体"/>
          <w:b/>
          <w:color w:val="auto"/>
          <w:sz w:val="28"/>
          <w:szCs w:val="28"/>
          <w:highlight w:val="none"/>
        </w:rPr>
        <w:t>3.</w:t>
      </w:r>
      <w:r>
        <w:rPr>
          <w:rFonts w:hint="eastAsia" w:ascii="宋体" w:hAnsi="宋体"/>
          <w:b/>
          <w:color w:val="auto"/>
          <w:sz w:val="28"/>
          <w:szCs w:val="28"/>
          <w:highlight w:val="none"/>
        </w:rPr>
        <w:t>1</w:t>
      </w:r>
      <w:r>
        <w:rPr>
          <w:rFonts w:ascii="宋体" w:hAnsi="宋体"/>
          <w:b/>
          <w:color w:val="auto"/>
          <w:sz w:val="28"/>
          <w:szCs w:val="28"/>
          <w:highlight w:val="none"/>
        </w:rPr>
        <w:t>.</w:t>
      </w:r>
      <w:r>
        <w:rPr>
          <w:rFonts w:hint="eastAsia" w:ascii="宋体" w:hAnsi="宋体"/>
          <w:b/>
          <w:color w:val="auto"/>
          <w:sz w:val="28"/>
          <w:szCs w:val="28"/>
          <w:highlight w:val="none"/>
        </w:rPr>
        <w:t>2.3</w:t>
      </w:r>
      <w:r>
        <w:rPr>
          <w:rFonts w:hint="eastAsia" w:ascii="宋体" w:hAnsi="宋体" w:eastAsia="宋体"/>
          <w:b/>
          <w:color w:val="auto"/>
          <w:sz w:val="28"/>
          <w:szCs w:val="28"/>
          <w:highlight w:val="none"/>
        </w:rPr>
        <w:t>承诺函的内容提供承诺函。）</w:t>
      </w:r>
    </w:p>
    <w:p>
      <w:pPr>
        <w:pStyle w:val="80"/>
        <w:numPr>
          <w:ilvl w:val="0"/>
          <w:numId w:val="39"/>
        </w:numPr>
        <w:tabs>
          <w:tab w:val="left" w:pos="1134"/>
        </w:tabs>
        <w:spacing w:after="200" w:line="360" w:lineRule="auto"/>
        <w:ind w:left="0" w:firstLine="640" w:firstLineChars="0"/>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★供应商为本项目提供的所有产品中属于节能产品政府采购品目清单中的政府强制采购产品的，均具有国家确定的认证机构出具的有效期内的节能产品认证证书。</w:t>
      </w:r>
      <w:r>
        <w:rPr>
          <w:rFonts w:hint="eastAsia" w:ascii="宋体" w:hAnsi="宋体" w:eastAsia="宋体"/>
          <w:b/>
          <w:color w:val="auto"/>
          <w:sz w:val="28"/>
          <w:szCs w:val="28"/>
          <w:highlight w:val="none"/>
        </w:rPr>
        <w:t>（说明：供应商应按磋商文件</w:t>
      </w:r>
      <w:r>
        <w:rPr>
          <w:rFonts w:ascii="宋体" w:hAnsi="宋体"/>
          <w:b/>
          <w:color w:val="auto"/>
          <w:sz w:val="28"/>
          <w:szCs w:val="28"/>
          <w:highlight w:val="none"/>
        </w:rPr>
        <w:t>3.</w:t>
      </w:r>
      <w:r>
        <w:rPr>
          <w:rFonts w:hint="eastAsia" w:ascii="宋体" w:hAnsi="宋体"/>
          <w:b/>
          <w:color w:val="auto"/>
          <w:sz w:val="28"/>
          <w:szCs w:val="28"/>
          <w:highlight w:val="none"/>
        </w:rPr>
        <w:t>1</w:t>
      </w:r>
      <w:r>
        <w:rPr>
          <w:rFonts w:ascii="宋体" w:hAnsi="宋体"/>
          <w:b/>
          <w:color w:val="auto"/>
          <w:sz w:val="28"/>
          <w:szCs w:val="28"/>
          <w:highlight w:val="none"/>
        </w:rPr>
        <w:t>.</w:t>
      </w:r>
      <w:r>
        <w:rPr>
          <w:rFonts w:hint="eastAsia" w:ascii="宋体" w:hAnsi="宋体"/>
          <w:b/>
          <w:color w:val="auto"/>
          <w:sz w:val="28"/>
          <w:szCs w:val="28"/>
          <w:highlight w:val="none"/>
        </w:rPr>
        <w:t>2.3</w:t>
      </w:r>
      <w:r>
        <w:rPr>
          <w:rFonts w:hint="eastAsia" w:ascii="宋体" w:hAnsi="宋体" w:eastAsia="宋体"/>
          <w:b/>
          <w:color w:val="auto"/>
          <w:sz w:val="28"/>
          <w:szCs w:val="28"/>
          <w:highlight w:val="none"/>
        </w:rPr>
        <w:t>承诺函的内容提供承诺函。）</w:t>
      </w:r>
    </w:p>
    <w:p>
      <w:pPr>
        <w:pStyle w:val="80"/>
        <w:numPr>
          <w:ilvl w:val="0"/>
          <w:numId w:val="39"/>
        </w:numPr>
        <w:tabs>
          <w:tab w:val="left" w:pos="1134"/>
        </w:tabs>
        <w:spacing w:after="200" w:line="360" w:lineRule="auto"/>
        <w:ind w:left="0" w:firstLine="640" w:firstLineChars="0"/>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★供应商为本工程项目实施涉及的商品包装和快递包装，均符合财政部等三部门联合印发商品包装和快递包装政府采购需求标准（试行）（财办库[2020]123号）的要求。</w:t>
      </w:r>
      <w:r>
        <w:rPr>
          <w:rFonts w:hint="eastAsia" w:ascii="宋体" w:hAnsi="宋体" w:eastAsia="宋体"/>
          <w:b/>
          <w:color w:val="auto"/>
          <w:sz w:val="28"/>
          <w:szCs w:val="28"/>
          <w:highlight w:val="none"/>
        </w:rPr>
        <w:t>（说明：供应商应按磋商文件</w:t>
      </w:r>
      <w:r>
        <w:rPr>
          <w:rFonts w:ascii="宋体" w:hAnsi="宋体"/>
          <w:b/>
          <w:color w:val="auto"/>
          <w:sz w:val="28"/>
          <w:szCs w:val="28"/>
          <w:highlight w:val="none"/>
        </w:rPr>
        <w:t>3.</w:t>
      </w:r>
      <w:r>
        <w:rPr>
          <w:rFonts w:hint="eastAsia" w:ascii="宋体" w:hAnsi="宋体"/>
          <w:b/>
          <w:color w:val="auto"/>
          <w:sz w:val="28"/>
          <w:szCs w:val="28"/>
          <w:highlight w:val="none"/>
        </w:rPr>
        <w:t>1</w:t>
      </w:r>
      <w:r>
        <w:rPr>
          <w:rFonts w:ascii="宋体" w:hAnsi="宋体"/>
          <w:b/>
          <w:color w:val="auto"/>
          <w:sz w:val="28"/>
          <w:szCs w:val="28"/>
          <w:highlight w:val="none"/>
        </w:rPr>
        <w:t>.</w:t>
      </w:r>
      <w:r>
        <w:rPr>
          <w:rFonts w:hint="eastAsia" w:ascii="宋体" w:hAnsi="宋体"/>
          <w:b/>
          <w:color w:val="auto"/>
          <w:sz w:val="28"/>
          <w:szCs w:val="28"/>
          <w:highlight w:val="none"/>
        </w:rPr>
        <w:t>2.3</w:t>
      </w:r>
      <w:r>
        <w:rPr>
          <w:rFonts w:hint="eastAsia" w:ascii="宋体" w:hAnsi="宋体" w:eastAsia="宋体"/>
          <w:b/>
          <w:color w:val="auto"/>
          <w:sz w:val="28"/>
          <w:szCs w:val="28"/>
          <w:highlight w:val="none"/>
        </w:rPr>
        <w:t>承诺函的内容提供承诺函。）</w:t>
      </w:r>
    </w:p>
    <w:p>
      <w:pPr>
        <w:pStyle w:val="80"/>
        <w:numPr>
          <w:ilvl w:val="0"/>
          <w:numId w:val="39"/>
        </w:numPr>
        <w:tabs>
          <w:tab w:val="left" w:pos="1134"/>
        </w:tabs>
        <w:spacing w:after="200" w:line="360" w:lineRule="auto"/>
        <w:ind w:left="0" w:firstLine="640" w:firstLineChars="0"/>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★供应商为本项目提供的工程、货物及服务均为本国工程、货物及服务。</w:t>
      </w:r>
      <w:r>
        <w:rPr>
          <w:rFonts w:hint="eastAsia" w:ascii="宋体" w:hAnsi="宋体" w:eastAsia="宋体"/>
          <w:b/>
          <w:color w:val="auto"/>
          <w:sz w:val="28"/>
          <w:szCs w:val="28"/>
          <w:highlight w:val="none"/>
        </w:rPr>
        <w:t>（说明：供应商应按磋商文件</w:t>
      </w:r>
      <w:r>
        <w:rPr>
          <w:rFonts w:ascii="宋体" w:hAnsi="宋体"/>
          <w:b/>
          <w:color w:val="auto"/>
          <w:sz w:val="28"/>
          <w:szCs w:val="28"/>
          <w:highlight w:val="none"/>
        </w:rPr>
        <w:t>3.</w:t>
      </w:r>
      <w:r>
        <w:rPr>
          <w:rFonts w:hint="eastAsia" w:ascii="宋体" w:hAnsi="宋体"/>
          <w:b/>
          <w:color w:val="auto"/>
          <w:sz w:val="28"/>
          <w:szCs w:val="28"/>
          <w:highlight w:val="none"/>
        </w:rPr>
        <w:t>1</w:t>
      </w:r>
      <w:r>
        <w:rPr>
          <w:rFonts w:ascii="宋体" w:hAnsi="宋体"/>
          <w:b/>
          <w:color w:val="auto"/>
          <w:sz w:val="28"/>
          <w:szCs w:val="28"/>
          <w:highlight w:val="none"/>
        </w:rPr>
        <w:t>.</w:t>
      </w:r>
      <w:r>
        <w:rPr>
          <w:rFonts w:hint="eastAsia" w:ascii="宋体" w:hAnsi="宋体"/>
          <w:b/>
          <w:color w:val="auto"/>
          <w:sz w:val="28"/>
          <w:szCs w:val="28"/>
          <w:highlight w:val="none"/>
        </w:rPr>
        <w:t>2.3</w:t>
      </w:r>
      <w:r>
        <w:rPr>
          <w:rFonts w:hint="eastAsia" w:ascii="宋体" w:hAnsi="宋体" w:eastAsia="宋体"/>
          <w:b/>
          <w:color w:val="auto"/>
          <w:sz w:val="28"/>
          <w:szCs w:val="28"/>
          <w:highlight w:val="none"/>
        </w:rPr>
        <w:t>承诺函的内容提供承诺函。）</w:t>
      </w:r>
    </w:p>
    <w:p>
      <w:pPr>
        <w:pStyle w:val="80"/>
        <w:numPr>
          <w:ilvl w:val="0"/>
          <w:numId w:val="39"/>
        </w:numPr>
        <w:tabs>
          <w:tab w:val="left" w:pos="1134"/>
        </w:tabs>
        <w:spacing w:after="200" w:line="360" w:lineRule="auto"/>
        <w:ind w:left="0" w:firstLine="640" w:firstLineChars="0"/>
        <w:rPr>
          <w:rFonts w:ascii="宋体" w:hAnsi="宋体" w:eastAsia="宋体" w:cs="仿宋"/>
          <w:b/>
          <w:color w:val="auto"/>
          <w:sz w:val="28"/>
          <w:szCs w:val="28"/>
          <w:highlight w:val="none"/>
        </w:rPr>
      </w:pPr>
      <w:r>
        <w:rPr>
          <w:rFonts w:hint="eastAsia" w:ascii="宋体" w:hAnsi="宋体" w:eastAsia="宋体" w:cs="仿宋"/>
          <w:b/>
          <w:color w:val="auto"/>
          <w:sz w:val="28"/>
          <w:szCs w:val="28"/>
          <w:highlight w:val="none"/>
        </w:rPr>
        <w:t>★施工要求：根据工程量清单、工程量清单编制说明进行施工。工程施工应满足当地建设行政主管部门对工程建设的有关规定，并按经批准的施工组织设计实施，并要符合施工规范及验收标准的相关要求。</w:t>
      </w:r>
      <w:r>
        <w:rPr>
          <w:rFonts w:hint="eastAsia" w:ascii="宋体" w:hAnsi="宋体" w:eastAsia="宋体"/>
          <w:b/>
          <w:color w:val="auto"/>
          <w:sz w:val="28"/>
          <w:szCs w:val="28"/>
          <w:highlight w:val="none"/>
        </w:rPr>
        <w:t>（说明：供应商应按磋商文件</w:t>
      </w:r>
      <w:r>
        <w:rPr>
          <w:rFonts w:ascii="宋体" w:hAnsi="宋体"/>
          <w:b/>
          <w:color w:val="auto"/>
          <w:sz w:val="28"/>
          <w:szCs w:val="28"/>
          <w:highlight w:val="none"/>
        </w:rPr>
        <w:t>3.</w:t>
      </w:r>
      <w:r>
        <w:rPr>
          <w:rFonts w:hint="eastAsia" w:ascii="宋体" w:hAnsi="宋体"/>
          <w:b/>
          <w:color w:val="auto"/>
          <w:sz w:val="28"/>
          <w:szCs w:val="28"/>
          <w:highlight w:val="none"/>
        </w:rPr>
        <w:t>1</w:t>
      </w:r>
      <w:r>
        <w:rPr>
          <w:rFonts w:ascii="宋体" w:hAnsi="宋体"/>
          <w:b/>
          <w:color w:val="auto"/>
          <w:sz w:val="28"/>
          <w:szCs w:val="28"/>
          <w:highlight w:val="none"/>
        </w:rPr>
        <w:t>.</w:t>
      </w:r>
      <w:r>
        <w:rPr>
          <w:rFonts w:hint="eastAsia" w:ascii="宋体" w:hAnsi="宋体"/>
          <w:b/>
          <w:color w:val="auto"/>
          <w:sz w:val="28"/>
          <w:szCs w:val="28"/>
          <w:highlight w:val="none"/>
        </w:rPr>
        <w:t>2.3</w:t>
      </w:r>
      <w:r>
        <w:rPr>
          <w:rFonts w:hint="eastAsia" w:ascii="宋体" w:hAnsi="宋体" w:eastAsia="宋体"/>
          <w:b/>
          <w:color w:val="auto"/>
          <w:sz w:val="28"/>
          <w:szCs w:val="28"/>
          <w:highlight w:val="none"/>
        </w:rPr>
        <w:t>承诺函的内容提供承诺函。）</w:t>
      </w:r>
    </w:p>
    <w:p>
      <w:pPr>
        <w:spacing w:line="360" w:lineRule="auto"/>
        <w:ind w:firstLine="562" w:firstLineChars="200"/>
        <w:rPr>
          <w:rFonts w:ascii="宋体" w:hAnsi="宋体" w:cs="仿宋"/>
          <w:b/>
          <w:color w:val="auto"/>
          <w:kern w:val="2"/>
          <w:sz w:val="28"/>
          <w:szCs w:val="28"/>
          <w:highlight w:val="none"/>
        </w:rPr>
      </w:pPr>
      <w:r>
        <w:rPr>
          <w:rFonts w:hint="eastAsia" w:ascii="宋体" w:hAnsi="宋体" w:cs="仿宋"/>
          <w:b/>
          <w:color w:val="auto"/>
          <w:kern w:val="2"/>
          <w:sz w:val="28"/>
          <w:szCs w:val="28"/>
          <w:highlight w:val="none"/>
        </w:rPr>
        <w:t>七、履约要求:如果供应商无故拖延超过完工日期，逾期每日扣合同金额的1%作为违约金，并且采购人有权无条件解除合同，并要求供应商赔偿一切损失。</w:t>
      </w:r>
    </w:p>
    <w:p>
      <w:pPr>
        <w:spacing w:line="360" w:lineRule="auto"/>
        <w:ind w:firstLine="562" w:firstLineChars="200"/>
        <w:rPr>
          <w:rFonts w:ascii="宋体" w:hAnsi="宋体" w:cs="仿宋"/>
          <w:b/>
          <w:color w:val="auto"/>
          <w:kern w:val="2"/>
          <w:sz w:val="28"/>
          <w:szCs w:val="28"/>
          <w:highlight w:val="none"/>
        </w:rPr>
      </w:pPr>
      <w:r>
        <w:rPr>
          <w:rFonts w:hint="eastAsia" w:ascii="宋体" w:hAnsi="宋体" w:cs="仿宋"/>
          <w:b/>
          <w:color w:val="auto"/>
          <w:kern w:val="2"/>
          <w:sz w:val="28"/>
          <w:szCs w:val="28"/>
          <w:highlight w:val="none"/>
        </w:rPr>
        <w:t>八、本项目所有工程安全责任(含事故)由成交供应商全部承担，与采购人无关，成交供应商在进场后须严格按照相关规范要求进行施工，并无条件遵从监理单位提出的科学、规范、合理意见。</w:t>
      </w:r>
    </w:p>
    <w:p>
      <w:pPr>
        <w:spacing w:line="360" w:lineRule="auto"/>
        <w:ind w:firstLine="562" w:firstLineChars="200"/>
        <w:rPr>
          <w:rFonts w:ascii="宋体" w:hAnsi="宋体" w:cs="仿宋"/>
          <w:b/>
          <w:color w:val="auto"/>
          <w:kern w:val="2"/>
          <w:sz w:val="28"/>
          <w:szCs w:val="28"/>
          <w:highlight w:val="none"/>
        </w:rPr>
      </w:pPr>
      <w:r>
        <w:rPr>
          <w:rFonts w:hint="eastAsia" w:ascii="宋体" w:hAnsi="宋体" w:cs="仿宋"/>
          <w:b/>
          <w:color w:val="auto"/>
          <w:kern w:val="2"/>
          <w:sz w:val="28"/>
          <w:szCs w:val="28"/>
          <w:highlight w:val="none"/>
        </w:rPr>
        <w:t>九、中标供应商(施工单位)在施工过程中无条件接受监理单位的监督、检查、审核和技术指导，施工单位作为总承包有义务无条件完成采购人提出的与施工相关的增加项目。</w:t>
      </w:r>
    </w:p>
    <w:p>
      <w:pPr>
        <w:spacing w:line="360" w:lineRule="auto"/>
        <w:ind w:firstLine="562" w:firstLineChars="200"/>
        <w:rPr>
          <w:rFonts w:ascii="宋体" w:hAnsi="宋体" w:cs="仿宋"/>
          <w:b/>
          <w:color w:val="auto"/>
          <w:kern w:val="2"/>
          <w:sz w:val="28"/>
          <w:szCs w:val="28"/>
          <w:highlight w:val="none"/>
        </w:rPr>
      </w:pPr>
      <w:r>
        <w:rPr>
          <w:rFonts w:hint="eastAsia" w:ascii="宋体" w:hAnsi="宋体" w:cs="仿宋"/>
          <w:b/>
          <w:color w:val="auto"/>
          <w:kern w:val="2"/>
          <w:sz w:val="28"/>
          <w:szCs w:val="28"/>
          <w:highlight w:val="none"/>
        </w:rPr>
        <w:t>十、质量标准</w:t>
      </w:r>
    </w:p>
    <w:p>
      <w:pPr>
        <w:spacing w:line="360" w:lineRule="auto"/>
        <w:ind w:firstLine="562" w:firstLineChars="200"/>
        <w:rPr>
          <w:rFonts w:ascii="宋体" w:hAnsi="宋体" w:cs="仿宋"/>
          <w:b/>
          <w:color w:val="auto"/>
          <w:kern w:val="2"/>
          <w:sz w:val="28"/>
          <w:szCs w:val="28"/>
          <w:highlight w:val="none"/>
        </w:rPr>
      </w:pPr>
      <w:r>
        <w:rPr>
          <w:rFonts w:hint="eastAsia" w:ascii="宋体" w:hAnsi="宋体" w:cs="仿宋"/>
          <w:b/>
          <w:color w:val="auto"/>
          <w:kern w:val="2"/>
          <w:sz w:val="28"/>
          <w:szCs w:val="28"/>
          <w:highlight w:val="none"/>
        </w:rPr>
        <w:t>（一）完全按照采购人提供的有关图纸、设计说明、工程量清单和相关要求进行施工，符合国家有关工程施工质量验收规范标准。</w:t>
      </w:r>
    </w:p>
    <w:p>
      <w:pPr>
        <w:spacing w:line="360" w:lineRule="auto"/>
        <w:ind w:firstLine="562" w:firstLineChars="200"/>
        <w:rPr>
          <w:rFonts w:ascii="宋体" w:hAnsi="宋体" w:cs="仿宋"/>
          <w:b/>
          <w:color w:val="auto"/>
          <w:kern w:val="2"/>
          <w:sz w:val="28"/>
          <w:szCs w:val="28"/>
          <w:highlight w:val="none"/>
        </w:rPr>
      </w:pPr>
      <w:r>
        <w:rPr>
          <w:rFonts w:hint="eastAsia" w:ascii="宋体" w:hAnsi="宋体" w:cs="仿宋"/>
          <w:b/>
          <w:color w:val="auto"/>
          <w:kern w:val="2"/>
          <w:sz w:val="28"/>
          <w:szCs w:val="28"/>
          <w:highlight w:val="none"/>
        </w:rPr>
        <w:t>（二）施工过程中出现隐蔽施工的，隐蔽项目完工后先进行隐蔽工程验收，验收合格后方能进入下一道工序。</w:t>
      </w:r>
    </w:p>
    <w:p>
      <w:pPr>
        <w:spacing w:line="360" w:lineRule="auto"/>
        <w:ind w:firstLine="562" w:firstLineChars="200"/>
        <w:rPr>
          <w:rFonts w:ascii="宋体" w:hAnsi="宋体" w:cs="仿宋"/>
          <w:b/>
          <w:color w:val="auto"/>
          <w:kern w:val="2"/>
          <w:sz w:val="28"/>
          <w:szCs w:val="28"/>
          <w:highlight w:val="none"/>
        </w:rPr>
      </w:pPr>
      <w:r>
        <w:rPr>
          <w:rFonts w:hint="eastAsia" w:ascii="宋体" w:hAnsi="宋体" w:cs="仿宋"/>
          <w:b/>
          <w:color w:val="auto"/>
          <w:kern w:val="2"/>
          <w:sz w:val="28"/>
          <w:szCs w:val="28"/>
          <w:highlight w:val="none"/>
        </w:rPr>
        <w:t>（三）对于本工程原材料进场检验、隐蔽工程、施工关键工序等由采购人委托的监理进行全过程旁站式监理，确保工程质量。如出现未按照磋商相应文件质量要求提供合格产品的，供应商应无条件退换，直至产品合格为止;隐蔽工程和关键工序不符合施工规范要求影响工程质量的,供应商无条件返工,直至合格为止。</w:t>
      </w:r>
    </w:p>
    <w:p>
      <w:pPr>
        <w:spacing w:line="360" w:lineRule="auto"/>
        <w:ind w:firstLine="562" w:firstLineChars="200"/>
        <w:rPr>
          <w:rFonts w:ascii="宋体" w:hAnsi="宋体" w:cs="仿宋"/>
          <w:b/>
          <w:color w:val="auto"/>
          <w:kern w:val="2"/>
          <w:sz w:val="28"/>
          <w:szCs w:val="28"/>
          <w:highlight w:val="none"/>
        </w:rPr>
      </w:pPr>
      <w:r>
        <w:rPr>
          <w:rFonts w:hint="eastAsia" w:ascii="宋体" w:hAnsi="宋体" w:cs="仿宋"/>
          <w:b/>
          <w:color w:val="auto"/>
          <w:kern w:val="2"/>
          <w:sz w:val="28"/>
          <w:szCs w:val="28"/>
          <w:highlight w:val="none"/>
        </w:rPr>
        <w:t>（四）对分项工程分阶段进行验收。</w:t>
      </w:r>
    </w:p>
    <w:p>
      <w:pPr>
        <w:spacing w:line="360" w:lineRule="auto"/>
        <w:ind w:firstLine="562" w:firstLineChars="200"/>
        <w:rPr>
          <w:rFonts w:ascii="宋体" w:hAnsi="宋体" w:cs="仿宋"/>
          <w:b/>
          <w:color w:val="auto"/>
          <w:kern w:val="2"/>
          <w:sz w:val="28"/>
          <w:szCs w:val="28"/>
          <w:highlight w:val="none"/>
        </w:rPr>
      </w:pPr>
      <w:r>
        <w:rPr>
          <w:rFonts w:hint="eastAsia" w:ascii="宋体" w:hAnsi="宋体" w:cs="仿宋"/>
          <w:b/>
          <w:color w:val="auto"/>
          <w:kern w:val="2"/>
          <w:sz w:val="28"/>
          <w:szCs w:val="28"/>
          <w:highlight w:val="none"/>
        </w:rPr>
        <w:t>（五）主要材料进场时提供产品合格证及检验合格报告原件，采购人可根据需要对材料进行抽检，如抽检不合格，按抽检批次每次扣除合同金额的1%。</w:t>
      </w:r>
    </w:p>
    <w:p>
      <w:pPr>
        <w:spacing w:line="360" w:lineRule="auto"/>
        <w:ind w:firstLine="562" w:firstLineChars="200"/>
        <w:rPr>
          <w:rFonts w:ascii="宋体" w:hAnsi="宋体" w:cs="仿宋"/>
          <w:b/>
          <w:color w:val="auto"/>
          <w:kern w:val="2"/>
          <w:sz w:val="28"/>
          <w:szCs w:val="28"/>
          <w:highlight w:val="none"/>
        </w:rPr>
      </w:pPr>
      <w:r>
        <w:rPr>
          <w:rFonts w:hint="eastAsia" w:ascii="宋体" w:hAnsi="宋体" w:cs="仿宋"/>
          <w:b/>
          <w:color w:val="auto"/>
          <w:kern w:val="2"/>
          <w:sz w:val="28"/>
          <w:szCs w:val="28"/>
          <w:highlight w:val="none"/>
        </w:rPr>
        <w:t>（六）施工方提供的材料必须符合国家环境保护标准，包括但不限于室内空气质量、辐射、照明和完工后的噪声强度，必须达到国家工程质量验收标准。</w:t>
      </w:r>
    </w:p>
    <w:p>
      <w:pPr>
        <w:pStyle w:val="2"/>
        <w:rPr>
          <w:color w:val="auto"/>
          <w:highlight w:val="none"/>
        </w:rPr>
      </w:pPr>
    </w:p>
    <w:p>
      <w:pPr>
        <w:pStyle w:val="5"/>
        <w:tabs>
          <w:tab w:val="left" w:pos="993"/>
          <w:tab w:val="clear" w:pos="426"/>
          <w:tab w:val="clear" w:pos="567"/>
        </w:tabs>
        <w:ind w:left="0" w:firstLine="0"/>
        <w:rPr>
          <w:color w:val="auto"/>
          <w:highlight w:val="none"/>
        </w:rPr>
      </w:pPr>
      <w:bookmarkStart w:id="113" w:name="_Toc24125"/>
      <w:bookmarkStart w:id="114" w:name="_Toc19669"/>
      <w:bookmarkStart w:id="115" w:name="_Toc72938447"/>
      <w:bookmarkStart w:id="116" w:name="_Toc54948228"/>
      <w:bookmarkStart w:id="117" w:name="_Toc437336142"/>
      <w:bookmarkStart w:id="118" w:name="_Toc386099131"/>
      <w:bookmarkStart w:id="119" w:name="_Toc72938448"/>
      <w:bookmarkStart w:id="120" w:name="_Toc238273564"/>
      <w:bookmarkStart w:id="121" w:name="_Toc360696963"/>
      <w:bookmarkStart w:id="122" w:name="_Toc236285891"/>
      <w:bookmarkStart w:id="123" w:name="_Toc205604899"/>
      <w:r>
        <w:rPr>
          <w:rFonts w:hint="eastAsia"/>
          <w:color w:val="auto"/>
          <w:highlight w:val="none"/>
          <w:lang w:val="en-US" w:eastAsia="zh-CN"/>
        </w:rPr>
        <w:t>违约责任</w:t>
      </w:r>
      <w:bookmarkEnd w:id="113"/>
      <w:bookmarkEnd w:id="114"/>
    </w:p>
    <w:p>
      <w:pPr>
        <w:numPr>
          <w:ilvl w:val="0"/>
          <w:numId w:val="40"/>
        </w:numPr>
        <w:spacing w:line="360" w:lineRule="auto"/>
        <w:ind w:firstLine="562" w:firstLineChars="200"/>
        <w:rPr>
          <w:rFonts w:hint="eastAsia" w:ascii="宋体" w:hAnsi="宋体" w:eastAsia="宋体" w:cs="仿宋"/>
          <w:b/>
          <w:color w:val="auto"/>
          <w:kern w:val="2"/>
          <w:sz w:val="28"/>
          <w:szCs w:val="28"/>
          <w:highlight w:val="none"/>
        </w:rPr>
      </w:pPr>
      <w:r>
        <w:rPr>
          <w:rFonts w:hint="eastAsia" w:ascii="宋体" w:hAnsi="宋体" w:eastAsia="宋体" w:cs="仿宋"/>
          <w:b/>
          <w:color w:val="auto"/>
          <w:kern w:val="2"/>
          <w:sz w:val="28"/>
          <w:szCs w:val="28"/>
          <w:highlight w:val="none"/>
        </w:rPr>
        <w:t>工期延误:乙方应按约定工期完成工程，若造成工期延误的，每延迟1天，甲方有权在乙方工程款项中扣除10000元，直至乙方完工为止。</w:t>
      </w:r>
    </w:p>
    <w:p>
      <w:pPr>
        <w:numPr>
          <w:ilvl w:val="0"/>
          <w:numId w:val="40"/>
        </w:numPr>
        <w:spacing w:line="360" w:lineRule="auto"/>
        <w:ind w:firstLine="562" w:firstLineChars="200"/>
        <w:rPr>
          <w:rFonts w:hint="eastAsia" w:ascii="宋体" w:hAnsi="宋体" w:eastAsia="宋体" w:cs="仿宋"/>
          <w:b/>
          <w:color w:val="auto"/>
          <w:kern w:val="2"/>
          <w:sz w:val="28"/>
          <w:szCs w:val="28"/>
          <w:highlight w:val="none"/>
        </w:rPr>
      </w:pPr>
      <w:r>
        <w:rPr>
          <w:rFonts w:hint="eastAsia" w:ascii="宋体" w:hAnsi="宋体" w:eastAsia="宋体" w:cs="仿宋"/>
          <w:b/>
          <w:color w:val="auto"/>
          <w:kern w:val="2"/>
          <w:sz w:val="28"/>
          <w:szCs w:val="28"/>
          <w:highlight w:val="none"/>
        </w:rPr>
        <w:t>建造师和技术负责人每月必须在工地上不少于25天，施工员、安全员、质检员、材料员必须常驻现场，否则每少一天，建造师和技术负责人扣款1500元/天</w:t>
      </w:r>
      <w:r>
        <w:rPr>
          <w:rFonts w:hint="eastAsia" w:ascii="宋体" w:hAnsi="宋体" w:eastAsia="宋体" w:cs="仿宋"/>
          <w:b/>
          <w:color w:val="auto"/>
          <w:kern w:val="2"/>
          <w:sz w:val="28"/>
          <w:szCs w:val="28"/>
          <w:highlight w:val="none"/>
          <w:lang w:val="en-US" w:eastAsia="zh-CN"/>
        </w:rPr>
        <w:t>·人</w:t>
      </w:r>
      <w:r>
        <w:rPr>
          <w:rFonts w:hint="eastAsia" w:ascii="宋体" w:hAnsi="宋体" w:eastAsia="宋体" w:cs="仿宋"/>
          <w:b/>
          <w:color w:val="auto"/>
          <w:kern w:val="2"/>
          <w:sz w:val="28"/>
          <w:szCs w:val="28"/>
          <w:highlight w:val="none"/>
        </w:rPr>
        <w:t>，施工员、安全员、质检员、材料员扣款300元/天</w:t>
      </w:r>
      <w:r>
        <w:rPr>
          <w:rFonts w:hint="eastAsia" w:ascii="宋体" w:hAnsi="宋体" w:eastAsia="宋体" w:cs="仿宋"/>
          <w:b/>
          <w:color w:val="auto"/>
          <w:kern w:val="2"/>
          <w:sz w:val="28"/>
          <w:szCs w:val="28"/>
          <w:highlight w:val="none"/>
          <w:lang w:val="en-US" w:eastAsia="zh-CN"/>
        </w:rPr>
        <w:t>·人</w:t>
      </w:r>
      <w:r>
        <w:rPr>
          <w:rFonts w:hint="eastAsia" w:ascii="宋体" w:hAnsi="宋体" w:eastAsia="宋体" w:cs="仿宋"/>
          <w:b/>
          <w:color w:val="auto"/>
          <w:kern w:val="2"/>
          <w:sz w:val="28"/>
          <w:szCs w:val="28"/>
          <w:highlight w:val="none"/>
        </w:rPr>
        <w:t>，扣款在相应期次或送审资料后应支付工程款中扣除</w:t>
      </w:r>
      <w:r>
        <w:rPr>
          <w:rFonts w:hint="eastAsia" w:ascii="宋体" w:hAnsi="宋体" w:eastAsia="宋体" w:cs="仿宋"/>
          <w:b/>
          <w:color w:val="auto"/>
          <w:kern w:val="2"/>
          <w:sz w:val="28"/>
          <w:szCs w:val="28"/>
          <w:highlight w:val="none"/>
          <w:lang w:eastAsia="zh-CN"/>
        </w:rPr>
        <w:t>。</w:t>
      </w:r>
    </w:p>
    <w:p>
      <w:pPr>
        <w:numPr>
          <w:ilvl w:val="0"/>
          <w:numId w:val="40"/>
        </w:numPr>
        <w:spacing w:line="360" w:lineRule="auto"/>
        <w:ind w:firstLine="562" w:firstLineChars="200"/>
        <w:rPr>
          <w:rFonts w:hint="eastAsia" w:ascii="宋体" w:hAnsi="宋体" w:eastAsia="宋体" w:cs="仿宋"/>
          <w:b/>
          <w:color w:val="auto"/>
          <w:kern w:val="2"/>
          <w:sz w:val="28"/>
          <w:szCs w:val="28"/>
          <w:highlight w:val="none"/>
        </w:rPr>
      </w:pPr>
      <w:r>
        <w:rPr>
          <w:rFonts w:hint="eastAsia" w:ascii="宋体" w:hAnsi="宋体" w:eastAsia="宋体" w:cs="仿宋"/>
          <w:b/>
          <w:color w:val="auto"/>
          <w:kern w:val="2"/>
          <w:sz w:val="28"/>
          <w:szCs w:val="28"/>
          <w:highlight w:val="none"/>
        </w:rPr>
        <w:t>合同中涉及甲方扣除乙方工程款项情形的,若工程款已全部被扣除,仍不能实现合同目的的，乙方除继续履行合同义务外，还应承担赔偿责任。</w:t>
      </w:r>
    </w:p>
    <w:p>
      <w:pPr>
        <w:numPr>
          <w:ilvl w:val="0"/>
          <w:numId w:val="40"/>
        </w:numPr>
        <w:spacing w:line="360" w:lineRule="auto"/>
        <w:ind w:firstLine="562" w:firstLineChars="200"/>
        <w:rPr>
          <w:rFonts w:hint="eastAsia" w:ascii="宋体" w:hAnsi="宋体" w:eastAsia="宋体" w:cs="仿宋"/>
          <w:b/>
          <w:color w:val="auto"/>
          <w:kern w:val="2"/>
          <w:sz w:val="28"/>
          <w:szCs w:val="28"/>
          <w:highlight w:val="none"/>
        </w:rPr>
      </w:pPr>
      <w:r>
        <w:rPr>
          <w:rFonts w:hint="eastAsia" w:ascii="宋体" w:hAnsi="宋体" w:eastAsia="宋体" w:cs="仿宋"/>
          <w:b/>
          <w:color w:val="auto"/>
          <w:kern w:val="2"/>
          <w:sz w:val="28"/>
          <w:szCs w:val="28"/>
          <w:highlight w:val="none"/>
        </w:rPr>
        <w:t>除上述约定外，乙方有其他未能按照合同约定履行的违约行为，甲方有权要求乙方按照合同总价3%承担违约责任，并赔偿由此给甲方造成的损失。</w:t>
      </w:r>
    </w:p>
    <w:p>
      <w:pPr>
        <w:numPr>
          <w:ilvl w:val="0"/>
          <w:numId w:val="40"/>
        </w:numPr>
        <w:spacing w:line="360" w:lineRule="auto"/>
        <w:ind w:firstLine="562" w:firstLineChars="200"/>
        <w:rPr>
          <w:rFonts w:hint="eastAsia" w:ascii="宋体" w:hAnsi="宋体" w:eastAsia="宋体" w:cs="仿宋"/>
          <w:b/>
          <w:color w:val="auto"/>
          <w:kern w:val="2"/>
          <w:sz w:val="28"/>
          <w:szCs w:val="28"/>
          <w:highlight w:val="none"/>
        </w:rPr>
      </w:pPr>
      <w:r>
        <w:rPr>
          <w:rFonts w:hint="eastAsia" w:ascii="宋体" w:hAnsi="宋体" w:eastAsia="宋体" w:cs="仿宋"/>
          <w:b/>
          <w:color w:val="auto"/>
          <w:kern w:val="2"/>
          <w:sz w:val="28"/>
          <w:szCs w:val="28"/>
          <w:highlight w:val="none"/>
        </w:rPr>
        <w:t>乙方在</w:t>
      </w:r>
      <w:r>
        <w:rPr>
          <w:rFonts w:hint="eastAsia" w:ascii="宋体" w:hAnsi="宋体" w:eastAsia="宋体" w:cs="仿宋"/>
          <w:b/>
          <w:color w:val="auto"/>
          <w:kern w:val="2"/>
          <w:sz w:val="28"/>
          <w:szCs w:val="28"/>
          <w:highlight w:val="none"/>
          <w:lang w:val="en-US" w:eastAsia="zh-CN"/>
        </w:rPr>
        <w:t>响应</w:t>
      </w:r>
      <w:r>
        <w:rPr>
          <w:rFonts w:hint="eastAsia" w:ascii="宋体" w:hAnsi="宋体" w:eastAsia="宋体" w:cs="仿宋"/>
          <w:b/>
          <w:color w:val="auto"/>
          <w:kern w:val="2"/>
          <w:sz w:val="28"/>
          <w:szCs w:val="28"/>
          <w:highlight w:val="none"/>
        </w:rPr>
        <w:t>文件中所报的项目班子主要成员(项目经理、项目技术负责人、项目工长)，必须严格按照合同约定履行相应的义务，若未经甲方同意，擅自更换</w:t>
      </w:r>
      <w:r>
        <w:rPr>
          <w:rFonts w:hint="eastAsia" w:ascii="宋体" w:hAnsi="宋体" w:eastAsia="宋体" w:cs="仿宋"/>
          <w:b/>
          <w:color w:val="auto"/>
          <w:kern w:val="2"/>
          <w:sz w:val="28"/>
          <w:szCs w:val="28"/>
          <w:highlight w:val="none"/>
          <w:lang w:val="en-US" w:eastAsia="zh-CN"/>
        </w:rPr>
        <w:t>磋商</w:t>
      </w:r>
      <w:r>
        <w:rPr>
          <w:rFonts w:hint="eastAsia" w:ascii="宋体" w:hAnsi="宋体" w:eastAsia="宋体" w:cs="仿宋"/>
          <w:b/>
          <w:color w:val="auto"/>
          <w:kern w:val="2"/>
          <w:sz w:val="28"/>
          <w:szCs w:val="28"/>
          <w:highlight w:val="none"/>
        </w:rPr>
        <w:t>时项目班子主要成员的，视为违约，甲方有权向乙方主张违约金20万元。乙方擅自变更项目班子主要成员2次的(包括2次)，甲方有权单方解除合同。</w:t>
      </w:r>
    </w:p>
    <w:p>
      <w:pPr>
        <w:numPr>
          <w:ilvl w:val="0"/>
          <w:numId w:val="40"/>
        </w:numPr>
        <w:spacing w:line="360" w:lineRule="auto"/>
        <w:ind w:firstLine="562" w:firstLineChars="200"/>
        <w:rPr>
          <w:rFonts w:hint="eastAsia" w:ascii="宋体" w:hAnsi="宋体" w:eastAsia="宋体" w:cs="仿宋"/>
          <w:b/>
          <w:color w:val="auto"/>
          <w:kern w:val="2"/>
          <w:sz w:val="28"/>
          <w:szCs w:val="28"/>
          <w:highlight w:val="none"/>
        </w:rPr>
      </w:pPr>
      <w:r>
        <w:rPr>
          <w:rFonts w:hint="eastAsia" w:ascii="宋体" w:hAnsi="宋体" w:eastAsia="宋体" w:cs="仿宋"/>
          <w:b/>
          <w:color w:val="auto"/>
          <w:kern w:val="2"/>
          <w:sz w:val="28"/>
          <w:szCs w:val="28"/>
          <w:highlight w:val="none"/>
        </w:rPr>
        <w:t>项目经理及其他主要负责人无故或请假理由不充分，未取得甲方认可而不参加工地例会，视为违约，每次收取乙方违约金5000元/人次。6、以上违约金从最近一次进度款中扣取。</w:t>
      </w:r>
    </w:p>
    <w:p/>
    <w:p>
      <w:pPr>
        <w:pStyle w:val="5"/>
        <w:tabs>
          <w:tab w:val="left" w:pos="993"/>
          <w:tab w:val="clear" w:pos="426"/>
          <w:tab w:val="clear" w:pos="567"/>
        </w:tabs>
        <w:ind w:left="0" w:firstLine="0"/>
        <w:rPr>
          <w:color w:val="auto"/>
          <w:highlight w:val="none"/>
        </w:rPr>
      </w:pPr>
      <w:bookmarkStart w:id="124" w:name="_Toc8010"/>
      <w:bookmarkStart w:id="125" w:name="_Toc31533"/>
      <w:r>
        <w:rPr>
          <w:rFonts w:hint="eastAsia"/>
          <w:color w:val="auto"/>
          <w:highlight w:val="none"/>
        </w:rPr>
        <w:t>满足采购需求的最低要求</w:t>
      </w:r>
      <w:bookmarkEnd w:id="115"/>
      <w:bookmarkEnd w:id="116"/>
      <w:bookmarkEnd w:id="124"/>
      <w:bookmarkEnd w:id="125"/>
    </w:p>
    <w:bookmarkEnd w:id="117"/>
    <w:bookmarkEnd w:id="118"/>
    <w:p>
      <w:pPr>
        <w:spacing w:line="560" w:lineRule="exact"/>
        <w:ind w:firstLine="568" w:firstLineChars="202"/>
        <w:rPr>
          <w:rFonts w:ascii="宋体" w:hAnsi="宋体"/>
          <w:b/>
          <w:color w:val="auto"/>
          <w:sz w:val="28"/>
          <w:szCs w:val="28"/>
          <w:highlight w:val="none"/>
        </w:rPr>
      </w:pPr>
      <w:r>
        <w:rPr>
          <w:rFonts w:hint="eastAsia" w:ascii="宋体" w:hAnsi="宋体"/>
          <w:b/>
          <w:color w:val="auto"/>
          <w:sz w:val="28"/>
          <w:szCs w:val="28"/>
          <w:highlight w:val="none"/>
        </w:rPr>
        <w:t>技术、服务、商务及其他要求中加★号的要求为满足采购需求的最低要求。</w:t>
      </w:r>
    </w:p>
    <w:p>
      <w:pPr>
        <w:spacing w:line="360" w:lineRule="auto"/>
        <w:rPr>
          <w:rFonts w:ascii="宋体" w:hAnsi="宋体" w:cs="宋体"/>
          <w:b/>
          <w:bCs/>
          <w:color w:val="auto"/>
          <w:sz w:val="28"/>
          <w:szCs w:val="28"/>
          <w:highlight w:val="none"/>
        </w:rPr>
      </w:pPr>
    </w:p>
    <w:p>
      <w:pPr>
        <w:pStyle w:val="4"/>
        <w:numPr>
          <w:ilvl w:val="0"/>
          <w:numId w:val="1"/>
        </w:numPr>
        <w:spacing w:before="0" w:after="0"/>
        <w:ind w:left="0" w:firstLine="0"/>
        <w:rPr>
          <w:color w:val="auto"/>
          <w:highlight w:val="none"/>
        </w:rPr>
      </w:pPr>
      <w:bookmarkStart w:id="126" w:name="_Toc20230"/>
      <w:bookmarkStart w:id="127" w:name="_Toc19680"/>
      <w:r>
        <w:rPr>
          <w:rFonts w:hint="eastAsia"/>
          <w:color w:val="auto"/>
          <w:highlight w:val="none"/>
        </w:rPr>
        <w:t>磋商办法</w:t>
      </w:r>
      <w:bookmarkEnd w:id="119"/>
      <w:bookmarkEnd w:id="126"/>
      <w:bookmarkEnd w:id="127"/>
    </w:p>
    <w:p>
      <w:pPr>
        <w:pStyle w:val="5"/>
        <w:tabs>
          <w:tab w:val="left" w:pos="993"/>
          <w:tab w:val="clear" w:pos="426"/>
          <w:tab w:val="clear" w:pos="567"/>
        </w:tabs>
        <w:ind w:left="0" w:firstLine="0"/>
        <w:rPr>
          <w:color w:val="auto"/>
          <w:highlight w:val="none"/>
        </w:rPr>
      </w:pPr>
      <w:bookmarkStart w:id="128" w:name="_Toc72938449"/>
      <w:bookmarkStart w:id="129" w:name="_Toc2863"/>
      <w:bookmarkStart w:id="130" w:name="_Toc28914"/>
      <w:r>
        <w:rPr>
          <w:rFonts w:hint="eastAsia"/>
          <w:color w:val="auto"/>
          <w:highlight w:val="none"/>
        </w:rPr>
        <w:t>总则</w:t>
      </w:r>
      <w:bookmarkEnd w:id="128"/>
      <w:bookmarkEnd w:id="129"/>
      <w:bookmarkEnd w:id="130"/>
    </w:p>
    <w:p>
      <w:pPr>
        <w:widowControl w:val="0"/>
        <w:numPr>
          <w:ilvl w:val="0"/>
          <w:numId w:val="41"/>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根据《中华人民共和国政府采购法》、《中华人民共和国政府采购法实施条例》和《政府采购竞争性磋商采购方式管理暂行办法》等法律规章，结合采购项目特点制定本办法。</w:t>
      </w:r>
    </w:p>
    <w:p>
      <w:pPr>
        <w:widowControl w:val="0"/>
        <w:numPr>
          <w:ilvl w:val="0"/>
          <w:numId w:val="41"/>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磋商工作由</w:t>
      </w:r>
      <w:r>
        <w:rPr>
          <w:rFonts w:hint="eastAsia" w:ascii="宋体" w:hAnsi="宋体"/>
          <w:bCs/>
          <w:color w:val="auto"/>
          <w:sz w:val="28"/>
          <w:szCs w:val="28"/>
          <w:highlight w:val="none"/>
        </w:rPr>
        <w:t>高新区采购中心</w:t>
      </w:r>
      <w:r>
        <w:rPr>
          <w:rFonts w:hint="eastAsia" w:ascii="宋体" w:hAnsi="宋体"/>
          <w:color w:val="auto"/>
          <w:sz w:val="28"/>
          <w:szCs w:val="28"/>
          <w:highlight w:val="none"/>
        </w:rPr>
        <w:t>负责组织，具体评审事务由采购人和</w:t>
      </w:r>
      <w:r>
        <w:rPr>
          <w:rFonts w:hint="eastAsia" w:ascii="宋体" w:hAnsi="宋体"/>
          <w:bCs/>
          <w:color w:val="auto"/>
          <w:sz w:val="28"/>
          <w:szCs w:val="28"/>
          <w:highlight w:val="none"/>
        </w:rPr>
        <w:t>高新区采购中心</w:t>
      </w:r>
      <w:r>
        <w:rPr>
          <w:rFonts w:hint="eastAsia" w:ascii="宋体" w:hAnsi="宋体"/>
          <w:color w:val="auto"/>
          <w:sz w:val="28"/>
          <w:szCs w:val="28"/>
          <w:highlight w:val="none"/>
        </w:rPr>
        <w:t>依法组建的磋商小组负责。磋商小组由采购人代表和评审专家组成。</w:t>
      </w:r>
    </w:p>
    <w:p>
      <w:pPr>
        <w:widowControl w:val="0"/>
        <w:numPr>
          <w:ilvl w:val="0"/>
          <w:numId w:val="41"/>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磋商工作应遵循公平、公正、科学及择优的原则，并以相同的评审程序和标准对待所有的供应商。</w:t>
      </w:r>
    </w:p>
    <w:p>
      <w:pPr>
        <w:widowControl w:val="0"/>
        <w:numPr>
          <w:ilvl w:val="0"/>
          <w:numId w:val="41"/>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磋商小组按照磋商文件规定的磋商程序、评分方法和标准进行独立评审，并独立履行下列职责：</w:t>
      </w:r>
    </w:p>
    <w:p>
      <w:pPr>
        <w:widowControl w:val="0"/>
        <w:numPr>
          <w:ilvl w:val="1"/>
          <w:numId w:val="42"/>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熟悉和理解磋商文件，确定磋商文件内容是否违反国家有关强制性规定或者磋商文件存在歧义、重大缺陷，根据需要书面要求采购人、采购代理机构对磋商文件作出解释</w:t>
      </w:r>
      <w:r>
        <w:rPr>
          <w:rFonts w:ascii="宋体" w:hAnsi="宋体" w:cs="宋体"/>
          <w:color w:val="auto"/>
          <w:sz w:val="28"/>
          <w:szCs w:val="28"/>
          <w:highlight w:val="none"/>
        </w:rPr>
        <w:t>；</w:t>
      </w:r>
    </w:p>
    <w:p>
      <w:pPr>
        <w:widowControl w:val="0"/>
        <w:numPr>
          <w:ilvl w:val="1"/>
          <w:numId w:val="42"/>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审查供应商的施工响应文件并作出公正评价；</w:t>
      </w:r>
    </w:p>
    <w:p>
      <w:pPr>
        <w:widowControl w:val="0"/>
        <w:numPr>
          <w:ilvl w:val="1"/>
          <w:numId w:val="42"/>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根据需要要求供应商对施工响应文件中含义不明确、同类问题表述不一致或者有明显文字和计算错误的内容等作出必要的澄清、说明或者更正；</w:t>
      </w:r>
    </w:p>
    <w:p>
      <w:pPr>
        <w:widowControl w:val="0"/>
        <w:numPr>
          <w:ilvl w:val="1"/>
          <w:numId w:val="42"/>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依法、客观、公平、公正开展供应商资格性审查、磋商和推荐成交候选供应商；</w:t>
      </w:r>
    </w:p>
    <w:p>
      <w:pPr>
        <w:widowControl w:val="0"/>
        <w:numPr>
          <w:ilvl w:val="1"/>
          <w:numId w:val="42"/>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编写评审报告；</w:t>
      </w:r>
    </w:p>
    <w:p>
      <w:pPr>
        <w:widowControl w:val="0"/>
        <w:numPr>
          <w:ilvl w:val="1"/>
          <w:numId w:val="42"/>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告知采购人、采购代理机构在评审过程中发现的供应商的违法违规行为；</w:t>
      </w:r>
    </w:p>
    <w:p>
      <w:pPr>
        <w:widowControl w:val="0"/>
        <w:numPr>
          <w:ilvl w:val="1"/>
          <w:numId w:val="42"/>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保守供应商的商业秘密；</w:t>
      </w:r>
    </w:p>
    <w:p>
      <w:pPr>
        <w:widowControl w:val="0"/>
        <w:numPr>
          <w:ilvl w:val="1"/>
          <w:numId w:val="42"/>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配合处理供应商质疑；</w:t>
      </w:r>
    </w:p>
    <w:p>
      <w:pPr>
        <w:widowControl w:val="0"/>
        <w:numPr>
          <w:ilvl w:val="1"/>
          <w:numId w:val="42"/>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配合处理供应商投诉；</w:t>
      </w:r>
    </w:p>
    <w:p>
      <w:pPr>
        <w:widowControl w:val="0"/>
        <w:numPr>
          <w:ilvl w:val="1"/>
          <w:numId w:val="42"/>
        </w:numPr>
        <w:tabs>
          <w:tab w:val="left" w:pos="1134"/>
        </w:tabs>
        <w:spacing w:line="360" w:lineRule="auto"/>
        <w:ind w:left="0" w:firstLine="567"/>
        <w:jc w:val="both"/>
        <w:rPr>
          <w:rFonts w:ascii="宋体" w:hAnsi="宋体" w:cs="宋体"/>
          <w:color w:val="auto"/>
          <w:sz w:val="28"/>
          <w:szCs w:val="28"/>
          <w:highlight w:val="none"/>
        </w:rPr>
      </w:pPr>
      <w:r>
        <w:rPr>
          <w:rFonts w:hint="eastAsia" w:ascii="宋体" w:hAnsi="宋体" w:cs="宋体"/>
          <w:color w:val="auto"/>
          <w:sz w:val="28"/>
          <w:szCs w:val="28"/>
          <w:highlight w:val="none"/>
        </w:rPr>
        <w:t>法律、法规和规章规定的其他职责；</w:t>
      </w:r>
    </w:p>
    <w:p>
      <w:pPr>
        <w:widowControl w:val="0"/>
        <w:numPr>
          <w:ilvl w:val="0"/>
          <w:numId w:val="41"/>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评审过程独立、保密。供应商非法干预评审过程的行为将导致其施工响应文件作为无效处理。</w:t>
      </w:r>
    </w:p>
    <w:p>
      <w:pPr>
        <w:widowControl w:val="0"/>
        <w:numPr>
          <w:ilvl w:val="0"/>
          <w:numId w:val="41"/>
        </w:numPr>
        <w:tabs>
          <w:tab w:val="left" w:pos="1134"/>
        </w:tabs>
        <w:spacing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磋商小组决定施工响应文件的响应性依据施工响应文件本身的内容，而不寻求外部的证据，磋商文件有明确约定的除外。</w:t>
      </w:r>
    </w:p>
    <w:p>
      <w:pPr>
        <w:pStyle w:val="5"/>
        <w:tabs>
          <w:tab w:val="left" w:pos="993"/>
          <w:tab w:val="clear" w:pos="426"/>
          <w:tab w:val="clear" w:pos="567"/>
        </w:tabs>
        <w:ind w:left="0" w:firstLine="0"/>
        <w:rPr>
          <w:color w:val="auto"/>
          <w:highlight w:val="none"/>
        </w:rPr>
      </w:pPr>
      <w:bookmarkStart w:id="131" w:name="_Toc6460"/>
      <w:bookmarkStart w:id="132" w:name="_Toc6779"/>
      <w:bookmarkStart w:id="133" w:name="_Toc72938450"/>
      <w:r>
        <w:rPr>
          <w:rFonts w:hint="eastAsia"/>
          <w:color w:val="auto"/>
          <w:highlight w:val="none"/>
        </w:rPr>
        <w:t>磋商程序</w:t>
      </w:r>
      <w:bookmarkEnd w:id="131"/>
      <w:bookmarkEnd w:id="132"/>
      <w:bookmarkEnd w:id="133"/>
    </w:p>
    <w:p>
      <w:pPr>
        <w:spacing w:line="360" w:lineRule="auto"/>
        <w:ind w:firstLine="570"/>
        <w:rPr>
          <w:rFonts w:ascii="宋体" w:hAnsi="宋体"/>
          <w:color w:val="auto"/>
          <w:sz w:val="28"/>
          <w:szCs w:val="28"/>
          <w:highlight w:val="none"/>
        </w:rPr>
      </w:pPr>
      <w:r>
        <w:rPr>
          <w:rFonts w:hint="eastAsia" w:ascii="宋体" w:hAnsi="宋体"/>
          <w:color w:val="auto"/>
          <w:sz w:val="28"/>
          <w:szCs w:val="28"/>
          <w:highlight w:val="none"/>
        </w:rPr>
        <w:t>磋商会议在成都市公共资源交易服务中心“政府采购云平台”进行。磋商会议由</w:t>
      </w:r>
      <w:r>
        <w:rPr>
          <w:rFonts w:hint="eastAsia" w:ascii="宋体" w:hAnsi="宋体" w:cs="宋体"/>
          <w:color w:val="auto"/>
          <w:sz w:val="28"/>
          <w:szCs w:val="28"/>
          <w:highlight w:val="none"/>
        </w:rPr>
        <w:t>高新区采购中心</w:t>
      </w:r>
      <w:r>
        <w:rPr>
          <w:rFonts w:hint="eastAsia" w:ascii="宋体" w:hAnsi="宋体"/>
          <w:color w:val="auto"/>
          <w:sz w:val="28"/>
          <w:szCs w:val="28"/>
          <w:highlight w:val="none"/>
        </w:rPr>
        <w:t>在线主持，供应商代表在线参加。</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磋商应由监督人员在线进行监督，且可根据具体情况邀请有关监督管理部门对采购活动进行现场监督。</w:t>
      </w:r>
    </w:p>
    <w:p>
      <w:pPr>
        <w:pStyle w:val="5"/>
        <w:numPr>
          <w:ilvl w:val="2"/>
          <w:numId w:val="1"/>
        </w:numPr>
        <w:tabs>
          <w:tab w:val="left" w:pos="993"/>
          <w:tab w:val="clear" w:pos="426"/>
          <w:tab w:val="clear" w:pos="567"/>
        </w:tabs>
        <w:rPr>
          <w:color w:val="auto"/>
          <w:highlight w:val="none"/>
        </w:rPr>
      </w:pPr>
      <w:bookmarkStart w:id="134" w:name="_Toc63084321"/>
      <w:bookmarkStart w:id="135" w:name="_Toc63437907"/>
      <w:bookmarkStart w:id="136" w:name="_Toc30951"/>
      <w:bookmarkStart w:id="137" w:name="_Toc31127"/>
      <w:bookmarkStart w:id="138" w:name="_Toc72938451"/>
      <w:bookmarkStart w:id="139" w:name="_Toc320698736"/>
      <w:r>
        <w:rPr>
          <w:rFonts w:hint="eastAsia"/>
          <w:color w:val="auto"/>
          <w:highlight w:val="none"/>
        </w:rPr>
        <w:t>递交施工响应文件</w:t>
      </w:r>
      <w:bookmarkEnd w:id="134"/>
      <w:bookmarkEnd w:id="135"/>
      <w:bookmarkEnd w:id="136"/>
      <w:bookmarkEnd w:id="137"/>
      <w:bookmarkEnd w:id="138"/>
      <w:bookmarkEnd w:id="139"/>
    </w:p>
    <w:p>
      <w:pPr>
        <w:tabs>
          <w:tab w:val="left" w:pos="1134"/>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供应商应按磋商文件要求在</w:t>
      </w:r>
      <w:r>
        <w:rPr>
          <w:rFonts w:ascii="宋体" w:hAnsi="宋体"/>
          <w:color w:val="auto"/>
          <w:sz w:val="28"/>
          <w:szCs w:val="28"/>
          <w:highlight w:val="none"/>
        </w:rPr>
        <w:t>政府采购云平台</w:t>
      </w:r>
      <w:r>
        <w:rPr>
          <w:rFonts w:hint="eastAsia" w:ascii="宋体" w:hAnsi="宋体"/>
          <w:color w:val="auto"/>
          <w:sz w:val="28"/>
          <w:szCs w:val="28"/>
          <w:highlight w:val="none"/>
        </w:rPr>
        <w:t>递交施工响应文件。递交施工响应文件截止时间结束后，递交施工响应文件的供应商不足3家的，本次竞争性磋商采购活动终止，发布终止竞争性磋商公告。</w:t>
      </w:r>
    </w:p>
    <w:p>
      <w:pPr>
        <w:pStyle w:val="5"/>
        <w:numPr>
          <w:ilvl w:val="2"/>
          <w:numId w:val="1"/>
        </w:numPr>
        <w:tabs>
          <w:tab w:val="left" w:pos="993"/>
          <w:tab w:val="clear" w:pos="426"/>
          <w:tab w:val="clear" w:pos="567"/>
        </w:tabs>
        <w:rPr>
          <w:color w:val="auto"/>
          <w:highlight w:val="none"/>
        </w:rPr>
      </w:pPr>
      <w:bookmarkStart w:id="140" w:name="_Toc72938452"/>
      <w:bookmarkStart w:id="141" w:name="_Toc18613"/>
      <w:bookmarkStart w:id="142" w:name="_Toc29116"/>
      <w:bookmarkStart w:id="143" w:name="_Toc63084322"/>
      <w:bookmarkStart w:id="144" w:name="_Toc63437908"/>
      <w:r>
        <w:rPr>
          <w:rFonts w:hint="eastAsia"/>
          <w:color w:val="auto"/>
          <w:highlight w:val="none"/>
        </w:rPr>
        <w:t>确定邀请参加磋商的供应商数量</w:t>
      </w:r>
      <w:bookmarkEnd w:id="140"/>
      <w:bookmarkEnd w:id="141"/>
      <w:bookmarkEnd w:id="142"/>
      <w:bookmarkEnd w:id="143"/>
      <w:bookmarkEnd w:id="144"/>
    </w:p>
    <w:p>
      <w:pPr>
        <w:tabs>
          <w:tab w:val="left" w:pos="1134"/>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邀请已通过本次采购资格审查并随机抽取选中的供应商参加本项目的竞争性磋商。</w:t>
      </w:r>
    </w:p>
    <w:p>
      <w:pPr>
        <w:pStyle w:val="5"/>
        <w:numPr>
          <w:ilvl w:val="2"/>
          <w:numId w:val="1"/>
        </w:numPr>
        <w:tabs>
          <w:tab w:val="left" w:pos="993"/>
          <w:tab w:val="clear" w:pos="426"/>
          <w:tab w:val="clear" w:pos="567"/>
        </w:tabs>
        <w:rPr>
          <w:color w:val="auto"/>
          <w:highlight w:val="none"/>
        </w:rPr>
      </w:pPr>
      <w:bookmarkStart w:id="145" w:name="_Toc7099"/>
      <w:bookmarkStart w:id="146" w:name="_Toc63084323"/>
      <w:bookmarkStart w:id="147" w:name="_Toc287623646"/>
      <w:bookmarkStart w:id="148" w:name="_Toc72938453"/>
      <w:bookmarkStart w:id="149" w:name="_Toc63437909"/>
      <w:bookmarkStart w:id="150" w:name="_Toc7009"/>
      <w:r>
        <w:rPr>
          <w:rFonts w:hint="eastAsia"/>
          <w:color w:val="auto"/>
          <w:highlight w:val="none"/>
        </w:rPr>
        <w:t>成立磋商小组</w:t>
      </w:r>
      <w:bookmarkEnd w:id="145"/>
      <w:bookmarkEnd w:id="146"/>
      <w:bookmarkEnd w:id="147"/>
      <w:bookmarkEnd w:id="148"/>
      <w:bookmarkEnd w:id="149"/>
      <w:bookmarkEnd w:id="150"/>
    </w:p>
    <w:p>
      <w:pPr>
        <w:pStyle w:val="25"/>
        <w:spacing w:line="360" w:lineRule="auto"/>
        <w:ind w:firstLine="560" w:firstLineChars="200"/>
        <w:rPr>
          <w:rFonts w:hAnsi="宋体" w:eastAsia="宋体"/>
          <w:color w:val="auto"/>
          <w:sz w:val="28"/>
          <w:szCs w:val="28"/>
          <w:highlight w:val="none"/>
        </w:rPr>
      </w:pPr>
      <w:r>
        <w:rPr>
          <w:rFonts w:hint="eastAsia" w:hAnsi="宋体" w:eastAsia="宋体"/>
          <w:color w:val="auto"/>
          <w:sz w:val="28"/>
          <w:szCs w:val="28"/>
          <w:highlight w:val="none"/>
        </w:rPr>
        <w:t>磋商小组</w:t>
      </w:r>
      <w:r>
        <w:rPr>
          <w:rFonts w:hAnsi="宋体" w:eastAsia="宋体"/>
          <w:color w:val="auto"/>
          <w:sz w:val="28"/>
          <w:szCs w:val="28"/>
          <w:highlight w:val="none"/>
        </w:rPr>
        <w:t>由采购人代表和</w:t>
      </w:r>
      <w:r>
        <w:rPr>
          <w:rFonts w:hint="eastAsia" w:hAnsi="宋体" w:eastAsia="宋体"/>
          <w:color w:val="auto"/>
          <w:sz w:val="28"/>
          <w:szCs w:val="28"/>
          <w:highlight w:val="none"/>
        </w:rPr>
        <w:t>根据采购项目情况确定的技术或经济或法律等有关专家3人</w:t>
      </w:r>
      <w:r>
        <w:rPr>
          <w:rFonts w:hAnsi="宋体" w:eastAsia="宋体"/>
          <w:color w:val="auto"/>
          <w:sz w:val="28"/>
          <w:szCs w:val="28"/>
          <w:highlight w:val="none"/>
        </w:rPr>
        <w:t>以上的单数组成</w:t>
      </w:r>
      <w:r>
        <w:rPr>
          <w:rFonts w:hint="eastAsia" w:hAnsi="宋体" w:eastAsia="宋体"/>
          <w:color w:val="auto"/>
          <w:sz w:val="28"/>
          <w:szCs w:val="28"/>
          <w:highlight w:val="none"/>
        </w:rPr>
        <w:t>。磋商小组</w:t>
      </w:r>
      <w:r>
        <w:rPr>
          <w:rFonts w:hAnsi="宋体" w:eastAsia="宋体"/>
          <w:color w:val="auto"/>
          <w:sz w:val="28"/>
          <w:szCs w:val="28"/>
          <w:highlight w:val="none"/>
        </w:rPr>
        <w:t>负责本项目的</w:t>
      </w:r>
      <w:r>
        <w:rPr>
          <w:rFonts w:hint="eastAsia" w:hAnsi="宋体" w:eastAsia="宋体"/>
          <w:color w:val="auto"/>
          <w:sz w:val="28"/>
          <w:szCs w:val="28"/>
          <w:highlight w:val="none"/>
        </w:rPr>
        <w:t>磋商</w:t>
      </w:r>
      <w:r>
        <w:rPr>
          <w:rFonts w:hAnsi="宋体" w:eastAsia="宋体"/>
          <w:color w:val="auto"/>
          <w:sz w:val="28"/>
          <w:szCs w:val="28"/>
          <w:highlight w:val="none"/>
        </w:rPr>
        <w:t>和评</w:t>
      </w:r>
      <w:r>
        <w:rPr>
          <w:rFonts w:hint="eastAsia" w:hAnsi="宋体" w:eastAsia="宋体"/>
          <w:color w:val="auto"/>
          <w:sz w:val="28"/>
          <w:szCs w:val="28"/>
          <w:highlight w:val="none"/>
        </w:rPr>
        <w:t>审</w:t>
      </w:r>
      <w:r>
        <w:rPr>
          <w:rFonts w:hAnsi="宋体" w:eastAsia="宋体"/>
          <w:color w:val="auto"/>
          <w:sz w:val="28"/>
          <w:szCs w:val="28"/>
          <w:highlight w:val="none"/>
        </w:rPr>
        <w:t>工作。</w:t>
      </w:r>
    </w:p>
    <w:p>
      <w:pPr>
        <w:pStyle w:val="5"/>
        <w:numPr>
          <w:ilvl w:val="2"/>
          <w:numId w:val="1"/>
        </w:numPr>
        <w:tabs>
          <w:tab w:val="left" w:pos="993"/>
          <w:tab w:val="clear" w:pos="426"/>
          <w:tab w:val="clear" w:pos="567"/>
        </w:tabs>
        <w:rPr>
          <w:color w:val="auto"/>
          <w:highlight w:val="none"/>
        </w:rPr>
      </w:pPr>
      <w:bookmarkStart w:id="151" w:name="_Toc12470"/>
      <w:bookmarkStart w:id="152" w:name="_Toc72938454"/>
      <w:bookmarkStart w:id="153" w:name="_Toc63437910"/>
      <w:bookmarkStart w:id="154" w:name="_Toc28342"/>
      <w:bookmarkStart w:id="155" w:name="_Toc63084324"/>
      <w:r>
        <w:rPr>
          <w:rFonts w:hint="eastAsia"/>
          <w:color w:val="auto"/>
          <w:highlight w:val="none"/>
        </w:rPr>
        <w:t>磋商</w:t>
      </w:r>
      <w:bookmarkEnd w:id="151"/>
      <w:bookmarkEnd w:id="152"/>
      <w:bookmarkEnd w:id="153"/>
      <w:bookmarkEnd w:id="154"/>
      <w:bookmarkEnd w:id="155"/>
    </w:p>
    <w:p>
      <w:pPr>
        <w:widowControl w:val="0"/>
        <w:numPr>
          <w:ilvl w:val="1"/>
          <w:numId w:val="43"/>
        </w:numPr>
        <w:tabs>
          <w:tab w:val="left" w:pos="1134"/>
        </w:tabs>
        <w:spacing w:after="200"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磋商小组按照磋商文件的规定与邀请参加磋商的供应商分别进行磋商，磋商顺序由磋商小组确定，磋商通过“政府采购云平台”在线进行。供应商应</w:t>
      </w:r>
      <w:r>
        <w:rPr>
          <w:rFonts w:ascii="宋体" w:hAnsi="宋体"/>
          <w:color w:val="auto"/>
          <w:sz w:val="28"/>
          <w:szCs w:val="28"/>
          <w:highlight w:val="none"/>
        </w:rPr>
        <w:t>随时关注“</w:t>
      </w:r>
      <w:r>
        <w:rPr>
          <w:rFonts w:hint="eastAsia" w:ascii="宋体" w:hAnsi="宋体"/>
          <w:color w:val="auto"/>
          <w:sz w:val="28"/>
          <w:szCs w:val="28"/>
          <w:highlight w:val="none"/>
        </w:rPr>
        <w:t>政府</w:t>
      </w:r>
      <w:r>
        <w:rPr>
          <w:rFonts w:ascii="宋体" w:hAnsi="宋体"/>
          <w:color w:val="auto"/>
          <w:sz w:val="28"/>
          <w:szCs w:val="28"/>
          <w:highlight w:val="none"/>
        </w:rPr>
        <w:t>采购</w:t>
      </w:r>
      <w:r>
        <w:rPr>
          <w:rFonts w:hint="eastAsia" w:ascii="宋体" w:hAnsi="宋体"/>
          <w:color w:val="auto"/>
          <w:sz w:val="28"/>
          <w:szCs w:val="28"/>
          <w:highlight w:val="none"/>
        </w:rPr>
        <w:t>云</w:t>
      </w:r>
      <w:r>
        <w:rPr>
          <w:rFonts w:ascii="宋体" w:hAnsi="宋体"/>
          <w:color w:val="auto"/>
          <w:sz w:val="28"/>
          <w:szCs w:val="28"/>
          <w:highlight w:val="none"/>
        </w:rPr>
        <w:t>平台”</w:t>
      </w:r>
      <w:r>
        <w:rPr>
          <w:rFonts w:hint="eastAsia" w:ascii="宋体" w:hAnsi="宋体"/>
          <w:color w:val="auto"/>
          <w:sz w:val="28"/>
          <w:szCs w:val="28"/>
          <w:highlight w:val="none"/>
        </w:rPr>
        <w:t>站内信息或</w:t>
      </w:r>
      <w:r>
        <w:rPr>
          <w:rFonts w:ascii="宋体" w:hAnsi="宋体"/>
          <w:color w:val="auto"/>
          <w:sz w:val="28"/>
          <w:szCs w:val="28"/>
          <w:highlight w:val="none"/>
        </w:rPr>
        <w:t>短信提醒，</w:t>
      </w:r>
      <w:r>
        <w:rPr>
          <w:rFonts w:hint="eastAsia" w:ascii="宋体" w:hAnsi="宋体"/>
          <w:color w:val="auto"/>
          <w:sz w:val="28"/>
          <w:szCs w:val="28"/>
          <w:highlight w:val="none"/>
        </w:rPr>
        <w:t>及时参与</w:t>
      </w:r>
      <w:r>
        <w:rPr>
          <w:rFonts w:ascii="宋体" w:hAnsi="宋体"/>
          <w:color w:val="auto"/>
          <w:sz w:val="28"/>
          <w:szCs w:val="28"/>
          <w:highlight w:val="none"/>
        </w:rPr>
        <w:t>在线</w:t>
      </w:r>
      <w:r>
        <w:rPr>
          <w:rFonts w:hint="eastAsia" w:ascii="宋体" w:hAnsi="宋体"/>
          <w:color w:val="auto"/>
          <w:sz w:val="28"/>
          <w:szCs w:val="28"/>
          <w:highlight w:val="none"/>
        </w:rPr>
        <w:t>磋商。登录成都市公共资源交易服务中心门户网站（https://www.cdggzy.com/）—政府采购云平台—</w:t>
      </w:r>
      <w:r>
        <w:rPr>
          <w:rFonts w:hint="eastAsia" w:ascii="宋体" w:hAnsi="宋体"/>
          <w:color w:val="auto"/>
          <w:sz w:val="28"/>
          <w:szCs w:val="28"/>
          <w:highlight w:val="none"/>
          <w:lang w:eastAsia="zh-CN"/>
        </w:rPr>
        <w:t>高新区项目采购</w:t>
      </w:r>
      <w:r>
        <w:rPr>
          <w:rFonts w:hint="eastAsia" w:ascii="宋体" w:hAnsi="宋体"/>
          <w:color w:val="auto"/>
          <w:sz w:val="28"/>
          <w:szCs w:val="28"/>
          <w:highlight w:val="none"/>
        </w:rPr>
        <w:t>—开标评标—进入开标大厅（找到对应项目）。磋商小组可通过“发起视频评审”“询标”功能，向供应商发起在线磋商邀请，供应商可使用“视频评审”“澄清”功能，与专家进行在线磋商、递交磋商承诺函，承诺函应加盖供应商（法定名称）电子签章</w:t>
      </w:r>
      <w:r>
        <w:rPr>
          <w:rFonts w:ascii="宋体" w:hAnsi="宋体"/>
          <w:color w:val="auto"/>
          <w:sz w:val="28"/>
          <w:szCs w:val="28"/>
          <w:highlight w:val="none"/>
        </w:rPr>
        <w:t>。</w:t>
      </w:r>
    </w:p>
    <w:p>
      <w:pPr>
        <w:widowControl w:val="0"/>
        <w:numPr>
          <w:ilvl w:val="1"/>
          <w:numId w:val="43"/>
        </w:numPr>
        <w:tabs>
          <w:tab w:val="left" w:pos="1134"/>
        </w:tabs>
        <w:spacing w:after="200"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磋商小组所有成员集中与单一供应商对技术、服务、合同条款等内容分别进行一轮或多轮的磋商。在磋商中，磋商的任何一方不得透露与磋商有关的其他供应商的技术资料、价格和其他信息。</w:t>
      </w:r>
    </w:p>
    <w:p>
      <w:pPr>
        <w:widowControl w:val="0"/>
        <w:numPr>
          <w:ilvl w:val="1"/>
          <w:numId w:val="43"/>
        </w:numPr>
        <w:tabs>
          <w:tab w:val="left" w:pos="1134"/>
        </w:tabs>
        <w:spacing w:after="200"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磋商内容为第4章中“技术、服务、商务及其他要求”、第6章“合同草案条款”。其中第4章中加★号的条款为采购项目的</w:t>
      </w:r>
      <w:r>
        <w:rPr>
          <w:rFonts w:hint="eastAsia" w:ascii="宋体" w:hAnsi="宋体" w:cs="宋体"/>
          <w:color w:val="auto"/>
          <w:sz w:val="28"/>
          <w:szCs w:val="28"/>
          <w:highlight w:val="none"/>
        </w:rPr>
        <w:t>最低要求</w:t>
      </w:r>
      <w:r>
        <w:rPr>
          <w:rFonts w:hint="eastAsia" w:ascii="宋体" w:hAnsi="宋体"/>
          <w:color w:val="auto"/>
          <w:sz w:val="28"/>
          <w:szCs w:val="28"/>
          <w:highlight w:val="none"/>
        </w:rPr>
        <w:t>，为非磋商可以降低标准的内容。</w:t>
      </w:r>
    </w:p>
    <w:p>
      <w:pPr>
        <w:widowControl w:val="0"/>
        <w:numPr>
          <w:ilvl w:val="1"/>
          <w:numId w:val="43"/>
        </w:numPr>
        <w:tabs>
          <w:tab w:val="left" w:pos="1134"/>
        </w:tabs>
        <w:spacing w:after="200"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磋商过程中，磋商小组获得采购人同意（由采购人代表签字确认）后，可以根据磋商文件和磋商情况实质性变动磋商文件中的第4章技术、服务、商务及其他要求、第6章合同草案条款，但不得变动磋商文件中的其他内容。对磋商文件作出的实质性变动是磋商文件的有效组成部分，磋商小组应通过“询标”功能，将变动情况通知所有参加磋商的供应商。磋商过程中，磋商小组可以根据磋商情况调整磋商轮次。</w:t>
      </w:r>
    </w:p>
    <w:p>
      <w:pPr>
        <w:widowControl w:val="0"/>
        <w:numPr>
          <w:ilvl w:val="1"/>
          <w:numId w:val="43"/>
        </w:numPr>
        <w:tabs>
          <w:tab w:val="left" w:pos="1134"/>
        </w:tabs>
        <w:spacing w:after="200"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磋商过程中，供应商可以根据磋商情况变更其施工响应文件，并将变更内容通过“澄清”功能送磋商小组。变更内容作为施工响应文件的一部分。供应商书面材料应加盖供应商（法定名称）电子签章，否则无效。</w:t>
      </w:r>
    </w:p>
    <w:p>
      <w:pPr>
        <w:widowControl w:val="0"/>
        <w:numPr>
          <w:ilvl w:val="1"/>
          <w:numId w:val="43"/>
        </w:numPr>
        <w:tabs>
          <w:tab w:val="left" w:pos="1134"/>
        </w:tabs>
        <w:spacing w:after="200" w:line="360" w:lineRule="auto"/>
        <w:ind w:left="0" w:firstLine="560" w:firstLineChars="200"/>
        <w:jc w:val="both"/>
        <w:rPr>
          <w:rFonts w:ascii="宋体" w:hAnsi="宋体"/>
          <w:color w:val="auto"/>
          <w:sz w:val="28"/>
          <w:szCs w:val="28"/>
          <w:highlight w:val="none"/>
        </w:rPr>
      </w:pPr>
      <w:r>
        <w:rPr>
          <w:rFonts w:hint="eastAsia" w:ascii="宋体" w:hAnsi="宋体"/>
          <w:color w:val="auto"/>
          <w:sz w:val="28"/>
          <w:szCs w:val="28"/>
          <w:highlight w:val="none"/>
        </w:rPr>
        <w:t>磋商小组经过一轮或多轮磋商后，供应商的施工响应文件仍然不能满足磋商文件中采购项目的最低要求，或者磋商过程中，磋商小组发现或者知晓供应商存在违法、违纪行为的，磋商小组应当将该供应商淘汰，不允许其参加最后报价。</w:t>
      </w:r>
    </w:p>
    <w:p>
      <w:pPr>
        <w:pStyle w:val="5"/>
        <w:numPr>
          <w:ilvl w:val="2"/>
          <w:numId w:val="1"/>
        </w:numPr>
        <w:tabs>
          <w:tab w:val="left" w:pos="993"/>
          <w:tab w:val="clear" w:pos="426"/>
          <w:tab w:val="clear" w:pos="567"/>
        </w:tabs>
        <w:rPr>
          <w:color w:val="auto"/>
          <w:highlight w:val="none"/>
        </w:rPr>
      </w:pPr>
      <w:bookmarkStart w:id="156" w:name="_Toc10771"/>
      <w:bookmarkStart w:id="157" w:name="_Toc63084325"/>
      <w:bookmarkStart w:id="158" w:name="_Toc63437911"/>
      <w:bookmarkStart w:id="159" w:name="_Toc3545"/>
      <w:bookmarkStart w:id="160" w:name="_Toc72938455"/>
      <w:r>
        <w:rPr>
          <w:rFonts w:hint="eastAsia"/>
          <w:color w:val="auto"/>
          <w:highlight w:val="none"/>
        </w:rPr>
        <w:t>符合性审查</w:t>
      </w:r>
      <w:bookmarkEnd w:id="156"/>
      <w:bookmarkEnd w:id="157"/>
      <w:bookmarkEnd w:id="158"/>
      <w:bookmarkEnd w:id="159"/>
      <w:bookmarkEnd w:id="160"/>
    </w:p>
    <w:p>
      <w:pPr>
        <w:pStyle w:val="25"/>
        <w:numPr>
          <w:ilvl w:val="0"/>
          <w:numId w:val="44"/>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Ansi="宋体" w:eastAsia="宋体" w:cs="Times New Roman"/>
          <w:color w:val="auto"/>
          <w:sz w:val="28"/>
          <w:szCs w:val="28"/>
          <w:highlight w:val="none"/>
        </w:rPr>
        <w:t>磋商过程中，磋商小组对</w:t>
      </w:r>
      <w:r>
        <w:rPr>
          <w:rFonts w:hint="eastAsia" w:hAnsi="宋体" w:eastAsia="宋体" w:cs="Times New Roman"/>
          <w:color w:val="auto"/>
          <w:sz w:val="28"/>
          <w:szCs w:val="28"/>
          <w:highlight w:val="none"/>
        </w:rPr>
        <w:t>供应商递交的首次</w:t>
      </w:r>
      <w:r>
        <w:rPr>
          <w:rFonts w:hAnsi="宋体" w:eastAsia="宋体" w:cs="Times New Roman"/>
          <w:color w:val="auto"/>
          <w:sz w:val="28"/>
          <w:szCs w:val="28"/>
          <w:highlight w:val="none"/>
        </w:rPr>
        <w:t>施工响应文件进行审查，审查中发现供应商</w:t>
      </w:r>
      <w:r>
        <w:rPr>
          <w:rFonts w:hint="eastAsia" w:hAnsi="宋体" w:eastAsia="宋体" w:cs="Times New Roman"/>
          <w:color w:val="auto"/>
          <w:sz w:val="28"/>
          <w:szCs w:val="28"/>
          <w:highlight w:val="none"/>
        </w:rPr>
        <w:t>首次</w:t>
      </w:r>
      <w:r>
        <w:rPr>
          <w:rFonts w:hAnsi="宋体" w:eastAsia="宋体" w:cs="Times New Roman"/>
          <w:color w:val="auto"/>
          <w:sz w:val="28"/>
          <w:szCs w:val="28"/>
          <w:highlight w:val="none"/>
        </w:rPr>
        <w:t>施工响应文件</w:t>
      </w:r>
      <w:r>
        <w:rPr>
          <w:rFonts w:hint="eastAsia" w:hAnsi="宋体" w:eastAsia="宋体" w:cs="Times New Roman"/>
          <w:color w:val="auto"/>
          <w:sz w:val="28"/>
          <w:szCs w:val="28"/>
          <w:highlight w:val="none"/>
        </w:rPr>
        <w:t>有</w:t>
      </w:r>
      <w:r>
        <w:rPr>
          <w:rFonts w:hAnsi="宋体" w:eastAsia="宋体" w:cs="Times New Roman"/>
          <w:color w:val="auto"/>
          <w:sz w:val="28"/>
          <w:szCs w:val="28"/>
          <w:highlight w:val="none"/>
        </w:rPr>
        <w:t>下列情况之一的，应按照无效施工响应文件处理：</w:t>
      </w:r>
    </w:p>
    <w:p>
      <w:pPr>
        <w:pStyle w:val="25"/>
        <w:numPr>
          <w:ilvl w:val="0"/>
          <w:numId w:val="45"/>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Ansi="宋体" w:eastAsia="宋体" w:cs="Times New Roman"/>
          <w:color w:val="auto"/>
          <w:sz w:val="28"/>
          <w:szCs w:val="28"/>
          <w:highlight w:val="none"/>
        </w:rPr>
        <w:t>施工响应文件的语言、报价货币</w:t>
      </w:r>
      <w:r>
        <w:rPr>
          <w:rFonts w:hint="eastAsia" w:hAnsi="宋体" w:eastAsia="宋体" w:cs="Times New Roman"/>
          <w:color w:val="auto"/>
          <w:sz w:val="28"/>
          <w:szCs w:val="28"/>
          <w:highlight w:val="none"/>
        </w:rPr>
        <w:t>、</w:t>
      </w:r>
      <w:r>
        <w:rPr>
          <w:rFonts w:hAnsi="宋体" w:eastAsia="宋体" w:cs="Times New Roman"/>
          <w:color w:val="auto"/>
          <w:sz w:val="28"/>
          <w:szCs w:val="28"/>
          <w:highlight w:val="none"/>
        </w:rPr>
        <w:t>知识产权</w:t>
      </w:r>
      <w:r>
        <w:rPr>
          <w:rFonts w:hint="eastAsia" w:hAnsi="宋体" w:eastAsia="宋体" w:cs="Times New Roman"/>
          <w:color w:val="auto"/>
          <w:sz w:val="28"/>
          <w:szCs w:val="28"/>
          <w:highlight w:val="none"/>
        </w:rPr>
        <w:t>、施工响应文件有效期</w:t>
      </w:r>
      <w:r>
        <w:rPr>
          <w:rFonts w:hAnsi="宋体" w:eastAsia="宋体" w:cs="Times New Roman"/>
          <w:color w:val="auto"/>
          <w:sz w:val="28"/>
          <w:szCs w:val="28"/>
          <w:highlight w:val="none"/>
        </w:rPr>
        <w:t>不符合采购文件的规定，影响磋商小组评判的；</w:t>
      </w:r>
    </w:p>
    <w:p>
      <w:pPr>
        <w:pStyle w:val="25"/>
        <w:numPr>
          <w:ilvl w:val="0"/>
          <w:numId w:val="45"/>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int="eastAsia" w:hAnsi="宋体" w:eastAsia="宋体" w:cs="Times New Roman"/>
          <w:color w:val="auto"/>
          <w:sz w:val="28"/>
          <w:szCs w:val="28"/>
          <w:highlight w:val="none"/>
        </w:rPr>
        <w:t>施工响应文件中未附已标价工程量清单（已明确</w:t>
      </w:r>
      <w:r>
        <w:rPr>
          <w:rFonts w:hAnsi="宋体" w:eastAsia="宋体" w:cs="Times New Roman"/>
          <w:color w:val="auto"/>
          <w:sz w:val="28"/>
          <w:szCs w:val="28"/>
          <w:highlight w:val="none"/>
        </w:rPr>
        <w:t>要求不需要</w:t>
      </w:r>
      <w:r>
        <w:rPr>
          <w:rFonts w:hint="eastAsia" w:hAnsi="宋体" w:eastAsia="宋体" w:cs="Times New Roman"/>
          <w:color w:val="auto"/>
          <w:sz w:val="28"/>
          <w:szCs w:val="28"/>
          <w:highlight w:val="none"/>
        </w:rPr>
        <w:t>提供</w:t>
      </w:r>
      <w:r>
        <w:rPr>
          <w:rFonts w:hAnsi="宋体" w:eastAsia="宋体" w:cs="Times New Roman"/>
          <w:color w:val="auto"/>
          <w:sz w:val="28"/>
          <w:szCs w:val="28"/>
          <w:highlight w:val="none"/>
        </w:rPr>
        <w:t>的除外）</w:t>
      </w:r>
      <w:r>
        <w:rPr>
          <w:rFonts w:hint="eastAsia" w:hAnsi="宋体" w:eastAsia="宋体" w:cs="Times New Roman"/>
          <w:color w:val="auto"/>
          <w:sz w:val="28"/>
          <w:szCs w:val="28"/>
          <w:highlight w:val="none"/>
        </w:rPr>
        <w:t>。</w:t>
      </w:r>
    </w:p>
    <w:p>
      <w:pPr>
        <w:pStyle w:val="25"/>
        <w:numPr>
          <w:ilvl w:val="0"/>
          <w:numId w:val="44"/>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int="eastAsia" w:hAnsi="宋体" w:eastAsia="宋体" w:cs="Times New Roman"/>
          <w:color w:val="auto"/>
          <w:sz w:val="28"/>
          <w:szCs w:val="28"/>
          <w:highlight w:val="none"/>
        </w:rPr>
        <w:t>经最终磋商后，施工响应文件仍有下列情况之一的，应按照无效施工响应文件处理：</w:t>
      </w:r>
    </w:p>
    <w:p>
      <w:pPr>
        <w:pStyle w:val="25"/>
        <w:numPr>
          <w:ilvl w:val="0"/>
          <w:numId w:val="46"/>
        </w:numPr>
        <w:tabs>
          <w:tab w:val="left" w:pos="1134"/>
        </w:tabs>
        <w:autoSpaceDE/>
        <w:autoSpaceDN/>
        <w:adjustRightInd/>
        <w:snapToGrid w:val="0"/>
        <w:spacing w:line="360" w:lineRule="auto"/>
        <w:ind w:left="0" w:firstLine="567"/>
        <w:rPr>
          <w:rFonts w:hAnsi="宋体" w:eastAsia="宋体" w:cs="Times New Roman"/>
          <w:color w:val="auto"/>
          <w:sz w:val="28"/>
          <w:szCs w:val="28"/>
          <w:highlight w:val="none"/>
        </w:rPr>
      </w:pPr>
      <w:r>
        <w:rPr>
          <w:rFonts w:hAnsi="宋体" w:eastAsia="宋体" w:cs="Times New Roman"/>
          <w:color w:val="auto"/>
          <w:sz w:val="28"/>
          <w:szCs w:val="28"/>
          <w:highlight w:val="none"/>
        </w:rPr>
        <w:t>施工响应文件仍不能</w:t>
      </w:r>
      <w:r>
        <w:rPr>
          <w:rFonts w:hint="eastAsia" w:hAnsi="宋体" w:eastAsia="宋体" w:cs="Times New Roman"/>
          <w:color w:val="auto"/>
          <w:sz w:val="28"/>
          <w:szCs w:val="28"/>
          <w:highlight w:val="none"/>
        </w:rPr>
        <w:t>实质性响应采购文件的实质性要求和仍</w:t>
      </w:r>
      <w:r>
        <w:rPr>
          <w:rFonts w:hAnsi="宋体" w:eastAsia="宋体" w:cs="Times New Roman"/>
          <w:color w:val="auto"/>
          <w:sz w:val="28"/>
          <w:szCs w:val="28"/>
          <w:highlight w:val="none"/>
        </w:rPr>
        <w:t>不能完全</w:t>
      </w:r>
      <w:r>
        <w:rPr>
          <w:rFonts w:hint="eastAsia" w:hAnsi="宋体" w:eastAsia="宋体" w:cs="Times New Roman"/>
          <w:color w:val="auto"/>
          <w:sz w:val="28"/>
          <w:szCs w:val="28"/>
          <w:highlight w:val="none"/>
        </w:rPr>
        <w:t>满足采购需求的最低要求</w:t>
      </w:r>
      <w:r>
        <w:rPr>
          <w:rFonts w:hAnsi="宋体" w:eastAsia="宋体" w:cs="Times New Roman"/>
          <w:color w:val="auto"/>
          <w:sz w:val="28"/>
          <w:szCs w:val="28"/>
          <w:highlight w:val="none"/>
        </w:rPr>
        <w:t>的</w:t>
      </w:r>
      <w:r>
        <w:rPr>
          <w:rFonts w:hint="eastAsia" w:hAnsi="宋体" w:eastAsia="宋体" w:cs="Times New Roman"/>
          <w:color w:val="auto"/>
          <w:sz w:val="28"/>
          <w:szCs w:val="28"/>
          <w:highlight w:val="none"/>
        </w:rPr>
        <w:t>；</w:t>
      </w:r>
    </w:p>
    <w:p>
      <w:pPr>
        <w:pStyle w:val="25"/>
        <w:numPr>
          <w:ilvl w:val="0"/>
          <w:numId w:val="46"/>
        </w:numPr>
        <w:tabs>
          <w:tab w:val="left" w:pos="1134"/>
        </w:tabs>
        <w:autoSpaceDE/>
        <w:autoSpaceDN/>
        <w:adjustRightInd/>
        <w:snapToGrid w:val="0"/>
        <w:spacing w:line="360" w:lineRule="auto"/>
        <w:ind w:left="0" w:firstLine="567"/>
        <w:rPr>
          <w:rFonts w:hAnsi="宋体" w:eastAsia="宋体" w:cs="Times New Roman"/>
          <w:color w:val="auto"/>
          <w:sz w:val="28"/>
          <w:szCs w:val="28"/>
          <w:highlight w:val="none"/>
        </w:rPr>
      </w:pPr>
      <w:r>
        <w:rPr>
          <w:rFonts w:hint="eastAsia" w:hAnsi="宋体" w:eastAsia="宋体" w:cs="Times New Roman"/>
          <w:color w:val="auto"/>
          <w:sz w:val="28"/>
          <w:szCs w:val="28"/>
          <w:highlight w:val="none"/>
        </w:rPr>
        <w:t>施工响应文件仍中有规定的其他无效响应情形的。</w:t>
      </w:r>
    </w:p>
    <w:p>
      <w:pPr>
        <w:pStyle w:val="25"/>
        <w:numPr>
          <w:ilvl w:val="0"/>
          <w:numId w:val="44"/>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int="eastAsia" w:hAnsi="宋体" w:eastAsia="宋体" w:cs="Times New Roman"/>
          <w:color w:val="auto"/>
          <w:sz w:val="28"/>
          <w:szCs w:val="28"/>
          <w:highlight w:val="none"/>
        </w:rPr>
        <w:t>供应商首次施工响应文件中的报价（已标价工程量清单）进行评审</w:t>
      </w:r>
    </w:p>
    <w:p>
      <w:pPr>
        <w:pStyle w:val="80"/>
        <w:widowControl w:val="0"/>
        <w:numPr>
          <w:ilvl w:val="0"/>
          <w:numId w:val="47"/>
        </w:numPr>
        <w:tabs>
          <w:tab w:val="left" w:pos="1134"/>
        </w:tabs>
        <w:snapToGrid w:val="0"/>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供应商已标价工程量清单出现磋商文件“供应商须知附表”中第7项规定情形之一的，应按照无效施工响应文件处理；</w:t>
      </w:r>
    </w:p>
    <w:p>
      <w:pPr>
        <w:pStyle w:val="80"/>
        <w:widowControl w:val="0"/>
        <w:numPr>
          <w:ilvl w:val="0"/>
          <w:numId w:val="47"/>
        </w:numPr>
        <w:tabs>
          <w:tab w:val="left" w:pos="1134"/>
        </w:tabs>
        <w:snapToGrid w:val="0"/>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磋商小组对供应商已标价工程量清单进行算术性复核，如果出现下列不一致的，按以下原则进行修正：</w:t>
      </w:r>
    </w:p>
    <w:p>
      <w:pPr>
        <w:pStyle w:val="25"/>
        <w:snapToGrid w:val="0"/>
        <w:spacing w:line="360" w:lineRule="auto"/>
        <w:ind w:firstLine="565" w:firstLineChars="202"/>
        <w:rPr>
          <w:rFonts w:hAnsi="宋体" w:eastAsia="宋体"/>
          <w:color w:val="auto"/>
          <w:sz w:val="28"/>
          <w:szCs w:val="28"/>
          <w:highlight w:val="none"/>
          <w:lang w:val="zh-CN"/>
        </w:rPr>
      </w:pPr>
      <w:r>
        <w:rPr>
          <w:rFonts w:hint="eastAsia" w:hAnsi="宋体" w:eastAsia="宋体" w:cs="仿宋"/>
          <w:color w:val="auto"/>
          <w:sz w:val="28"/>
          <w:szCs w:val="28"/>
          <w:highlight w:val="none"/>
          <w:lang w:val="zh-CN"/>
        </w:rPr>
        <w:t>总价金额与依据单价（或费率）计算出的结果不一致的，以单价（或费率）为准修正总价，但单价（或费率）小数点有明显错误的除外（包括但不限于工程量清单、单位工程汇总表、单项工程汇总表、投标报价汇总表）。</w:t>
      </w:r>
    </w:p>
    <w:p>
      <w:pPr>
        <w:pStyle w:val="25"/>
        <w:snapToGrid w:val="0"/>
        <w:spacing w:line="360" w:lineRule="auto"/>
        <w:ind w:firstLine="560" w:firstLineChars="200"/>
        <w:rPr>
          <w:rFonts w:hAnsi="宋体" w:eastAsia="宋体"/>
          <w:color w:val="auto"/>
          <w:sz w:val="28"/>
          <w:szCs w:val="28"/>
          <w:highlight w:val="none"/>
          <w:lang w:val="zh-CN"/>
        </w:rPr>
      </w:pPr>
      <w:r>
        <w:rPr>
          <w:rFonts w:hint="eastAsia" w:hAnsi="宋体" w:eastAsia="宋体" w:cs="仿宋"/>
          <w:color w:val="auto"/>
          <w:sz w:val="28"/>
          <w:szCs w:val="28"/>
          <w:highlight w:val="none"/>
          <w:lang w:val="zh-CN"/>
        </w:rPr>
        <w:t>修正后的报价经供应商确认后产生约束力，供应商不确认的，其施工响应文件作为无效处理。供应商需采取</w:t>
      </w:r>
      <w:r>
        <w:rPr>
          <w:rFonts w:hint="eastAsia" w:hAnsi="宋体"/>
          <w:color w:val="auto"/>
          <w:sz w:val="28"/>
          <w:szCs w:val="28"/>
          <w:highlight w:val="none"/>
        </w:rPr>
        <w:t>加盖供应商（法定名称）电子签章</w:t>
      </w:r>
      <w:r>
        <w:rPr>
          <w:rFonts w:hint="eastAsia" w:hAnsi="宋体" w:eastAsia="宋体" w:cs="仿宋"/>
          <w:color w:val="auto"/>
          <w:sz w:val="28"/>
          <w:szCs w:val="28"/>
          <w:highlight w:val="none"/>
          <w:lang w:val="zh-CN"/>
        </w:rPr>
        <w:t>）的方式对修正后的报价进行确认。</w:t>
      </w:r>
    </w:p>
    <w:p>
      <w:pPr>
        <w:pStyle w:val="25"/>
        <w:snapToGrid w:val="0"/>
        <w:spacing w:line="360" w:lineRule="auto"/>
        <w:ind w:firstLine="560" w:firstLineChars="200"/>
        <w:rPr>
          <w:rFonts w:hAnsi="宋体" w:eastAsia="宋体"/>
          <w:color w:val="auto"/>
          <w:sz w:val="28"/>
          <w:szCs w:val="28"/>
          <w:highlight w:val="none"/>
          <w:lang w:val="zh-CN"/>
        </w:rPr>
      </w:pPr>
      <w:r>
        <w:rPr>
          <w:rFonts w:hint="eastAsia" w:hAnsi="宋体" w:eastAsia="宋体" w:cs="仿宋"/>
          <w:color w:val="auto"/>
          <w:sz w:val="28"/>
          <w:szCs w:val="28"/>
          <w:highlight w:val="none"/>
          <w:lang w:val="zh-CN"/>
        </w:rPr>
        <w:t>不得未经澄清、说明或者更正，直接将供应商施工响应文件作为无效处理。</w:t>
      </w:r>
    </w:p>
    <w:p>
      <w:pPr>
        <w:pStyle w:val="80"/>
        <w:widowControl w:val="0"/>
        <w:numPr>
          <w:ilvl w:val="0"/>
          <w:numId w:val="47"/>
        </w:numPr>
        <w:tabs>
          <w:tab w:val="left" w:pos="1134"/>
        </w:tabs>
        <w:snapToGrid w:val="0"/>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磋商小组对供应商已标价工程量清单的项目单价进行评审，对明显不合理的单价（如明显偏高或偏低）项目</w:t>
      </w:r>
      <w:r>
        <w:rPr>
          <w:rFonts w:ascii="宋体" w:hAnsi="宋体" w:eastAsia="宋体"/>
          <w:color w:val="auto"/>
          <w:sz w:val="28"/>
          <w:szCs w:val="28"/>
          <w:highlight w:val="none"/>
        </w:rPr>
        <w:t>,</w:t>
      </w:r>
      <w:r>
        <w:rPr>
          <w:rFonts w:hint="eastAsia" w:ascii="宋体" w:hAnsi="宋体" w:eastAsia="宋体"/>
          <w:color w:val="auto"/>
          <w:sz w:val="28"/>
          <w:szCs w:val="28"/>
          <w:highlight w:val="none"/>
        </w:rPr>
        <w:t>应在评审报告中记录，提醒采购人在签订合同时注意，并在合同履行过程中加强风险防范。</w:t>
      </w:r>
    </w:p>
    <w:p>
      <w:pPr>
        <w:pStyle w:val="25"/>
        <w:numPr>
          <w:ilvl w:val="0"/>
          <w:numId w:val="44"/>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int="eastAsia" w:hAnsi="宋体" w:eastAsia="宋体" w:cs="Times New Roman"/>
          <w:color w:val="auto"/>
          <w:sz w:val="28"/>
          <w:szCs w:val="28"/>
          <w:highlight w:val="none"/>
        </w:rPr>
        <w:t>磋商小组在对施工响应文件的有效性、完整性和响应程度进行审查时，可以要求供应商对施工响应文件中含义不明确、同类问题表述不一致或者有明显文字和计算错误的内容等作出必要的澄清、说明或者更正。供应商的澄清、说明或者更正不得超出施工响应文件的范围或者改变施工响应文件的实质性内容。</w:t>
      </w:r>
    </w:p>
    <w:p>
      <w:pPr>
        <w:pStyle w:val="25"/>
        <w:numPr>
          <w:ilvl w:val="0"/>
          <w:numId w:val="44"/>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int="eastAsia" w:hAnsi="宋体" w:eastAsia="宋体" w:cs="Times New Roman"/>
          <w:color w:val="auto"/>
          <w:sz w:val="28"/>
          <w:szCs w:val="28"/>
          <w:highlight w:val="none"/>
        </w:rPr>
        <w:t>磋商小组要求供应商澄清、说明或者更正施工响应文件应当以书面形式作出。供应商的澄清、说明或者更正</w:t>
      </w:r>
      <w:r>
        <w:rPr>
          <w:rFonts w:hint="eastAsia" w:hAnsi="宋体"/>
          <w:color w:val="auto"/>
          <w:sz w:val="28"/>
          <w:szCs w:val="28"/>
          <w:highlight w:val="none"/>
        </w:rPr>
        <w:t>应加盖供应商（法定名称）电子签章</w:t>
      </w:r>
      <w:r>
        <w:rPr>
          <w:rFonts w:hint="eastAsia" w:hAnsi="宋体" w:eastAsia="宋体" w:cs="Times New Roman"/>
          <w:color w:val="auto"/>
          <w:sz w:val="28"/>
          <w:szCs w:val="28"/>
          <w:highlight w:val="none"/>
        </w:rPr>
        <w:t>。</w:t>
      </w:r>
    </w:p>
    <w:p>
      <w:pPr>
        <w:pStyle w:val="25"/>
        <w:numPr>
          <w:ilvl w:val="0"/>
          <w:numId w:val="44"/>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int="eastAsia" w:hAnsi="宋体" w:eastAsia="宋体" w:cs="Times New Roman"/>
          <w:color w:val="auto"/>
          <w:sz w:val="28"/>
          <w:szCs w:val="28"/>
          <w:highlight w:val="none"/>
        </w:rPr>
        <w:t>磋商小组应当积极履行澄清、说明或者更正的职责，不得滥用权力。</w:t>
      </w:r>
    </w:p>
    <w:p>
      <w:pPr>
        <w:pStyle w:val="25"/>
        <w:numPr>
          <w:ilvl w:val="0"/>
          <w:numId w:val="44"/>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int="eastAsia" w:hAnsi="宋体" w:eastAsia="宋体" w:cs="Times New Roman"/>
          <w:color w:val="auto"/>
          <w:sz w:val="28"/>
          <w:szCs w:val="28"/>
          <w:highlight w:val="none"/>
        </w:rPr>
        <w:t>磋商小组在符合性审查过程中，磋商小组成员对供应商是否符合规定存在争议的，应当以少数服从多数的原则处理，但不违背政府采购法和磋商文件规定。</w:t>
      </w:r>
    </w:p>
    <w:p>
      <w:pPr>
        <w:pStyle w:val="25"/>
        <w:numPr>
          <w:ilvl w:val="0"/>
          <w:numId w:val="44"/>
        </w:numPr>
        <w:tabs>
          <w:tab w:val="left" w:pos="1134"/>
        </w:tabs>
        <w:autoSpaceDE/>
        <w:autoSpaceDN/>
        <w:adjustRightInd/>
        <w:snapToGrid w:val="0"/>
        <w:spacing w:line="360" w:lineRule="auto"/>
        <w:ind w:left="0" w:firstLine="560"/>
        <w:rPr>
          <w:rFonts w:hAnsi="宋体" w:eastAsia="宋体" w:cs="Times New Roman"/>
          <w:color w:val="auto"/>
          <w:sz w:val="28"/>
          <w:szCs w:val="28"/>
          <w:highlight w:val="none"/>
        </w:rPr>
      </w:pPr>
      <w:r>
        <w:rPr>
          <w:rFonts w:hint="eastAsia" w:hAnsi="宋体" w:eastAsia="宋体" w:cs="Times New Roman"/>
          <w:color w:val="auto"/>
          <w:sz w:val="28"/>
          <w:szCs w:val="28"/>
          <w:highlight w:val="none"/>
        </w:rPr>
        <w:t>供应商符合性审查标准（按以下顺序审查）：</w:t>
      </w:r>
    </w:p>
    <w:tbl>
      <w:tblPr>
        <w:tblStyle w:val="45"/>
        <w:tblW w:w="9072" w:type="dxa"/>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1"/>
        <w:gridCol w:w="2694"/>
        <w:gridCol w:w="4677"/>
        <w:gridCol w:w="85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r>
              <w:rPr>
                <w:rFonts w:hint="eastAsia" w:ascii="宋体" w:hAnsi="宋体"/>
                <w:b/>
                <w:color w:val="auto"/>
                <w:highlight w:val="none"/>
              </w:rPr>
              <w:t>序号</w:t>
            </w:r>
          </w:p>
        </w:tc>
        <w:tc>
          <w:tcPr>
            <w:tcW w:w="269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r>
              <w:rPr>
                <w:rFonts w:hint="eastAsia" w:ascii="宋体" w:hAnsi="宋体"/>
                <w:b/>
                <w:color w:val="auto"/>
                <w:highlight w:val="none"/>
              </w:rPr>
              <w:t>审查内容</w:t>
            </w:r>
          </w:p>
        </w:tc>
        <w:tc>
          <w:tcPr>
            <w:tcW w:w="467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r>
              <w:rPr>
                <w:rFonts w:hint="eastAsia" w:ascii="宋体" w:hAnsi="宋体"/>
                <w:b/>
                <w:color w:val="auto"/>
                <w:highlight w:val="none"/>
              </w:rPr>
              <w:t>通过条件</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r>
              <w:rPr>
                <w:rFonts w:hint="eastAsia" w:ascii="宋体" w:hAnsi="宋体"/>
                <w:b/>
                <w:color w:val="auto"/>
                <w:highlight w:val="none"/>
              </w:rPr>
              <w:t>结论</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6"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r>
              <w:rPr>
                <w:rFonts w:ascii="宋体" w:hAnsi="宋体"/>
                <w:color w:val="auto"/>
                <w:highlight w:val="none"/>
              </w:rPr>
              <w:t>1</w:t>
            </w:r>
          </w:p>
        </w:tc>
        <w:tc>
          <w:tcPr>
            <w:tcW w:w="269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color w:val="auto"/>
                <w:highlight w:val="none"/>
              </w:rPr>
            </w:pPr>
            <w:r>
              <w:rPr>
                <w:rFonts w:hint="eastAsia"/>
                <w:color w:val="auto"/>
                <w:highlight w:val="none"/>
              </w:rPr>
              <w:t>磋商</w:t>
            </w:r>
            <w:r>
              <w:rPr>
                <w:color w:val="auto"/>
                <w:highlight w:val="none"/>
              </w:rPr>
              <w:t>保证金</w:t>
            </w:r>
          </w:p>
        </w:tc>
        <w:tc>
          <w:tcPr>
            <w:tcW w:w="467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color w:val="auto"/>
                <w:highlight w:val="none"/>
              </w:rPr>
            </w:pPr>
            <w:r>
              <w:rPr>
                <w:color w:val="auto"/>
                <w:highlight w:val="none"/>
              </w:rPr>
              <w:t>无</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2"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r>
              <w:rPr>
                <w:rFonts w:hint="eastAsia" w:ascii="宋体" w:hAnsi="宋体"/>
                <w:color w:val="auto"/>
                <w:highlight w:val="none"/>
              </w:rPr>
              <w:t>2</w:t>
            </w:r>
          </w:p>
        </w:tc>
        <w:tc>
          <w:tcPr>
            <w:tcW w:w="269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color w:val="auto"/>
                <w:highlight w:val="none"/>
              </w:rPr>
            </w:pPr>
            <w:r>
              <w:rPr>
                <w:rFonts w:hint="eastAsia"/>
                <w:color w:val="auto"/>
                <w:highlight w:val="none"/>
              </w:rPr>
              <w:t>施工响应文件</w:t>
            </w:r>
            <w:r>
              <w:rPr>
                <w:color w:val="auto"/>
                <w:highlight w:val="none"/>
              </w:rPr>
              <w:t>解密情况</w:t>
            </w:r>
          </w:p>
        </w:tc>
        <w:tc>
          <w:tcPr>
            <w:tcW w:w="467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color w:val="auto"/>
                <w:highlight w:val="none"/>
              </w:rPr>
            </w:pPr>
            <w:r>
              <w:rPr>
                <w:rFonts w:hint="eastAsia" w:ascii="宋体" w:hAnsi="宋体"/>
                <w:color w:val="auto"/>
                <w:highlight w:val="none"/>
              </w:rPr>
              <w:t>除因断电、断网、系统故障或其他不可抗力等因素，导致系统无法使用外，</w:t>
            </w:r>
            <w:r>
              <w:rPr>
                <w:rFonts w:hint="eastAsia"/>
                <w:color w:val="auto"/>
                <w:highlight w:val="none"/>
              </w:rPr>
              <w:t>施工响应文件</w:t>
            </w:r>
            <w:r>
              <w:rPr>
                <w:rFonts w:hint="eastAsia" w:ascii="宋体" w:hAnsi="宋体"/>
                <w:color w:val="auto"/>
                <w:highlight w:val="none"/>
              </w:rPr>
              <w:t>已成功解密。</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8"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r>
              <w:rPr>
                <w:rFonts w:hint="eastAsia" w:ascii="宋体" w:hAnsi="宋体"/>
                <w:color w:val="auto"/>
                <w:highlight w:val="none"/>
              </w:rPr>
              <w:t>3</w:t>
            </w:r>
          </w:p>
        </w:tc>
        <w:tc>
          <w:tcPr>
            <w:tcW w:w="269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color w:val="auto"/>
                <w:highlight w:val="none"/>
              </w:rPr>
            </w:pPr>
            <w:r>
              <w:rPr>
                <w:rFonts w:hint="eastAsia"/>
                <w:color w:val="auto"/>
                <w:highlight w:val="none"/>
              </w:rPr>
              <w:t>施工响应文件</w:t>
            </w:r>
            <w:r>
              <w:rPr>
                <w:color w:val="auto"/>
                <w:highlight w:val="none"/>
              </w:rPr>
              <w:t>签章</w:t>
            </w:r>
          </w:p>
        </w:tc>
        <w:tc>
          <w:tcPr>
            <w:tcW w:w="467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color w:val="auto"/>
                <w:highlight w:val="none"/>
              </w:rPr>
            </w:pPr>
            <w:r>
              <w:rPr>
                <w:rFonts w:hint="eastAsia"/>
                <w:color w:val="auto"/>
                <w:highlight w:val="none"/>
              </w:rPr>
              <w:t>施工响应文件加盖有供应商（法定名称）电子签章</w:t>
            </w:r>
            <w:r>
              <w:rPr>
                <w:color w:val="auto"/>
                <w:highlight w:val="none"/>
              </w:rPr>
              <w:t>。</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1"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r>
              <w:rPr>
                <w:rFonts w:hint="eastAsia" w:ascii="宋体" w:hAnsi="宋体"/>
                <w:color w:val="auto"/>
                <w:highlight w:val="none"/>
              </w:rPr>
              <w:t>4</w:t>
            </w:r>
          </w:p>
        </w:tc>
        <w:tc>
          <w:tcPr>
            <w:tcW w:w="269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rPr>
            </w:pPr>
            <w:r>
              <w:rPr>
                <w:rFonts w:hint="eastAsia" w:ascii="宋体" w:hAnsi="宋体"/>
                <w:color w:val="auto"/>
                <w:highlight w:val="none"/>
              </w:rPr>
              <w:t>施工响应文件的组成</w:t>
            </w:r>
          </w:p>
        </w:tc>
        <w:tc>
          <w:tcPr>
            <w:tcW w:w="467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szCs w:val="28"/>
                <w:highlight w:val="none"/>
              </w:rPr>
            </w:pPr>
            <w:r>
              <w:rPr>
                <w:rFonts w:hint="eastAsia" w:ascii="宋体" w:hAnsi="宋体"/>
                <w:color w:val="auto"/>
                <w:szCs w:val="28"/>
                <w:highlight w:val="none"/>
              </w:rPr>
              <w:t>符合磋商文件</w:t>
            </w:r>
            <w:r>
              <w:rPr>
                <w:rFonts w:ascii="宋体" w:hAnsi="宋体"/>
                <w:color w:val="auto"/>
                <w:szCs w:val="28"/>
                <w:highlight w:val="none"/>
              </w:rPr>
              <w:t>2.4.6的要求</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szCs w:val="28"/>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1"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r>
              <w:rPr>
                <w:rFonts w:hint="eastAsia" w:ascii="宋体" w:hAnsi="宋体"/>
                <w:color w:val="auto"/>
                <w:highlight w:val="none"/>
              </w:rPr>
              <w:t>5</w:t>
            </w:r>
          </w:p>
        </w:tc>
        <w:tc>
          <w:tcPr>
            <w:tcW w:w="269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rPr>
            </w:pPr>
            <w:r>
              <w:rPr>
                <w:rFonts w:hint="eastAsia" w:ascii="宋体" w:hAnsi="宋体"/>
                <w:color w:val="auto"/>
                <w:szCs w:val="28"/>
                <w:highlight w:val="none"/>
              </w:rPr>
              <w:t>法定代表人身份证复印件或护照复印件</w:t>
            </w:r>
          </w:p>
        </w:tc>
        <w:tc>
          <w:tcPr>
            <w:tcW w:w="467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rPr>
            </w:pPr>
            <w:r>
              <w:rPr>
                <w:rFonts w:hint="eastAsia" w:ascii="宋体" w:hAnsi="宋体"/>
                <w:color w:val="auto"/>
                <w:szCs w:val="28"/>
                <w:highlight w:val="none"/>
              </w:rPr>
              <w:t>身份证复印件或护照复印件【注：法定代表人身份证复印件（身份证两面均应复印，在有效期内）或护照复印件（法定代表人为外籍人士的，按此提供）。】。</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4"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r>
              <w:rPr>
                <w:rFonts w:hint="eastAsia" w:ascii="宋体" w:hAnsi="宋体"/>
                <w:color w:val="auto"/>
                <w:highlight w:val="none"/>
              </w:rPr>
              <w:t>6</w:t>
            </w:r>
          </w:p>
        </w:tc>
        <w:tc>
          <w:tcPr>
            <w:tcW w:w="269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rPr>
            </w:pPr>
            <w:r>
              <w:rPr>
                <w:rFonts w:hint="eastAsia" w:ascii="宋体" w:hAnsi="宋体"/>
                <w:color w:val="auto"/>
                <w:highlight w:val="none"/>
              </w:rPr>
              <w:t>施工响应文件有效期、计量单位、语言、报价货币、知识产权</w:t>
            </w:r>
          </w:p>
        </w:tc>
        <w:tc>
          <w:tcPr>
            <w:tcW w:w="467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rPr>
            </w:pPr>
            <w:r>
              <w:rPr>
                <w:rFonts w:hint="eastAsia" w:ascii="宋体" w:hAnsi="宋体"/>
                <w:color w:val="auto"/>
                <w:highlight w:val="none"/>
              </w:rPr>
              <w:t>有效期、计量单位、语言、报价货币、知识产权满足磋商文件要求。</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4"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r>
              <w:rPr>
                <w:rFonts w:hint="eastAsia" w:ascii="宋体" w:hAnsi="宋体"/>
                <w:color w:val="auto"/>
                <w:highlight w:val="none"/>
              </w:rPr>
              <w:t>7</w:t>
            </w:r>
          </w:p>
        </w:tc>
        <w:tc>
          <w:tcPr>
            <w:tcW w:w="269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rPr>
            </w:pPr>
            <w:r>
              <w:rPr>
                <w:rFonts w:hint="eastAsia" w:ascii="宋体" w:hAnsi="宋体"/>
                <w:color w:val="auto"/>
                <w:highlight w:val="none"/>
              </w:rPr>
              <w:t>施工响应文件对磋商文件规定的实质性要求和采购项目最低要求的响应情况</w:t>
            </w:r>
          </w:p>
        </w:tc>
        <w:tc>
          <w:tcPr>
            <w:tcW w:w="467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rPr>
            </w:pPr>
            <w:r>
              <w:rPr>
                <w:rFonts w:hint="eastAsia" w:ascii="宋体" w:hAnsi="宋体"/>
                <w:color w:val="auto"/>
                <w:highlight w:val="none"/>
              </w:rPr>
              <w:t>符合磋商文件规定的实质性要求和采购项目最低要求</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4"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r>
              <w:rPr>
                <w:rFonts w:hint="eastAsia" w:ascii="宋体" w:hAnsi="宋体"/>
                <w:color w:val="auto"/>
                <w:highlight w:val="none"/>
              </w:rPr>
              <w:t>8</w:t>
            </w:r>
          </w:p>
        </w:tc>
        <w:tc>
          <w:tcPr>
            <w:tcW w:w="269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rPr>
            </w:pPr>
            <w:r>
              <w:rPr>
                <w:rFonts w:hint="eastAsia" w:ascii="宋体" w:hAnsi="宋体"/>
                <w:color w:val="auto"/>
                <w:highlight w:val="none"/>
              </w:rPr>
              <w:t>已标价工程量清单</w:t>
            </w:r>
          </w:p>
        </w:tc>
        <w:tc>
          <w:tcPr>
            <w:tcW w:w="4677" w:type="dxa"/>
            <w:tcBorders>
              <w:top w:val="single" w:color="auto" w:sz="4" w:space="0"/>
              <w:left w:val="single" w:color="auto" w:sz="4" w:space="0"/>
              <w:bottom w:val="single" w:color="auto" w:sz="4" w:space="0"/>
              <w:right w:val="single" w:color="auto" w:sz="4" w:space="0"/>
            </w:tcBorders>
            <w:vAlign w:val="center"/>
          </w:tcPr>
          <w:p>
            <w:pPr>
              <w:pStyle w:val="80"/>
              <w:numPr>
                <w:ilvl w:val="0"/>
                <w:numId w:val="48"/>
              </w:numPr>
              <w:tabs>
                <w:tab w:val="left" w:pos="742"/>
              </w:tabs>
              <w:snapToGrid w:val="0"/>
              <w:spacing w:line="360" w:lineRule="auto"/>
              <w:ind w:left="33" w:hanging="33" w:firstLineChars="0"/>
              <w:rPr>
                <w:rFonts w:ascii="宋体" w:hAnsi="宋体" w:eastAsia="宋体"/>
                <w:color w:val="auto"/>
                <w:highlight w:val="none"/>
              </w:rPr>
            </w:pPr>
            <w:r>
              <w:rPr>
                <w:rFonts w:hint="eastAsia" w:ascii="宋体" w:hAnsi="宋体" w:eastAsia="宋体"/>
                <w:color w:val="auto"/>
                <w:highlight w:val="none"/>
              </w:rPr>
              <w:t>供应商提交的首次施工响应文件中已标价工程量清单未出现磋商文件“供应商须知附表”中第７项规定情形；</w:t>
            </w:r>
          </w:p>
          <w:p>
            <w:pPr>
              <w:pStyle w:val="80"/>
              <w:numPr>
                <w:ilvl w:val="0"/>
                <w:numId w:val="48"/>
              </w:numPr>
              <w:tabs>
                <w:tab w:val="left" w:pos="742"/>
              </w:tabs>
              <w:snapToGrid w:val="0"/>
              <w:spacing w:line="360" w:lineRule="auto"/>
              <w:ind w:left="33" w:hanging="33" w:firstLineChars="0"/>
              <w:rPr>
                <w:rFonts w:ascii="宋体" w:hAnsi="宋体" w:eastAsia="宋体"/>
                <w:color w:val="auto"/>
                <w:highlight w:val="none"/>
              </w:rPr>
            </w:pPr>
            <w:r>
              <w:rPr>
                <w:rFonts w:hint="eastAsia" w:ascii="宋体" w:hAnsi="宋体" w:eastAsia="宋体"/>
                <w:color w:val="auto"/>
                <w:highlight w:val="none"/>
              </w:rPr>
              <w:t>供应商提交的首次施工响应文件中供应商已标价工程量清单符合磋商文件2.4.3报价货币及报价要求。</w:t>
            </w:r>
          </w:p>
          <w:p>
            <w:pPr>
              <w:pStyle w:val="80"/>
              <w:numPr>
                <w:ilvl w:val="0"/>
                <w:numId w:val="48"/>
              </w:numPr>
              <w:tabs>
                <w:tab w:val="left" w:pos="742"/>
              </w:tabs>
              <w:snapToGrid w:val="0"/>
              <w:spacing w:line="360" w:lineRule="auto"/>
              <w:ind w:left="33" w:hanging="33" w:firstLineChars="0"/>
              <w:rPr>
                <w:rFonts w:ascii="宋体" w:hAnsi="宋体" w:eastAsia="宋体"/>
                <w:color w:val="auto"/>
                <w:highlight w:val="none"/>
              </w:rPr>
            </w:pPr>
            <w:r>
              <w:rPr>
                <w:rFonts w:hint="eastAsia" w:ascii="宋体" w:hAnsi="宋体" w:eastAsia="宋体"/>
                <w:color w:val="auto"/>
                <w:highlight w:val="none"/>
              </w:rPr>
              <w:t>磋商小组对供应商已标价工程量清单进行算术性复核时，如需进行修正的，供应商按磋商文件要求确认修正后的报价。</w:t>
            </w:r>
          </w:p>
          <w:p>
            <w:pPr>
              <w:pStyle w:val="80"/>
              <w:tabs>
                <w:tab w:val="left" w:pos="742"/>
              </w:tabs>
              <w:snapToGrid w:val="0"/>
              <w:spacing w:line="360" w:lineRule="auto"/>
              <w:ind w:left="33" w:firstLine="0" w:firstLineChars="0"/>
              <w:rPr>
                <w:rFonts w:ascii="宋体" w:hAnsi="宋体" w:eastAsia="宋体"/>
                <w:color w:val="auto"/>
                <w:highlight w:val="none"/>
              </w:rPr>
            </w:pPr>
            <w:r>
              <w:rPr>
                <w:rFonts w:hint="eastAsia" w:ascii="宋体" w:hAnsi="宋体"/>
                <w:color w:val="auto"/>
                <w:szCs w:val="28"/>
                <w:highlight w:val="none"/>
              </w:rPr>
              <w:t>【说明：上传已标价</w:t>
            </w:r>
            <w:r>
              <w:rPr>
                <w:rFonts w:ascii="宋体" w:hAnsi="宋体"/>
                <w:color w:val="auto"/>
                <w:szCs w:val="28"/>
                <w:highlight w:val="none"/>
              </w:rPr>
              <w:t>的工程量清单</w:t>
            </w:r>
            <w:r>
              <w:rPr>
                <w:rFonts w:hint="eastAsia" w:ascii="宋体" w:hAnsi="宋体"/>
                <w:color w:val="auto"/>
                <w:szCs w:val="28"/>
                <w:highlight w:val="none"/>
              </w:rPr>
              <w:t>】</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rPr>
            </w:pPr>
          </w:p>
        </w:tc>
      </w:tr>
    </w:tbl>
    <w:p>
      <w:pPr>
        <w:pStyle w:val="80"/>
        <w:widowControl w:val="0"/>
        <w:numPr>
          <w:ilvl w:val="0"/>
          <w:numId w:val="49"/>
        </w:numPr>
        <w:tabs>
          <w:tab w:val="left" w:pos="1134"/>
          <w:tab w:val="left" w:pos="1276"/>
          <w:tab w:val="left" w:pos="1418"/>
        </w:tabs>
        <w:snapToGrid w:val="0"/>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以上每一项结论均为“通过”的，则供应商的施工响应文件通过符合性审查，才能允许其参加最后报价；如有任意一项结论为“不通过”的，则供应商的施工响应文件按无效施工响应文件处理，不允许其参加最后报价。如果磋商小组认为供应商有任意一项不通过的，应在评审报告中载明不通过的具体原因。</w:t>
      </w:r>
    </w:p>
    <w:p>
      <w:pPr>
        <w:pStyle w:val="80"/>
        <w:widowControl w:val="0"/>
        <w:numPr>
          <w:ilvl w:val="0"/>
          <w:numId w:val="49"/>
        </w:numPr>
        <w:tabs>
          <w:tab w:val="left" w:pos="1134"/>
          <w:tab w:val="left" w:pos="1276"/>
          <w:tab w:val="left" w:pos="1418"/>
        </w:tabs>
        <w:snapToGrid w:val="0"/>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磋商小组符合性审查结束后，应当出具符合性审查报告，确定参加最后报价的供应商名单。</w:t>
      </w:r>
      <w:r>
        <w:rPr>
          <w:rFonts w:hint="eastAsia" w:ascii="宋体" w:hAnsi="宋体" w:cs="宋体"/>
          <w:color w:val="auto"/>
          <w:sz w:val="28"/>
          <w:szCs w:val="28"/>
          <w:highlight w:val="none"/>
        </w:rPr>
        <w:t>高新区采购中心</w:t>
      </w:r>
      <w:r>
        <w:rPr>
          <w:rFonts w:hint="eastAsia" w:ascii="宋体" w:hAnsi="宋体" w:eastAsia="宋体"/>
          <w:color w:val="auto"/>
          <w:sz w:val="28"/>
          <w:szCs w:val="28"/>
          <w:highlight w:val="none"/>
        </w:rPr>
        <w:t>将通过和未通过符合性审查的供应商名单以及未通过符合性审查的原因</w:t>
      </w:r>
      <w:r>
        <w:rPr>
          <w:rFonts w:hint="eastAsia" w:ascii="宋体" w:hAnsi="宋体"/>
          <w:color w:val="auto"/>
          <w:sz w:val="28"/>
          <w:szCs w:val="28"/>
          <w:highlight w:val="none"/>
        </w:rPr>
        <w:t>（以短信、站内信、电话、“政府采购云平台”等任一方式）</w:t>
      </w:r>
      <w:r>
        <w:rPr>
          <w:rFonts w:hint="eastAsia" w:ascii="宋体" w:hAnsi="宋体" w:eastAsia="宋体"/>
          <w:color w:val="auto"/>
          <w:sz w:val="28"/>
          <w:szCs w:val="28"/>
          <w:highlight w:val="none"/>
        </w:rPr>
        <w:t>通知所有递交施工响应文件的供应商，并书面通知未通过符合性审查的供应商。</w:t>
      </w:r>
    </w:p>
    <w:p>
      <w:pPr>
        <w:pStyle w:val="80"/>
        <w:widowControl w:val="0"/>
        <w:numPr>
          <w:ilvl w:val="0"/>
          <w:numId w:val="49"/>
        </w:numPr>
        <w:tabs>
          <w:tab w:val="left" w:pos="851"/>
          <w:tab w:val="left" w:pos="993"/>
          <w:tab w:val="left" w:pos="1134"/>
          <w:tab w:val="left" w:pos="1276"/>
          <w:tab w:val="left" w:pos="1418"/>
        </w:tabs>
        <w:snapToGrid w:val="0"/>
        <w:spacing w:line="360" w:lineRule="auto"/>
        <w:ind w:left="0" w:firstLine="567" w:firstLineChars="0"/>
        <w:jc w:val="both"/>
        <w:rPr>
          <w:rFonts w:ascii="宋体" w:hAnsi="宋体" w:eastAsia="宋体"/>
          <w:color w:val="auto"/>
          <w:sz w:val="28"/>
          <w:szCs w:val="28"/>
          <w:highlight w:val="none"/>
        </w:rPr>
      </w:pPr>
      <w:r>
        <w:rPr>
          <w:rFonts w:hint="eastAsia" w:ascii="宋体" w:hAnsi="宋体" w:eastAsia="宋体"/>
          <w:color w:val="auto"/>
          <w:sz w:val="28"/>
          <w:szCs w:val="28"/>
          <w:highlight w:val="none"/>
        </w:rPr>
        <w:t>通过符合性审查的供应商不足三家的，本次采购活动终止，并发布终止竞争性磋商公告。</w:t>
      </w:r>
    </w:p>
    <w:p>
      <w:pPr>
        <w:pStyle w:val="25"/>
        <w:tabs>
          <w:tab w:val="left" w:pos="1134"/>
        </w:tabs>
        <w:snapToGrid w:val="0"/>
        <w:spacing w:line="360" w:lineRule="auto"/>
        <w:ind w:firstLine="565" w:firstLineChars="201"/>
        <w:rPr>
          <w:rFonts w:hAnsi="宋体" w:eastAsia="宋体"/>
          <w:b/>
          <w:color w:val="auto"/>
          <w:sz w:val="28"/>
          <w:szCs w:val="28"/>
          <w:highlight w:val="none"/>
        </w:rPr>
      </w:pPr>
      <w:r>
        <w:rPr>
          <w:rFonts w:hint="eastAsia" w:hAnsi="宋体" w:eastAsia="宋体"/>
          <w:b/>
          <w:color w:val="auto"/>
          <w:sz w:val="28"/>
          <w:szCs w:val="28"/>
          <w:highlight w:val="none"/>
        </w:rPr>
        <w:t>特别说明：磋商文件中要求提供复印件的证明材料的，包含原件的影印件或复印件。</w:t>
      </w:r>
    </w:p>
    <w:p>
      <w:pPr>
        <w:pStyle w:val="5"/>
        <w:numPr>
          <w:ilvl w:val="2"/>
          <w:numId w:val="1"/>
        </w:numPr>
        <w:tabs>
          <w:tab w:val="left" w:pos="993"/>
          <w:tab w:val="clear" w:pos="426"/>
          <w:tab w:val="clear" w:pos="567"/>
        </w:tabs>
        <w:rPr>
          <w:color w:val="auto"/>
          <w:highlight w:val="none"/>
        </w:rPr>
      </w:pPr>
      <w:bookmarkStart w:id="161" w:name="_Toc20930"/>
      <w:bookmarkStart w:id="162" w:name="_Toc72938456"/>
      <w:bookmarkStart w:id="163" w:name="_Toc63437912"/>
      <w:bookmarkStart w:id="164" w:name="_Toc25399"/>
      <w:bookmarkStart w:id="165" w:name="_Toc63084326"/>
      <w:r>
        <w:rPr>
          <w:rFonts w:hint="eastAsia"/>
          <w:color w:val="auto"/>
          <w:highlight w:val="none"/>
        </w:rPr>
        <w:t>最后报价审查</w:t>
      </w:r>
      <w:bookmarkEnd w:id="161"/>
      <w:bookmarkEnd w:id="162"/>
      <w:bookmarkEnd w:id="163"/>
      <w:bookmarkEnd w:id="164"/>
      <w:bookmarkEnd w:id="165"/>
    </w:p>
    <w:p>
      <w:pPr>
        <w:numPr>
          <w:ilvl w:val="0"/>
          <w:numId w:val="50"/>
        </w:numPr>
        <w:tabs>
          <w:tab w:val="left" w:pos="1134"/>
        </w:tabs>
        <w:snapToGrid w:val="0"/>
        <w:spacing w:after="200" w:line="360" w:lineRule="auto"/>
        <w:ind w:left="0" w:firstLine="560" w:firstLineChars="200"/>
        <w:rPr>
          <w:rFonts w:ascii="宋体" w:hAnsi="宋体"/>
          <w:color w:val="auto"/>
          <w:sz w:val="28"/>
          <w:szCs w:val="28"/>
          <w:highlight w:val="none"/>
        </w:rPr>
      </w:pPr>
      <w:r>
        <w:rPr>
          <w:rFonts w:hint="eastAsia" w:ascii="宋体" w:hAnsi="宋体"/>
          <w:color w:val="auto"/>
          <w:sz w:val="28"/>
          <w:szCs w:val="28"/>
          <w:highlight w:val="none"/>
        </w:rPr>
        <w:t>磋商结束</w:t>
      </w:r>
      <w:r>
        <w:rPr>
          <w:rFonts w:ascii="宋体" w:hAnsi="宋体"/>
          <w:color w:val="auto"/>
          <w:sz w:val="28"/>
          <w:szCs w:val="28"/>
          <w:highlight w:val="none"/>
        </w:rPr>
        <w:t>后，</w:t>
      </w:r>
      <w:r>
        <w:rPr>
          <w:rFonts w:hint="eastAsia" w:ascii="宋体" w:hAnsi="宋体"/>
          <w:color w:val="auto"/>
          <w:sz w:val="28"/>
          <w:szCs w:val="28"/>
          <w:highlight w:val="none"/>
        </w:rPr>
        <w:t>评审委员会应当要求所有实质性响应的供应商在规定时间内进行最后报价或者多轮报价后再最后报价。磋商小组</w:t>
      </w:r>
      <w:r>
        <w:rPr>
          <w:rFonts w:ascii="宋体" w:hAnsi="宋体"/>
          <w:color w:val="auto"/>
          <w:sz w:val="28"/>
          <w:szCs w:val="28"/>
          <w:highlight w:val="none"/>
        </w:rPr>
        <w:t>开启报价后，供应商应随时关注“</w:t>
      </w:r>
      <w:r>
        <w:rPr>
          <w:rFonts w:hint="eastAsia" w:ascii="宋体" w:hAnsi="宋体"/>
          <w:color w:val="auto"/>
          <w:sz w:val="28"/>
          <w:szCs w:val="28"/>
          <w:highlight w:val="none"/>
        </w:rPr>
        <w:t>政府</w:t>
      </w:r>
      <w:r>
        <w:rPr>
          <w:rFonts w:ascii="宋体" w:hAnsi="宋体"/>
          <w:color w:val="auto"/>
          <w:sz w:val="28"/>
          <w:szCs w:val="28"/>
          <w:highlight w:val="none"/>
        </w:rPr>
        <w:t>采购</w:t>
      </w:r>
      <w:r>
        <w:rPr>
          <w:rFonts w:hint="eastAsia" w:ascii="宋体" w:hAnsi="宋体"/>
          <w:color w:val="auto"/>
          <w:sz w:val="28"/>
          <w:szCs w:val="28"/>
          <w:highlight w:val="none"/>
        </w:rPr>
        <w:t>云</w:t>
      </w:r>
      <w:r>
        <w:rPr>
          <w:rFonts w:ascii="宋体" w:hAnsi="宋体"/>
          <w:color w:val="auto"/>
          <w:sz w:val="28"/>
          <w:szCs w:val="28"/>
          <w:highlight w:val="none"/>
        </w:rPr>
        <w:t>平台”</w:t>
      </w:r>
      <w:r>
        <w:rPr>
          <w:rFonts w:hint="eastAsia" w:ascii="宋体" w:hAnsi="宋体"/>
          <w:color w:val="auto"/>
          <w:sz w:val="28"/>
          <w:szCs w:val="28"/>
          <w:highlight w:val="none"/>
        </w:rPr>
        <w:t>站内信息或</w:t>
      </w:r>
      <w:r>
        <w:rPr>
          <w:rFonts w:ascii="宋体" w:hAnsi="宋体"/>
          <w:color w:val="auto"/>
          <w:sz w:val="28"/>
          <w:szCs w:val="28"/>
          <w:highlight w:val="none"/>
        </w:rPr>
        <w:t>短信提醒，</w:t>
      </w:r>
      <w:r>
        <w:rPr>
          <w:rFonts w:hint="eastAsia" w:ascii="宋体" w:hAnsi="宋体"/>
          <w:color w:val="auto"/>
          <w:sz w:val="28"/>
          <w:szCs w:val="28"/>
          <w:highlight w:val="none"/>
        </w:rPr>
        <w:t>登录“政府采购云平台”，通过“开标大厅”进行报价。登录成都市公共资源交易服务中心门户网站（https://www.cdggzy.com/）—政府采购云平台—</w:t>
      </w:r>
      <w:r>
        <w:rPr>
          <w:rFonts w:hint="eastAsia" w:ascii="宋体" w:hAnsi="宋体"/>
          <w:color w:val="auto"/>
          <w:sz w:val="28"/>
          <w:szCs w:val="28"/>
          <w:highlight w:val="none"/>
          <w:lang w:eastAsia="zh-CN"/>
        </w:rPr>
        <w:t>高新区项目采购</w:t>
      </w:r>
      <w:r>
        <w:rPr>
          <w:rFonts w:hint="eastAsia" w:ascii="宋体" w:hAnsi="宋体"/>
          <w:color w:val="auto"/>
          <w:sz w:val="28"/>
          <w:szCs w:val="28"/>
          <w:highlight w:val="none"/>
        </w:rPr>
        <w:t>—开标评标—开标大厅（找到对应项目）—报价，进行报价</w:t>
      </w:r>
      <w:r>
        <w:rPr>
          <w:rFonts w:ascii="宋体" w:hAnsi="宋体"/>
          <w:color w:val="auto"/>
          <w:sz w:val="28"/>
          <w:szCs w:val="28"/>
          <w:highlight w:val="none"/>
        </w:rPr>
        <w:t>并</w:t>
      </w:r>
      <w:r>
        <w:rPr>
          <w:rFonts w:hint="eastAsia" w:ascii="宋体" w:hAnsi="宋体"/>
          <w:color w:val="auto"/>
          <w:sz w:val="28"/>
          <w:szCs w:val="28"/>
          <w:highlight w:val="none"/>
        </w:rPr>
        <w:t>签章</w:t>
      </w:r>
      <w:r>
        <w:rPr>
          <w:rFonts w:ascii="宋体" w:hAnsi="宋体"/>
          <w:color w:val="auto"/>
          <w:sz w:val="28"/>
          <w:szCs w:val="28"/>
          <w:highlight w:val="none"/>
        </w:rPr>
        <w:t>后</w:t>
      </w:r>
      <w:r>
        <w:rPr>
          <w:rFonts w:hint="eastAsia" w:ascii="宋体" w:hAnsi="宋体"/>
          <w:color w:val="auto"/>
          <w:sz w:val="28"/>
          <w:szCs w:val="28"/>
          <w:highlight w:val="none"/>
        </w:rPr>
        <w:t>递交。报价</w:t>
      </w:r>
      <w:r>
        <w:rPr>
          <w:rFonts w:ascii="宋体" w:hAnsi="宋体"/>
          <w:color w:val="auto"/>
          <w:sz w:val="28"/>
          <w:szCs w:val="28"/>
          <w:highlight w:val="none"/>
        </w:rPr>
        <w:t>时间截止后，系统</w:t>
      </w:r>
      <w:r>
        <w:rPr>
          <w:rFonts w:hint="eastAsia" w:ascii="宋体" w:hAnsi="宋体"/>
          <w:color w:val="auto"/>
          <w:sz w:val="28"/>
          <w:szCs w:val="28"/>
          <w:highlight w:val="none"/>
        </w:rPr>
        <w:t>统一</w:t>
      </w:r>
      <w:r>
        <w:rPr>
          <w:rFonts w:ascii="宋体" w:hAnsi="宋体"/>
          <w:color w:val="auto"/>
          <w:sz w:val="28"/>
          <w:szCs w:val="28"/>
          <w:highlight w:val="none"/>
        </w:rPr>
        <w:t>公布报价。</w:t>
      </w:r>
      <w:r>
        <w:rPr>
          <w:rFonts w:hint="eastAsia" w:ascii="宋体" w:hAnsi="宋体"/>
          <w:color w:val="auto"/>
          <w:sz w:val="28"/>
          <w:szCs w:val="28"/>
          <w:highlight w:val="none"/>
        </w:rPr>
        <w:t>提示：供应商未按时登录不见面开标系统，未在报价</w:t>
      </w:r>
      <w:r>
        <w:rPr>
          <w:rFonts w:ascii="宋体" w:hAnsi="宋体"/>
          <w:color w:val="auto"/>
          <w:sz w:val="28"/>
          <w:szCs w:val="28"/>
          <w:highlight w:val="none"/>
        </w:rPr>
        <w:t>截止时间内</w:t>
      </w:r>
      <w:r>
        <w:rPr>
          <w:rFonts w:hint="eastAsia" w:ascii="宋体" w:hAnsi="宋体"/>
          <w:color w:val="auto"/>
          <w:sz w:val="28"/>
          <w:szCs w:val="28"/>
          <w:highlight w:val="none"/>
        </w:rPr>
        <w:t>递交</w:t>
      </w:r>
      <w:r>
        <w:rPr>
          <w:rFonts w:ascii="宋体" w:hAnsi="宋体"/>
          <w:color w:val="auto"/>
          <w:sz w:val="28"/>
          <w:szCs w:val="28"/>
          <w:highlight w:val="none"/>
        </w:rPr>
        <w:t>报价</w:t>
      </w:r>
      <w:r>
        <w:rPr>
          <w:rFonts w:hint="eastAsia" w:ascii="宋体" w:hAnsi="宋体"/>
          <w:color w:val="auto"/>
          <w:sz w:val="28"/>
          <w:szCs w:val="28"/>
          <w:highlight w:val="none"/>
        </w:rPr>
        <w:t>或未按要求进行报价的，</w:t>
      </w:r>
      <w:r>
        <w:rPr>
          <w:rFonts w:ascii="宋体" w:hAnsi="宋体"/>
          <w:color w:val="auto"/>
          <w:sz w:val="28"/>
          <w:szCs w:val="28"/>
          <w:highlight w:val="none"/>
        </w:rPr>
        <w:t>视为供应商</w:t>
      </w:r>
      <w:r>
        <w:rPr>
          <w:rFonts w:hint="eastAsia" w:ascii="宋体" w:hAnsi="宋体"/>
          <w:color w:val="auto"/>
          <w:sz w:val="28"/>
          <w:szCs w:val="28"/>
          <w:highlight w:val="none"/>
        </w:rPr>
        <w:t>响应无效，由供应商自行承担不利后果。</w:t>
      </w:r>
    </w:p>
    <w:p>
      <w:pPr>
        <w:numPr>
          <w:ilvl w:val="0"/>
          <w:numId w:val="50"/>
        </w:numPr>
        <w:tabs>
          <w:tab w:val="left" w:pos="1134"/>
        </w:tabs>
        <w:snapToGrid w:val="0"/>
        <w:spacing w:after="200" w:line="360" w:lineRule="auto"/>
        <w:ind w:left="0" w:firstLine="560" w:firstLineChars="200"/>
        <w:rPr>
          <w:rFonts w:ascii="宋体" w:hAnsi="宋体"/>
          <w:color w:val="auto"/>
          <w:sz w:val="28"/>
          <w:szCs w:val="28"/>
          <w:highlight w:val="none"/>
        </w:rPr>
      </w:pPr>
      <w:r>
        <w:rPr>
          <w:rFonts w:hint="eastAsia" w:ascii="宋体" w:hAnsi="宋体"/>
          <w:color w:val="auto"/>
          <w:sz w:val="28"/>
          <w:szCs w:val="28"/>
          <w:highlight w:val="none"/>
        </w:rPr>
        <w:t>已提交施工响应文件的供应商，在提交最后报价之前，可以根据磋商情况退出磋商，供应商的磋商保证金在成交结果公布后无息原路径退还。</w:t>
      </w:r>
    </w:p>
    <w:p>
      <w:pPr>
        <w:numPr>
          <w:ilvl w:val="0"/>
          <w:numId w:val="50"/>
        </w:numPr>
        <w:tabs>
          <w:tab w:val="left" w:pos="1134"/>
        </w:tabs>
        <w:snapToGrid w:val="0"/>
        <w:spacing w:after="200" w:line="360" w:lineRule="auto"/>
        <w:ind w:left="0" w:firstLine="560" w:firstLineChars="200"/>
        <w:rPr>
          <w:rFonts w:ascii="宋体" w:hAnsi="宋体"/>
          <w:color w:val="auto"/>
          <w:sz w:val="28"/>
          <w:szCs w:val="28"/>
          <w:highlight w:val="none"/>
        </w:rPr>
      </w:pPr>
      <w:r>
        <w:rPr>
          <w:rFonts w:hint="eastAsia" w:ascii="宋体" w:hAnsi="宋体"/>
          <w:color w:val="auto"/>
          <w:sz w:val="28"/>
          <w:szCs w:val="28"/>
          <w:highlight w:val="none"/>
        </w:rPr>
        <w:t>供应商未按磋商小组要求在规定时间内提交最后报价的，视为其退出磋商。</w:t>
      </w:r>
    </w:p>
    <w:p>
      <w:pPr>
        <w:numPr>
          <w:ilvl w:val="0"/>
          <w:numId w:val="50"/>
        </w:numPr>
        <w:tabs>
          <w:tab w:val="left" w:pos="1134"/>
        </w:tabs>
        <w:snapToGrid w:val="0"/>
        <w:spacing w:after="200" w:line="360" w:lineRule="auto"/>
        <w:ind w:left="0" w:firstLine="560" w:firstLineChars="200"/>
        <w:rPr>
          <w:rFonts w:ascii="宋体" w:hAnsi="宋体"/>
          <w:color w:val="auto"/>
          <w:sz w:val="28"/>
          <w:szCs w:val="28"/>
          <w:highlight w:val="none"/>
        </w:rPr>
      </w:pPr>
      <w:r>
        <w:rPr>
          <w:rFonts w:hint="eastAsia" w:ascii="宋体" w:hAnsi="宋体"/>
          <w:color w:val="auto"/>
          <w:sz w:val="28"/>
          <w:szCs w:val="28"/>
          <w:highlight w:val="none"/>
        </w:rPr>
        <w:t>最后报价一旦递交后，供应商不得以任何理由撤回。</w:t>
      </w:r>
    </w:p>
    <w:p>
      <w:pPr>
        <w:numPr>
          <w:ilvl w:val="0"/>
          <w:numId w:val="50"/>
        </w:numPr>
        <w:tabs>
          <w:tab w:val="left" w:pos="1134"/>
        </w:tabs>
        <w:snapToGrid w:val="0"/>
        <w:spacing w:after="200" w:line="360" w:lineRule="auto"/>
        <w:ind w:left="0" w:firstLine="560" w:firstLineChars="200"/>
        <w:rPr>
          <w:rFonts w:ascii="宋体" w:hAnsi="宋体"/>
          <w:color w:val="auto"/>
          <w:sz w:val="28"/>
          <w:szCs w:val="28"/>
          <w:highlight w:val="none"/>
        </w:rPr>
      </w:pPr>
      <w:r>
        <w:rPr>
          <w:rFonts w:hint="eastAsia" w:ascii="宋体" w:hAnsi="宋体" w:cs="宋体"/>
          <w:color w:val="auto"/>
          <w:sz w:val="28"/>
          <w:szCs w:val="28"/>
          <w:highlight w:val="none"/>
        </w:rPr>
        <w:t>供应商的最后报价由</w:t>
      </w:r>
      <w:r>
        <w:rPr>
          <w:rFonts w:hint="eastAsia" w:ascii="宋体" w:hAnsi="宋体"/>
          <w:color w:val="auto"/>
          <w:sz w:val="28"/>
          <w:szCs w:val="28"/>
          <w:highlight w:val="none"/>
        </w:rPr>
        <w:t>磋商小组在“政府采购云平台”公布。</w:t>
      </w:r>
    </w:p>
    <w:p>
      <w:pPr>
        <w:numPr>
          <w:ilvl w:val="0"/>
          <w:numId w:val="50"/>
        </w:numPr>
        <w:tabs>
          <w:tab w:val="left" w:pos="1134"/>
        </w:tabs>
        <w:snapToGrid w:val="0"/>
        <w:spacing w:after="200" w:line="360" w:lineRule="auto"/>
        <w:ind w:left="0" w:firstLine="560" w:firstLineChars="200"/>
        <w:rPr>
          <w:rFonts w:ascii="宋体" w:hAnsi="宋体"/>
          <w:color w:val="auto"/>
          <w:sz w:val="28"/>
          <w:szCs w:val="28"/>
          <w:highlight w:val="none"/>
        </w:rPr>
      </w:pPr>
      <w:r>
        <w:rPr>
          <w:rFonts w:hint="eastAsia" w:ascii="宋体" w:hAnsi="宋体"/>
          <w:color w:val="auto"/>
          <w:sz w:val="28"/>
          <w:szCs w:val="28"/>
          <w:highlight w:val="none"/>
        </w:rPr>
        <w:t>最后报价为有效报价应符合下列条件：</w:t>
      </w:r>
    </w:p>
    <w:p>
      <w:pPr>
        <w:numPr>
          <w:ilvl w:val="0"/>
          <w:numId w:val="51"/>
        </w:numPr>
        <w:tabs>
          <w:tab w:val="left" w:pos="-2127"/>
          <w:tab w:val="left" w:pos="1134"/>
        </w:tabs>
        <w:snapToGrid w:val="0"/>
        <w:spacing w:after="200" w:line="360" w:lineRule="auto"/>
        <w:ind w:left="0" w:firstLine="557"/>
        <w:jc w:val="both"/>
        <w:rPr>
          <w:rFonts w:ascii="宋体" w:hAnsi="宋体" w:cs="宋体"/>
          <w:color w:val="auto"/>
          <w:sz w:val="28"/>
          <w:szCs w:val="28"/>
          <w:highlight w:val="none"/>
        </w:rPr>
      </w:pPr>
      <w:r>
        <w:rPr>
          <w:rFonts w:hint="eastAsia" w:ascii="宋体" w:hAnsi="宋体" w:cs="宋体"/>
          <w:color w:val="auto"/>
          <w:sz w:val="28"/>
          <w:szCs w:val="28"/>
          <w:highlight w:val="none"/>
        </w:rPr>
        <w:t>供应商所提供的最后报价是在规定的时间内提交。</w:t>
      </w:r>
    </w:p>
    <w:p>
      <w:pPr>
        <w:numPr>
          <w:ilvl w:val="0"/>
          <w:numId w:val="51"/>
        </w:numPr>
        <w:tabs>
          <w:tab w:val="left" w:pos="-2127"/>
          <w:tab w:val="left" w:pos="1134"/>
        </w:tabs>
        <w:snapToGrid w:val="0"/>
        <w:spacing w:after="200" w:line="360" w:lineRule="auto"/>
        <w:ind w:left="0" w:firstLine="557"/>
        <w:jc w:val="both"/>
        <w:rPr>
          <w:rFonts w:ascii="宋体" w:hAnsi="宋体" w:cs="宋体"/>
          <w:color w:val="auto"/>
          <w:sz w:val="28"/>
          <w:szCs w:val="28"/>
          <w:highlight w:val="none"/>
        </w:rPr>
      </w:pPr>
      <w:r>
        <w:rPr>
          <w:rFonts w:hint="eastAsia" w:ascii="宋体" w:hAnsi="宋体" w:cs="宋体"/>
          <w:color w:val="auto"/>
          <w:sz w:val="28"/>
          <w:szCs w:val="28"/>
          <w:highlight w:val="none"/>
        </w:rPr>
        <w:t>供应商的最后报价应加盖供应商（法定名称）电子签章。</w:t>
      </w:r>
    </w:p>
    <w:p>
      <w:pPr>
        <w:numPr>
          <w:ilvl w:val="0"/>
          <w:numId w:val="51"/>
        </w:numPr>
        <w:tabs>
          <w:tab w:val="left" w:pos="-2127"/>
          <w:tab w:val="left" w:pos="1134"/>
        </w:tabs>
        <w:snapToGrid w:val="0"/>
        <w:spacing w:after="200" w:line="360" w:lineRule="auto"/>
        <w:ind w:left="0" w:firstLine="557"/>
        <w:jc w:val="both"/>
        <w:rPr>
          <w:rFonts w:ascii="宋体" w:hAnsi="宋体" w:cs="宋体"/>
          <w:color w:val="auto"/>
          <w:sz w:val="28"/>
          <w:szCs w:val="28"/>
          <w:highlight w:val="none"/>
        </w:rPr>
      </w:pPr>
      <w:r>
        <w:rPr>
          <w:rFonts w:hint="eastAsia" w:ascii="宋体" w:hAnsi="宋体" w:cs="宋体"/>
          <w:color w:val="auto"/>
          <w:sz w:val="28"/>
          <w:szCs w:val="28"/>
          <w:highlight w:val="none"/>
        </w:rPr>
        <w:t>供应商的最后报价符合磋商文件的要求。</w:t>
      </w:r>
    </w:p>
    <w:p>
      <w:pPr>
        <w:numPr>
          <w:ilvl w:val="0"/>
          <w:numId w:val="51"/>
        </w:numPr>
        <w:tabs>
          <w:tab w:val="left" w:pos="-2127"/>
          <w:tab w:val="left" w:pos="1134"/>
        </w:tabs>
        <w:snapToGrid w:val="0"/>
        <w:spacing w:after="200" w:line="360" w:lineRule="auto"/>
        <w:ind w:left="0" w:firstLine="557"/>
        <w:jc w:val="both"/>
        <w:rPr>
          <w:rFonts w:ascii="宋体" w:hAnsi="宋体" w:cs="宋体"/>
          <w:color w:val="auto"/>
          <w:sz w:val="28"/>
          <w:szCs w:val="28"/>
          <w:highlight w:val="none"/>
        </w:rPr>
      </w:pPr>
      <w:r>
        <w:rPr>
          <w:rFonts w:hint="eastAsia" w:ascii="宋体" w:hAnsi="宋体" w:cs="宋体"/>
          <w:color w:val="auto"/>
          <w:sz w:val="28"/>
          <w:szCs w:val="28"/>
          <w:highlight w:val="none"/>
        </w:rPr>
        <w:t>最后报价唯一，且不高于最高限价。</w:t>
      </w:r>
    </w:p>
    <w:p>
      <w:pPr>
        <w:numPr>
          <w:ilvl w:val="0"/>
          <w:numId w:val="50"/>
        </w:numPr>
        <w:tabs>
          <w:tab w:val="left" w:pos="-2127"/>
          <w:tab w:val="left" w:pos="1134"/>
        </w:tabs>
        <w:snapToGrid w:val="0"/>
        <w:spacing w:line="620" w:lineRule="exact"/>
        <w:ind w:left="0" w:firstLine="560" w:firstLineChars="200"/>
        <w:rPr>
          <w:rFonts w:ascii="宋体" w:hAnsi="宋体"/>
          <w:color w:val="auto"/>
          <w:sz w:val="28"/>
          <w:szCs w:val="28"/>
          <w:highlight w:val="none"/>
        </w:rPr>
      </w:pPr>
      <w:r>
        <w:rPr>
          <w:rFonts w:hint="eastAsia" w:ascii="宋体" w:hAnsi="宋体" w:cs="宋体"/>
          <w:color w:val="auto"/>
          <w:sz w:val="28"/>
          <w:szCs w:val="28"/>
          <w:highlight w:val="none"/>
        </w:rPr>
        <w:t>在未提高施工响应文件中承诺的工程实质</w:t>
      </w:r>
      <w:r>
        <w:rPr>
          <w:rFonts w:ascii="宋体" w:hAnsi="宋体" w:cs="宋体"/>
          <w:color w:val="auto"/>
          <w:sz w:val="28"/>
          <w:szCs w:val="28"/>
          <w:highlight w:val="none"/>
        </w:rPr>
        <w:t>性要求</w:t>
      </w:r>
      <w:r>
        <w:rPr>
          <w:rFonts w:hint="eastAsia" w:ascii="宋体" w:hAnsi="宋体" w:cs="宋体"/>
          <w:color w:val="auto"/>
          <w:sz w:val="28"/>
          <w:szCs w:val="28"/>
          <w:highlight w:val="none"/>
        </w:rPr>
        <w:t>的情况下，最后报价不得高于对该项目之前的报价，否则，磋商小组应当对其施工响应文件按无效处理。磋商小组根据磋商文件中规定认</w:t>
      </w:r>
      <w:r>
        <w:rPr>
          <w:rFonts w:ascii="宋体" w:hAnsi="宋体" w:cs="宋体"/>
          <w:color w:val="auto"/>
          <w:sz w:val="28"/>
          <w:szCs w:val="28"/>
          <w:highlight w:val="none"/>
        </w:rPr>
        <w:t>为</w:t>
      </w:r>
      <w:r>
        <w:rPr>
          <w:rFonts w:hint="eastAsia" w:ascii="宋体" w:hAnsi="宋体" w:cs="宋体"/>
          <w:color w:val="auto"/>
          <w:sz w:val="28"/>
          <w:szCs w:val="28"/>
          <w:highlight w:val="none"/>
        </w:rPr>
        <w:t>供应商最后报价低于成本价，在磋商小组发出质询函后供应商未能提供合理的成本分析和价格构成的或对质函询的解释未被磋商小组采信的，应按照无效施工响应文件处理</w:t>
      </w:r>
      <w:r>
        <w:rPr>
          <w:rFonts w:ascii="宋体" w:hAnsi="宋体" w:cs="宋体"/>
          <w:color w:val="auto"/>
          <w:sz w:val="28"/>
          <w:szCs w:val="28"/>
          <w:highlight w:val="none"/>
        </w:rPr>
        <w:t>。</w:t>
      </w:r>
    </w:p>
    <w:p>
      <w:pPr>
        <w:numPr>
          <w:ilvl w:val="0"/>
          <w:numId w:val="50"/>
        </w:numPr>
        <w:tabs>
          <w:tab w:val="left" w:pos="-2127"/>
          <w:tab w:val="left" w:pos="1134"/>
        </w:tabs>
        <w:snapToGrid w:val="0"/>
        <w:spacing w:line="620" w:lineRule="exact"/>
        <w:ind w:left="0" w:firstLine="560" w:firstLineChars="200"/>
        <w:rPr>
          <w:rFonts w:ascii="宋体" w:hAnsi="宋体"/>
          <w:color w:val="auto"/>
          <w:sz w:val="28"/>
          <w:szCs w:val="28"/>
          <w:highlight w:val="none"/>
        </w:rPr>
      </w:pPr>
      <w:r>
        <w:rPr>
          <w:rFonts w:hint="eastAsia" w:ascii="宋体" w:hAnsi="宋体"/>
          <w:color w:val="auto"/>
          <w:sz w:val="28"/>
          <w:szCs w:val="28"/>
          <w:highlight w:val="none"/>
        </w:rPr>
        <w:t>最后报价出现下列情况的，不需要供应商澄清，按以下原则处理：</w:t>
      </w:r>
    </w:p>
    <w:p>
      <w:pPr>
        <w:pStyle w:val="207"/>
        <w:numPr>
          <w:ilvl w:val="0"/>
          <w:numId w:val="52"/>
        </w:numPr>
        <w:tabs>
          <w:tab w:val="left" w:pos="1134"/>
          <w:tab w:val="clear" w:pos="846"/>
        </w:tabs>
        <w:snapToGrid w:val="0"/>
        <w:spacing w:line="620" w:lineRule="exact"/>
        <w:ind w:left="0" w:firstLine="567"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最后报价中的大写金额和小写金额不一致的，以大写金额为准，但大写金额出现文字错误，导致金额无法判断的除外；</w:t>
      </w:r>
    </w:p>
    <w:p>
      <w:pPr>
        <w:pStyle w:val="207"/>
        <w:numPr>
          <w:ilvl w:val="0"/>
          <w:numId w:val="52"/>
        </w:numPr>
        <w:tabs>
          <w:tab w:val="left" w:pos="1134"/>
          <w:tab w:val="clear" w:pos="846"/>
        </w:tabs>
        <w:snapToGrid w:val="0"/>
        <w:spacing w:line="620" w:lineRule="exact"/>
        <w:ind w:left="0" w:firstLine="525"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单价金额小数点或者百分比有明显错位的，应以总价为准，并修改单价；</w:t>
      </w:r>
    </w:p>
    <w:p>
      <w:pPr>
        <w:pStyle w:val="207"/>
        <w:numPr>
          <w:ilvl w:val="0"/>
          <w:numId w:val="52"/>
        </w:numPr>
        <w:tabs>
          <w:tab w:val="left" w:pos="1134"/>
          <w:tab w:val="clear" w:pos="846"/>
        </w:tabs>
        <w:snapToGrid w:val="0"/>
        <w:spacing w:line="620" w:lineRule="exact"/>
        <w:ind w:left="0" w:firstLine="525"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总价金额与按单价汇总金额不一致的，以单价汇总金额计算结果为准；</w:t>
      </w:r>
    </w:p>
    <w:p>
      <w:pPr>
        <w:snapToGrid w:val="0"/>
        <w:spacing w:line="620" w:lineRule="exact"/>
        <w:ind w:firstLine="560" w:firstLineChars="200"/>
        <w:rPr>
          <w:color w:val="auto"/>
          <w:highlight w:val="none"/>
        </w:rPr>
      </w:pPr>
      <w:r>
        <w:rPr>
          <w:rFonts w:hint="eastAsia" w:cs="Arial"/>
          <w:color w:val="auto"/>
          <w:sz w:val="28"/>
          <w:szCs w:val="28"/>
          <w:highlight w:val="none"/>
        </w:rPr>
        <w:t>同时出现两种以上不一致的，按照前款规定的顺序修正。修正后的</w:t>
      </w:r>
      <w:r>
        <w:rPr>
          <w:rFonts w:hint="eastAsia" w:ascii="宋体" w:hAnsi="宋体"/>
          <w:color w:val="auto"/>
          <w:sz w:val="28"/>
          <w:szCs w:val="28"/>
          <w:highlight w:val="none"/>
        </w:rPr>
        <w:t>最后</w:t>
      </w:r>
      <w:r>
        <w:rPr>
          <w:rFonts w:hint="eastAsia" w:cs="Arial"/>
          <w:color w:val="auto"/>
          <w:sz w:val="28"/>
          <w:szCs w:val="28"/>
          <w:highlight w:val="none"/>
        </w:rPr>
        <w:t>报价经加盖供应商（法定名称）电子签章后产生约束力，供应商不确认的，其</w:t>
      </w:r>
      <w:r>
        <w:rPr>
          <w:rFonts w:hint="eastAsia" w:ascii="宋体" w:hAnsi="宋体"/>
          <w:color w:val="auto"/>
          <w:sz w:val="28"/>
          <w:szCs w:val="28"/>
          <w:highlight w:val="none"/>
        </w:rPr>
        <w:t>最后</w:t>
      </w:r>
      <w:r>
        <w:rPr>
          <w:rFonts w:hint="eastAsia" w:cs="Arial"/>
          <w:color w:val="auto"/>
          <w:sz w:val="28"/>
          <w:szCs w:val="28"/>
          <w:highlight w:val="none"/>
        </w:rPr>
        <w:t>报价无效。</w:t>
      </w:r>
    </w:p>
    <w:p>
      <w:pPr>
        <w:pStyle w:val="2"/>
        <w:ind w:firstLine="565" w:firstLineChars="202"/>
        <w:rPr>
          <w:rFonts w:ascii="宋体" w:hAnsi="宋体"/>
          <w:color w:val="auto"/>
          <w:sz w:val="28"/>
          <w:szCs w:val="28"/>
          <w:highlight w:val="none"/>
        </w:rPr>
      </w:pPr>
      <w:r>
        <w:rPr>
          <w:rFonts w:hint="eastAsia" w:ascii="宋体" w:hAnsi="宋体"/>
          <w:color w:val="auto"/>
          <w:sz w:val="28"/>
          <w:szCs w:val="28"/>
          <w:highlight w:val="none"/>
        </w:rPr>
        <w:t>对不同语言文本施工响应文件的解释发生异议的，以中文文本为准。</w:t>
      </w:r>
    </w:p>
    <w:p>
      <w:pPr>
        <w:numPr>
          <w:ilvl w:val="0"/>
          <w:numId w:val="50"/>
        </w:numPr>
        <w:tabs>
          <w:tab w:val="left" w:pos="1134"/>
        </w:tabs>
        <w:snapToGrid w:val="0"/>
        <w:spacing w:line="620" w:lineRule="exact"/>
        <w:ind w:left="0" w:firstLine="560" w:firstLineChars="200"/>
        <w:rPr>
          <w:rFonts w:ascii="宋体" w:hAnsi="宋体"/>
          <w:color w:val="auto"/>
          <w:sz w:val="28"/>
          <w:szCs w:val="28"/>
          <w:highlight w:val="none"/>
        </w:rPr>
      </w:pPr>
      <w:r>
        <w:rPr>
          <w:rFonts w:hint="eastAsia" w:ascii="宋体" w:hAnsi="宋体"/>
          <w:color w:val="auto"/>
          <w:sz w:val="28"/>
          <w:szCs w:val="28"/>
          <w:highlight w:val="none"/>
        </w:rPr>
        <w:t>价格扣除</w:t>
      </w:r>
    </w:p>
    <w:p>
      <w:pPr>
        <w:pStyle w:val="207"/>
        <w:numPr>
          <w:ilvl w:val="-1"/>
          <w:numId w:val="0"/>
        </w:numPr>
        <w:tabs>
          <w:tab w:val="left" w:pos="1276"/>
        </w:tabs>
        <w:snapToGrid w:val="0"/>
        <w:spacing w:line="620" w:lineRule="exact"/>
        <w:ind w:left="567" w:firstLine="0"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本项目专门面向中小</w:t>
      </w:r>
      <w:r>
        <w:rPr>
          <w:rFonts w:ascii="宋体" w:hAnsi="宋体" w:eastAsia="宋体"/>
          <w:color w:val="auto"/>
          <w:sz w:val="28"/>
          <w:szCs w:val="28"/>
          <w:highlight w:val="none"/>
        </w:rPr>
        <w:t>企业，不进行价格扣除</w:t>
      </w:r>
      <w:r>
        <w:rPr>
          <w:rFonts w:hint="eastAsia" w:ascii="宋体" w:hAnsi="宋体" w:eastAsia="宋体"/>
          <w:color w:val="auto"/>
          <w:sz w:val="28"/>
          <w:szCs w:val="28"/>
          <w:highlight w:val="none"/>
        </w:rPr>
        <w:t>。</w:t>
      </w:r>
    </w:p>
    <w:p>
      <w:pPr>
        <w:numPr>
          <w:ilvl w:val="0"/>
          <w:numId w:val="50"/>
        </w:numPr>
        <w:tabs>
          <w:tab w:val="left" w:pos="-2127"/>
          <w:tab w:val="left" w:pos="1134"/>
        </w:tabs>
        <w:snapToGrid w:val="0"/>
        <w:spacing w:line="620" w:lineRule="exact"/>
        <w:ind w:left="0" w:firstLine="560" w:firstLineChars="200"/>
        <w:rPr>
          <w:rFonts w:ascii="宋体" w:hAnsi="宋体"/>
          <w:color w:val="auto"/>
          <w:sz w:val="28"/>
          <w:szCs w:val="28"/>
          <w:highlight w:val="none"/>
        </w:rPr>
      </w:pPr>
      <w:r>
        <w:rPr>
          <w:rFonts w:hint="eastAsia" w:ascii="宋体" w:hAnsi="宋体"/>
          <w:color w:val="auto"/>
          <w:sz w:val="28"/>
          <w:szCs w:val="28"/>
          <w:highlight w:val="none"/>
        </w:rPr>
        <w:t>有效最后报价的供应商不足三家的，采购失败。</w:t>
      </w:r>
    </w:p>
    <w:p>
      <w:pPr>
        <w:pStyle w:val="5"/>
        <w:numPr>
          <w:ilvl w:val="2"/>
          <w:numId w:val="1"/>
        </w:numPr>
        <w:tabs>
          <w:tab w:val="left" w:pos="993"/>
          <w:tab w:val="clear" w:pos="426"/>
          <w:tab w:val="clear" w:pos="567"/>
        </w:tabs>
        <w:rPr>
          <w:color w:val="auto"/>
          <w:highlight w:val="none"/>
        </w:rPr>
      </w:pPr>
      <w:bookmarkStart w:id="166" w:name="_Toc72938457"/>
      <w:bookmarkStart w:id="167" w:name="_Toc63437913"/>
      <w:bookmarkStart w:id="168" w:name="_Toc4156"/>
      <w:bookmarkStart w:id="169" w:name="_Toc63084327"/>
      <w:bookmarkStart w:id="170" w:name="_Toc10577"/>
      <w:r>
        <w:rPr>
          <w:rFonts w:hint="eastAsia"/>
          <w:color w:val="auto"/>
          <w:highlight w:val="none"/>
        </w:rPr>
        <w:t>解释、澄清、说明的有关问题</w:t>
      </w:r>
      <w:bookmarkEnd w:id="166"/>
      <w:bookmarkEnd w:id="167"/>
      <w:bookmarkEnd w:id="168"/>
      <w:bookmarkEnd w:id="169"/>
      <w:bookmarkEnd w:id="170"/>
    </w:p>
    <w:p>
      <w:pPr>
        <w:widowControl w:val="0"/>
        <w:numPr>
          <w:ilvl w:val="0"/>
          <w:numId w:val="53"/>
        </w:numPr>
        <w:tabs>
          <w:tab w:val="left" w:pos="1134"/>
        </w:tabs>
        <w:spacing w:after="200"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评审过程中，磋商小组认为磋商文件有关事项表述不明确或需要说明的，可以提请</w:t>
      </w:r>
      <w:r>
        <w:rPr>
          <w:rFonts w:hint="eastAsia" w:ascii="宋体" w:hAnsi="宋体" w:cs="宋体"/>
          <w:color w:val="auto"/>
          <w:sz w:val="28"/>
          <w:szCs w:val="28"/>
          <w:highlight w:val="none"/>
        </w:rPr>
        <w:t>高新区采购中心</w:t>
      </w:r>
      <w:r>
        <w:rPr>
          <w:rFonts w:hint="eastAsia" w:ascii="宋体" w:hAnsi="宋体"/>
          <w:color w:val="auto"/>
          <w:sz w:val="28"/>
          <w:szCs w:val="28"/>
          <w:highlight w:val="none"/>
        </w:rPr>
        <w:t>书面解释。</w:t>
      </w:r>
      <w:r>
        <w:rPr>
          <w:rFonts w:hint="eastAsia" w:ascii="宋体" w:hAnsi="宋体" w:cs="宋体"/>
          <w:color w:val="auto"/>
          <w:sz w:val="28"/>
          <w:szCs w:val="28"/>
          <w:highlight w:val="none"/>
        </w:rPr>
        <w:t>高新区采购中心</w:t>
      </w:r>
      <w:r>
        <w:rPr>
          <w:rFonts w:hint="eastAsia" w:ascii="宋体" w:hAnsi="宋体"/>
          <w:color w:val="auto"/>
          <w:sz w:val="28"/>
          <w:szCs w:val="28"/>
          <w:highlight w:val="none"/>
        </w:rPr>
        <w:t>的解释不得改变磋商文件的原义或者影响公平、公正，解释事项如果涉及供应商权益的以有利于供应商的原则进行解释。</w:t>
      </w:r>
    </w:p>
    <w:p>
      <w:pPr>
        <w:widowControl w:val="0"/>
        <w:numPr>
          <w:ilvl w:val="0"/>
          <w:numId w:val="53"/>
        </w:numPr>
        <w:tabs>
          <w:tab w:val="left" w:pos="1134"/>
        </w:tabs>
        <w:spacing w:after="200"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磋商小组在对施工响应文件的有效性、完整性和响应程度进行审查时，可以要求供应商对施工响应文件中含义不明确、同类问题表述不一致或者有明显文字和计算错误的内容等作出必要的澄清、说明或者更正。供应商的澄清、说明或者更正不得超出施工响应文件的范围或者改变施工响应文件的实质性内容。</w:t>
      </w:r>
    </w:p>
    <w:p>
      <w:pPr>
        <w:tabs>
          <w:tab w:val="left" w:pos="851"/>
        </w:tabs>
        <w:spacing w:line="360" w:lineRule="auto"/>
        <w:ind w:firstLine="568" w:firstLineChars="202"/>
        <w:rPr>
          <w:rFonts w:ascii="宋体" w:hAnsi="宋体"/>
          <w:b/>
          <w:color w:val="auto"/>
          <w:sz w:val="28"/>
          <w:szCs w:val="28"/>
          <w:highlight w:val="none"/>
        </w:rPr>
      </w:pPr>
      <w:r>
        <w:rPr>
          <w:rFonts w:hint="eastAsia" w:ascii="宋体" w:hAnsi="宋体"/>
          <w:b/>
          <w:color w:val="auto"/>
          <w:sz w:val="28"/>
          <w:szCs w:val="28"/>
          <w:highlight w:val="none"/>
        </w:rPr>
        <w:t>三、评审结束之前，供应商应随时关注系统提示，及时通过“政府采购云平台”在线响应磋商小组发出的澄清、说明或补正要求，签章并确认提交成功。逾时回复将不能提交，视为供应商自行放弃，其损失由供应商承担。</w:t>
      </w:r>
    </w:p>
    <w:p>
      <w:pPr>
        <w:tabs>
          <w:tab w:val="left" w:pos="851"/>
        </w:tabs>
        <w:spacing w:line="360" w:lineRule="auto"/>
        <w:ind w:firstLine="568" w:firstLineChars="202"/>
        <w:rPr>
          <w:rFonts w:ascii="宋体" w:hAnsi="宋体"/>
          <w:b/>
          <w:color w:val="auto"/>
          <w:sz w:val="28"/>
          <w:szCs w:val="28"/>
          <w:highlight w:val="none"/>
        </w:rPr>
      </w:pPr>
      <w:r>
        <w:rPr>
          <w:rFonts w:hint="eastAsia" w:ascii="宋体" w:hAnsi="宋体"/>
          <w:b/>
          <w:color w:val="auto"/>
          <w:sz w:val="28"/>
          <w:szCs w:val="28"/>
          <w:highlight w:val="none"/>
        </w:rPr>
        <w:t>磋商小组应当积极履行澄清、说明或者更正的职责，不得滥用权力。</w:t>
      </w:r>
    </w:p>
    <w:p>
      <w:pPr>
        <w:pStyle w:val="5"/>
        <w:numPr>
          <w:ilvl w:val="2"/>
          <w:numId w:val="1"/>
        </w:numPr>
        <w:tabs>
          <w:tab w:val="left" w:pos="993"/>
          <w:tab w:val="clear" w:pos="426"/>
          <w:tab w:val="clear" w:pos="567"/>
        </w:tabs>
        <w:rPr>
          <w:color w:val="auto"/>
          <w:highlight w:val="none"/>
        </w:rPr>
      </w:pPr>
      <w:bookmarkStart w:id="171" w:name="_Toc25341"/>
      <w:bookmarkStart w:id="172" w:name="_Toc72938458"/>
      <w:bookmarkStart w:id="173" w:name="_Toc26499"/>
      <w:bookmarkStart w:id="174" w:name="_Toc63437914"/>
      <w:bookmarkStart w:id="175" w:name="_Toc63084328"/>
      <w:r>
        <w:rPr>
          <w:rFonts w:hint="eastAsia"/>
          <w:color w:val="auto"/>
          <w:highlight w:val="none"/>
        </w:rPr>
        <w:t>比较与评价</w:t>
      </w:r>
      <w:bookmarkEnd w:id="171"/>
      <w:bookmarkEnd w:id="172"/>
      <w:bookmarkEnd w:id="173"/>
      <w:bookmarkEnd w:id="174"/>
      <w:bookmarkEnd w:id="175"/>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由磋商小组采用综合评分法对提交最后报价的供应商的施工响应文件和最后报价进行综合评分，具体要求详见本章综合评分部分。</w:t>
      </w:r>
    </w:p>
    <w:p>
      <w:pPr>
        <w:pStyle w:val="5"/>
        <w:numPr>
          <w:ilvl w:val="2"/>
          <w:numId w:val="1"/>
        </w:numPr>
        <w:tabs>
          <w:tab w:val="left" w:pos="993"/>
          <w:tab w:val="clear" w:pos="426"/>
          <w:tab w:val="clear" w:pos="567"/>
        </w:tabs>
        <w:rPr>
          <w:color w:val="auto"/>
          <w:highlight w:val="none"/>
        </w:rPr>
      </w:pPr>
      <w:bookmarkStart w:id="176" w:name="_Toc72938459"/>
      <w:bookmarkStart w:id="177" w:name="_Toc63437915"/>
      <w:bookmarkStart w:id="178" w:name="_Toc12384"/>
      <w:bookmarkStart w:id="179" w:name="_Toc21913"/>
      <w:bookmarkStart w:id="180" w:name="_Toc63084329"/>
      <w:r>
        <w:rPr>
          <w:rFonts w:hint="eastAsia"/>
          <w:color w:val="auto"/>
          <w:highlight w:val="none"/>
        </w:rPr>
        <w:t>磋商小组复核</w:t>
      </w:r>
      <w:bookmarkEnd w:id="176"/>
      <w:bookmarkEnd w:id="177"/>
      <w:bookmarkEnd w:id="178"/>
      <w:bookmarkEnd w:id="179"/>
      <w:bookmarkEnd w:id="180"/>
    </w:p>
    <w:p>
      <w:pPr>
        <w:widowControl w:val="0"/>
        <w:numPr>
          <w:ilvl w:val="0"/>
          <w:numId w:val="54"/>
        </w:numPr>
        <w:tabs>
          <w:tab w:val="left" w:pos="1134"/>
        </w:tabs>
        <w:spacing w:after="200"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评审结束后，磋商小组应当进行复核，特别要对拟推荐为成交候选供应商的、报价最低的、施工响应文件被认定为无效的进行重点复核。</w:t>
      </w:r>
    </w:p>
    <w:p>
      <w:pPr>
        <w:widowControl w:val="0"/>
        <w:numPr>
          <w:ilvl w:val="0"/>
          <w:numId w:val="54"/>
        </w:numPr>
        <w:tabs>
          <w:tab w:val="left" w:pos="1134"/>
        </w:tabs>
        <w:spacing w:after="200"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评审结果汇总完成后，磋商小组拟出具评审报告前，</w:t>
      </w:r>
      <w:r>
        <w:rPr>
          <w:rFonts w:hint="eastAsia" w:ascii="宋体" w:hAnsi="宋体" w:cs="宋体"/>
          <w:color w:val="auto"/>
          <w:sz w:val="28"/>
          <w:szCs w:val="28"/>
          <w:highlight w:val="none"/>
        </w:rPr>
        <w:t>高新区采购中心</w:t>
      </w:r>
      <w:r>
        <w:rPr>
          <w:rFonts w:hint="eastAsia" w:ascii="宋体" w:hAnsi="宋体"/>
          <w:color w:val="auto"/>
          <w:sz w:val="28"/>
          <w:szCs w:val="28"/>
          <w:highlight w:val="none"/>
        </w:rPr>
        <w:t>应当组织2名以上的工作人员，在采购现场监督人员的监督之下，依据有关的法律制度和采购文件对评审结果进行复核，出具复核报告。</w:t>
      </w:r>
    </w:p>
    <w:p>
      <w:pPr>
        <w:widowControl w:val="0"/>
        <w:numPr>
          <w:ilvl w:val="0"/>
          <w:numId w:val="54"/>
        </w:numPr>
        <w:tabs>
          <w:tab w:val="left" w:pos="1134"/>
        </w:tabs>
        <w:spacing w:after="200" w:line="360" w:lineRule="auto"/>
        <w:ind w:left="0" w:firstLine="567"/>
        <w:jc w:val="both"/>
        <w:rPr>
          <w:rFonts w:ascii="宋体" w:hAnsi="宋体"/>
          <w:color w:val="auto"/>
          <w:sz w:val="28"/>
          <w:szCs w:val="28"/>
          <w:highlight w:val="none"/>
        </w:rPr>
      </w:pPr>
      <w:r>
        <w:rPr>
          <w:rFonts w:hint="eastAsia" w:ascii="宋体" w:hAnsi="宋体"/>
          <w:color w:val="auto"/>
          <w:sz w:val="28"/>
          <w:szCs w:val="28"/>
          <w:highlight w:val="none"/>
        </w:rPr>
        <w:t>评审结果汇总完成后，除下列情形外，任何人不得修改评审结果：</w:t>
      </w:r>
    </w:p>
    <w:p>
      <w:pPr>
        <w:pStyle w:val="80"/>
        <w:numPr>
          <w:ilvl w:val="0"/>
          <w:numId w:val="55"/>
        </w:numPr>
        <w:tabs>
          <w:tab w:val="left" w:pos="1418"/>
        </w:tabs>
        <w:spacing w:after="200" w:line="360" w:lineRule="auto"/>
        <w:ind w:left="0" w:firstLine="480"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资格性认定错误；</w:t>
      </w:r>
    </w:p>
    <w:p>
      <w:pPr>
        <w:pStyle w:val="80"/>
        <w:numPr>
          <w:ilvl w:val="0"/>
          <w:numId w:val="55"/>
        </w:numPr>
        <w:tabs>
          <w:tab w:val="left" w:pos="1418"/>
        </w:tabs>
        <w:spacing w:after="200" w:line="360" w:lineRule="auto"/>
        <w:ind w:left="0" w:firstLine="480"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分值汇总计算错误的；</w:t>
      </w:r>
    </w:p>
    <w:p>
      <w:pPr>
        <w:pStyle w:val="80"/>
        <w:numPr>
          <w:ilvl w:val="0"/>
          <w:numId w:val="55"/>
        </w:numPr>
        <w:tabs>
          <w:tab w:val="left" w:pos="1418"/>
        </w:tabs>
        <w:spacing w:after="200" w:line="360" w:lineRule="auto"/>
        <w:ind w:left="0" w:firstLine="480"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分项评分超出评分标准范围的；</w:t>
      </w:r>
    </w:p>
    <w:p>
      <w:pPr>
        <w:pStyle w:val="80"/>
        <w:numPr>
          <w:ilvl w:val="0"/>
          <w:numId w:val="55"/>
        </w:numPr>
        <w:tabs>
          <w:tab w:val="left" w:pos="1418"/>
        </w:tabs>
        <w:spacing w:after="200" w:line="360" w:lineRule="auto"/>
        <w:ind w:left="0" w:firstLine="480"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磋商小组成员对客观评审因素评分不一致的；</w:t>
      </w:r>
    </w:p>
    <w:p>
      <w:pPr>
        <w:pStyle w:val="80"/>
        <w:numPr>
          <w:ilvl w:val="0"/>
          <w:numId w:val="55"/>
        </w:numPr>
        <w:tabs>
          <w:tab w:val="left" w:pos="1418"/>
        </w:tabs>
        <w:spacing w:after="200" w:line="360" w:lineRule="auto"/>
        <w:ind w:left="0" w:firstLine="480" w:firstLineChars="0"/>
        <w:rPr>
          <w:rFonts w:ascii="宋体" w:hAnsi="宋体" w:eastAsia="宋体"/>
          <w:color w:val="auto"/>
          <w:sz w:val="28"/>
          <w:szCs w:val="28"/>
          <w:highlight w:val="none"/>
        </w:rPr>
      </w:pPr>
      <w:r>
        <w:rPr>
          <w:rFonts w:hint="eastAsia" w:ascii="宋体" w:hAnsi="宋体" w:eastAsia="宋体"/>
          <w:color w:val="auto"/>
          <w:sz w:val="28"/>
          <w:szCs w:val="28"/>
          <w:highlight w:val="none"/>
        </w:rPr>
        <w:t>经磋商小组认定评分畸高、畸低的。</w:t>
      </w:r>
    </w:p>
    <w:p>
      <w:pPr>
        <w:tabs>
          <w:tab w:val="left" w:pos="851"/>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评审报告签署前，经复核发现存在以上情形之一的，磋商小组应当当场修改评审结果，并在评审报告中记载；评审报告签署后，采购人或者集中机构发现存在以上情形之一的，应当组织磋商小组会进行重新评审，重新评审改变评审结果的，书面报告本级财政部门。</w:t>
      </w:r>
    </w:p>
    <w:p>
      <w:pPr>
        <w:spacing w:line="360" w:lineRule="auto"/>
        <w:ind w:firstLine="565" w:firstLineChars="202"/>
        <w:rPr>
          <w:color w:val="auto"/>
          <w:highlight w:val="none"/>
        </w:rPr>
      </w:pPr>
      <w:r>
        <w:rPr>
          <w:rFonts w:hint="eastAsia" w:ascii="宋体" w:hAnsi="宋体"/>
          <w:color w:val="auto"/>
          <w:sz w:val="28"/>
          <w:szCs w:val="28"/>
          <w:highlight w:val="none"/>
        </w:rPr>
        <w:t>采购人、采购代理机构发现磋商小组未按照磋商文件规定的评审标准进行评审的，应当重新开展采购活动，并同时书面报告本级财政部门。</w:t>
      </w:r>
    </w:p>
    <w:p>
      <w:pPr>
        <w:pStyle w:val="5"/>
        <w:numPr>
          <w:ilvl w:val="2"/>
          <w:numId w:val="1"/>
        </w:numPr>
        <w:tabs>
          <w:tab w:val="left" w:pos="993"/>
          <w:tab w:val="clear" w:pos="426"/>
          <w:tab w:val="clear" w:pos="567"/>
        </w:tabs>
        <w:rPr>
          <w:color w:val="auto"/>
          <w:highlight w:val="none"/>
        </w:rPr>
      </w:pPr>
      <w:bookmarkStart w:id="181" w:name="_Toc72938460"/>
      <w:bookmarkStart w:id="182" w:name="_Toc63084330"/>
      <w:bookmarkStart w:id="183" w:name="_Toc63437916"/>
      <w:bookmarkStart w:id="184" w:name="_Toc26288"/>
      <w:bookmarkStart w:id="185" w:name="_Toc17094"/>
      <w:r>
        <w:rPr>
          <w:rFonts w:hint="eastAsia"/>
          <w:color w:val="auto"/>
          <w:highlight w:val="none"/>
        </w:rPr>
        <w:t>推荐成交候选供应商</w:t>
      </w:r>
      <w:bookmarkEnd w:id="181"/>
      <w:bookmarkEnd w:id="182"/>
      <w:bookmarkEnd w:id="183"/>
      <w:bookmarkEnd w:id="184"/>
      <w:bookmarkEnd w:id="185"/>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磋商小组应当根据综合评分情况，按照评审得分由高到低顺序推荐</w:t>
      </w:r>
      <w:r>
        <w:rPr>
          <w:rFonts w:ascii="宋体" w:hAnsi="宋体"/>
          <w:color w:val="auto"/>
          <w:sz w:val="28"/>
          <w:szCs w:val="28"/>
          <w:highlight w:val="none"/>
        </w:rPr>
        <w:t>3</w:t>
      </w:r>
      <w:r>
        <w:rPr>
          <w:rFonts w:hint="eastAsia" w:ascii="宋体" w:hAnsi="宋体"/>
          <w:color w:val="auto"/>
          <w:sz w:val="28"/>
          <w:szCs w:val="28"/>
          <w:highlight w:val="none"/>
        </w:rPr>
        <w:t>家以上成交候选供应商，并编写磋商报告。评审得分相同的，按照最后报价由低到高的顺序推荐。评审得分且最后报价相同的，按照技术指标优劣（得分高低）顺序推荐。评审得分且最后报价且技术指标得分均相同的，成交候选供应商并列，由采购人随机抽签确定成交供应商。</w:t>
      </w:r>
    </w:p>
    <w:p>
      <w:pPr>
        <w:pStyle w:val="5"/>
        <w:numPr>
          <w:ilvl w:val="2"/>
          <w:numId w:val="1"/>
        </w:numPr>
        <w:tabs>
          <w:tab w:val="left" w:pos="993"/>
          <w:tab w:val="clear" w:pos="426"/>
          <w:tab w:val="clear" w:pos="567"/>
        </w:tabs>
        <w:rPr>
          <w:color w:val="auto"/>
          <w:highlight w:val="none"/>
        </w:rPr>
      </w:pPr>
      <w:bookmarkStart w:id="186" w:name="_Toc63437917"/>
      <w:bookmarkStart w:id="187" w:name="_Toc72938461"/>
      <w:bookmarkStart w:id="188" w:name="_Toc23394"/>
      <w:bookmarkStart w:id="189" w:name="_Toc63084331"/>
      <w:bookmarkStart w:id="190" w:name="_Toc32581"/>
      <w:r>
        <w:rPr>
          <w:rFonts w:hint="eastAsia"/>
          <w:color w:val="auto"/>
          <w:highlight w:val="none"/>
        </w:rPr>
        <w:t>编写磋商报告</w:t>
      </w:r>
      <w:bookmarkEnd w:id="186"/>
      <w:bookmarkEnd w:id="187"/>
      <w:bookmarkEnd w:id="188"/>
      <w:bookmarkEnd w:id="189"/>
      <w:bookmarkEnd w:id="190"/>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磋商小组推荐成交候选供应商后，应向采购代理机构出具磋商报告。磋商报告应当包括以下主要内容：</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（1）邀请供应商参加采购活动的具体方式和相关情况；</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（2）施工响应文件开启日期和地点；</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（3）获取磋商文件的供应商名单和磋商小组成员名单；</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（4）评审情况记录和说明，包括对供应商的资格审查情况、供应商施工响应文件审查情况、磋商情况、报价情况等；</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（5）提出的成交候选供应商的排序名单及理由。</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磋商报告应当由磋商小组全体人员签字认可。磋商小组成员对磋商报告有异议的，磋商小组按照少数服从多数的原则推荐成交候选供应商，采购程序继续进行。对磋商报告有异议的磋商小组成员，应当在报告上签署不同意见并说明理由，由磋商小组书面记录相关情况。磋商小组成员拒绝在报告上签字又不书面说明其不同意见和理由的，视为同意磋商报告。</w:t>
      </w:r>
    </w:p>
    <w:p>
      <w:pPr>
        <w:pStyle w:val="5"/>
        <w:numPr>
          <w:ilvl w:val="2"/>
          <w:numId w:val="1"/>
        </w:numPr>
        <w:tabs>
          <w:tab w:val="left" w:pos="993"/>
          <w:tab w:val="clear" w:pos="426"/>
          <w:tab w:val="clear" w:pos="567"/>
        </w:tabs>
        <w:rPr>
          <w:color w:val="auto"/>
          <w:highlight w:val="none"/>
        </w:rPr>
      </w:pPr>
      <w:bookmarkStart w:id="191" w:name="_Toc63437918"/>
      <w:bookmarkStart w:id="192" w:name="_Toc63084332"/>
      <w:bookmarkStart w:id="193" w:name="_Toc32296"/>
      <w:bookmarkStart w:id="194" w:name="_Toc72938462"/>
      <w:bookmarkStart w:id="195" w:name="_Toc54948232"/>
      <w:bookmarkStart w:id="196" w:name="_Toc7635"/>
      <w:r>
        <w:rPr>
          <w:rFonts w:hint="eastAsia"/>
          <w:color w:val="auto"/>
          <w:highlight w:val="none"/>
        </w:rPr>
        <w:t>争议处理规则</w:t>
      </w:r>
      <w:bookmarkEnd w:id="191"/>
      <w:bookmarkEnd w:id="192"/>
      <w:bookmarkEnd w:id="193"/>
      <w:bookmarkEnd w:id="194"/>
      <w:bookmarkEnd w:id="195"/>
      <w:bookmarkEnd w:id="196"/>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磋商小组在评审过程中，对于资格性审查、符合性审查、对供应商文件做无效施工响应文件处理及其他需要共同认定的事项存在争议的，应当以少数服从多数的原则做出结论，但不得违背法律法规和磋商文件规定。</w:t>
      </w:r>
      <w:r>
        <w:rPr>
          <w:rFonts w:hint="eastAsia" w:cs="Arial"/>
          <w:color w:val="auto"/>
          <w:sz w:val="28"/>
          <w:szCs w:val="28"/>
          <w:highlight w:val="none"/>
        </w:rPr>
        <w:t>持不同意见的磋商小组成员应当在评审报告上签署不同意见及理由，否则视为同意评审报告。</w:t>
      </w:r>
      <w:r>
        <w:rPr>
          <w:rFonts w:hint="eastAsia" w:ascii="宋体" w:hAnsi="宋体"/>
          <w:color w:val="auto"/>
          <w:sz w:val="28"/>
          <w:szCs w:val="28"/>
          <w:highlight w:val="none"/>
        </w:rPr>
        <w:t>持不同意见的磋商小组成员认为认定过程和结果不符合法律法规或者磋商文件规定的，应当及时向</w:t>
      </w:r>
      <w:r>
        <w:rPr>
          <w:rFonts w:hint="eastAsia" w:ascii="宋体" w:hAnsi="宋体"/>
          <w:bCs/>
          <w:color w:val="auto"/>
          <w:sz w:val="28"/>
          <w:szCs w:val="28"/>
          <w:highlight w:val="none"/>
        </w:rPr>
        <w:t>高新区采购中心</w:t>
      </w:r>
      <w:r>
        <w:rPr>
          <w:rFonts w:hint="eastAsia" w:ascii="宋体" w:hAnsi="宋体"/>
          <w:color w:val="auto"/>
          <w:sz w:val="28"/>
          <w:szCs w:val="28"/>
          <w:highlight w:val="none"/>
        </w:rPr>
        <w:t>书面反映。</w:t>
      </w:r>
      <w:r>
        <w:rPr>
          <w:rFonts w:hint="eastAsia" w:ascii="宋体" w:hAnsi="宋体"/>
          <w:bCs/>
          <w:color w:val="auto"/>
          <w:sz w:val="28"/>
          <w:szCs w:val="28"/>
          <w:highlight w:val="none"/>
        </w:rPr>
        <w:t>高新区采购中心</w:t>
      </w:r>
      <w:r>
        <w:rPr>
          <w:rFonts w:hint="eastAsia" w:ascii="宋体" w:hAnsi="宋体"/>
          <w:color w:val="auto"/>
          <w:sz w:val="28"/>
          <w:szCs w:val="28"/>
          <w:highlight w:val="none"/>
        </w:rPr>
        <w:t>收到书面反映后，应当书面报告采购项目同级财政部门依法处理。</w:t>
      </w:r>
    </w:p>
    <w:p>
      <w:pPr>
        <w:pStyle w:val="5"/>
        <w:numPr>
          <w:ilvl w:val="2"/>
          <w:numId w:val="1"/>
        </w:numPr>
        <w:tabs>
          <w:tab w:val="left" w:pos="993"/>
          <w:tab w:val="clear" w:pos="426"/>
          <w:tab w:val="clear" w:pos="567"/>
        </w:tabs>
        <w:rPr>
          <w:color w:val="auto"/>
          <w:highlight w:val="none"/>
        </w:rPr>
      </w:pPr>
      <w:bookmarkStart w:id="197" w:name="_Toc72938463"/>
      <w:bookmarkStart w:id="198" w:name="_Toc63437919"/>
      <w:bookmarkStart w:id="199" w:name="_Toc27553"/>
      <w:bookmarkStart w:id="200" w:name="_Toc63084333"/>
      <w:bookmarkStart w:id="201" w:name="_Toc30220"/>
      <w:r>
        <w:rPr>
          <w:rFonts w:hint="eastAsia"/>
          <w:color w:val="auto"/>
          <w:highlight w:val="none"/>
        </w:rPr>
        <w:t>供应商澄清、说明</w:t>
      </w:r>
      <w:bookmarkEnd w:id="197"/>
      <w:bookmarkEnd w:id="198"/>
      <w:bookmarkEnd w:id="199"/>
      <w:bookmarkEnd w:id="200"/>
      <w:bookmarkEnd w:id="201"/>
    </w:p>
    <w:p>
      <w:pPr>
        <w:widowControl w:val="0"/>
        <w:numPr>
          <w:ilvl w:val="0"/>
          <w:numId w:val="56"/>
        </w:numPr>
        <w:tabs>
          <w:tab w:val="left" w:pos="1134"/>
        </w:tabs>
        <w:spacing w:after="200"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磋商小组在对施工响应文件的有效性、完整性和响应程度进行审查时，可以要求供应商对施工响应文件中含义不明确、同类问题表述不一致或者有明显文字和计算错误的内容等作出必要的澄清、说明或者更正。供应商的澄清、说明或者更正不得超出施工响应文件的范围或者改变施工响应文件的实质性内容。</w:t>
      </w:r>
    </w:p>
    <w:p>
      <w:pPr>
        <w:widowControl w:val="0"/>
        <w:numPr>
          <w:ilvl w:val="0"/>
          <w:numId w:val="56"/>
        </w:numPr>
        <w:tabs>
          <w:tab w:val="left" w:pos="1134"/>
        </w:tabs>
        <w:spacing w:after="200" w:line="360" w:lineRule="auto"/>
        <w:ind w:left="0" w:firstLine="565" w:firstLineChars="202"/>
        <w:jc w:val="both"/>
        <w:rPr>
          <w:rFonts w:ascii="宋体" w:hAnsi="宋体"/>
          <w:color w:val="auto"/>
          <w:sz w:val="28"/>
          <w:szCs w:val="28"/>
          <w:highlight w:val="none"/>
        </w:rPr>
      </w:pPr>
      <w:r>
        <w:rPr>
          <w:rFonts w:hint="eastAsia" w:ascii="宋体" w:hAnsi="宋体"/>
          <w:color w:val="auto"/>
          <w:sz w:val="28"/>
          <w:szCs w:val="28"/>
          <w:highlight w:val="none"/>
        </w:rPr>
        <w:t>磋商小组要求供应商澄清、说明或者更正施工响应文件应当以书面形式作出。供应商的澄清、说明或者更正应加盖供应商（法定名称）电子签章。</w:t>
      </w:r>
    </w:p>
    <w:p>
      <w:pPr>
        <w:pStyle w:val="5"/>
        <w:tabs>
          <w:tab w:val="left" w:pos="993"/>
          <w:tab w:val="clear" w:pos="426"/>
          <w:tab w:val="clear" w:pos="567"/>
        </w:tabs>
        <w:ind w:left="0" w:firstLine="0"/>
        <w:rPr>
          <w:color w:val="auto"/>
          <w:highlight w:val="none"/>
        </w:rPr>
      </w:pPr>
      <w:bookmarkStart w:id="202" w:name="_Toc72938464"/>
      <w:bookmarkStart w:id="203" w:name="_Toc54948233"/>
      <w:bookmarkStart w:id="204" w:name="_Toc63437920"/>
      <w:r>
        <w:rPr>
          <w:rFonts w:hint="eastAsia"/>
          <w:color w:val="auto"/>
          <w:highlight w:val="none"/>
        </w:rPr>
        <w:t xml:space="preserve"> </w:t>
      </w:r>
      <w:bookmarkStart w:id="205" w:name="_Toc21770"/>
      <w:bookmarkStart w:id="206" w:name="_Toc1383"/>
      <w:r>
        <w:rPr>
          <w:rFonts w:hint="eastAsia"/>
          <w:color w:val="auto"/>
          <w:highlight w:val="none"/>
        </w:rPr>
        <w:t>评审办法和标准</w:t>
      </w:r>
      <w:bookmarkEnd w:id="202"/>
      <w:bookmarkEnd w:id="203"/>
      <w:bookmarkEnd w:id="204"/>
      <w:bookmarkEnd w:id="205"/>
      <w:bookmarkEnd w:id="206"/>
    </w:p>
    <w:p>
      <w:pPr>
        <w:pStyle w:val="25"/>
        <w:snapToGrid w:val="0"/>
        <w:spacing w:line="360" w:lineRule="auto"/>
        <w:ind w:firstLine="565" w:firstLineChars="202"/>
        <w:rPr>
          <w:rFonts w:hAnsi="宋体" w:eastAsia="宋体"/>
          <w:color w:val="auto"/>
          <w:sz w:val="28"/>
          <w:szCs w:val="28"/>
          <w:highlight w:val="none"/>
        </w:rPr>
      </w:pPr>
      <w:r>
        <w:rPr>
          <w:rFonts w:hint="eastAsia" w:hAnsi="宋体" w:eastAsia="宋体"/>
          <w:color w:val="auto"/>
          <w:sz w:val="28"/>
          <w:szCs w:val="28"/>
          <w:highlight w:val="none"/>
        </w:rPr>
        <w:t>一、由磋商小组根据磋商文件的要求采用相同的评审程序、评分办法及标准对提交最后报价的供应商的施工响应文件和最后报价进行综合评分；</w:t>
      </w:r>
    </w:p>
    <w:p>
      <w:pPr>
        <w:tabs>
          <w:tab w:val="left" w:pos="1155"/>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二、本次综合评分的因素是：价格、技术、服务等；</w:t>
      </w:r>
    </w:p>
    <w:p>
      <w:pPr>
        <w:tabs>
          <w:tab w:val="left" w:pos="1155"/>
        </w:tabs>
        <w:spacing w:line="360" w:lineRule="auto"/>
        <w:ind w:firstLine="560" w:firstLineChars="200"/>
        <w:rPr>
          <w:color w:val="auto"/>
          <w:highlight w:val="none"/>
        </w:rPr>
      </w:pPr>
      <w:r>
        <w:rPr>
          <w:rFonts w:hint="eastAsia" w:ascii="宋体" w:hAnsi="宋体"/>
          <w:color w:val="auto"/>
          <w:sz w:val="28"/>
          <w:szCs w:val="28"/>
          <w:highlight w:val="none"/>
        </w:rPr>
        <w:t>三、评审时，磋商小组各成员应当独立对每个有效响应的文件进行评价、打分，各位评委得分的算术平均数为供应商的最终得分，然后汇总每个供应商每项评分因素的得分。</w:t>
      </w:r>
    </w:p>
    <w:p>
      <w:pPr>
        <w:pStyle w:val="6"/>
        <w:numPr>
          <w:ilvl w:val="2"/>
          <w:numId w:val="57"/>
        </w:numPr>
        <w:spacing w:after="200"/>
        <w:ind w:left="1135" w:hanging="1135"/>
        <w:rPr>
          <w:color w:val="auto"/>
          <w:highlight w:val="none"/>
        </w:rPr>
      </w:pPr>
      <w:r>
        <w:rPr>
          <w:rFonts w:hint="eastAsia"/>
          <w:color w:val="auto"/>
          <w:highlight w:val="none"/>
        </w:rPr>
        <w:t>评分办法</w:t>
      </w:r>
    </w:p>
    <w:p>
      <w:pPr>
        <w:pStyle w:val="25"/>
        <w:snapToGrid w:val="0"/>
        <w:spacing w:line="360" w:lineRule="auto"/>
        <w:ind w:firstLine="560" w:firstLineChars="200"/>
        <w:rPr>
          <w:rFonts w:hAnsi="宋体" w:eastAsia="宋体"/>
          <w:color w:val="auto"/>
          <w:sz w:val="28"/>
          <w:szCs w:val="28"/>
          <w:highlight w:val="none"/>
        </w:rPr>
      </w:pPr>
      <w:r>
        <w:rPr>
          <w:rFonts w:hint="eastAsia" w:hAnsi="宋体" w:eastAsia="宋体"/>
          <w:color w:val="auto"/>
          <w:sz w:val="28"/>
          <w:szCs w:val="28"/>
          <w:highlight w:val="none"/>
        </w:rPr>
        <w:t>本次评审采用综合评分法，由磋商小组采用综合评分法对提交最后报价的供应商的施工响应文件和最后报价进行综合评分。综合评分法，是指施工响应文件满足磋商文件全部实质性要求且按评审因素的量化指标评审得分最高的供应商为成交候选供应商的评审方法。</w:t>
      </w:r>
    </w:p>
    <w:p>
      <w:pPr>
        <w:spacing w:line="360" w:lineRule="auto"/>
        <w:ind w:firstLine="630" w:firstLineChars="225"/>
        <w:rPr>
          <w:rFonts w:ascii="宋体" w:hAnsi="宋体"/>
          <w:color w:val="auto"/>
          <w:sz w:val="28"/>
          <w:szCs w:val="28"/>
          <w:highlight w:val="none"/>
        </w:rPr>
      </w:pPr>
      <w:r>
        <w:rPr>
          <w:rFonts w:hint="eastAsia" w:ascii="宋体" w:hAnsi="宋体"/>
          <w:color w:val="auto"/>
          <w:sz w:val="28"/>
          <w:szCs w:val="28"/>
          <w:highlight w:val="none"/>
        </w:rPr>
        <w:t>评审得分＝（A</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＋A</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＋……＋A</w:t>
      </w:r>
      <w:r>
        <w:rPr>
          <w:rFonts w:hint="eastAsia" w:ascii="宋体" w:hAnsi="宋体"/>
          <w:color w:val="auto"/>
          <w:sz w:val="28"/>
          <w:szCs w:val="28"/>
          <w:highlight w:val="none"/>
          <w:vertAlign w:val="subscript"/>
        </w:rPr>
        <w:t>n</w:t>
      </w:r>
      <w:r>
        <w:rPr>
          <w:rFonts w:hint="eastAsia" w:ascii="宋体" w:hAnsi="宋体"/>
          <w:color w:val="auto"/>
          <w:sz w:val="28"/>
          <w:szCs w:val="28"/>
          <w:highlight w:val="none"/>
        </w:rPr>
        <w:t>）/n</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+（B</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＋B</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＋……＋B</w:t>
      </w:r>
      <w:r>
        <w:rPr>
          <w:rFonts w:hint="eastAsia" w:ascii="宋体" w:hAnsi="宋体"/>
          <w:color w:val="auto"/>
          <w:sz w:val="28"/>
          <w:szCs w:val="28"/>
          <w:highlight w:val="none"/>
          <w:vertAlign w:val="subscript"/>
        </w:rPr>
        <w:t>n</w:t>
      </w:r>
      <w:r>
        <w:rPr>
          <w:rFonts w:hint="eastAsia" w:ascii="宋体" w:hAnsi="宋体"/>
          <w:color w:val="auto"/>
          <w:sz w:val="28"/>
          <w:szCs w:val="28"/>
          <w:highlight w:val="none"/>
        </w:rPr>
        <w:t>）/ n</w:t>
      </w:r>
      <w:r>
        <w:rPr>
          <w:rFonts w:hint="eastAsia" w:ascii="宋体" w:hAnsi="宋体"/>
          <w:color w:val="auto"/>
          <w:sz w:val="28"/>
          <w:szCs w:val="28"/>
          <w:highlight w:val="none"/>
          <w:vertAlign w:val="subscript"/>
        </w:rPr>
        <w:t>2</w:t>
      </w:r>
    </w:p>
    <w:p>
      <w:pPr>
        <w:spacing w:line="360" w:lineRule="auto"/>
        <w:ind w:firstLine="560" w:firstLineChars="200"/>
        <w:rPr>
          <w:rFonts w:ascii="宋体" w:hAnsi="宋体" w:cs="宋体"/>
          <w:color w:val="auto"/>
          <w:sz w:val="28"/>
          <w:szCs w:val="28"/>
          <w:highlight w:val="none"/>
        </w:rPr>
      </w:pPr>
      <w:r>
        <w:rPr>
          <w:rFonts w:hint="eastAsia" w:ascii="宋体" w:hAnsi="宋体"/>
          <w:color w:val="auto"/>
          <w:sz w:val="28"/>
          <w:szCs w:val="28"/>
          <w:highlight w:val="none"/>
        </w:rPr>
        <w:t>A</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、A</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……A</w:t>
      </w:r>
      <w:r>
        <w:rPr>
          <w:rFonts w:hint="eastAsia" w:ascii="宋体" w:hAnsi="宋体"/>
          <w:color w:val="auto"/>
          <w:sz w:val="28"/>
          <w:szCs w:val="28"/>
          <w:highlight w:val="none"/>
          <w:vertAlign w:val="subscript"/>
        </w:rPr>
        <w:t>n</w:t>
      </w:r>
      <w:r>
        <w:rPr>
          <w:rFonts w:hint="eastAsia" w:ascii="宋体" w:hAnsi="宋体"/>
          <w:color w:val="auto"/>
          <w:sz w:val="28"/>
          <w:szCs w:val="28"/>
          <w:highlight w:val="none"/>
        </w:rPr>
        <w:t>分别为磋商小组每个成员的打分，n</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为磋商小组人数；B</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、B</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＋……B</w:t>
      </w:r>
      <w:r>
        <w:rPr>
          <w:rFonts w:hint="eastAsia" w:ascii="宋体" w:hAnsi="宋体"/>
          <w:color w:val="auto"/>
          <w:sz w:val="28"/>
          <w:szCs w:val="28"/>
          <w:highlight w:val="none"/>
          <w:vertAlign w:val="subscript"/>
        </w:rPr>
        <w:t>n</w:t>
      </w:r>
      <w:r>
        <w:rPr>
          <w:rFonts w:hint="eastAsia" w:ascii="宋体" w:hAnsi="宋体"/>
          <w:color w:val="auto"/>
          <w:sz w:val="28"/>
          <w:szCs w:val="28"/>
          <w:highlight w:val="none"/>
        </w:rPr>
        <w:t xml:space="preserve"> 分别为每个技术类评委（含采购人代表）的打分，n</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为</w:t>
      </w:r>
      <w:r>
        <w:rPr>
          <w:rFonts w:hint="eastAsia" w:ascii="宋体" w:hAnsi="宋体" w:cs="宋体"/>
          <w:color w:val="auto"/>
          <w:sz w:val="28"/>
          <w:szCs w:val="28"/>
          <w:highlight w:val="none"/>
        </w:rPr>
        <w:t>技术类</w:t>
      </w:r>
      <w:r>
        <w:rPr>
          <w:rFonts w:hint="eastAsia" w:ascii="宋体" w:hAnsi="宋体"/>
          <w:color w:val="auto"/>
          <w:sz w:val="28"/>
          <w:szCs w:val="28"/>
          <w:highlight w:val="none"/>
        </w:rPr>
        <w:t>评委（含采购人代表）人数。</w:t>
      </w:r>
    </w:p>
    <w:p>
      <w:pPr>
        <w:pStyle w:val="6"/>
        <w:numPr>
          <w:ilvl w:val="2"/>
          <w:numId w:val="57"/>
        </w:numPr>
        <w:spacing w:after="200"/>
        <w:ind w:left="1135" w:hanging="1135"/>
        <w:rPr>
          <w:color w:val="auto"/>
          <w:highlight w:val="none"/>
        </w:rPr>
      </w:pPr>
      <w:r>
        <w:rPr>
          <w:rFonts w:hint="eastAsia"/>
          <w:color w:val="auto"/>
          <w:highlight w:val="none"/>
        </w:rPr>
        <w:t>评分标准</w:t>
      </w:r>
    </w:p>
    <w:tbl>
      <w:tblPr>
        <w:tblStyle w:val="45"/>
        <w:tblW w:w="8955" w:type="dxa"/>
        <w:jc w:val="center"/>
        <w:tblLayout w:type="autofit"/>
        <w:tblCellMar>
          <w:top w:w="0" w:type="dxa"/>
          <w:left w:w="108" w:type="dxa"/>
          <w:bottom w:w="0" w:type="dxa"/>
          <w:right w:w="108" w:type="dxa"/>
        </w:tblCellMar>
      </w:tblPr>
      <w:tblGrid>
        <w:gridCol w:w="1294"/>
        <w:gridCol w:w="6726"/>
        <w:gridCol w:w="935"/>
      </w:tblGrid>
      <w:tr>
        <w:tblPrEx>
          <w:tblCellMar>
            <w:top w:w="0" w:type="dxa"/>
            <w:left w:w="108" w:type="dxa"/>
            <w:bottom w:w="0" w:type="dxa"/>
            <w:right w:w="108" w:type="dxa"/>
          </w:tblCellMar>
        </w:tblPrEx>
        <w:trPr>
          <w:cantSplit/>
          <w:trHeight w:val="923" w:hRule="atLeast"/>
          <w:tblHeader/>
          <w:jc w:val="center"/>
        </w:trPr>
        <w:tc>
          <w:tcPr>
            <w:tcW w:w="1294"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b/>
                <w:bCs/>
                <w:color w:val="auto"/>
                <w:highlight w:val="none"/>
              </w:rPr>
            </w:pPr>
            <w:r>
              <w:rPr>
                <w:rFonts w:hint="eastAsia" w:ascii="宋体" w:hAnsi="宋体" w:cs="仿宋"/>
                <w:b/>
                <w:bCs/>
                <w:color w:val="auto"/>
                <w:highlight w:val="none"/>
              </w:rPr>
              <w:t>评分因素及分值</w:t>
            </w:r>
          </w:p>
        </w:tc>
        <w:tc>
          <w:tcPr>
            <w:tcW w:w="672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b/>
                <w:bCs/>
                <w:color w:val="auto"/>
                <w:highlight w:val="none"/>
              </w:rPr>
            </w:pPr>
            <w:r>
              <w:rPr>
                <w:rFonts w:hint="eastAsia" w:ascii="宋体" w:hAnsi="宋体" w:cs="仿宋"/>
                <w:b/>
                <w:bCs/>
                <w:color w:val="auto"/>
                <w:highlight w:val="none"/>
              </w:rPr>
              <w:t>评分标准</w:t>
            </w:r>
          </w:p>
        </w:tc>
        <w:tc>
          <w:tcPr>
            <w:tcW w:w="93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b/>
                <w:bCs/>
                <w:color w:val="auto"/>
                <w:highlight w:val="none"/>
              </w:rPr>
            </w:pPr>
            <w:r>
              <w:rPr>
                <w:rFonts w:hint="eastAsia" w:ascii="宋体" w:hAnsi="宋体" w:cs="仿宋"/>
                <w:b/>
                <w:bCs/>
                <w:color w:val="auto"/>
                <w:highlight w:val="none"/>
              </w:rPr>
              <w:t>说明</w:t>
            </w:r>
          </w:p>
        </w:tc>
      </w:tr>
      <w:tr>
        <w:tblPrEx>
          <w:tblCellMar>
            <w:top w:w="0" w:type="dxa"/>
            <w:left w:w="108" w:type="dxa"/>
            <w:bottom w:w="0" w:type="dxa"/>
            <w:right w:w="108" w:type="dxa"/>
          </w:tblCellMar>
        </w:tblPrEx>
        <w:trPr>
          <w:cantSplit/>
          <w:trHeight w:val="448" w:hRule="atLeast"/>
          <w:jc w:val="center"/>
        </w:trPr>
        <w:tc>
          <w:tcPr>
            <w:tcW w:w="1294" w:type="dxa"/>
            <w:tcBorders>
              <w:top w:val="nil"/>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报价</w:t>
            </w:r>
          </w:p>
          <w:p>
            <w:pPr>
              <w:spacing w:line="360" w:lineRule="auto"/>
              <w:rPr>
                <w:rFonts w:ascii="宋体" w:hAnsi="宋体"/>
                <w:color w:val="auto"/>
                <w:highlight w:val="none"/>
              </w:rPr>
            </w:pPr>
            <w:r>
              <w:rPr>
                <w:rFonts w:hint="eastAsia" w:ascii="宋体" w:hAnsi="宋体" w:cs="仿宋"/>
                <w:color w:val="auto"/>
                <w:highlight w:val="none"/>
              </w:rPr>
              <w:t>（54.5分）</w:t>
            </w:r>
          </w:p>
        </w:tc>
        <w:tc>
          <w:tcPr>
            <w:tcW w:w="6726" w:type="dxa"/>
            <w:tcBorders>
              <w:top w:val="single" w:color="auto" w:sz="4" w:space="0"/>
              <w:left w:val="nil"/>
              <w:bottom w:val="single" w:color="auto" w:sz="4" w:space="0"/>
              <w:right w:val="single" w:color="auto" w:sz="4" w:space="0"/>
            </w:tcBorders>
            <w:vAlign w:val="center"/>
          </w:tcPr>
          <w:p>
            <w:pPr>
              <w:spacing w:line="360" w:lineRule="auto"/>
              <w:rPr>
                <w:rFonts w:ascii="宋体" w:hAnsi="宋体"/>
                <w:color w:val="auto"/>
                <w:highlight w:val="none"/>
              </w:rPr>
            </w:pPr>
            <w:r>
              <w:rPr>
                <w:rFonts w:hint="eastAsia" w:ascii="宋体" w:hAnsi="宋体" w:cs="仿宋"/>
                <w:color w:val="auto"/>
                <w:highlight w:val="none"/>
              </w:rPr>
              <w:t>满足磋商文件要求且最后报价最低的供应商的价格为磋商基准价，其价格分为满分。其他供应商的价格分统一按照下列公式计算：</w:t>
            </w:r>
          </w:p>
          <w:p>
            <w:pPr>
              <w:spacing w:line="360" w:lineRule="auto"/>
              <w:rPr>
                <w:rFonts w:ascii="宋体" w:hAnsi="宋体"/>
                <w:color w:val="auto"/>
                <w:highlight w:val="none"/>
              </w:rPr>
            </w:pPr>
            <w:r>
              <w:rPr>
                <w:rFonts w:hint="eastAsia" w:ascii="宋体" w:hAnsi="宋体" w:cs="仿宋"/>
                <w:color w:val="auto"/>
                <w:highlight w:val="none"/>
              </w:rPr>
              <w:t>磋商报价得分=（磋商基准价/最后磋商报价）×54.5。</w:t>
            </w:r>
          </w:p>
        </w:tc>
        <w:tc>
          <w:tcPr>
            <w:tcW w:w="935" w:type="dxa"/>
            <w:tcBorders>
              <w:top w:val="single" w:color="auto" w:sz="4" w:space="0"/>
              <w:left w:val="nil"/>
              <w:bottom w:val="single" w:color="auto" w:sz="4" w:space="0"/>
              <w:right w:val="single" w:color="auto" w:sz="4" w:space="0"/>
            </w:tcBorders>
            <w:vAlign w:val="center"/>
          </w:tcPr>
          <w:p>
            <w:pPr>
              <w:spacing w:line="360" w:lineRule="auto"/>
              <w:rPr>
                <w:rFonts w:ascii="宋体" w:hAnsi="宋体"/>
                <w:color w:val="auto"/>
                <w:highlight w:val="none"/>
              </w:rPr>
            </w:pPr>
            <w:r>
              <w:rPr>
                <w:rFonts w:hint="eastAsia" w:ascii="宋体" w:hAnsi="宋体" w:cs="仿宋"/>
                <w:color w:val="auto"/>
                <w:highlight w:val="none"/>
              </w:rPr>
              <w:t>共同评分因素</w:t>
            </w:r>
          </w:p>
        </w:tc>
      </w:tr>
      <w:tr>
        <w:tblPrEx>
          <w:tblCellMar>
            <w:top w:w="0" w:type="dxa"/>
            <w:left w:w="108" w:type="dxa"/>
            <w:bottom w:w="0" w:type="dxa"/>
            <w:right w:w="108" w:type="dxa"/>
          </w:tblCellMar>
        </w:tblPrEx>
        <w:trPr>
          <w:cantSplit/>
          <w:trHeight w:val="1438" w:hRule="atLeast"/>
          <w:jc w:val="center"/>
        </w:trPr>
        <w:tc>
          <w:tcPr>
            <w:tcW w:w="1294" w:type="dxa"/>
            <w:tcBorders>
              <w:top w:val="nil"/>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施工组织设计</w:t>
            </w:r>
          </w:p>
          <w:p>
            <w:pPr>
              <w:spacing w:line="360" w:lineRule="auto"/>
              <w:rPr>
                <w:rFonts w:ascii="宋体" w:hAnsi="宋体"/>
                <w:color w:val="auto"/>
                <w:highlight w:val="none"/>
              </w:rPr>
            </w:pPr>
            <w:r>
              <w:rPr>
                <w:rFonts w:hint="eastAsia" w:ascii="宋体" w:hAnsi="宋体" w:cs="仿宋"/>
                <w:color w:val="auto"/>
                <w:highlight w:val="none"/>
              </w:rPr>
              <w:t>（28分）</w:t>
            </w:r>
          </w:p>
        </w:tc>
        <w:tc>
          <w:tcPr>
            <w:tcW w:w="6726" w:type="dxa"/>
            <w:tcBorders>
              <w:top w:val="single" w:color="auto" w:sz="4" w:space="0"/>
              <w:left w:val="nil"/>
              <w:bottom w:val="single" w:color="auto" w:sz="4" w:space="0"/>
              <w:right w:val="single" w:color="auto" w:sz="4" w:space="0"/>
            </w:tcBorders>
            <w:vAlign w:val="center"/>
          </w:tcPr>
          <w:p>
            <w:pPr>
              <w:spacing w:line="360" w:lineRule="auto"/>
              <w:rPr>
                <w:rFonts w:ascii="宋体" w:hAnsi="宋体"/>
                <w:color w:val="auto"/>
                <w:highlight w:val="none"/>
              </w:rPr>
            </w:pPr>
            <w:r>
              <w:rPr>
                <w:rFonts w:hint="eastAsia" w:ascii="宋体" w:hAnsi="宋体" w:cs="宋体"/>
                <w:color w:val="auto"/>
                <w:highlight w:val="none"/>
              </w:rPr>
              <w:t>供应商提供的施工组织设计方案包含进度计划、质量保证措施、安全保证措施、资源配置计划、环保文明措施、应急预案、施工工艺内容且响应磋商文件的得28分，每缺少一项内容或有一项内容错误(内容错误指：项</w:t>
            </w:r>
            <w:r>
              <w:rPr>
                <w:rFonts w:hint="eastAsia" w:ascii="宋体" w:hAnsi="宋体" w:cs="宋体"/>
                <w:color w:val="auto"/>
                <w:highlight w:val="none"/>
                <w:lang w:val="en-US" w:eastAsia="zh-CN"/>
              </w:rPr>
              <w:t>目</w:t>
            </w:r>
            <w:r>
              <w:rPr>
                <w:rFonts w:hint="eastAsia" w:ascii="宋体" w:hAnsi="宋体" w:cs="宋体"/>
                <w:color w:val="auto"/>
                <w:highlight w:val="none"/>
              </w:rPr>
              <w:t>名称、实施地点、涉及的规范、标准与本项目要求不一致；进度计划超期)的，每缺少一项内容扣4分，每有一处错误扣2分，扣完为止。</w:t>
            </w:r>
          </w:p>
        </w:tc>
        <w:tc>
          <w:tcPr>
            <w:tcW w:w="935" w:type="dxa"/>
            <w:tcBorders>
              <w:top w:val="single" w:color="auto" w:sz="4" w:space="0"/>
              <w:left w:val="nil"/>
              <w:bottom w:val="single" w:color="auto" w:sz="4" w:space="0"/>
              <w:right w:val="single" w:color="auto" w:sz="4" w:space="0"/>
            </w:tcBorders>
            <w:vAlign w:val="center"/>
          </w:tcPr>
          <w:p>
            <w:pPr>
              <w:spacing w:line="360" w:lineRule="auto"/>
              <w:rPr>
                <w:rFonts w:ascii="宋体" w:hAnsi="宋体"/>
                <w:color w:val="auto"/>
                <w:highlight w:val="none"/>
              </w:rPr>
            </w:pPr>
            <w:r>
              <w:rPr>
                <w:rFonts w:hint="eastAsia" w:ascii="宋体" w:hAnsi="宋体" w:cs="仿宋"/>
                <w:color w:val="auto"/>
                <w:highlight w:val="none"/>
              </w:rPr>
              <w:t>技术评分因素</w:t>
            </w:r>
          </w:p>
        </w:tc>
      </w:tr>
      <w:tr>
        <w:tblPrEx>
          <w:tblCellMar>
            <w:top w:w="0" w:type="dxa"/>
            <w:left w:w="108" w:type="dxa"/>
            <w:bottom w:w="0" w:type="dxa"/>
            <w:right w:w="108" w:type="dxa"/>
          </w:tblCellMar>
        </w:tblPrEx>
        <w:trPr>
          <w:cantSplit/>
          <w:trHeight w:val="278" w:hRule="atLeast"/>
          <w:jc w:val="center"/>
        </w:trPr>
        <w:tc>
          <w:tcPr>
            <w:tcW w:w="1294" w:type="dxa"/>
            <w:tcBorders>
              <w:top w:val="nil"/>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业绩</w:t>
            </w:r>
          </w:p>
          <w:p>
            <w:pPr>
              <w:spacing w:line="360" w:lineRule="auto"/>
              <w:jc w:val="center"/>
              <w:rPr>
                <w:rFonts w:ascii="宋体" w:hAnsi="宋体" w:cs="仿宋"/>
                <w:color w:val="auto"/>
                <w:highlight w:val="none"/>
              </w:rPr>
            </w:pPr>
            <w:r>
              <w:rPr>
                <w:rFonts w:hint="eastAsia" w:ascii="宋体" w:hAnsi="宋体" w:cs="仿宋"/>
                <w:color w:val="auto"/>
                <w:highlight w:val="none"/>
              </w:rPr>
              <w:t>(9分)</w:t>
            </w:r>
          </w:p>
        </w:tc>
        <w:tc>
          <w:tcPr>
            <w:tcW w:w="6726" w:type="dxa"/>
            <w:tcBorders>
              <w:top w:val="single" w:color="auto" w:sz="4" w:space="0"/>
              <w:left w:val="nil"/>
              <w:bottom w:val="single" w:color="auto" w:sz="4" w:space="0"/>
              <w:right w:val="single" w:color="auto" w:sz="4" w:space="0"/>
            </w:tcBorders>
          </w:tcPr>
          <w:p>
            <w:pPr>
              <w:spacing w:line="360" w:lineRule="auto"/>
              <w:rPr>
                <w:rFonts w:ascii="宋体" w:hAnsi="宋体"/>
                <w:color w:val="auto"/>
                <w:highlight w:val="none"/>
              </w:rPr>
            </w:pPr>
            <w:r>
              <w:rPr>
                <w:rFonts w:hint="eastAsia" w:ascii="宋体" w:hAnsi="宋体" w:cs="宋体"/>
                <w:color w:val="auto"/>
                <w:highlight w:val="none"/>
              </w:rPr>
              <w:t>供应商2018年1月1日(含1日)以来具有一个已完成类似项目业绩的得3分，在此基础上每增加1个加3分，最多得9分。(提供施工合同复印件和竣工验收报告复印件。)类似项目是指:公共建筑装饰装修项目。</w:t>
            </w:r>
          </w:p>
        </w:tc>
        <w:tc>
          <w:tcPr>
            <w:tcW w:w="935" w:type="dxa"/>
            <w:tcBorders>
              <w:top w:val="single" w:color="auto" w:sz="4" w:space="0"/>
              <w:left w:val="nil"/>
              <w:bottom w:val="single" w:color="auto" w:sz="4" w:space="0"/>
              <w:right w:val="single" w:color="auto" w:sz="4" w:space="0"/>
            </w:tcBorders>
            <w:vAlign w:val="center"/>
          </w:tcPr>
          <w:p>
            <w:pPr>
              <w:spacing w:line="360" w:lineRule="auto"/>
              <w:rPr>
                <w:rFonts w:ascii="宋体" w:hAnsi="宋体"/>
                <w:color w:val="auto"/>
                <w:highlight w:val="none"/>
              </w:rPr>
            </w:pPr>
            <w:r>
              <w:rPr>
                <w:rFonts w:hint="eastAsia" w:ascii="宋体" w:hAnsi="宋体" w:cs="仿宋"/>
                <w:color w:val="auto"/>
                <w:highlight w:val="none"/>
              </w:rPr>
              <w:t>共同评分因素</w:t>
            </w:r>
          </w:p>
        </w:tc>
      </w:tr>
      <w:tr>
        <w:tblPrEx>
          <w:tblCellMar>
            <w:top w:w="0" w:type="dxa"/>
            <w:left w:w="108" w:type="dxa"/>
            <w:bottom w:w="0" w:type="dxa"/>
            <w:right w:w="108" w:type="dxa"/>
          </w:tblCellMar>
        </w:tblPrEx>
        <w:trPr>
          <w:cantSplit/>
          <w:trHeight w:val="1080" w:hRule="atLeast"/>
          <w:jc w:val="center"/>
        </w:trPr>
        <w:tc>
          <w:tcPr>
            <w:tcW w:w="1294"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优先采购节能、环境标志、无线局域网产品</w:t>
            </w:r>
          </w:p>
          <w:p>
            <w:pPr>
              <w:spacing w:line="360" w:lineRule="auto"/>
              <w:jc w:val="center"/>
              <w:rPr>
                <w:rFonts w:ascii="宋体" w:hAnsi="宋体"/>
                <w:color w:val="auto"/>
                <w:highlight w:val="none"/>
              </w:rPr>
            </w:pPr>
            <w:r>
              <w:rPr>
                <w:rFonts w:hint="eastAsia" w:ascii="宋体" w:hAnsi="宋体" w:cs="仿宋"/>
                <w:color w:val="auto"/>
                <w:highlight w:val="none"/>
              </w:rPr>
              <w:t>（</w:t>
            </w:r>
            <w:r>
              <w:rPr>
                <w:rFonts w:hint="eastAsia" w:ascii="宋体" w:hAnsi="宋体" w:cs="仿宋"/>
                <w:color w:val="auto"/>
                <w:highlight w:val="none"/>
                <w:lang w:val="en-US" w:eastAsia="zh-CN"/>
              </w:rPr>
              <w:t>7</w:t>
            </w:r>
            <w:r>
              <w:rPr>
                <w:rFonts w:hint="eastAsia" w:ascii="宋体" w:hAnsi="宋体" w:cs="仿宋"/>
                <w:color w:val="auto"/>
                <w:highlight w:val="none"/>
              </w:rPr>
              <w:t>分）</w:t>
            </w:r>
          </w:p>
        </w:tc>
        <w:tc>
          <w:tcPr>
            <w:tcW w:w="6726" w:type="dxa"/>
            <w:tcBorders>
              <w:top w:val="single" w:color="auto" w:sz="4" w:space="0"/>
              <w:left w:val="nil"/>
              <w:bottom w:val="single" w:color="auto" w:sz="4" w:space="0"/>
              <w:right w:val="single" w:color="auto" w:sz="4" w:space="0"/>
            </w:tcBorders>
            <w:vAlign w:val="center"/>
          </w:tcPr>
          <w:p>
            <w:pPr>
              <w:spacing w:line="360" w:lineRule="auto"/>
              <w:rPr>
                <w:rFonts w:ascii="宋体" w:hAnsi="宋体" w:cs="宋体"/>
                <w:color w:val="auto"/>
                <w:highlight w:val="none"/>
              </w:rPr>
            </w:pPr>
            <w:r>
              <w:rPr>
                <w:rFonts w:hint="eastAsia" w:ascii="宋体" w:hAnsi="宋体" w:cs="宋体"/>
                <w:color w:val="auto"/>
                <w:highlight w:val="none"/>
              </w:rPr>
              <w:t>供应商所响应的产品中每有一项属于节能产品政府采购品目清单中优先采购范围的得1分；每有一项属于环境标志产品政府采购品目清单中优先采购范围的得1分；每有一项为无线局域网产品政府采购清单中的产品的得1分。本项共</w:t>
            </w:r>
            <w:r>
              <w:rPr>
                <w:rFonts w:hint="eastAsia" w:ascii="宋体" w:hAnsi="宋体" w:cs="宋体"/>
                <w:color w:val="auto"/>
                <w:highlight w:val="none"/>
                <w:lang w:val="en-US" w:eastAsia="zh-CN"/>
              </w:rPr>
              <w:t>7</w:t>
            </w:r>
            <w:r>
              <w:rPr>
                <w:rFonts w:hint="eastAsia" w:ascii="宋体" w:hAnsi="宋体" w:cs="宋体"/>
                <w:color w:val="auto"/>
                <w:highlight w:val="none"/>
              </w:rPr>
              <w:t>分。</w:t>
            </w:r>
          </w:p>
          <w:p>
            <w:pPr>
              <w:spacing w:line="360" w:lineRule="auto"/>
              <w:rPr>
                <w:rFonts w:ascii="宋体" w:hAnsi="宋体" w:cs="宋体"/>
                <w:color w:val="auto"/>
                <w:highlight w:val="none"/>
              </w:rPr>
            </w:pPr>
            <w:r>
              <w:rPr>
                <w:rFonts w:hint="eastAsia" w:ascii="宋体" w:hAnsi="宋体" w:cs="宋体"/>
                <w:color w:val="auto"/>
                <w:highlight w:val="none"/>
              </w:rPr>
              <w:t>说明：</w:t>
            </w:r>
          </w:p>
          <w:p>
            <w:pPr>
              <w:spacing w:line="360" w:lineRule="auto"/>
              <w:rPr>
                <w:rFonts w:ascii="宋体" w:hAnsi="宋体" w:cs="宋体"/>
                <w:color w:val="auto"/>
                <w:highlight w:val="none"/>
              </w:rPr>
            </w:pPr>
            <w:r>
              <w:rPr>
                <w:rFonts w:hint="eastAsia" w:ascii="宋体" w:hAnsi="宋体" w:cs="宋体"/>
                <w:color w:val="auto"/>
                <w:highlight w:val="none"/>
              </w:rPr>
              <w:t>1、可重复计分；</w:t>
            </w:r>
          </w:p>
          <w:p>
            <w:pPr>
              <w:spacing w:line="360" w:lineRule="auto"/>
              <w:rPr>
                <w:rFonts w:ascii="宋体" w:hAnsi="宋体" w:cs="宋体"/>
                <w:color w:val="auto"/>
                <w:highlight w:val="none"/>
              </w:rPr>
            </w:pPr>
            <w:r>
              <w:rPr>
                <w:rFonts w:hint="eastAsia" w:ascii="宋体" w:hAnsi="宋体" w:cs="宋体"/>
                <w:color w:val="auto"/>
                <w:highlight w:val="none"/>
              </w:rPr>
              <w:t>2、本项目采购的产品中属于节能产品或环境标志产品政府采购品目清单中强制采购范围的，不属于本项评分范围。</w:t>
            </w:r>
          </w:p>
          <w:p>
            <w:pPr>
              <w:spacing w:line="360" w:lineRule="auto"/>
              <w:rPr>
                <w:rFonts w:ascii="宋体" w:hAnsi="宋体" w:cs="宋体"/>
                <w:color w:val="auto"/>
                <w:highlight w:val="none"/>
              </w:rPr>
            </w:pPr>
            <w:r>
              <w:rPr>
                <w:rFonts w:hint="eastAsia" w:ascii="宋体" w:hAnsi="宋体" w:cs="宋体"/>
                <w:color w:val="auto"/>
                <w:highlight w:val="none"/>
              </w:rPr>
              <w:t>3、供应商所响应的产品属于节能产品或环境标志产品政府采购品目清单中优先采购范围的，应当在响应文件中提供国家确定的认证机构的认证结果信息发布平台公布的该产品认证信息截图或者打印资料并加盖供应商公章（鲜章），否则不予给分。</w:t>
            </w:r>
          </w:p>
          <w:p>
            <w:pPr>
              <w:spacing w:line="360" w:lineRule="auto"/>
              <w:rPr>
                <w:rFonts w:ascii="宋体" w:hAnsi="宋体" w:cs="宋体"/>
                <w:color w:val="auto"/>
                <w:highlight w:val="none"/>
              </w:rPr>
            </w:pPr>
            <w:r>
              <w:rPr>
                <w:rFonts w:hint="eastAsia" w:ascii="宋体" w:hAnsi="宋体" w:cs="宋体"/>
                <w:color w:val="auto"/>
                <w:highlight w:val="none"/>
              </w:rPr>
              <w:t>4、供应商所投产品属于优先采购范围内的无线局域网产品的，需提供《中国政府采购网》公布的无线局域网产品政府采购清单封面及对应页且在有效期内并加盖供应商单位公章（鲜章）。</w:t>
            </w:r>
          </w:p>
          <w:p>
            <w:pPr>
              <w:spacing w:line="360" w:lineRule="auto"/>
              <w:rPr>
                <w:rFonts w:ascii="宋体" w:hAnsi="宋体"/>
                <w:color w:val="auto"/>
                <w:highlight w:val="none"/>
              </w:rPr>
            </w:pPr>
            <w:r>
              <w:rPr>
                <w:rFonts w:hint="eastAsia" w:ascii="宋体" w:hAnsi="宋体" w:cs="宋体"/>
                <w:color w:val="auto"/>
                <w:highlight w:val="none"/>
              </w:rPr>
              <w:t>注：节能产品、环境标志产品优先采购范围以品目清单为准。财政部、发展改革委、生态环境部等部门根据产品节能环保性能、技术水平和市场成熟程度等因素，确定实施政府优先采购和强制采购的产品类别及所依据的相关标准规范，以品目清单的形式发布并适时调整。无线局域网产品优先采购范围以中国政府采购网公布的《无线局域网认证产品政府采购清单》且在有效期内的为准。</w:t>
            </w:r>
          </w:p>
        </w:tc>
        <w:tc>
          <w:tcPr>
            <w:tcW w:w="935" w:type="dxa"/>
            <w:tcBorders>
              <w:top w:val="single" w:color="auto" w:sz="4" w:space="0"/>
              <w:left w:val="nil"/>
              <w:bottom w:val="single" w:color="auto" w:sz="4" w:space="0"/>
              <w:right w:val="single" w:color="auto" w:sz="4" w:space="0"/>
            </w:tcBorders>
            <w:vAlign w:val="center"/>
          </w:tcPr>
          <w:p>
            <w:pPr>
              <w:spacing w:line="360" w:lineRule="auto"/>
              <w:rPr>
                <w:rFonts w:ascii="宋体" w:hAnsi="宋体"/>
                <w:color w:val="auto"/>
                <w:highlight w:val="none"/>
              </w:rPr>
            </w:pPr>
            <w:r>
              <w:rPr>
                <w:rFonts w:hint="eastAsia" w:ascii="宋体" w:hAnsi="宋体" w:cs="仿宋"/>
                <w:color w:val="auto"/>
                <w:highlight w:val="none"/>
              </w:rPr>
              <w:t>共同评分因素</w:t>
            </w:r>
          </w:p>
        </w:tc>
      </w:tr>
      <w:tr>
        <w:tblPrEx>
          <w:tblCellMar>
            <w:top w:w="0" w:type="dxa"/>
            <w:left w:w="108" w:type="dxa"/>
            <w:bottom w:w="0" w:type="dxa"/>
            <w:right w:w="108" w:type="dxa"/>
          </w:tblCellMar>
        </w:tblPrEx>
        <w:trPr>
          <w:cantSplit/>
          <w:trHeight w:val="484" w:hRule="atLeast"/>
          <w:jc w:val="center"/>
        </w:trPr>
        <w:tc>
          <w:tcPr>
            <w:tcW w:w="1294"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olor w:val="auto"/>
                <w:highlight w:val="none"/>
              </w:rPr>
            </w:pPr>
            <w:r>
              <w:rPr>
                <w:rFonts w:hint="eastAsia" w:ascii="宋体" w:hAnsi="宋体" w:cs="仿宋"/>
                <w:color w:val="auto"/>
                <w:highlight w:val="none"/>
              </w:rPr>
              <w:t>扶持少数民族地区</w:t>
            </w:r>
          </w:p>
          <w:p>
            <w:pPr>
              <w:spacing w:line="360" w:lineRule="auto"/>
              <w:jc w:val="center"/>
              <w:rPr>
                <w:rFonts w:ascii="宋体" w:hAnsi="宋体"/>
                <w:color w:val="auto"/>
                <w:highlight w:val="none"/>
              </w:rPr>
            </w:pPr>
            <w:r>
              <w:rPr>
                <w:rFonts w:hint="eastAsia" w:ascii="宋体" w:hAnsi="宋体" w:cs="仿宋"/>
                <w:color w:val="auto"/>
                <w:highlight w:val="none"/>
              </w:rPr>
              <w:t>（1.5分）</w:t>
            </w:r>
          </w:p>
        </w:tc>
        <w:tc>
          <w:tcPr>
            <w:tcW w:w="6726" w:type="dxa"/>
            <w:tcBorders>
              <w:top w:val="single" w:color="auto" w:sz="4" w:space="0"/>
              <w:left w:val="nil"/>
              <w:bottom w:val="single" w:color="auto" w:sz="4" w:space="0"/>
              <w:right w:val="single" w:color="auto" w:sz="4" w:space="0"/>
            </w:tcBorders>
            <w:vAlign w:val="center"/>
          </w:tcPr>
          <w:p>
            <w:pPr>
              <w:spacing w:line="360" w:lineRule="auto"/>
              <w:rPr>
                <w:rFonts w:ascii="宋体" w:hAnsi="宋体"/>
                <w:color w:val="auto"/>
                <w:highlight w:val="none"/>
              </w:rPr>
            </w:pPr>
            <w:r>
              <w:rPr>
                <w:rFonts w:hint="eastAsia" w:ascii="宋体" w:hAnsi="宋体" w:cs="宋体"/>
                <w:color w:val="auto"/>
                <w:highlight w:val="none"/>
              </w:rPr>
              <w:t>供应商属于少数民族地区中小建筑企业的得1.5分。（指供应商注册地在民族自治州、自治县、自治乡的中小建筑企业，提供营业执照复印件。）</w:t>
            </w:r>
          </w:p>
        </w:tc>
        <w:tc>
          <w:tcPr>
            <w:tcW w:w="935" w:type="dxa"/>
            <w:tcBorders>
              <w:top w:val="single" w:color="auto" w:sz="4" w:space="0"/>
              <w:left w:val="nil"/>
              <w:bottom w:val="single" w:color="auto" w:sz="4" w:space="0"/>
              <w:right w:val="single" w:color="auto" w:sz="4" w:space="0"/>
            </w:tcBorders>
            <w:vAlign w:val="center"/>
          </w:tcPr>
          <w:p>
            <w:pPr>
              <w:spacing w:line="360" w:lineRule="auto"/>
              <w:rPr>
                <w:rFonts w:ascii="宋体" w:hAnsi="宋体"/>
                <w:color w:val="auto"/>
                <w:highlight w:val="none"/>
              </w:rPr>
            </w:pPr>
            <w:r>
              <w:rPr>
                <w:rFonts w:hint="eastAsia" w:ascii="宋体" w:hAnsi="宋体" w:cs="仿宋"/>
                <w:color w:val="auto"/>
                <w:highlight w:val="none"/>
              </w:rPr>
              <w:t>共同评分因素</w:t>
            </w:r>
          </w:p>
        </w:tc>
      </w:tr>
    </w:tbl>
    <w:p>
      <w:pPr>
        <w:spacing w:line="360" w:lineRule="auto"/>
        <w:ind w:firstLine="565" w:firstLineChars="202"/>
        <w:rPr>
          <w:rFonts w:ascii="宋体" w:hAnsi="宋体"/>
          <w:color w:val="auto"/>
          <w:sz w:val="28"/>
          <w:highlight w:val="none"/>
        </w:rPr>
      </w:pPr>
      <w:r>
        <w:rPr>
          <w:rFonts w:hint="eastAsia" w:ascii="宋体" w:hAnsi="宋体"/>
          <w:color w:val="auto"/>
          <w:sz w:val="28"/>
          <w:highlight w:val="none"/>
        </w:rPr>
        <w:t>说明：</w:t>
      </w:r>
    </w:p>
    <w:p>
      <w:pPr>
        <w:spacing w:line="360" w:lineRule="auto"/>
        <w:ind w:firstLine="565" w:firstLineChars="202"/>
        <w:rPr>
          <w:rFonts w:ascii="宋体" w:hAnsi="宋体"/>
          <w:color w:val="auto"/>
          <w:sz w:val="28"/>
          <w:highlight w:val="none"/>
        </w:rPr>
      </w:pPr>
      <w:r>
        <w:rPr>
          <w:rFonts w:hint="eastAsia" w:ascii="宋体" w:hAnsi="宋体"/>
          <w:color w:val="auto"/>
          <w:sz w:val="28"/>
          <w:highlight w:val="none"/>
        </w:rPr>
        <w:t>1、评分的取值按四舍五入法，保留小数点后两位；</w:t>
      </w:r>
    </w:p>
    <w:p>
      <w:pPr>
        <w:spacing w:line="360" w:lineRule="auto"/>
        <w:ind w:firstLine="565" w:firstLineChars="202"/>
        <w:rPr>
          <w:rFonts w:ascii="宋体" w:hAnsi="宋体"/>
          <w:color w:val="auto"/>
          <w:sz w:val="28"/>
          <w:highlight w:val="none"/>
        </w:rPr>
      </w:pPr>
      <w:r>
        <w:rPr>
          <w:rFonts w:hint="eastAsia" w:ascii="宋体" w:hAnsi="宋体"/>
          <w:color w:val="auto"/>
          <w:sz w:val="28"/>
          <w:highlight w:val="none"/>
        </w:rPr>
        <w:t>2、评分标准中要求提供复印件的证明材料须清晰可辨。</w:t>
      </w:r>
    </w:p>
    <w:p>
      <w:pPr>
        <w:pStyle w:val="5"/>
        <w:numPr>
          <w:ilvl w:val="1"/>
          <w:numId w:val="57"/>
        </w:numPr>
        <w:spacing w:after="200"/>
        <w:ind w:left="1985" w:hanging="1985"/>
        <w:rPr>
          <w:color w:val="auto"/>
          <w:highlight w:val="none"/>
        </w:rPr>
      </w:pPr>
      <w:bookmarkStart w:id="207" w:name="_Toc494357030"/>
      <w:bookmarkEnd w:id="207"/>
      <w:bookmarkStart w:id="208" w:name="_Toc494095679"/>
      <w:bookmarkEnd w:id="208"/>
      <w:bookmarkStart w:id="209" w:name="_Toc494095680"/>
      <w:bookmarkEnd w:id="209"/>
      <w:bookmarkStart w:id="210" w:name="_Toc494357032"/>
      <w:bookmarkEnd w:id="210"/>
      <w:bookmarkStart w:id="211" w:name="_Toc494095681"/>
      <w:bookmarkEnd w:id="211"/>
      <w:bookmarkStart w:id="212" w:name="_Toc494095677"/>
      <w:bookmarkEnd w:id="212"/>
      <w:bookmarkStart w:id="213" w:name="_Toc494095676"/>
      <w:bookmarkEnd w:id="213"/>
      <w:bookmarkStart w:id="214" w:name="_Toc494357029"/>
      <w:bookmarkEnd w:id="214"/>
      <w:bookmarkStart w:id="215" w:name="_Toc494357027"/>
      <w:bookmarkEnd w:id="215"/>
      <w:bookmarkStart w:id="216" w:name="_Toc494095672"/>
      <w:bookmarkEnd w:id="216"/>
      <w:bookmarkStart w:id="217" w:name="_Toc494095674"/>
      <w:bookmarkEnd w:id="217"/>
      <w:bookmarkStart w:id="218" w:name="_Toc494357026"/>
      <w:bookmarkEnd w:id="218"/>
      <w:bookmarkStart w:id="219" w:name="_Toc494095678"/>
      <w:bookmarkEnd w:id="219"/>
      <w:bookmarkStart w:id="220" w:name="_Toc494357031"/>
      <w:bookmarkEnd w:id="220"/>
      <w:bookmarkStart w:id="221" w:name="_Toc494357022"/>
      <w:bookmarkEnd w:id="221"/>
      <w:bookmarkStart w:id="222" w:name="_Toc494357034"/>
      <w:bookmarkEnd w:id="222"/>
      <w:bookmarkStart w:id="223" w:name="_Toc494095668"/>
      <w:bookmarkEnd w:id="223"/>
      <w:bookmarkStart w:id="224" w:name="_Toc494095670"/>
      <w:bookmarkEnd w:id="224"/>
      <w:bookmarkStart w:id="225" w:name="_Toc494095669"/>
      <w:bookmarkEnd w:id="225"/>
      <w:bookmarkStart w:id="226" w:name="_Toc494095673"/>
      <w:bookmarkEnd w:id="226"/>
      <w:bookmarkStart w:id="227" w:name="_Toc494357024"/>
      <w:bookmarkEnd w:id="227"/>
      <w:bookmarkStart w:id="228" w:name="_Toc494357021"/>
      <w:bookmarkEnd w:id="228"/>
      <w:bookmarkStart w:id="229" w:name="_Toc494357023"/>
      <w:bookmarkEnd w:id="229"/>
      <w:bookmarkStart w:id="230" w:name="_Toc494357033"/>
      <w:bookmarkEnd w:id="230"/>
      <w:bookmarkStart w:id="231" w:name="_Toc494095682"/>
      <w:bookmarkEnd w:id="231"/>
      <w:bookmarkStart w:id="232" w:name="_Toc494095671"/>
      <w:bookmarkEnd w:id="232"/>
      <w:bookmarkStart w:id="233" w:name="_Toc494357028"/>
      <w:bookmarkEnd w:id="233"/>
      <w:bookmarkStart w:id="234" w:name="_Toc494357035"/>
      <w:bookmarkEnd w:id="234"/>
      <w:bookmarkStart w:id="235" w:name="_Toc494357025"/>
      <w:bookmarkEnd w:id="235"/>
      <w:bookmarkStart w:id="236" w:name="_Toc494095675"/>
      <w:bookmarkEnd w:id="236"/>
      <w:bookmarkStart w:id="237" w:name="_Toc10691"/>
      <w:bookmarkStart w:id="238" w:name="_Toc13359"/>
      <w:bookmarkStart w:id="239" w:name="_Toc54948234"/>
      <w:bookmarkStart w:id="240" w:name="_Toc72938465"/>
      <w:r>
        <w:rPr>
          <w:rFonts w:hint="eastAsia"/>
          <w:color w:val="auto"/>
          <w:highlight w:val="none"/>
        </w:rPr>
        <w:t>采购失败情形</w:t>
      </w:r>
      <w:bookmarkEnd w:id="237"/>
      <w:bookmarkEnd w:id="238"/>
      <w:bookmarkEnd w:id="239"/>
      <w:bookmarkEnd w:id="240"/>
    </w:p>
    <w:p>
      <w:pPr>
        <w:snapToGrid w:val="0"/>
        <w:spacing w:line="360" w:lineRule="auto"/>
        <w:ind w:firstLine="554" w:firstLineChars="198"/>
        <w:rPr>
          <w:rFonts w:ascii="宋体" w:hAnsi="宋体" w:cs="宋体"/>
          <w:color w:val="auto"/>
          <w:sz w:val="28"/>
          <w:szCs w:val="28"/>
          <w:highlight w:val="none"/>
        </w:rPr>
      </w:pPr>
      <w:r>
        <w:rPr>
          <w:rFonts w:hint="eastAsia" w:ascii="宋体" w:hAnsi="宋体" w:cs="宋体"/>
          <w:color w:val="auto"/>
          <w:sz w:val="28"/>
          <w:szCs w:val="28"/>
          <w:highlight w:val="none"/>
        </w:rPr>
        <w:t>有下列情形之一的，本项目采购失败：</w:t>
      </w:r>
    </w:p>
    <w:p>
      <w:pPr>
        <w:tabs>
          <w:tab w:val="left" w:pos="851"/>
        </w:tabs>
        <w:snapToGrid w:val="0"/>
        <w:spacing w:line="360" w:lineRule="auto"/>
        <w:ind w:firstLine="565" w:firstLineChars="202"/>
        <w:rPr>
          <w:rFonts w:ascii="宋体" w:hAnsi="宋体" w:cs="宋体"/>
          <w:color w:val="auto"/>
          <w:sz w:val="28"/>
          <w:szCs w:val="28"/>
          <w:highlight w:val="none"/>
        </w:rPr>
      </w:pPr>
      <w:r>
        <w:rPr>
          <w:rFonts w:hint="eastAsia" w:ascii="宋体" w:hAnsi="宋体" w:cs="宋体"/>
          <w:color w:val="auto"/>
          <w:sz w:val="28"/>
          <w:szCs w:val="28"/>
          <w:highlight w:val="none"/>
        </w:rPr>
        <w:t>一、因情况变化，不再符合规定的竞争性磋商采购方式适用情形的；</w:t>
      </w:r>
    </w:p>
    <w:p>
      <w:pPr>
        <w:tabs>
          <w:tab w:val="left" w:pos="851"/>
        </w:tabs>
        <w:snapToGrid w:val="0"/>
        <w:spacing w:line="360" w:lineRule="auto"/>
        <w:ind w:firstLine="565" w:firstLineChars="202"/>
        <w:rPr>
          <w:rFonts w:ascii="宋体" w:hAnsi="宋体" w:cs="宋体"/>
          <w:color w:val="auto"/>
          <w:sz w:val="28"/>
          <w:szCs w:val="28"/>
          <w:highlight w:val="none"/>
        </w:rPr>
      </w:pPr>
      <w:r>
        <w:rPr>
          <w:rFonts w:hint="eastAsia" w:ascii="宋体" w:hAnsi="宋体" w:cs="宋体"/>
          <w:color w:val="auto"/>
          <w:sz w:val="28"/>
          <w:szCs w:val="28"/>
          <w:highlight w:val="none"/>
        </w:rPr>
        <w:t>二、出现影响采购公正的违法、违规行为的；</w:t>
      </w:r>
    </w:p>
    <w:p>
      <w:pPr>
        <w:tabs>
          <w:tab w:val="left" w:pos="851"/>
        </w:tabs>
        <w:snapToGrid w:val="0"/>
        <w:spacing w:line="360" w:lineRule="auto"/>
        <w:ind w:firstLine="565" w:firstLineChars="202"/>
        <w:rPr>
          <w:rFonts w:ascii="宋体" w:hAnsi="宋体" w:cs="宋体"/>
          <w:color w:val="auto"/>
          <w:sz w:val="28"/>
          <w:szCs w:val="28"/>
          <w:highlight w:val="none"/>
        </w:rPr>
      </w:pPr>
      <w:r>
        <w:rPr>
          <w:rFonts w:hint="eastAsia" w:ascii="宋体" w:hAnsi="宋体" w:cs="宋体"/>
          <w:color w:val="auto"/>
          <w:sz w:val="28"/>
          <w:szCs w:val="28"/>
          <w:highlight w:val="none"/>
        </w:rPr>
        <w:t>三、</w:t>
      </w:r>
      <w:r>
        <w:rPr>
          <w:rFonts w:hint="eastAsia" w:ascii="宋体" w:hAnsi="宋体"/>
          <w:color w:val="auto"/>
          <w:sz w:val="28"/>
          <w:szCs w:val="28"/>
          <w:highlight w:val="none"/>
        </w:rPr>
        <w:t>递交施工响应文件的供应商不足三家的</w:t>
      </w:r>
      <w:r>
        <w:rPr>
          <w:rFonts w:hint="eastAsia" w:ascii="宋体" w:hAnsi="宋体" w:cs="宋体"/>
          <w:color w:val="auto"/>
          <w:sz w:val="28"/>
          <w:szCs w:val="28"/>
          <w:highlight w:val="none"/>
        </w:rPr>
        <w:t>；</w:t>
      </w:r>
    </w:p>
    <w:p>
      <w:pPr>
        <w:tabs>
          <w:tab w:val="left" w:pos="851"/>
        </w:tabs>
        <w:snapToGrid w:val="0"/>
        <w:spacing w:line="360" w:lineRule="auto"/>
        <w:ind w:firstLine="565" w:firstLineChars="202"/>
        <w:rPr>
          <w:rFonts w:ascii="宋体" w:hAnsi="宋体" w:cs="宋体"/>
          <w:color w:val="auto"/>
          <w:sz w:val="28"/>
          <w:szCs w:val="28"/>
          <w:highlight w:val="none"/>
        </w:rPr>
      </w:pPr>
      <w:r>
        <w:rPr>
          <w:rFonts w:hint="eastAsia" w:ascii="宋体" w:hAnsi="宋体" w:cs="宋体"/>
          <w:color w:val="auto"/>
          <w:sz w:val="28"/>
          <w:szCs w:val="28"/>
          <w:highlight w:val="none"/>
        </w:rPr>
        <w:t>四、通过资格性审查</w:t>
      </w:r>
      <w:r>
        <w:rPr>
          <w:rFonts w:hint="eastAsia" w:ascii="宋体" w:hAnsi="宋体"/>
          <w:color w:val="auto"/>
          <w:sz w:val="28"/>
          <w:szCs w:val="28"/>
          <w:highlight w:val="none"/>
        </w:rPr>
        <w:t>的供应商</w:t>
      </w:r>
      <w:r>
        <w:rPr>
          <w:rFonts w:hint="eastAsia" w:ascii="宋体" w:hAnsi="宋体" w:cs="宋体"/>
          <w:color w:val="auto"/>
          <w:sz w:val="28"/>
          <w:szCs w:val="28"/>
          <w:highlight w:val="none"/>
        </w:rPr>
        <w:t>不足三家的；</w:t>
      </w:r>
    </w:p>
    <w:p>
      <w:pPr>
        <w:tabs>
          <w:tab w:val="left" w:pos="851"/>
        </w:tabs>
        <w:snapToGrid w:val="0"/>
        <w:spacing w:line="360" w:lineRule="auto"/>
        <w:ind w:firstLine="565" w:firstLineChars="202"/>
        <w:rPr>
          <w:rFonts w:ascii="宋体" w:hAnsi="宋体" w:cs="宋体"/>
          <w:color w:val="auto"/>
          <w:sz w:val="28"/>
          <w:szCs w:val="28"/>
          <w:highlight w:val="none"/>
        </w:rPr>
      </w:pPr>
      <w:r>
        <w:rPr>
          <w:rFonts w:hint="eastAsia" w:ascii="宋体" w:hAnsi="宋体" w:cs="宋体"/>
          <w:color w:val="auto"/>
          <w:sz w:val="28"/>
          <w:szCs w:val="28"/>
          <w:highlight w:val="none"/>
        </w:rPr>
        <w:t>五、通过符合性审查</w:t>
      </w:r>
      <w:r>
        <w:rPr>
          <w:rFonts w:hint="eastAsia" w:ascii="宋体" w:hAnsi="宋体"/>
          <w:color w:val="auto"/>
          <w:sz w:val="28"/>
          <w:szCs w:val="28"/>
          <w:highlight w:val="none"/>
        </w:rPr>
        <w:t>的供应商</w:t>
      </w:r>
      <w:r>
        <w:rPr>
          <w:rFonts w:hint="eastAsia" w:ascii="宋体" w:hAnsi="宋体" w:cs="宋体"/>
          <w:color w:val="auto"/>
          <w:sz w:val="28"/>
          <w:szCs w:val="28"/>
          <w:highlight w:val="none"/>
        </w:rPr>
        <w:t>不足三家</w:t>
      </w:r>
      <w:r>
        <w:rPr>
          <w:rFonts w:hint="eastAsia" w:ascii="宋体" w:hAnsi="宋体"/>
          <w:color w:val="auto"/>
          <w:sz w:val="28"/>
          <w:szCs w:val="28"/>
          <w:highlight w:val="none"/>
        </w:rPr>
        <w:t>的</w:t>
      </w:r>
      <w:r>
        <w:rPr>
          <w:rFonts w:hint="eastAsia" w:ascii="宋体" w:hAnsi="宋体" w:cs="宋体"/>
          <w:color w:val="auto"/>
          <w:sz w:val="28"/>
          <w:szCs w:val="28"/>
          <w:highlight w:val="none"/>
        </w:rPr>
        <w:t>；</w:t>
      </w:r>
    </w:p>
    <w:p>
      <w:pPr>
        <w:tabs>
          <w:tab w:val="left" w:pos="851"/>
        </w:tabs>
        <w:snapToGrid w:val="0"/>
        <w:spacing w:line="360" w:lineRule="auto"/>
        <w:ind w:firstLine="565" w:firstLineChars="202"/>
        <w:rPr>
          <w:rFonts w:ascii="宋体" w:hAnsi="宋体" w:cs="宋体"/>
          <w:color w:val="auto"/>
          <w:sz w:val="28"/>
          <w:szCs w:val="28"/>
          <w:highlight w:val="none"/>
        </w:rPr>
      </w:pPr>
      <w:r>
        <w:rPr>
          <w:rFonts w:hint="eastAsia" w:ascii="宋体" w:hAnsi="宋体" w:cs="宋体"/>
          <w:color w:val="auto"/>
          <w:sz w:val="28"/>
          <w:szCs w:val="28"/>
          <w:highlight w:val="none"/>
        </w:rPr>
        <w:t>六、提交最后报价的供应商不足三家的；</w:t>
      </w:r>
    </w:p>
    <w:p>
      <w:pPr>
        <w:tabs>
          <w:tab w:val="left" w:pos="851"/>
        </w:tabs>
        <w:snapToGrid w:val="0"/>
        <w:spacing w:line="360" w:lineRule="auto"/>
        <w:ind w:firstLine="565" w:firstLineChars="202"/>
        <w:rPr>
          <w:rFonts w:ascii="宋体" w:hAnsi="宋体" w:cs="宋体"/>
          <w:color w:val="auto"/>
          <w:sz w:val="28"/>
          <w:szCs w:val="28"/>
          <w:highlight w:val="none"/>
        </w:rPr>
      </w:pPr>
      <w:r>
        <w:rPr>
          <w:rFonts w:hint="eastAsia" w:ascii="宋体" w:hAnsi="宋体" w:cs="宋体"/>
          <w:color w:val="auto"/>
          <w:sz w:val="28"/>
          <w:szCs w:val="28"/>
          <w:highlight w:val="none"/>
        </w:rPr>
        <w:t>七、通过最后报价审查的供应商不足三家的。</w:t>
      </w:r>
    </w:p>
    <w:p>
      <w:pPr>
        <w:pStyle w:val="5"/>
        <w:numPr>
          <w:ilvl w:val="2"/>
          <w:numId w:val="1"/>
        </w:numPr>
        <w:tabs>
          <w:tab w:val="left" w:pos="993"/>
          <w:tab w:val="clear" w:pos="426"/>
          <w:tab w:val="clear" w:pos="567"/>
        </w:tabs>
        <w:rPr>
          <w:color w:val="auto"/>
          <w:highlight w:val="none"/>
        </w:rPr>
      </w:pPr>
      <w:bookmarkStart w:id="241" w:name="_Toc63437922"/>
      <w:bookmarkStart w:id="242" w:name="_Toc2941"/>
      <w:bookmarkStart w:id="243" w:name="_Toc63084336"/>
      <w:bookmarkStart w:id="244" w:name="_Toc72938466"/>
      <w:bookmarkStart w:id="245" w:name="_Toc7273"/>
      <w:r>
        <w:rPr>
          <w:rFonts w:hint="eastAsia"/>
          <w:color w:val="auto"/>
          <w:highlight w:val="none"/>
        </w:rPr>
        <w:t>其他</w:t>
      </w:r>
      <w:bookmarkEnd w:id="241"/>
      <w:bookmarkEnd w:id="242"/>
      <w:bookmarkEnd w:id="243"/>
      <w:bookmarkEnd w:id="244"/>
      <w:bookmarkEnd w:id="245"/>
    </w:p>
    <w:p>
      <w:pPr>
        <w:tabs>
          <w:tab w:val="left" w:pos="1134"/>
        </w:tabs>
        <w:snapToGrid w:val="0"/>
        <w:spacing w:after="200"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磋商活动结束后，发现资格预审过程中资格性审查认定错误的，磋商结果无效，重新开展采购活动，由此给供应商造成损失的，由采购人承担赔偿责任。但是，经过所有参加采购活动的供应商书面认可，同意重新实行资格性审查的，可以直接重新实行资格性审查，并重新按照规定要求进行磋商评审。</w:t>
      </w:r>
    </w:p>
    <w:p>
      <w:pPr>
        <w:pStyle w:val="5"/>
        <w:numPr>
          <w:ilvl w:val="1"/>
          <w:numId w:val="57"/>
        </w:numPr>
        <w:spacing w:after="200"/>
        <w:ind w:left="1985" w:hanging="1985"/>
        <w:rPr>
          <w:color w:val="auto"/>
          <w:highlight w:val="none"/>
        </w:rPr>
      </w:pPr>
      <w:bookmarkStart w:id="246" w:name="_Toc72938467"/>
      <w:bookmarkStart w:id="247" w:name="_Toc11284"/>
      <w:bookmarkStart w:id="248" w:name="_Toc18164"/>
      <w:bookmarkStart w:id="249" w:name="_Toc54948235"/>
      <w:r>
        <w:rPr>
          <w:rFonts w:hint="eastAsia"/>
          <w:color w:val="auto"/>
          <w:highlight w:val="none"/>
        </w:rPr>
        <w:t>确定成交供应商</w:t>
      </w:r>
      <w:bookmarkEnd w:id="246"/>
      <w:bookmarkEnd w:id="247"/>
      <w:bookmarkEnd w:id="248"/>
      <w:bookmarkEnd w:id="249"/>
    </w:p>
    <w:p>
      <w:pPr>
        <w:numPr>
          <w:ilvl w:val="0"/>
          <w:numId w:val="58"/>
        </w:numPr>
        <w:tabs>
          <w:tab w:val="left" w:pos="1134"/>
        </w:tabs>
        <w:snapToGrid w:val="0"/>
        <w:spacing w:after="200" w:line="360" w:lineRule="auto"/>
        <w:ind w:left="0"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采购人根据磋商小组推荐的成交候选供应商名单，按顺序确定1名成交供应商。成交候选供应商并列的，采购人采取随机抽取的方式确定。</w:t>
      </w:r>
    </w:p>
    <w:p>
      <w:pPr>
        <w:numPr>
          <w:ilvl w:val="0"/>
          <w:numId w:val="58"/>
        </w:numPr>
        <w:tabs>
          <w:tab w:val="left" w:pos="1134"/>
        </w:tabs>
        <w:snapToGrid w:val="0"/>
        <w:spacing w:after="200" w:line="620" w:lineRule="exact"/>
        <w:ind w:left="0"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评审结束后，高新区采购中心在评审结束之日起2个工作日内将评审报告及有关资料送交采购人确定1名成交供应商。</w:t>
      </w:r>
    </w:p>
    <w:p>
      <w:pPr>
        <w:numPr>
          <w:ilvl w:val="0"/>
          <w:numId w:val="58"/>
        </w:numPr>
        <w:tabs>
          <w:tab w:val="left" w:pos="1134"/>
        </w:tabs>
        <w:snapToGrid w:val="0"/>
        <w:spacing w:after="200" w:line="360" w:lineRule="auto"/>
        <w:ind w:left="0" w:firstLine="560" w:firstLineChars="200"/>
        <w:rPr>
          <w:rStyle w:val="325"/>
          <w:rFonts w:ascii="宋体" w:hAnsi="宋体" w:cs="宋体"/>
          <w:color w:val="auto"/>
          <w:sz w:val="28"/>
          <w:szCs w:val="28"/>
          <w:highlight w:val="none"/>
        </w:rPr>
      </w:pPr>
      <w:r>
        <w:rPr>
          <w:rStyle w:val="325"/>
          <w:rFonts w:hint="eastAsia"/>
          <w:color w:val="auto"/>
          <w:sz w:val="28"/>
          <w:szCs w:val="28"/>
          <w:highlight w:val="none"/>
          <w:shd w:val="clear" w:color="auto" w:fill="FFFFFF"/>
        </w:rPr>
        <w:t>采购人在收到评审报告后</w:t>
      </w:r>
      <w:r>
        <w:rPr>
          <w:rStyle w:val="325"/>
          <w:rFonts w:hint="eastAsia"/>
          <w:color w:val="auto"/>
          <w:sz w:val="28"/>
          <w:szCs w:val="28"/>
          <w:highlight w:val="none"/>
          <w:shd w:val="clear" w:color="auto" w:fill="FFFFFF"/>
          <w:lang w:val="en-US" w:eastAsia="zh-CN"/>
        </w:rPr>
        <w:t>三</w:t>
      </w:r>
      <w:r>
        <w:rPr>
          <w:rStyle w:val="325"/>
          <w:rFonts w:hint="eastAsia"/>
          <w:color w:val="auto"/>
          <w:sz w:val="28"/>
          <w:szCs w:val="28"/>
          <w:highlight w:val="none"/>
          <w:shd w:val="clear" w:color="auto" w:fill="FFFFFF"/>
        </w:rPr>
        <w:t>个工作日内，按照评审报告中推荐的中标（成交）候选人顺序确定中标（成交）人。如果中标（成交）候选人及其现任法定代表人、主要负责人存在行贿犯罪记录，采购人将不确定其为中标（成交）人。</w:t>
      </w:r>
    </w:p>
    <w:p>
      <w:pPr>
        <w:tabs>
          <w:tab w:val="left" w:pos="1134"/>
        </w:tabs>
        <w:snapToGrid w:val="0"/>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根据四川省人民检察院、四川省财政厅《关于在政府采购活动中全面开展行贿犯罪档案查询的通知》（川检会</w:t>
      </w:r>
      <w:r>
        <w:rPr>
          <w:rFonts w:ascii="宋体" w:hAnsi="宋体" w:cs="宋体"/>
          <w:color w:val="auto"/>
          <w:sz w:val="28"/>
          <w:szCs w:val="28"/>
          <w:highlight w:val="none"/>
        </w:rPr>
        <w:t>[2016]5号）以及成都市人民检察院</w:t>
      </w:r>
      <w:r>
        <w:rPr>
          <w:rFonts w:hint="eastAsia" w:ascii="宋体" w:hAnsi="宋体" w:cs="宋体"/>
          <w:color w:val="auto"/>
          <w:sz w:val="28"/>
          <w:szCs w:val="28"/>
          <w:highlight w:val="none"/>
        </w:rPr>
        <w:t>《</w:t>
      </w:r>
      <w:r>
        <w:rPr>
          <w:rFonts w:ascii="宋体" w:hAnsi="宋体" w:cs="宋体"/>
          <w:color w:val="auto"/>
          <w:sz w:val="28"/>
          <w:szCs w:val="28"/>
          <w:highlight w:val="none"/>
        </w:rPr>
        <w:t>关于停止行贿犯罪档案查询的公告</w:t>
      </w:r>
      <w:r>
        <w:rPr>
          <w:rFonts w:hint="eastAsia" w:ascii="宋体" w:hAnsi="宋体" w:cs="宋体"/>
          <w:color w:val="auto"/>
          <w:sz w:val="28"/>
          <w:szCs w:val="28"/>
          <w:highlight w:val="none"/>
        </w:rPr>
        <w:t>》，</w:t>
      </w:r>
      <w:r>
        <w:rPr>
          <w:rStyle w:val="325"/>
          <w:rFonts w:hint="eastAsia"/>
          <w:color w:val="auto"/>
          <w:sz w:val="28"/>
          <w:szCs w:val="28"/>
          <w:highlight w:val="none"/>
          <w:shd w:val="clear" w:color="auto" w:fill="FFFFFF"/>
        </w:rPr>
        <w:t>采购人在确认成交供应商前，应到中国裁判文书网（</w:t>
      </w:r>
      <w:r>
        <w:rPr>
          <w:rStyle w:val="325"/>
          <w:color w:val="auto"/>
          <w:sz w:val="28"/>
          <w:szCs w:val="28"/>
          <w:highlight w:val="none"/>
          <w:shd w:val="clear" w:color="auto" w:fill="FFFFFF"/>
        </w:rPr>
        <w:t>https://wenshu.court.gov.cn</w:t>
      </w:r>
      <w:r>
        <w:rPr>
          <w:rStyle w:val="325"/>
          <w:rFonts w:hint="eastAsia"/>
          <w:color w:val="auto"/>
          <w:sz w:val="28"/>
          <w:szCs w:val="28"/>
          <w:highlight w:val="none"/>
          <w:shd w:val="clear" w:color="auto" w:fill="FFFFFF"/>
        </w:rPr>
        <w:t>）查询成交候选供应商及其现任法定代表人、主要负责人是否存在行贿犯罪记录。</w:t>
      </w:r>
    </w:p>
    <w:p>
      <w:pPr>
        <w:numPr>
          <w:ilvl w:val="0"/>
          <w:numId w:val="58"/>
        </w:numPr>
        <w:tabs>
          <w:tab w:val="left" w:pos="1134"/>
        </w:tabs>
        <w:snapToGrid w:val="0"/>
        <w:spacing w:after="200" w:line="360" w:lineRule="auto"/>
        <w:ind w:left="0"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采购人因客观情况不能在规定时间内确定成交供应商的，应当向各方当事人说明情况，并报同级财政部门备案。采购人无正当理由拒绝在规定时间内确定成交供应商的，成交候选供应商可以向同级财政部门申诉。采购人逾期未确定成交供应商且不提出异议的，视为确定评审报告提出的排序第一的供应商为成交供应商。</w:t>
      </w:r>
    </w:p>
    <w:p>
      <w:pPr>
        <w:numPr>
          <w:ilvl w:val="0"/>
          <w:numId w:val="58"/>
        </w:numPr>
        <w:tabs>
          <w:tab w:val="left" w:pos="1134"/>
        </w:tabs>
        <w:snapToGrid w:val="0"/>
        <w:spacing w:after="200" w:line="360" w:lineRule="auto"/>
        <w:ind w:left="0"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采购人确定成交供应商过程中，发现成交候选供应商有下列情形之一的，应当不予确定其为成交供应商, 由后一位成交候选供应商接替，依次类推，或重新组织采购：</w:t>
      </w:r>
    </w:p>
    <w:p>
      <w:pPr>
        <w:numPr>
          <w:ilvl w:val="1"/>
          <w:numId w:val="59"/>
        </w:numPr>
        <w:tabs>
          <w:tab w:val="left" w:pos="851"/>
          <w:tab w:val="left" w:pos="1134"/>
          <w:tab w:val="left" w:pos="1276"/>
        </w:tabs>
        <w:snapToGrid w:val="0"/>
        <w:spacing w:after="200" w:line="360" w:lineRule="auto"/>
        <w:ind w:left="0" w:firstLine="560" w:firstLineChars="200"/>
        <w:rPr>
          <w:rFonts w:ascii="宋体" w:hAnsi="宋体" w:cs="宋体"/>
          <w:color w:val="auto"/>
          <w:sz w:val="28"/>
          <w:szCs w:val="28"/>
          <w:highlight w:val="none"/>
        </w:rPr>
      </w:pPr>
      <w:bookmarkStart w:id="250" w:name="_Toc287623649"/>
      <w:r>
        <w:rPr>
          <w:rFonts w:hint="eastAsia" w:ascii="宋体" w:hAnsi="宋体" w:cs="宋体"/>
          <w:color w:val="auto"/>
          <w:sz w:val="28"/>
          <w:szCs w:val="28"/>
          <w:highlight w:val="none"/>
        </w:rPr>
        <w:t>成交候选供应商存在违法、违纪行为的；</w:t>
      </w:r>
    </w:p>
    <w:p>
      <w:pPr>
        <w:numPr>
          <w:ilvl w:val="1"/>
          <w:numId w:val="59"/>
        </w:numPr>
        <w:tabs>
          <w:tab w:val="left" w:pos="851"/>
          <w:tab w:val="left" w:pos="1134"/>
          <w:tab w:val="left" w:pos="1276"/>
        </w:tabs>
        <w:snapToGrid w:val="0"/>
        <w:spacing w:after="200" w:line="360" w:lineRule="auto"/>
        <w:ind w:left="0"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成交候选供应商因不可抗力、社会经济形势发生重大变化、破产、重组等原因确定无法履行政府采购合同的；</w:t>
      </w:r>
    </w:p>
    <w:p>
      <w:pPr>
        <w:snapToGrid w:val="0"/>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采购人不按要求确定候选供应商为成交供应商的，应提供相关证明材料并报财政部门备案。</w:t>
      </w:r>
    </w:p>
    <w:p>
      <w:pPr>
        <w:numPr>
          <w:ilvl w:val="0"/>
          <w:numId w:val="58"/>
        </w:numPr>
        <w:tabs>
          <w:tab w:val="left" w:pos="1155"/>
        </w:tabs>
        <w:snapToGrid w:val="0"/>
        <w:spacing w:after="200" w:line="360" w:lineRule="auto"/>
        <w:ind w:left="0"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采购人、高新区采购中心不解释成交或未成交原因，不退回施工响应文件和其他磋商资料。</w:t>
      </w:r>
      <w:bookmarkEnd w:id="250"/>
    </w:p>
    <w:p>
      <w:pPr>
        <w:pStyle w:val="5"/>
        <w:numPr>
          <w:ilvl w:val="1"/>
          <w:numId w:val="57"/>
        </w:numPr>
        <w:spacing w:after="200"/>
        <w:ind w:left="1985" w:hanging="1985"/>
        <w:jc w:val="left"/>
        <w:rPr>
          <w:color w:val="auto"/>
          <w:highlight w:val="none"/>
        </w:rPr>
      </w:pPr>
      <w:bookmarkStart w:id="251" w:name="_Toc54948236"/>
      <w:bookmarkStart w:id="252" w:name="_Toc264"/>
      <w:bookmarkStart w:id="253" w:name="_Toc72938468"/>
      <w:bookmarkStart w:id="254" w:name="_Toc8833"/>
      <w:r>
        <w:rPr>
          <w:rFonts w:hint="eastAsia"/>
          <w:color w:val="auto"/>
          <w:highlight w:val="none"/>
        </w:rPr>
        <w:t>磋商小组成员义务</w:t>
      </w:r>
      <w:bookmarkEnd w:id="251"/>
      <w:bookmarkEnd w:id="252"/>
      <w:bookmarkEnd w:id="253"/>
      <w:bookmarkEnd w:id="254"/>
    </w:p>
    <w:p>
      <w:pPr>
        <w:snapToGrid w:val="0"/>
        <w:spacing w:line="360" w:lineRule="auto"/>
        <w:ind w:firstLine="560" w:firstLineChars="200"/>
        <w:rPr>
          <w:color w:val="auto"/>
          <w:sz w:val="28"/>
          <w:szCs w:val="28"/>
          <w:highlight w:val="none"/>
        </w:rPr>
      </w:pPr>
      <w:r>
        <w:rPr>
          <w:rFonts w:hint="eastAsia"/>
          <w:color w:val="auto"/>
          <w:sz w:val="28"/>
          <w:szCs w:val="28"/>
          <w:highlight w:val="none"/>
        </w:rPr>
        <w:t>磋商小组成员在政府采购活动中承担以下义务：</w:t>
      </w:r>
    </w:p>
    <w:p>
      <w:pPr>
        <w:widowControl w:val="0"/>
        <w:numPr>
          <w:ilvl w:val="0"/>
          <w:numId w:val="60"/>
        </w:numPr>
        <w:tabs>
          <w:tab w:val="left" w:pos="1155"/>
        </w:tabs>
        <w:spacing w:after="200" w:line="360" w:lineRule="auto"/>
        <w:ind w:left="0" w:firstLine="525"/>
        <w:jc w:val="both"/>
        <w:rPr>
          <w:rFonts w:ascii="宋体" w:hAnsi="宋体"/>
          <w:color w:val="auto"/>
          <w:sz w:val="28"/>
          <w:szCs w:val="28"/>
          <w:highlight w:val="none"/>
        </w:rPr>
      </w:pPr>
      <w:r>
        <w:rPr>
          <w:rFonts w:hint="eastAsia" w:ascii="宋体" w:hAnsi="宋体"/>
          <w:color w:val="auto"/>
          <w:sz w:val="28"/>
          <w:szCs w:val="28"/>
          <w:highlight w:val="none"/>
        </w:rPr>
        <w:t>遵纪守法，客观、公正、廉洁地履行职责。</w:t>
      </w:r>
    </w:p>
    <w:p>
      <w:pPr>
        <w:widowControl w:val="0"/>
        <w:numPr>
          <w:ilvl w:val="0"/>
          <w:numId w:val="60"/>
        </w:numPr>
        <w:tabs>
          <w:tab w:val="left" w:pos="1155"/>
        </w:tabs>
        <w:spacing w:after="200" w:line="360" w:lineRule="auto"/>
        <w:ind w:left="0" w:firstLine="525"/>
        <w:jc w:val="both"/>
        <w:rPr>
          <w:rFonts w:ascii="宋体" w:hAnsi="宋体"/>
          <w:color w:val="auto"/>
          <w:sz w:val="28"/>
          <w:szCs w:val="28"/>
          <w:highlight w:val="none"/>
        </w:rPr>
      </w:pPr>
      <w:r>
        <w:rPr>
          <w:rFonts w:hint="eastAsia" w:ascii="宋体" w:hAnsi="宋体"/>
          <w:color w:val="auto"/>
          <w:sz w:val="28"/>
          <w:szCs w:val="28"/>
          <w:highlight w:val="none"/>
        </w:rPr>
        <w:t>按照政府采购法律法规和磋商文件的规定要求对供应商的资格条件和供应商提供的服务价格、技术、服务等方面严格进行独立评审，提供科学合理、公平公正的评审意见，参与起草评审报告，并予签字确认。</w:t>
      </w:r>
    </w:p>
    <w:p>
      <w:pPr>
        <w:widowControl w:val="0"/>
        <w:numPr>
          <w:ilvl w:val="0"/>
          <w:numId w:val="60"/>
        </w:numPr>
        <w:tabs>
          <w:tab w:val="left" w:pos="1155"/>
        </w:tabs>
        <w:spacing w:after="200" w:line="360" w:lineRule="auto"/>
        <w:ind w:left="0" w:firstLine="525"/>
        <w:jc w:val="both"/>
        <w:rPr>
          <w:rFonts w:ascii="宋体" w:hAnsi="宋体"/>
          <w:color w:val="auto"/>
          <w:sz w:val="28"/>
          <w:szCs w:val="28"/>
          <w:highlight w:val="none"/>
        </w:rPr>
      </w:pPr>
      <w:r>
        <w:rPr>
          <w:rFonts w:hint="eastAsia" w:ascii="宋体" w:hAnsi="宋体"/>
          <w:color w:val="auto"/>
          <w:sz w:val="28"/>
          <w:szCs w:val="28"/>
          <w:highlight w:val="none"/>
        </w:rPr>
        <w:t>保守秘密。不得泄漏供应商的磋商文件及知悉的商业秘密，不得向供应商透露评审情况。</w:t>
      </w:r>
    </w:p>
    <w:p>
      <w:pPr>
        <w:widowControl w:val="0"/>
        <w:numPr>
          <w:ilvl w:val="0"/>
          <w:numId w:val="60"/>
        </w:numPr>
        <w:tabs>
          <w:tab w:val="left" w:pos="1155"/>
        </w:tabs>
        <w:spacing w:after="200" w:line="360" w:lineRule="auto"/>
        <w:ind w:left="0" w:firstLine="525"/>
        <w:jc w:val="both"/>
        <w:rPr>
          <w:rFonts w:ascii="宋体" w:hAnsi="宋体"/>
          <w:color w:val="auto"/>
          <w:sz w:val="28"/>
          <w:szCs w:val="28"/>
          <w:highlight w:val="none"/>
        </w:rPr>
      </w:pPr>
      <w:r>
        <w:rPr>
          <w:rFonts w:hint="eastAsia" w:ascii="宋体" w:hAnsi="宋体"/>
          <w:color w:val="auto"/>
          <w:sz w:val="28"/>
          <w:szCs w:val="28"/>
          <w:highlight w:val="none"/>
        </w:rPr>
        <w:t>发现供应商在政府采购活动中有不正当竞争或恶意串通等违规行为，及时向政府采购评审工作的组织者或财政部门报告并加以制止。</w:t>
      </w:r>
    </w:p>
    <w:p>
      <w:pPr>
        <w:widowControl w:val="0"/>
        <w:numPr>
          <w:ilvl w:val="0"/>
          <w:numId w:val="60"/>
        </w:numPr>
        <w:tabs>
          <w:tab w:val="left" w:pos="1155"/>
        </w:tabs>
        <w:spacing w:after="200" w:line="360" w:lineRule="auto"/>
        <w:ind w:left="0" w:firstLine="525"/>
        <w:jc w:val="both"/>
        <w:rPr>
          <w:rFonts w:ascii="宋体" w:hAnsi="宋体"/>
          <w:color w:val="auto"/>
          <w:sz w:val="28"/>
          <w:szCs w:val="28"/>
          <w:highlight w:val="none"/>
        </w:rPr>
      </w:pPr>
      <w:r>
        <w:rPr>
          <w:rFonts w:hint="eastAsia" w:ascii="宋体" w:hAnsi="宋体"/>
          <w:color w:val="auto"/>
          <w:sz w:val="28"/>
          <w:szCs w:val="28"/>
          <w:highlight w:val="none"/>
        </w:rPr>
        <w:t>发现采购人、</w:t>
      </w:r>
      <w:r>
        <w:rPr>
          <w:rFonts w:hint="eastAsia" w:ascii="宋体" w:hAnsi="宋体" w:cs="宋体"/>
          <w:color w:val="auto"/>
          <w:sz w:val="28"/>
          <w:szCs w:val="28"/>
          <w:highlight w:val="none"/>
        </w:rPr>
        <w:t>高新区采购中心</w:t>
      </w:r>
      <w:r>
        <w:rPr>
          <w:rFonts w:hint="eastAsia" w:ascii="宋体" w:hAnsi="宋体"/>
          <w:color w:val="auto"/>
          <w:sz w:val="28"/>
          <w:szCs w:val="28"/>
          <w:highlight w:val="none"/>
        </w:rPr>
        <w:t>及其工作人员在政府采购活动中有干预评审、发表倾向性和歧视性言论、受贿或者接受供应商的其他好处及其他违法违规行为，及时向财政部门报告。</w:t>
      </w:r>
    </w:p>
    <w:p>
      <w:pPr>
        <w:widowControl w:val="0"/>
        <w:numPr>
          <w:ilvl w:val="0"/>
          <w:numId w:val="60"/>
        </w:numPr>
        <w:tabs>
          <w:tab w:val="left" w:pos="1155"/>
        </w:tabs>
        <w:spacing w:after="200" w:line="360" w:lineRule="auto"/>
        <w:ind w:left="0" w:firstLine="525"/>
        <w:jc w:val="both"/>
        <w:rPr>
          <w:rFonts w:ascii="宋体" w:hAnsi="宋体"/>
          <w:color w:val="auto"/>
          <w:sz w:val="28"/>
          <w:szCs w:val="28"/>
          <w:highlight w:val="none"/>
        </w:rPr>
      </w:pPr>
      <w:r>
        <w:rPr>
          <w:rFonts w:hint="eastAsia" w:ascii="宋体" w:hAnsi="宋体"/>
          <w:color w:val="auto"/>
          <w:sz w:val="28"/>
          <w:szCs w:val="28"/>
          <w:highlight w:val="none"/>
        </w:rPr>
        <w:t>解答有关方面对政府采购评审工作中有关问题的询问，配合采购人或者</w:t>
      </w:r>
      <w:r>
        <w:rPr>
          <w:rFonts w:hint="eastAsia" w:ascii="宋体" w:hAnsi="宋体" w:cs="宋体"/>
          <w:color w:val="auto"/>
          <w:sz w:val="28"/>
          <w:szCs w:val="28"/>
          <w:highlight w:val="none"/>
        </w:rPr>
        <w:t>高新区采购中心</w:t>
      </w:r>
      <w:r>
        <w:rPr>
          <w:rFonts w:hint="eastAsia" w:ascii="宋体" w:hAnsi="宋体"/>
          <w:color w:val="auto"/>
          <w:sz w:val="28"/>
          <w:szCs w:val="28"/>
          <w:highlight w:val="none"/>
        </w:rPr>
        <w:t>答复供应商的询问、质疑，配合财政部门的投诉处理工作等事宜。</w:t>
      </w:r>
    </w:p>
    <w:p>
      <w:pPr>
        <w:widowControl w:val="0"/>
        <w:numPr>
          <w:ilvl w:val="0"/>
          <w:numId w:val="60"/>
        </w:numPr>
        <w:tabs>
          <w:tab w:val="left" w:pos="1155"/>
        </w:tabs>
        <w:spacing w:after="200" w:line="360" w:lineRule="auto"/>
        <w:ind w:left="0" w:firstLine="525"/>
        <w:jc w:val="both"/>
        <w:rPr>
          <w:rFonts w:ascii="宋体" w:hAnsi="宋体"/>
          <w:color w:val="auto"/>
          <w:sz w:val="28"/>
          <w:szCs w:val="28"/>
          <w:highlight w:val="none"/>
        </w:rPr>
      </w:pPr>
      <w:r>
        <w:rPr>
          <w:rFonts w:hint="eastAsia" w:ascii="宋体" w:hAnsi="宋体"/>
          <w:color w:val="auto"/>
          <w:sz w:val="28"/>
          <w:szCs w:val="28"/>
          <w:highlight w:val="none"/>
        </w:rPr>
        <w:t>法律、法规和规章规定的其他义务。</w:t>
      </w:r>
    </w:p>
    <w:p>
      <w:pPr>
        <w:pStyle w:val="5"/>
        <w:numPr>
          <w:ilvl w:val="1"/>
          <w:numId w:val="57"/>
        </w:numPr>
        <w:spacing w:after="200"/>
        <w:ind w:left="1985" w:hanging="1985"/>
        <w:jc w:val="left"/>
        <w:rPr>
          <w:color w:val="auto"/>
          <w:highlight w:val="none"/>
        </w:rPr>
      </w:pPr>
      <w:bookmarkStart w:id="255" w:name="_Toc54948237"/>
      <w:bookmarkStart w:id="256" w:name="_Toc8735"/>
      <w:bookmarkStart w:id="257" w:name="_Toc5010"/>
      <w:bookmarkStart w:id="258" w:name="_Toc72938469"/>
      <w:r>
        <w:rPr>
          <w:rFonts w:hint="eastAsia"/>
          <w:color w:val="auto"/>
          <w:highlight w:val="none"/>
        </w:rPr>
        <w:t>磋商小组及其成员不得有下列行为</w:t>
      </w:r>
      <w:bookmarkEnd w:id="255"/>
      <w:bookmarkEnd w:id="256"/>
      <w:bookmarkEnd w:id="257"/>
      <w:bookmarkEnd w:id="258"/>
    </w:p>
    <w:p>
      <w:pPr>
        <w:widowControl w:val="0"/>
        <w:numPr>
          <w:ilvl w:val="0"/>
          <w:numId w:val="61"/>
        </w:numPr>
        <w:tabs>
          <w:tab w:val="left" w:pos="1155"/>
        </w:tabs>
        <w:spacing w:after="200" w:line="360" w:lineRule="auto"/>
        <w:ind w:left="0" w:firstLine="568"/>
        <w:jc w:val="both"/>
        <w:rPr>
          <w:rFonts w:ascii="宋体" w:hAnsi="宋体"/>
          <w:color w:val="auto"/>
          <w:sz w:val="28"/>
          <w:szCs w:val="28"/>
          <w:highlight w:val="none"/>
        </w:rPr>
      </w:pPr>
      <w:r>
        <w:rPr>
          <w:rFonts w:hint="eastAsia" w:ascii="宋体" w:hAnsi="宋体"/>
          <w:color w:val="auto"/>
          <w:sz w:val="28"/>
          <w:szCs w:val="28"/>
          <w:highlight w:val="none"/>
        </w:rPr>
        <w:t>确定参与磋商后，至递交施工响应文件截止时间前私自接触供应商；</w:t>
      </w:r>
    </w:p>
    <w:p>
      <w:pPr>
        <w:widowControl w:val="0"/>
        <w:numPr>
          <w:ilvl w:val="0"/>
          <w:numId w:val="61"/>
        </w:numPr>
        <w:tabs>
          <w:tab w:val="left" w:pos="1155"/>
        </w:tabs>
        <w:spacing w:after="200" w:line="360" w:lineRule="auto"/>
        <w:ind w:left="0" w:firstLine="568"/>
        <w:jc w:val="both"/>
        <w:rPr>
          <w:rFonts w:ascii="宋体" w:hAnsi="宋体"/>
          <w:color w:val="auto"/>
          <w:sz w:val="28"/>
          <w:szCs w:val="28"/>
          <w:highlight w:val="none"/>
        </w:rPr>
      </w:pPr>
      <w:r>
        <w:rPr>
          <w:rFonts w:hint="eastAsia" w:ascii="宋体" w:hAnsi="宋体"/>
          <w:color w:val="auto"/>
          <w:sz w:val="28"/>
          <w:szCs w:val="28"/>
          <w:highlight w:val="none"/>
        </w:rPr>
        <w:t>违反评审纪律发表倾向性意见或者征询采购人的倾向性意见；</w:t>
      </w:r>
    </w:p>
    <w:p>
      <w:pPr>
        <w:widowControl w:val="0"/>
        <w:numPr>
          <w:ilvl w:val="0"/>
          <w:numId w:val="61"/>
        </w:numPr>
        <w:tabs>
          <w:tab w:val="left" w:pos="1155"/>
        </w:tabs>
        <w:spacing w:after="200" w:line="360" w:lineRule="auto"/>
        <w:ind w:left="0" w:firstLine="568"/>
        <w:jc w:val="both"/>
        <w:rPr>
          <w:rFonts w:ascii="宋体" w:hAnsi="宋体"/>
          <w:color w:val="auto"/>
          <w:sz w:val="28"/>
          <w:szCs w:val="28"/>
          <w:highlight w:val="none"/>
        </w:rPr>
      </w:pPr>
      <w:r>
        <w:rPr>
          <w:rFonts w:hint="eastAsia" w:ascii="宋体" w:hAnsi="宋体"/>
          <w:color w:val="auto"/>
          <w:sz w:val="28"/>
          <w:szCs w:val="28"/>
          <w:highlight w:val="none"/>
        </w:rPr>
        <w:t>对需要专业判断的主观评审因素协商评分；</w:t>
      </w:r>
    </w:p>
    <w:p>
      <w:pPr>
        <w:widowControl w:val="0"/>
        <w:numPr>
          <w:ilvl w:val="0"/>
          <w:numId w:val="61"/>
        </w:numPr>
        <w:tabs>
          <w:tab w:val="left" w:pos="1155"/>
        </w:tabs>
        <w:spacing w:after="200" w:line="360" w:lineRule="auto"/>
        <w:ind w:left="0" w:firstLine="568"/>
        <w:jc w:val="both"/>
        <w:rPr>
          <w:rFonts w:ascii="宋体" w:hAnsi="宋体"/>
          <w:color w:val="auto"/>
          <w:sz w:val="28"/>
          <w:szCs w:val="28"/>
          <w:highlight w:val="none"/>
        </w:rPr>
      </w:pPr>
      <w:r>
        <w:rPr>
          <w:rFonts w:hint="eastAsia" w:ascii="宋体" w:hAnsi="宋体"/>
          <w:color w:val="auto"/>
          <w:sz w:val="28"/>
          <w:szCs w:val="28"/>
          <w:highlight w:val="none"/>
        </w:rPr>
        <w:t>在评审过程中擅离职守，影响磋商程序正常进行的；</w:t>
      </w:r>
    </w:p>
    <w:p>
      <w:pPr>
        <w:widowControl w:val="0"/>
        <w:numPr>
          <w:ilvl w:val="0"/>
          <w:numId w:val="61"/>
        </w:numPr>
        <w:tabs>
          <w:tab w:val="left" w:pos="1155"/>
        </w:tabs>
        <w:spacing w:after="200" w:line="360" w:lineRule="auto"/>
        <w:ind w:left="0" w:firstLine="568"/>
        <w:jc w:val="both"/>
        <w:rPr>
          <w:rFonts w:ascii="宋体" w:hAnsi="宋体"/>
          <w:color w:val="auto"/>
          <w:sz w:val="28"/>
          <w:szCs w:val="28"/>
          <w:highlight w:val="none"/>
        </w:rPr>
      </w:pPr>
      <w:r>
        <w:rPr>
          <w:rFonts w:hint="eastAsia" w:ascii="宋体" w:hAnsi="宋体"/>
          <w:color w:val="auto"/>
          <w:sz w:val="28"/>
          <w:szCs w:val="28"/>
          <w:highlight w:val="none"/>
        </w:rPr>
        <w:t>记录、复制或者带走任何评审资料；</w:t>
      </w:r>
    </w:p>
    <w:p>
      <w:pPr>
        <w:widowControl w:val="0"/>
        <w:numPr>
          <w:ilvl w:val="0"/>
          <w:numId w:val="61"/>
        </w:numPr>
        <w:tabs>
          <w:tab w:val="left" w:pos="1155"/>
        </w:tabs>
        <w:spacing w:after="200" w:line="360" w:lineRule="auto"/>
        <w:ind w:left="0" w:firstLine="568"/>
        <w:jc w:val="both"/>
        <w:rPr>
          <w:rFonts w:ascii="宋体" w:hAnsi="宋体"/>
          <w:color w:val="auto"/>
          <w:sz w:val="28"/>
          <w:szCs w:val="28"/>
          <w:highlight w:val="none"/>
        </w:rPr>
      </w:pPr>
      <w:r>
        <w:rPr>
          <w:rFonts w:hint="eastAsia" w:ascii="宋体" w:hAnsi="宋体"/>
          <w:color w:val="auto"/>
          <w:sz w:val="28"/>
          <w:szCs w:val="28"/>
          <w:highlight w:val="none"/>
        </w:rPr>
        <w:t>其他不遵守评审纪律的行为。</w:t>
      </w:r>
    </w:p>
    <w:p>
      <w:pPr>
        <w:spacing w:line="360" w:lineRule="auto"/>
        <w:ind w:firstLine="560" w:firstLineChars="200"/>
        <w:rPr>
          <w:color w:val="auto"/>
          <w:sz w:val="28"/>
          <w:szCs w:val="28"/>
          <w:highlight w:val="none"/>
        </w:rPr>
      </w:pPr>
      <w:r>
        <w:rPr>
          <w:rFonts w:hint="eastAsia"/>
          <w:color w:val="auto"/>
          <w:sz w:val="28"/>
          <w:szCs w:val="28"/>
          <w:highlight w:val="none"/>
        </w:rPr>
        <w:t>磋商有前款第一至四项行为之一的，其评审意见无效，并不得获取评审劳务报酬和报销异地评审差旅费。</w:t>
      </w:r>
    </w:p>
    <w:p>
      <w:pPr>
        <w:pStyle w:val="5"/>
        <w:numPr>
          <w:ilvl w:val="1"/>
          <w:numId w:val="57"/>
        </w:numPr>
        <w:spacing w:after="200"/>
        <w:ind w:left="1985" w:hanging="1985"/>
        <w:jc w:val="left"/>
        <w:rPr>
          <w:color w:val="auto"/>
          <w:highlight w:val="none"/>
        </w:rPr>
      </w:pPr>
      <w:bookmarkStart w:id="259" w:name="_Toc54948238"/>
      <w:bookmarkStart w:id="260" w:name="_Toc7058"/>
      <w:bookmarkStart w:id="261" w:name="_Toc27782"/>
      <w:bookmarkStart w:id="262" w:name="_Toc72938470"/>
      <w:r>
        <w:rPr>
          <w:rFonts w:hint="eastAsia"/>
          <w:color w:val="auto"/>
          <w:highlight w:val="none"/>
        </w:rPr>
        <w:t>磋商纪律</w:t>
      </w:r>
      <w:bookmarkEnd w:id="259"/>
      <w:bookmarkEnd w:id="260"/>
      <w:bookmarkEnd w:id="261"/>
      <w:bookmarkEnd w:id="262"/>
    </w:p>
    <w:p>
      <w:pPr>
        <w:snapToGrid w:val="0"/>
        <w:spacing w:line="360" w:lineRule="auto"/>
        <w:ind w:firstLine="560" w:firstLineChars="200"/>
        <w:rPr>
          <w:color w:val="auto"/>
          <w:sz w:val="28"/>
          <w:szCs w:val="28"/>
          <w:highlight w:val="none"/>
        </w:rPr>
      </w:pPr>
      <w:r>
        <w:rPr>
          <w:rFonts w:hint="eastAsia"/>
          <w:color w:val="auto"/>
          <w:sz w:val="28"/>
          <w:szCs w:val="28"/>
          <w:highlight w:val="none"/>
        </w:rPr>
        <w:t>磋商小组成员在政府采购活动中应当遵守以下工作纪律：</w:t>
      </w:r>
    </w:p>
    <w:p>
      <w:pPr>
        <w:widowControl w:val="0"/>
        <w:numPr>
          <w:ilvl w:val="0"/>
          <w:numId w:val="62"/>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遵行《政府采购法》第十二条和《政府采购法实施条例》第九条及政府采购相关法律法规关于回避的规定。</w:t>
      </w:r>
    </w:p>
    <w:p>
      <w:pPr>
        <w:widowControl w:val="0"/>
        <w:numPr>
          <w:ilvl w:val="0"/>
          <w:numId w:val="62"/>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应邀按时参加评审和咨询活动，遵守评标区管理规定。</w:t>
      </w:r>
    </w:p>
    <w:p>
      <w:pPr>
        <w:widowControl w:val="0"/>
        <w:numPr>
          <w:ilvl w:val="0"/>
          <w:numId w:val="62"/>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进入评标区之前应将所有的通信设备存入公资交易中心指定的存放处。评审专家不得以任何方式将通信设备带入评标区，否则将被取消其当次项目的评审资格。遇特殊情况不能出席或途中遇阻不能按时参加评审或咨询的，应及时告知财政部门或者采购人或者</w:t>
      </w:r>
      <w:r>
        <w:rPr>
          <w:rFonts w:hint="eastAsia" w:ascii="宋体" w:hAnsi="宋体" w:cs="宋体"/>
          <w:color w:val="auto"/>
          <w:sz w:val="28"/>
          <w:szCs w:val="28"/>
          <w:highlight w:val="none"/>
        </w:rPr>
        <w:t>高新区采购中心</w:t>
      </w:r>
      <w:r>
        <w:rPr>
          <w:rFonts w:hint="eastAsia" w:ascii="宋体" w:hAnsi="宋体"/>
          <w:color w:val="auto"/>
          <w:sz w:val="28"/>
          <w:szCs w:val="28"/>
          <w:highlight w:val="none"/>
        </w:rPr>
        <w:t>，不得私自转托他人。</w:t>
      </w:r>
    </w:p>
    <w:p>
      <w:pPr>
        <w:widowControl w:val="0"/>
        <w:numPr>
          <w:ilvl w:val="0"/>
          <w:numId w:val="62"/>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不得参加与自己有利害关系的政府采购项目的评审活动。对与自己有利害关系的评审项目，如受到邀请，应主动提出回避。财政部门、采购人或</w:t>
      </w:r>
      <w:r>
        <w:rPr>
          <w:rFonts w:hint="eastAsia" w:ascii="宋体" w:hAnsi="宋体" w:cs="宋体"/>
          <w:color w:val="auto"/>
          <w:sz w:val="28"/>
          <w:szCs w:val="28"/>
          <w:highlight w:val="none"/>
        </w:rPr>
        <w:t>高新区采购中心</w:t>
      </w:r>
      <w:r>
        <w:rPr>
          <w:rFonts w:hint="eastAsia" w:ascii="宋体" w:hAnsi="宋体"/>
          <w:color w:val="auto"/>
          <w:sz w:val="28"/>
          <w:szCs w:val="28"/>
          <w:highlight w:val="none"/>
        </w:rPr>
        <w:t>也可要求该评审专家回避。</w:t>
      </w:r>
    </w:p>
    <w:p>
      <w:pPr>
        <w:widowControl w:val="0"/>
        <w:numPr>
          <w:ilvl w:val="0"/>
          <w:numId w:val="62"/>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评审过程中关闭通讯设备，不得与外界联系。因发生不可预见情况，确实需要与外界联系的，应告知评标区值守人员，使用评标区内由公资交易中心提供的通信设备，在监督人员监督之下办理。</w:t>
      </w:r>
    </w:p>
    <w:p>
      <w:pPr>
        <w:widowControl w:val="0"/>
        <w:numPr>
          <w:ilvl w:val="0"/>
          <w:numId w:val="62"/>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评审过程中，不得发表影响评审公正的倾向性、歧视性言论；不得征询或者接受采购人的倾向性意见；不得协商评分；不得以竞争性磋商文件没有规定的方法和标准作为评审的依据；不得违反规定的评审格式评分和撰写评审意见；不得拒绝对自己的评审意见签字确认。</w:t>
      </w:r>
    </w:p>
    <w:p>
      <w:pPr>
        <w:widowControl w:val="0"/>
        <w:numPr>
          <w:ilvl w:val="0"/>
          <w:numId w:val="62"/>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在磋商过程中和磋商结束后，不得记录、复制或带走任何评审资料，除因规定的义务外，不得向外界透露评审内容。</w:t>
      </w:r>
    </w:p>
    <w:p>
      <w:pPr>
        <w:widowControl w:val="0"/>
        <w:numPr>
          <w:ilvl w:val="0"/>
          <w:numId w:val="62"/>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服从评审现场市公资交易中心的现场秩序管理，接受评审现场监督人员的合法监督。</w:t>
      </w:r>
    </w:p>
    <w:p>
      <w:pPr>
        <w:widowControl w:val="0"/>
        <w:numPr>
          <w:ilvl w:val="0"/>
          <w:numId w:val="62"/>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遵守有关廉洁自律规定，不得私下接触供应商，不得收受供应商及有关业务单位和个人的财物或好处，不得接受采购组织单位的请托。</w:t>
      </w:r>
    </w:p>
    <w:p>
      <w:pPr>
        <w:widowControl w:val="0"/>
        <w:numPr>
          <w:ilvl w:val="0"/>
          <w:numId w:val="62"/>
        </w:numPr>
        <w:tabs>
          <w:tab w:val="left" w:pos="1155"/>
        </w:tabs>
        <w:spacing w:after="200" w:line="360" w:lineRule="auto"/>
        <w:ind w:left="0" w:firstLine="527"/>
        <w:jc w:val="both"/>
        <w:rPr>
          <w:rFonts w:ascii="宋体" w:hAnsi="宋体"/>
          <w:color w:val="auto"/>
          <w:sz w:val="28"/>
          <w:szCs w:val="28"/>
          <w:highlight w:val="none"/>
        </w:rPr>
      </w:pPr>
      <w:r>
        <w:rPr>
          <w:rFonts w:hint="eastAsia" w:ascii="宋体" w:hAnsi="宋体"/>
          <w:color w:val="auto"/>
          <w:sz w:val="28"/>
          <w:szCs w:val="28"/>
          <w:highlight w:val="none"/>
        </w:rPr>
        <w:t>在咨询工作中，严格执行国家产业政策和产品标准，认真听取咨询方的合理要求，提出科学合理的、无倾向性和歧视性的咨询方案，并对所提出的意见和建议承担个人责任。</w:t>
      </w:r>
    </w:p>
    <w:p>
      <w:pPr>
        <w:tabs>
          <w:tab w:val="left" w:pos="1155"/>
        </w:tabs>
        <w:spacing w:line="360" w:lineRule="auto"/>
        <w:ind w:firstLine="523" w:firstLineChars="187"/>
        <w:rPr>
          <w:rFonts w:ascii="宋体" w:hAnsi="宋体"/>
          <w:color w:val="auto"/>
          <w:sz w:val="28"/>
          <w:szCs w:val="28"/>
          <w:highlight w:val="none"/>
        </w:rPr>
      </w:pPr>
      <w:r>
        <w:rPr>
          <w:rFonts w:hint="eastAsia" w:ascii="宋体" w:hAnsi="宋体"/>
          <w:color w:val="auto"/>
          <w:sz w:val="28"/>
          <w:szCs w:val="28"/>
          <w:highlight w:val="none"/>
        </w:rPr>
        <w:t>十一、有关部门（机构）制定的其他评审工作纪律。</w:t>
      </w:r>
    </w:p>
    <w:p>
      <w:pPr>
        <w:pStyle w:val="2"/>
        <w:rPr>
          <w:color w:val="auto"/>
          <w:highlight w:val="none"/>
        </w:rPr>
      </w:pPr>
    </w:p>
    <w:p>
      <w:pPr>
        <w:rPr>
          <w:color w:val="auto"/>
          <w:highlight w:val="none"/>
        </w:rPr>
      </w:pPr>
      <w:bookmarkStart w:id="263" w:name="_Toc72938471"/>
      <w:r>
        <w:rPr>
          <w:rFonts w:hint="eastAsia"/>
          <w:color w:val="auto"/>
          <w:highlight w:val="none"/>
        </w:rPr>
        <w:br w:type="page"/>
      </w:r>
    </w:p>
    <w:p>
      <w:pPr>
        <w:pStyle w:val="4"/>
        <w:numPr>
          <w:ilvl w:val="0"/>
          <w:numId w:val="1"/>
        </w:numPr>
        <w:spacing w:before="0" w:after="0"/>
        <w:ind w:left="0" w:firstLine="0"/>
        <w:rPr>
          <w:color w:val="auto"/>
          <w:highlight w:val="none"/>
        </w:rPr>
      </w:pPr>
      <w:bookmarkStart w:id="264" w:name="_Toc30981"/>
      <w:bookmarkStart w:id="265" w:name="_Toc8614"/>
      <w:r>
        <w:rPr>
          <w:rFonts w:hint="eastAsia"/>
          <w:color w:val="auto"/>
          <w:highlight w:val="none"/>
        </w:rPr>
        <w:t>政府</w:t>
      </w:r>
      <w:r>
        <w:rPr>
          <w:color w:val="auto"/>
          <w:highlight w:val="none"/>
        </w:rPr>
        <w:t>采购</w:t>
      </w:r>
      <w:r>
        <w:rPr>
          <w:rFonts w:hint="eastAsia"/>
          <w:color w:val="auto"/>
          <w:highlight w:val="none"/>
        </w:rPr>
        <w:t>合同草案</w:t>
      </w:r>
      <w:bookmarkEnd w:id="263"/>
      <w:bookmarkEnd w:id="264"/>
      <w:bookmarkEnd w:id="265"/>
    </w:p>
    <w:p>
      <w:pPr>
        <w:pStyle w:val="4"/>
        <w:spacing w:before="240" w:after="240"/>
        <w:rPr>
          <w:rFonts w:ascii="仿宋_GB2312" w:hAnsi="Arial" w:eastAsia="仿宋_GB2312"/>
          <w:color w:val="auto"/>
          <w:sz w:val="36"/>
          <w:highlight w:val="none"/>
        </w:rPr>
      </w:pPr>
      <w:bookmarkStart w:id="266" w:name="_Toc9085"/>
      <w:bookmarkStart w:id="267" w:name="_Toc13566"/>
      <w:bookmarkStart w:id="268" w:name="_Toc296346614"/>
      <w:bookmarkStart w:id="269" w:name="_Toc337558811"/>
      <w:bookmarkStart w:id="270" w:name="_Toc296503113"/>
      <w:r>
        <w:rPr>
          <w:rFonts w:hint="eastAsia" w:ascii="仿宋_GB2312" w:hAnsi="Arial" w:eastAsia="仿宋_GB2312"/>
          <w:color w:val="auto"/>
          <w:sz w:val="36"/>
          <w:highlight w:val="none"/>
        </w:rPr>
        <w:t>建筑装饰工程施工合同</w:t>
      </w:r>
      <w:bookmarkEnd w:id="266"/>
      <w:bookmarkEnd w:id="267"/>
    </w:p>
    <w:p>
      <w:pPr>
        <w:spacing w:line="312" w:lineRule="auto"/>
        <w:rPr>
          <w:rFonts w:ascii="宋体" w:hAnsi="宋体"/>
          <w:color w:val="auto"/>
          <w:highlight w:val="none"/>
        </w:rPr>
      </w:pPr>
    </w:p>
    <w:p>
      <w:pPr>
        <w:spacing w:line="360" w:lineRule="auto"/>
        <w:rPr>
          <w:rFonts w:hint="eastAsia" w:ascii="宋体" w:hAnsi="宋体" w:eastAsia="宋体"/>
          <w:color w:val="auto"/>
          <w:highlight w:val="none"/>
          <w:u w:val="single"/>
          <w:lang w:eastAsia="zh-CN"/>
        </w:rPr>
      </w:pPr>
      <w:r>
        <w:rPr>
          <w:rFonts w:hint="eastAsia" w:ascii="宋体" w:hAnsi="宋体"/>
          <w:color w:val="auto"/>
          <w:highlight w:val="none"/>
        </w:rPr>
        <w:t>发包方（甲方）：</w:t>
      </w:r>
      <w:r>
        <w:rPr>
          <w:rFonts w:hint="eastAsia"/>
          <w:color w:val="auto"/>
          <w:highlight w:val="none"/>
          <w:u w:val="single"/>
          <w:lang w:eastAsia="zh-CN"/>
        </w:rPr>
        <w:t>成都高新区合作街道办事处</w:t>
      </w:r>
    </w:p>
    <w:p>
      <w:pPr>
        <w:spacing w:line="360" w:lineRule="auto"/>
        <w:rPr>
          <w:rFonts w:ascii="宋体" w:hAnsi="宋体"/>
          <w:color w:val="auto"/>
          <w:highlight w:val="none"/>
          <w:u w:val="single"/>
        </w:rPr>
      </w:pPr>
      <w:r>
        <w:rPr>
          <w:rFonts w:hint="eastAsia" w:ascii="宋体" w:hAnsi="宋体"/>
          <w:color w:val="auto"/>
          <w:highlight w:val="none"/>
        </w:rPr>
        <w:t>承包方（乙方）：</w:t>
      </w:r>
      <w:r>
        <w:rPr>
          <w:rFonts w:hint="eastAsia" w:ascii="宋体" w:hAnsi="宋体"/>
          <w:color w:val="auto"/>
          <w:highlight w:val="none"/>
          <w:u w:val="single"/>
        </w:rPr>
        <w:t xml:space="preserve">                                    </w:t>
      </w:r>
    </w:p>
    <w:p>
      <w:pPr>
        <w:spacing w:line="360" w:lineRule="auto"/>
        <w:ind w:firstLine="480" w:firstLineChars="200"/>
        <w:rPr>
          <w:rFonts w:ascii="宋体" w:hAnsi="宋体"/>
          <w:color w:val="auto"/>
          <w:highlight w:val="none"/>
        </w:rPr>
      </w:pPr>
      <w:r>
        <w:rPr>
          <w:rFonts w:hint="eastAsia" w:ascii="宋体" w:hAnsi="宋体"/>
          <w:color w:val="auto"/>
          <w:highlight w:val="none"/>
        </w:rPr>
        <w:t>按照《</w:t>
      </w:r>
      <w:r>
        <w:rPr>
          <w:rFonts w:hint="eastAsia"/>
          <w:color w:val="auto"/>
          <w:highlight w:val="none"/>
        </w:rPr>
        <w:t>中华人民共和国民法典</w:t>
      </w:r>
      <w:r>
        <w:rPr>
          <w:rFonts w:hint="eastAsia" w:ascii="宋体" w:hAnsi="宋体"/>
          <w:color w:val="auto"/>
          <w:highlight w:val="none"/>
        </w:rPr>
        <w:t>》和《建筑法》的规定，结合本工程具体情况，双方达成如下协议。</w:t>
      </w:r>
    </w:p>
    <w:p>
      <w:pPr>
        <w:spacing w:line="360" w:lineRule="auto"/>
        <w:ind w:firstLine="482" w:firstLineChars="200"/>
        <w:rPr>
          <w:rFonts w:ascii="宋体" w:hAnsi="宋体"/>
          <w:b/>
          <w:color w:val="auto"/>
          <w:highlight w:val="none"/>
        </w:rPr>
      </w:pPr>
      <w:r>
        <w:rPr>
          <w:rFonts w:hint="eastAsia" w:ascii="宋体" w:hAnsi="宋体"/>
          <w:b/>
          <w:color w:val="auto"/>
          <w:highlight w:val="none"/>
        </w:rPr>
        <w:t>第1条  工程概况</w:t>
      </w:r>
    </w:p>
    <w:p>
      <w:pPr>
        <w:spacing w:line="360" w:lineRule="auto"/>
        <w:ind w:firstLine="480" w:firstLineChars="200"/>
        <w:rPr>
          <w:color w:val="auto"/>
          <w:highlight w:val="none"/>
        </w:rPr>
      </w:pPr>
      <w:r>
        <w:rPr>
          <w:rFonts w:hint="eastAsia" w:ascii="宋体" w:hAnsi="宋体"/>
          <w:color w:val="auto"/>
          <w:highlight w:val="none"/>
        </w:rPr>
        <w:t>1</w:t>
      </w:r>
      <w:r>
        <w:rPr>
          <w:rFonts w:ascii="宋体" w:hAnsi="宋体"/>
          <w:color w:val="auto"/>
          <w:highlight w:val="none"/>
        </w:rPr>
        <w:t>.1</w:t>
      </w:r>
      <w:r>
        <w:rPr>
          <w:rFonts w:hint="eastAsia" w:ascii="宋体" w:hAnsi="宋体"/>
          <w:color w:val="auto"/>
          <w:highlight w:val="none"/>
        </w:rPr>
        <w:t>工程名称：</w:t>
      </w:r>
      <w:r>
        <w:rPr>
          <w:rFonts w:hint="eastAsia"/>
          <w:color w:val="auto"/>
          <w:highlight w:val="none"/>
          <w:u w:val="single"/>
        </w:rPr>
        <w:t xml:space="preserve">                                                   </w:t>
      </w:r>
      <w:r>
        <w:rPr>
          <w:rFonts w:hint="eastAsia"/>
          <w:color w:val="auto"/>
          <w:highlight w:val="none"/>
        </w:rPr>
        <w:t xml:space="preserve">             </w:t>
      </w:r>
    </w:p>
    <w:p>
      <w:pPr>
        <w:spacing w:line="360" w:lineRule="auto"/>
        <w:ind w:firstLine="480" w:firstLineChars="200"/>
        <w:rPr>
          <w:color w:val="auto"/>
          <w:highlight w:val="none"/>
        </w:rPr>
      </w:pPr>
      <w:r>
        <w:rPr>
          <w:rFonts w:hint="eastAsia"/>
          <w:color w:val="auto"/>
          <w:highlight w:val="none"/>
        </w:rPr>
        <w:t xml:space="preserve">    工程地点：</w:t>
      </w:r>
      <w:r>
        <w:rPr>
          <w:rFonts w:hint="eastAsia"/>
          <w:color w:val="auto"/>
          <w:highlight w:val="none"/>
          <w:u w:val="single"/>
        </w:rPr>
        <w:t xml:space="preserve">                                                   </w:t>
      </w:r>
      <w:r>
        <w:rPr>
          <w:rFonts w:hint="eastAsia"/>
          <w:color w:val="auto"/>
          <w:highlight w:val="none"/>
        </w:rPr>
        <w:t xml:space="preserve">            </w:t>
      </w:r>
    </w:p>
    <w:p>
      <w:pPr>
        <w:spacing w:line="360" w:lineRule="auto"/>
        <w:ind w:firstLine="480" w:firstLineChars="200"/>
        <w:rPr>
          <w:rFonts w:ascii="宋体" w:hAnsi="宋体"/>
          <w:color w:val="auto"/>
          <w:highlight w:val="none"/>
          <w:u w:val="single"/>
        </w:rPr>
      </w:pPr>
      <w:r>
        <w:rPr>
          <w:rFonts w:hint="eastAsia"/>
          <w:color w:val="auto"/>
          <w:highlight w:val="none"/>
        </w:rPr>
        <w:t xml:space="preserve">    承包范围：</w:t>
      </w:r>
      <w:r>
        <w:rPr>
          <w:rFonts w:hint="eastAsia"/>
          <w:color w:val="auto"/>
          <w:highlight w:val="none"/>
          <w:u w:val="single"/>
        </w:rPr>
        <w:t>工程设计图纸和甲方提供的相应工程量清单所包含的</w:t>
      </w:r>
      <w:r>
        <w:rPr>
          <w:rFonts w:hint="eastAsia" w:ascii="宋体" w:hAnsi="宋体"/>
          <w:color w:val="auto"/>
          <w:highlight w:val="none"/>
          <w:u w:val="single"/>
        </w:rPr>
        <w:t>全部施工内容</w:t>
      </w:r>
      <w:r>
        <w:rPr>
          <w:rFonts w:hint="eastAsia"/>
          <w:color w:val="auto"/>
          <w:highlight w:val="none"/>
          <w:u w:val="single"/>
        </w:rPr>
        <w:t xml:space="preserve"> </w:t>
      </w:r>
      <w:r>
        <w:rPr>
          <w:rFonts w:hint="eastAsia" w:ascii="宋体" w:hAnsi="宋体"/>
          <w:color w:val="auto"/>
          <w:highlight w:val="none"/>
          <w:u w:val="single"/>
        </w:rPr>
        <w:t xml:space="preserve"> </w:t>
      </w:r>
    </w:p>
    <w:p>
      <w:pPr>
        <w:spacing w:line="360" w:lineRule="auto"/>
        <w:ind w:firstLine="960" w:firstLineChars="400"/>
        <w:rPr>
          <w:rFonts w:ascii="宋体" w:hAnsi="宋体"/>
          <w:color w:val="auto"/>
          <w:highlight w:val="none"/>
          <w:u w:val="single"/>
        </w:rPr>
      </w:pPr>
      <w:r>
        <w:rPr>
          <w:rFonts w:hint="eastAsia" w:ascii="宋体" w:hAnsi="宋体"/>
          <w:color w:val="auto"/>
          <w:highlight w:val="none"/>
        </w:rPr>
        <w:t>承包方式：</w:t>
      </w:r>
      <w:r>
        <w:rPr>
          <w:rFonts w:hint="eastAsia" w:ascii="宋体" w:hAnsi="宋体"/>
          <w:color w:val="auto"/>
          <w:highlight w:val="none"/>
          <w:u w:val="single"/>
        </w:rPr>
        <w:t xml:space="preserve">   工程施工总承包                       </w:t>
      </w:r>
    </w:p>
    <w:p>
      <w:pPr>
        <w:spacing w:line="360" w:lineRule="auto"/>
        <w:ind w:left="960" w:leftChars="200" w:hanging="480" w:hangingChars="200"/>
        <w:rPr>
          <w:rFonts w:ascii="宋体" w:hAnsi="宋体"/>
          <w:color w:val="auto"/>
          <w:highlight w:val="none"/>
          <w:u w:val="single"/>
        </w:rPr>
      </w:pPr>
      <w:r>
        <w:rPr>
          <w:rFonts w:hint="eastAsia" w:ascii="宋体" w:hAnsi="宋体"/>
          <w:color w:val="auto"/>
          <w:highlight w:val="none"/>
        </w:rPr>
        <w:t>1</w:t>
      </w:r>
      <w:r>
        <w:rPr>
          <w:rFonts w:ascii="宋体" w:hAnsi="宋体"/>
          <w:color w:val="auto"/>
          <w:highlight w:val="none"/>
        </w:rPr>
        <w:t xml:space="preserve">.2 </w:t>
      </w:r>
      <w:r>
        <w:rPr>
          <w:rFonts w:hint="eastAsia" w:ascii="宋体" w:hAnsi="宋体"/>
          <w:color w:val="auto"/>
          <w:highlight w:val="none"/>
        </w:rPr>
        <w:t>开工日期：</w:t>
      </w:r>
      <w:r>
        <w:rPr>
          <w:rFonts w:hint="eastAsia" w:ascii="宋体" w:hAnsi="宋体"/>
          <w:color w:val="auto"/>
          <w:highlight w:val="none"/>
          <w:u w:val="single"/>
        </w:rPr>
        <w:t xml:space="preserve">                                         </w:t>
      </w:r>
    </w:p>
    <w:p>
      <w:pPr>
        <w:spacing w:line="360" w:lineRule="auto"/>
        <w:ind w:left="1027" w:leftChars="428"/>
        <w:rPr>
          <w:rFonts w:ascii="宋体" w:hAnsi="宋体"/>
          <w:color w:val="auto"/>
          <w:highlight w:val="none"/>
          <w:u w:val="single"/>
        </w:rPr>
      </w:pPr>
      <w:r>
        <w:rPr>
          <w:rFonts w:hint="eastAsia" w:ascii="宋体" w:hAnsi="宋体"/>
          <w:color w:val="auto"/>
          <w:highlight w:val="none"/>
        </w:rPr>
        <w:t>竣工日期：</w:t>
      </w:r>
      <w:r>
        <w:rPr>
          <w:rFonts w:hint="eastAsia" w:ascii="宋体" w:hAnsi="宋体"/>
          <w:color w:val="auto"/>
          <w:highlight w:val="none"/>
          <w:u w:val="single"/>
        </w:rPr>
        <w:t xml:space="preserve">                                        </w:t>
      </w:r>
    </w:p>
    <w:p>
      <w:pPr>
        <w:spacing w:line="360" w:lineRule="auto"/>
        <w:ind w:firstLine="900" w:firstLineChars="375"/>
        <w:rPr>
          <w:rFonts w:ascii="宋体" w:hAnsi="宋体"/>
          <w:color w:val="auto"/>
          <w:highlight w:val="none"/>
          <w:u w:val="single"/>
        </w:rPr>
      </w:pPr>
      <w:r>
        <w:rPr>
          <w:rFonts w:hint="eastAsia" w:ascii="宋体" w:hAnsi="宋体"/>
          <w:color w:val="auto"/>
          <w:highlight w:val="none"/>
        </w:rPr>
        <w:t>总日历工期天数：</w:t>
      </w:r>
      <w:r>
        <w:rPr>
          <w:rFonts w:hint="eastAsia" w:ascii="宋体" w:hAnsi="宋体"/>
          <w:color w:val="auto"/>
          <w:highlight w:val="none"/>
          <w:u w:val="single"/>
        </w:rPr>
        <w:t xml:space="preserve">                                    </w:t>
      </w:r>
    </w:p>
    <w:p>
      <w:pPr>
        <w:spacing w:line="360" w:lineRule="auto"/>
        <w:ind w:firstLine="480" w:firstLineChars="200"/>
        <w:rPr>
          <w:rFonts w:ascii="宋体" w:hAnsi="宋体"/>
          <w:color w:val="auto"/>
          <w:highlight w:val="none"/>
        </w:rPr>
      </w:pPr>
      <w:r>
        <w:rPr>
          <w:rFonts w:ascii="宋体" w:hAnsi="宋体"/>
          <w:color w:val="auto"/>
          <w:highlight w:val="none"/>
        </w:rPr>
        <w:t>1.</w:t>
      </w:r>
      <w:r>
        <w:rPr>
          <w:rFonts w:hint="eastAsia" w:ascii="宋体" w:hAnsi="宋体"/>
          <w:color w:val="auto"/>
          <w:highlight w:val="none"/>
        </w:rPr>
        <w:t xml:space="preserve">3 合同价款： </w:t>
      </w:r>
    </w:p>
    <w:p>
      <w:pPr>
        <w:spacing w:line="360" w:lineRule="auto"/>
        <w:ind w:firstLine="900" w:firstLineChars="375"/>
        <w:rPr>
          <w:rFonts w:ascii="宋体" w:hAnsi="宋体"/>
          <w:color w:val="auto"/>
          <w:highlight w:val="none"/>
          <w:u w:val="single"/>
        </w:rPr>
      </w:pPr>
      <w:r>
        <w:rPr>
          <w:rFonts w:hint="eastAsia" w:ascii="宋体" w:hAnsi="宋体"/>
          <w:color w:val="auto"/>
          <w:highlight w:val="none"/>
        </w:rPr>
        <w:t>金额（人民币大写）：</w:t>
      </w:r>
      <w:r>
        <w:rPr>
          <w:rFonts w:hint="eastAsia" w:ascii="宋体" w:hAnsi="宋体"/>
          <w:color w:val="auto"/>
          <w:highlight w:val="none"/>
          <w:u w:val="single"/>
        </w:rPr>
        <w:t xml:space="preserve">                          （暂定价）；</w:t>
      </w:r>
    </w:p>
    <w:p>
      <w:pPr>
        <w:spacing w:line="360" w:lineRule="auto"/>
        <w:ind w:firstLine="900" w:firstLineChars="375"/>
        <w:rPr>
          <w:rFonts w:ascii="宋体" w:hAnsi="宋体"/>
          <w:color w:val="auto"/>
          <w:highlight w:val="none"/>
          <w:u w:val="single"/>
        </w:rPr>
      </w:pPr>
      <w:r>
        <w:rPr>
          <w:rFonts w:hint="eastAsia" w:ascii="宋体" w:hAnsi="宋体"/>
          <w:color w:val="auto"/>
          <w:highlight w:val="none"/>
        </w:rPr>
        <w:t xml:space="preserve">    （人民币小写）：</w:t>
      </w:r>
      <w:r>
        <w:rPr>
          <w:rFonts w:hint="eastAsia" w:ascii="宋体" w:hAnsi="宋体"/>
          <w:color w:val="auto"/>
          <w:highlight w:val="none"/>
          <w:u w:val="single"/>
        </w:rPr>
        <w:t xml:space="preserve">                元（其中包含暂列金          元）</w:t>
      </w:r>
      <w:r>
        <w:rPr>
          <w:rFonts w:hint="eastAsia" w:ascii="宋体" w:hAnsi="宋体"/>
          <w:color w:val="auto"/>
          <w:highlight w:val="none"/>
          <w:u w:val="none"/>
        </w:rPr>
        <w:t>。</w:t>
      </w:r>
    </w:p>
    <w:p>
      <w:pPr>
        <w:spacing w:line="360" w:lineRule="auto"/>
        <w:rPr>
          <w:rFonts w:ascii="宋体" w:hAnsi="宋体"/>
          <w:color w:val="auto"/>
          <w:highlight w:val="none"/>
          <w:u w:val="single"/>
        </w:rPr>
      </w:pPr>
      <w:r>
        <w:rPr>
          <w:rFonts w:hint="eastAsia" w:ascii="宋体" w:hAnsi="宋体"/>
          <w:color w:val="auto"/>
          <w:highlight w:val="none"/>
        </w:rPr>
        <w:t xml:space="preserve">    </w:t>
      </w:r>
      <w:r>
        <w:rPr>
          <w:rFonts w:hint="eastAsia" w:ascii="宋体" w:hAnsi="宋体"/>
          <w:color w:val="auto"/>
          <w:highlight w:val="none"/>
          <w:u w:val="single"/>
        </w:rPr>
        <w:t>(最终以审计结果为准)</w:t>
      </w:r>
    </w:p>
    <w:p>
      <w:pPr>
        <w:spacing w:line="360" w:lineRule="auto"/>
        <w:ind w:firstLine="482" w:firstLineChars="200"/>
        <w:rPr>
          <w:rFonts w:ascii="宋体" w:hAnsi="宋体"/>
          <w:b/>
          <w:color w:val="auto"/>
          <w:highlight w:val="none"/>
        </w:rPr>
      </w:pPr>
      <w:r>
        <w:rPr>
          <w:rFonts w:hint="eastAsia" w:ascii="宋体" w:hAnsi="宋体"/>
          <w:b/>
          <w:color w:val="auto"/>
          <w:highlight w:val="none"/>
        </w:rPr>
        <w:t>第2条  合同文件及解释顺序</w:t>
      </w:r>
    </w:p>
    <w:p>
      <w:pPr>
        <w:spacing w:line="360" w:lineRule="auto"/>
        <w:ind w:firstLine="480" w:firstLineChars="200"/>
        <w:rPr>
          <w:rFonts w:ascii="宋体" w:hAnsi="宋体"/>
          <w:color w:val="auto"/>
          <w:highlight w:val="none"/>
        </w:rPr>
      </w:pPr>
      <w:r>
        <w:rPr>
          <w:rFonts w:hint="eastAsia" w:ascii="宋体" w:hAnsi="宋体"/>
          <w:color w:val="auto"/>
          <w:highlight w:val="none"/>
        </w:rPr>
        <w:t>合同文件应能互相解释，互为说明，除合同另有约定外，其组成和解释顺序如下：</w:t>
      </w:r>
    </w:p>
    <w:p>
      <w:pPr>
        <w:spacing w:line="360" w:lineRule="auto"/>
        <w:ind w:firstLine="480" w:firstLineChars="200"/>
        <w:rPr>
          <w:rFonts w:ascii="宋体" w:hAnsi="宋体"/>
          <w:color w:val="auto"/>
          <w:highlight w:val="none"/>
        </w:rPr>
      </w:pPr>
      <w:r>
        <w:rPr>
          <w:rFonts w:hint="eastAsia" w:ascii="宋体" w:hAnsi="宋体"/>
          <w:color w:val="auto"/>
          <w:highlight w:val="none"/>
        </w:rPr>
        <w:t>1.合同协议书；2.洽商、变更等明确双方权利义务的纪要、协议；3.最终报价函及相关承诺；4.招标承包工程的成交通知书、</w:t>
      </w:r>
      <w:r>
        <w:rPr>
          <w:rFonts w:hint="eastAsia" w:ascii="宋体" w:hAnsi="宋体"/>
          <w:color w:val="auto"/>
          <w:highlight w:val="none"/>
          <w:lang w:eastAsia="zh-CN"/>
        </w:rPr>
        <w:t>施工响应文件</w:t>
      </w:r>
      <w:r>
        <w:rPr>
          <w:rFonts w:hint="eastAsia" w:ascii="宋体" w:hAnsi="宋体"/>
          <w:color w:val="auto"/>
          <w:highlight w:val="none"/>
        </w:rPr>
        <w:t>和</w:t>
      </w:r>
      <w:r>
        <w:rPr>
          <w:rFonts w:hint="eastAsia" w:ascii="宋体" w:hAnsi="宋体"/>
          <w:color w:val="auto"/>
          <w:highlight w:val="none"/>
          <w:lang w:eastAsia="zh-CN"/>
        </w:rPr>
        <w:t>竞争性磋商文件</w:t>
      </w:r>
      <w:r>
        <w:rPr>
          <w:rFonts w:hint="eastAsia" w:ascii="宋体" w:hAnsi="宋体"/>
          <w:color w:val="auto"/>
          <w:highlight w:val="none"/>
        </w:rPr>
        <w:t>；5.工程量清单或确定工程造价的工程预算书和图纸；6.标准、规范和其它有关技术资料、技术要求。</w:t>
      </w:r>
    </w:p>
    <w:p>
      <w:pPr>
        <w:spacing w:line="360" w:lineRule="auto"/>
        <w:ind w:firstLine="480" w:firstLineChars="200"/>
        <w:rPr>
          <w:rFonts w:ascii="宋体" w:hAnsi="宋体"/>
          <w:color w:val="auto"/>
          <w:highlight w:val="none"/>
        </w:rPr>
      </w:pPr>
      <w:r>
        <w:rPr>
          <w:rFonts w:hint="eastAsia" w:ascii="宋体" w:hAnsi="宋体"/>
          <w:color w:val="auto"/>
          <w:highlight w:val="none"/>
        </w:rPr>
        <w:t>当合同文件出现含糊不清或不相一致时，在不影响工程进度的情况下，由双方协商解决（实行社会监理的，可先由监理工程师作出解释）。双方意见仍不一致的，按第28条约定的方法解决。</w:t>
      </w:r>
    </w:p>
    <w:p>
      <w:pPr>
        <w:spacing w:line="360" w:lineRule="auto"/>
        <w:ind w:firstLine="482" w:firstLineChars="200"/>
        <w:rPr>
          <w:rFonts w:ascii="宋体" w:hAnsi="宋体"/>
          <w:b/>
          <w:color w:val="auto"/>
          <w:highlight w:val="none"/>
        </w:rPr>
      </w:pPr>
      <w:r>
        <w:rPr>
          <w:rFonts w:hint="eastAsia" w:ascii="宋体" w:hAnsi="宋体"/>
          <w:b/>
          <w:color w:val="auto"/>
          <w:highlight w:val="none"/>
        </w:rPr>
        <w:t>第3条  合同文件使用的语言和适用标准及法律</w:t>
      </w:r>
    </w:p>
    <w:p>
      <w:pPr>
        <w:spacing w:line="360" w:lineRule="auto"/>
        <w:ind w:firstLine="480" w:firstLineChars="200"/>
        <w:rPr>
          <w:rFonts w:ascii="宋体" w:hAnsi="宋体"/>
          <w:color w:val="auto"/>
          <w:highlight w:val="none"/>
        </w:rPr>
      </w:pPr>
      <w:r>
        <w:rPr>
          <w:rFonts w:hint="eastAsia" w:ascii="宋体" w:hAnsi="宋体"/>
          <w:color w:val="auto"/>
          <w:highlight w:val="none"/>
        </w:rPr>
        <w:t>3</w:t>
      </w:r>
      <w:r>
        <w:rPr>
          <w:rFonts w:ascii="宋体" w:hAnsi="宋体"/>
          <w:color w:val="auto"/>
          <w:highlight w:val="none"/>
        </w:rPr>
        <w:t>.1</w:t>
      </w:r>
      <w:r>
        <w:rPr>
          <w:rFonts w:hint="eastAsia" w:ascii="宋体" w:hAnsi="宋体"/>
          <w:color w:val="auto"/>
          <w:highlight w:val="none"/>
        </w:rPr>
        <w:t xml:space="preserve"> 合同语言：汉语。 </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3</w:t>
      </w:r>
      <w:r>
        <w:rPr>
          <w:rFonts w:ascii="宋体" w:hAnsi="宋体"/>
          <w:color w:val="auto"/>
          <w:highlight w:val="none"/>
        </w:rPr>
        <w:t xml:space="preserve">.2 </w:t>
      </w:r>
      <w:r>
        <w:rPr>
          <w:rFonts w:hint="eastAsia" w:ascii="宋体" w:hAnsi="宋体"/>
          <w:color w:val="auto"/>
          <w:highlight w:val="none"/>
        </w:rPr>
        <w:t>适用标准、规范：国家现行施工验收规范。</w:t>
      </w:r>
    </w:p>
    <w:p>
      <w:pPr>
        <w:spacing w:line="360" w:lineRule="auto"/>
        <w:ind w:firstLine="480" w:firstLineChars="200"/>
        <w:rPr>
          <w:rFonts w:ascii="宋体" w:hAnsi="宋体"/>
          <w:color w:val="auto"/>
          <w:highlight w:val="none"/>
        </w:rPr>
      </w:pPr>
      <w:r>
        <w:rPr>
          <w:rFonts w:hint="eastAsia" w:ascii="宋体" w:hAnsi="宋体"/>
          <w:color w:val="auto"/>
          <w:highlight w:val="none"/>
        </w:rPr>
        <w:t>3</w:t>
      </w:r>
      <w:r>
        <w:rPr>
          <w:rFonts w:ascii="宋体" w:hAnsi="宋体"/>
          <w:color w:val="auto"/>
          <w:highlight w:val="none"/>
        </w:rPr>
        <w:t>.3</w:t>
      </w:r>
      <w:r>
        <w:rPr>
          <w:rFonts w:hint="eastAsia" w:ascii="宋体" w:hAnsi="宋体"/>
          <w:color w:val="auto"/>
          <w:highlight w:val="none"/>
        </w:rPr>
        <w:t xml:space="preserve"> 适用法律、法规：国家现行的法律、法规及省、市有关规定。</w:t>
      </w:r>
    </w:p>
    <w:p>
      <w:pPr>
        <w:spacing w:line="360" w:lineRule="auto"/>
        <w:ind w:firstLine="482" w:firstLineChars="200"/>
        <w:rPr>
          <w:rFonts w:ascii="宋体" w:hAnsi="宋体"/>
          <w:b/>
          <w:color w:val="auto"/>
          <w:highlight w:val="none"/>
        </w:rPr>
      </w:pPr>
      <w:r>
        <w:rPr>
          <w:rFonts w:hint="eastAsia" w:ascii="宋体" w:hAnsi="宋体"/>
          <w:b/>
          <w:color w:val="auto"/>
          <w:highlight w:val="none"/>
        </w:rPr>
        <w:t>第4条  图纸</w:t>
      </w:r>
    </w:p>
    <w:p>
      <w:pPr>
        <w:spacing w:line="360" w:lineRule="auto"/>
        <w:ind w:left="360" w:leftChars="150" w:firstLine="120" w:firstLineChars="50"/>
        <w:rPr>
          <w:rFonts w:ascii="宋体" w:hAnsi="宋体"/>
          <w:color w:val="auto"/>
          <w:highlight w:val="none"/>
          <w:u w:val="single"/>
        </w:rPr>
      </w:pPr>
      <w:r>
        <w:rPr>
          <w:rFonts w:ascii="宋体" w:hAnsi="宋体"/>
          <w:color w:val="auto"/>
          <w:highlight w:val="none"/>
        </w:rPr>
        <w:t>4.1</w:t>
      </w:r>
      <w:r>
        <w:rPr>
          <w:rFonts w:hint="eastAsia" w:ascii="宋体" w:hAnsi="宋体"/>
          <w:color w:val="auto"/>
          <w:highlight w:val="none"/>
        </w:rPr>
        <w:t xml:space="preserve"> 图纸提供日期：</w:t>
      </w:r>
      <w:r>
        <w:rPr>
          <w:rFonts w:hint="eastAsia" w:ascii="宋体" w:hAnsi="宋体"/>
          <w:color w:val="auto"/>
          <w:highlight w:val="none"/>
          <w:u w:val="single"/>
        </w:rPr>
        <w:t xml:space="preserve"> 合同签订后、开工前三天内</w:t>
      </w:r>
      <w:r>
        <w:rPr>
          <w:rFonts w:hint="eastAsia" w:ascii="宋体" w:hAnsi="宋体"/>
          <w:color w:val="auto"/>
          <w:highlight w:val="none"/>
          <w:u w:val="none"/>
        </w:rPr>
        <w:t xml:space="preserve">。                   </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4</w:t>
      </w:r>
      <w:r>
        <w:rPr>
          <w:rFonts w:ascii="宋体" w:hAnsi="宋体"/>
          <w:color w:val="auto"/>
          <w:highlight w:val="none"/>
        </w:rPr>
        <w:t xml:space="preserve">.2 </w:t>
      </w:r>
      <w:r>
        <w:rPr>
          <w:rFonts w:hint="eastAsia" w:ascii="宋体" w:hAnsi="宋体"/>
          <w:color w:val="auto"/>
          <w:highlight w:val="none"/>
        </w:rPr>
        <w:t>图纸提供套数：</w:t>
      </w:r>
      <w:r>
        <w:rPr>
          <w:rFonts w:hint="eastAsia" w:ascii="宋体" w:hAnsi="宋体"/>
          <w:color w:val="auto"/>
          <w:highlight w:val="none"/>
          <w:u w:val="single"/>
        </w:rPr>
        <w:t xml:space="preserve"> 一套</w:t>
      </w:r>
      <w:r>
        <w:rPr>
          <w:rFonts w:hint="eastAsia" w:ascii="宋体" w:hAnsi="宋体"/>
          <w:color w:val="auto"/>
          <w:highlight w:val="none"/>
          <w:u w:val="none"/>
          <w:lang w:eastAsia="zh-CN"/>
        </w:rPr>
        <w:t>。</w:t>
      </w:r>
      <w:r>
        <w:rPr>
          <w:rFonts w:hint="eastAsia" w:ascii="宋体" w:hAnsi="宋体"/>
          <w:color w:val="auto"/>
          <w:highlight w:val="none"/>
          <w:u w:val="none"/>
        </w:rPr>
        <w:t xml:space="preserve">                                        </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4</w:t>
      </w:r>
      <w:r>
        <w:rPr>
          <w:rFonts w:ascii="宋体" w:hAnsi="宋体"/>
          <w:color w:val="auto"/>
          <w:highlight w:val="none"/>
        </w:rPr>
        <w:t>.3</w:t>
      </w:r>
      <w:r>
        <w:rPr>
          <w:rFonts w:hint="eastAsia" w:ascii="宋体" w:hAnsi="宋体"/>
          <w:color w:val="auto"/>
          <w:highlight w:val="none"/>
        </w:rPr>
        <w:t xml:space="preserve"> 图纸特殊保密要求和费用：</w:t>
      </w:r>
      <w:r>
        <w:rPr>
          <w:rFonts w:hint="eastAsia" w:ascii="宋体" w:hAnsi="宋体"/>
          <w:color w:val="auto"/>
          <w:highlight w:val="none"/>
          <w:u w:val="single"/>
        </w:rPr>
        <w:t>乙方应向甲方做出保密承诺，施工期及竣工后不得向与本工程建设无关的单位或个人透露图纸的相关信息。甲方无偿提供图纸壹套、乙方应自费复印</w:t>
      </w:r>
      <w:r>
        <w:rPr>
          <w:rFonts w:hint="eastAsia" w:ascii="宋体" w:hAnsi="宋体"/>
          <w:color w:val="auto"/>
          <w:highlight w:val="none"/>
          <w:u w:val="none"/>
        </w:rPr>
        <w:t xml:space="preserve">。   </w:t>
      </w:r>
    </w:p>
    <w:p>
      <w:pPr>
        <w:spacing w:line="360" w:lineRule="auto"/>
        <w:ind w:firstLine="482" w:firstLineChars="200"/>
        <w:rPr>
          <w:rFonts w:ascii="宋体" w:hAnsi="宋体"/>
          <w:b/>
          <w:color w:val="auto"/>
          <w:highlight w:val="none"/>
        </w:rPr>
      </w:pPr>
      <w:r>
        <w:rPr>
          <w:rFonts w:hint="eastAsia" w:ascii="宋体" w:hAnsi="宋体"/>
          <w:b/>
          <w:color w:val="auto"/>
          <w:highlight w:val="none"/>
        </w:rPr>
        <w:t>第5条  甲方代表</w:t>
      </w:r>
    </w:p>
    <w:p>
      <w:pPr>
        <w:spacing w:line="360" w:lineRule="auto"/>
        <w:ind w:firstLine="480" w:firstLineChars="200"/>
        <w:rPr>
          <w:rFonts w:ascii="宋体" w:hAnsi="宋体"/>
          <w:color w:val="auto"/>
          <w:highlight w:val="none"/>
        </w:rPr>
      </w:pPr>
      <w:r>
        <w:rPr>
          <w:rFonts w:hint="eastAsia" w:ascii="宋体" w:hAnsi="宋体"/>
          <w:color w:val="auto"/>
          <w:highlight w:val="none"/>
        </w:rPr>
        <w:t>5</w:t>
      </w:r>
      <w:r>
        <w:rPr>
          <w:rFonts w:ascii="宋体" w:hAnsi="宋体"/>
          <w:color w:val="auto"/>
          <w:highlight w:val="none"/>
        </w:rPr>
        <w:t>.1</w:t>
      </w:r>
      <w:r>
        <w:rPr>
          <w:rFonts w:hint="eastAsia" w:ascii="宋体" w:hAnsi="宋体"/>
          <w:color w:val="auto"/>
          <w:highlight w:val="none"/>
        </w:rPr>
        <w:t xml:space="preserve"> 甲方驻工地代表及委派人员名单： </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姓名：</w:t>
      </w:r>
      <w:r>
        <w:rPr>
          <w:rFonts w:hint="eastAsia" w:ascii="宋体" w:hAnsi="宋体"/>
          <w:color w:val="auto"/>
          <w:highlight w:val="none"/>
          <w:u w:val="single"/>
        </w:rPr>
        <w:t xml:space="preserve">        </w:t>
      </w:r>
      <w:r>
        <w:rPr>
          <w:rFonts w:hint="eastAsia" w:ascii="宋体" w:hAnsi="宋体"/>
          <w:color w:val="auto"/>
          <w:highlight w:val="none"/>
        </w:rPr>
        <w:t>职务：</w:t>
      </w:r>
      <w:r>
        <w:rPr>
          <w:rFonts w:hint="eastAsia" w:ascii="宋体" w:hAnsi="宋体"/>
          <w:color w:val="auto"/>
          <w:highlight w:val="none"/>
          <w:u w:val="single"/>
        </w:rPr>
        <w:t xml:space="preserve"> 甲方代表 </w:t>
      </w:r>
    </w:p>
    <w:p>
      <w:pPr>
        <w:spacing w:line="360" w:lineRule="auto"/>
        <w:ind w:firstLine="480" w:firstLineChars="200"/>
        <w:rPr>
          <w:rFonts w:ascii="宋体" w:hAnsi="宋体"/>
          <w:color w:val="auto"/>
          <w:highlight w:val="none"/>
        </w:rPr>
      </w:pPr>
      <w:r>
        <w:rPr>
          <w:rFonts w:hint="eastAsia" w:ascii="宋体" w:hAnsi="宋体"/>
          <w:color w:val="auto"/>
          <w:highlight w:val="none"/>
        </w:rPr>
        <w:t>职权：</w:t>
      </w:r>
      <w:r>
        <w:rPr>
          <w:rFonts w:hint="eastAsia" w:ascii="宋体" w:hAnsi="宋体"/>
          <w:color w:val="auto"/>
          <w:highlight w:val="none"/>
          <w:u w:val="single"/>
        </w:rPr>
        <w:t>对工程施工进行监督、管理和协调，负责工程量增减的核定，工程费拨付的初审，参加工程结算及对承包方派驻工地的人员的资格审查和要求承包人撤换由其委派或雇佣的不能胜任该项工作，或玩忽职守，工作不负责任的人员。</w:t>
      </w:r>
      <w:r>
        <w:rPr>
          <w:rFonts w:hint="eastAsia" w:ascii="宋体" w:hAnsi="宋体"/>
          <w:color w:val="auto"/>
          <w:highlight w:val="none"/>
        </w:rPr>
        <w:t xml:space="preserve">    </w:t>
      </w:r>
    </w:p>
    <w:p>
      <w:pPr>
        <w:spacing w:line="360" w:lineRule="auto"/>
        <w:ind w:firstLine="480" w:firstLineChars="200"/>
        <w:rPr>
          <w:rFonts w:ascii="宋体" w:hAnsi="宋体"/>
          <w:color w:val="auto"/>
          <w:highlight w:val="none"/>
        </w:rPr>
      </w:pPr>
      <w:r>
        <w:rPr>
          <w:rFonts w:hint="eastAsia" w:ascii="宋体" w:hAnsi="宋体"/>
          <w:color w:val="auto"/>
          <w:highlight w:val="none"/>
        </w:rPr>
        <w:t>5</w:t>
      </w:r>
      <w:r>
        <w:rPr>
          <w:rFonts w:ascii="宋体" w:hAnsi="宋体"/>
          <w:color w:val="auto"/>
          <w:highlight w:val="none"/>
        </w:rPr>
        <w:t>.2</w:t>
      </w:r>
      <w:r>
        <w:rPr>
          <w:rFonts w:hint="eastAsia" w:ascii="宋体" w:hAnsi="宋体"/>
          <w:color w:val="auto"/>
          <w:highlight w:val="none"/>
        </w:rPr>
        <w:t xml:space="preserve"> 实行社会监理的总监理工程师姓名及其被授权范围（如果有）：</w:t>
      </w:r>
    </w:p>
    <w:p>
      <w:pPr>
        <w:spacing w:line="360" w:lineRule="auto"/>
        <w:rPr>
          <w:rFonts w:ascii="宋体" w:hAnsi="宋体"/>
          <w:color w:val="auto"/>
          <w:highlight w:val="none"/>
        </w:rPr>
      </w:pPr>
      <w:r>
        <w:rPr>
          <w:rFonts w:hint="eastAsia" w:ascii="宋体" w:hAnsi="宋体"/>
          <w:color w:val="auto"/>
          <w:highlight w:val="none"/>
        </w:rPr>
        <w:t>监理单位委派的工程师</w:t>
      </w:r>
    </w:p>
    <w:p>
      <w:pPr>
        <w:spacing w:line="360" w:lineRule="auto"/>
        <w:ind w:firstLine="360" w:firstLineChars="150"/>
        <w:rPr>
          <w:rFonts w:ascii="宋体" w:hAnsi="宋体"/>
          <w:color w:val="auto"/>
          <w:highlight w:val="none"/>
          <w:u w:val="single"/>
        </w:rPr>
      </w:pPr>
      <w:r>
        <w:rPr>
          <w:rFonts w:hint="eastAsia" w:ascii="宋体" w:hAnsi="宋体"/>
          <w:color w:val="auto"/>
          <w:highlight w:val="none"/>
        </w:rPr>
        <w:t>姓名：</w:t>
      </w:r>
      <w:r>
        <w:rPr>
          <w:rFonts w:hint="eastAsia" w:ascii="宋体" w:hAnsi="宋体"/>
          <w:color w:val="auto"/>
          <w:highlight w:val="none"/>
          <w:u w:val="single"/>
        </w:rPr>
        <w:t xml:space="preserve">            </w:t>
      </w:r>
      <w:r>
        <w:rPr>
          <w:rFonts w:hint="eastAsia" w:ascii="宋体" w:hAnsi="宋体"/>
          <w:color w:val="auto"/>
          <w:highlight w:val="none"/>
        </w:rPr>
        <w:t>职务：</w:t>
      </w:r>
      <w:r>
        <w:rPr>
          <w:rFonts w:hint="eastAsia" w:ascii="宋体" w:hAnsi="宋体"/>
          <w:color w:val="auto"/>
          <w:highlight w:val="none"/>
          <w:u w:val="single"/>
        </w:rPr>
        <w:t xml:space="preserve">总监理工程师        </w:t>
      </w:r>
    </w:p>
    <w:p>
      <w:pPr>
        <w:spacing w:line="360" w:lineRule="auto"/>
        <w:ind w:firstLine="360" w:firstLineChars="150"/>
        <w:rPr>
          <w:rFonts w:ascii="宋体" w:hAnsi="宋体"/>
          <w:color w:val="auto"/>
          <w:highlight w:val="none"/>
          <w:u w:val="single"/>
        </w:rPr>
      </w:pPr>
      <w:r>
        <w:rPr>
          <w:rFonts w:hint="eastAsia" w:ascii="宋体" w:hAnsi="宋体"/>
          <w:color w:val="auto"/>
          <w:highlight w:val="none"/>
        </w:rPr>
        <w:t>姓名：</w:t>
      </w:r>
      <w:r>
        <w:rPr>
          <w:rFonts w:hint="eastAsia" w:ascii="宋体" w:hAnsi="宋体"/>
          <w:color w:val="auto"/>
          <w:highlight w:val="none"/>
          <w:u w:val="single"/>
        </w:rPr>
        <w:t xml:space="preserve">            </w:t>
      </w:r>
      <w:r>
        <w:rPr>
          <w:rFonts w:hint="eastAsia" w:ascii="宋体" w:hAnsi="宋体"/>
          <w:color w:val="auto"/>
          <w:highlight w:val="none"/>
        </w:rPr>
        <w:t>职务：</w:t>
      </w:r>
      <w:r>
        <w:rPr>
          <w:rFonts w:hint="eastAsia" w:ascii="宋体" w:hAnsi="宋体"/>
          <w:color w:val="auto"/>
          <w:highlight w:val="none"/>
          <w:u w:val="single"/>
        </w:rPr>
        <w:t xml:space="preserve">监理工程师          </w:t>
      </w:r>
    </w:p>
    <w:p>
      <w:pPr>
        <w:spacing w:line="360" w:lineRule="auto"/>
        <w:ind w:firstLine="360" w:firstLineChars="150"/>
        <w:rPr>
          <w:rFonts w:ascii="宋体" w:hAnsi="宋体"/>
          <w:color w:val="auto"/>
          <w:highlight w:val="none"/>
          <w:u w:val="single"/>
        </w:rPr>
      </w:pPr>
      <w:r>
        <w:rPr>
          <w:rFonts w:ascii="宋体" w:hAnsi="宋体"/>
          <w:color w:val="auto"/>
          <w:highlight w:val="none"/>
        </w:rPr>
        <w:t>发包人委托的职权：</w:t>
      </w:r>
      <w:r>
        <w:rPr>
          <w:rFonts w:hint="eastAsia" w:ascii="宋体" w:hAnsi="宋体"/>
          <w:color w:val="auto"/>
          <w:highlight w:val="none"/>
          <w:u w:val="single"/>
        </w:rPr>
        <w:t xml:space="preserve">按监理合同执行            </w:t>
      </w:r>
    </w:p>
    <w:p>
      <w:pPr>
        <w:spacing w:line="360" w:lineRule="auto"/>
        <w:ind w:firstLine="360" w:firstLineChars="150"/>
        <w:rPr>
          <w:rFonts w:ascii="宋体" w:hAnsi="宋体"/>
          <w:color w:val="auto"/>
          <w:highlight w:val="none"/>
          <w:u w:val="single"/>
        </w:rPr>
      </w:pPr>
      <w:r>
        <w:rPr>
          <w:rFonts w:ascii="宋体" w:hAnsi="宋体"/>
          <w:color w:val="auto"/>
          <w:highlight w:val="none"/>
        </w:rPr>
        <w:t>需要取得发包人批准才能行使的职权：</w:t>
      </w:r>
      <w:r>
        <w:rPr>
          <w:rFonts w:hint="eastAsia" w:ascii="宋体" w:hAnsi="宋体"/>
          <w:color w:val="auto"/>
          <w:highlight w:val="none"/>
          <w:u w:val="single"/>
        </w:rPr>
        <w:t xml:space="preserve">按监理合同执行  </w:t>
      </w:r>
    </w:p>
    <w:p>
      <w:pPr>
        <w:spacing w:line="360" w:lineRule="auto"/>
        <w:ind w:firstLine="482" w:firstLineChars="200"/>
        <w:rPr>
          <w:rFonts w:ascii="宋体" w:hAnsi="宋体"/>
          <w:b/>
          <w:color w:val="auto"/>
          <w:highlight w:val="none"/>
        </w:rPr>
      </w:pPr>
      <w:r>
        <w:rPr>
          <w:rFonts w:hint="eastAsia" w:ascii="宋体" w:hAnsi="宋体"/>
          <w:b/>
          <w:color w:val="auto"/>
          <w:highlight w:val="none"/>
        </w:rPr>
        <w:t>第6条  乙方驻主要人员：</w:t>
      </w:r>
    </w:p>
    <w:p>
      <w:pPr>
        <w:spacing w:line="360" w:lineRule="auto"/>
        <w:ind w:left="480" w:leftChars="200"/>
        <w:rPr>
          <w:rFonts w:ascii="宋体" w:hAnsi="宋体"/>
          <w:color w:val="auto"/>
          <w:highlight w:val="none"/>
          <w:u w:val="single"/>
        </w:rPr>
      </w:pPr>
      <w:r>
        <w:rPr>
          <w:rFonts w:hint="eastAsia" w:ascii="宋体" w:hAnsi="宋体"/>
          <w:color w:val="auto"/>
          <w:highlight w:val="none"/>
        </w:rPr>
        <w:t>姓名：</w:t>
      </w:r>
      <w:r>
        <w:rPr>
          <w:rFonts w:hint="eastAsia" w:ascii="宋体" w:hAnsi="宋体"/>
          <w:color w:val="auto"/>
          <w:highlight w:val="none"/>
          <w:u w:val="single"/>
        </w:rPr>
        <w:t xml:space="preserve">            </w:t>
      </w:r>
      <w:r>
        <w:rPr>
          <w:rFonts w:hint="eastAsia" w:ascii="宋体" w:hAnsi="宋体"/>
          <w:color w:val="auto"/>
          <w:highlight w:val="none"/>
        </w:rPr>
        <w:t>职务：</w:t>
      </w:r>
      <w:r>
        <w:rPr>
          <w:rFonts w:hint="eastAsia" w:ascii="宋体" w:hAnsi="宋体"/>
          <w:color w:val="auto"/>
          <w:highlight w:val="none"/>
          <w:u w:val="single"/>
        </w:rPr>
        <w:t xml:space="preserve">  项目经理               </w:t>
      </w:r>
    </w:p>
    <w:p>
      <w:pPr>
        <w:spacing w:line="360" w:lineRule="auto"/>
        <w:ind w:left="480" w:leftChars="200"/>
        <w:rPr>
          <w:rFonts w:ascii="宋体" w:hAnsi="宋体"/>
          <w:color w:val="auto"/>
          <w:highlight w:val="none"/>
          <w:u w:val="single"/>
        </w:rPr>
      </w:pPr>
      <w:r>
        <w:rPr>
          <w:rFonts w:hint="eastAsia" w:ascii="宋体" w:hAnsi="宋体"/>
          <w:color w:val="auto"/>
          <w:highlight w:val="none"/>
        </w:rPr>
        <w:t>姓名：</w:t>
      </w:r>
      <w:r>
        <w:rPr>
          <w:rFonts w:hint="eastAsia" w:ascii="宋体" w:hAnsi="宋体"/>
          <w:color w:val="auto"/>
          <w:highlight w:val="none"/>
          <w:u w:val="single"/>
        </w:rPr>
        <w:t xml:space="preserve">            </w:t>
      </w:r>
      <w:r>
        <w:rPr>
          <w:rFonts w:hint="eastAsia" w:ascii="宋体" w:hAnsi="宋体"/>
          <w:color w:val="auto"/>
          <w:highlight w:val="none"/>
        </w:rPr>
        <w:t>职务：</w:t>
      </w:r>
      <w:r>
        <w:rPr>
          <w:rFonts w:hint="eastAsia" w:ascii="宋体" w:hAnsi="宋体"/>
          <w:color w:val="auto"/>
          <w:highlight w:val="none"/>
          <w:u w:val="single"/>
        </w:rPr>
        <w:t xml:space="preserve">  技术负责人             </w:t>
      </w:r>
    </w:p>
    <w:p>
      <w:pPr>
        <w:spacing w:line="360" w:lineRule="auto"/>
        <w:ind w:left="480" w:leftChars="200"/>
        <w:rPr>
          <w:rFonts w:ascii="宋体" w:hAnsi="宋体"/>
          <w:color w:val="auto"/>
          <w:highlight w:val="none"/>
          <w:u w:val="single"/>
        </w:rPr>
      </w:pPr>
      <w:r>
        <w:rPr>
          <w:rFonts w:hint="eastAsia" w:ascii="宋体" w:hAnsi="宋体"/>
          <w:color w:val="auto"/>
          <w:highlight w:val="none"/>
        </w:rPr>
        <w:t>姓名：</w:t>
      </w:r>
      <w:r>
        <w:rPr>
          <w:rFonts w:hint="eastAsia" w:ascii="宋体" w:hAnsi="宋体"/>
          <w:color w:val="auto"/>
          <w:highlight w:val="none"/>
          <w:u w:val="single"/>
        </w:rPr>
        <w:t xml:space="preserve">            </w:t>
      </w:r>
      <w:r>
        <w:rPr>
          <w:rFonts w:hint="eastAsia" w:ascii="宋体" w:hAnsi="宋体"/>
          <w:color w:val="auto"/>
          <w:highlight w:val="none"/>
        </w:rPr>
        <w:t>职务：</w:t>
      </w:r>
      <w:r>
        <w:rPr>
          <w:rFonts w:hint="eastAsia" w:ascii="宋体" w:hAnsi="宋体"/>
          <w:color w:val="auto"/>
          <w:highlight w:val="none"/>
          <w:u w:val="single"/>
        </w:rPr>
        <w:t xml:space="preserve">  项目副经理             </w:t>
      </w:r>
    </w:p>
    <w:p>
      <w:pPr>
        <w:spacing w:line="360" w:lineRule="auto"/>
        <w:ind w:firstLine="480" w:firstLineChars="200"/>
        <w:rPr>
          <w:rFonts w:ascii="宋体" w:hAnsi="宋体"/>
          <w:color w:val="auto"/>
          <w:highlight w:val="none"/>
          <w:u w:val="single"/>
        </w:rPr>
      </w:pPr>
      <w:r>
        <w:rPr>
          <w:rFonts w:ascii="宋体" w:hAnsi="宋体"/>
          <w:color w:val="auto"/>
          <w:highlight w:val="none"/>
          <w:u w:val="single"/>
        </w:rPr>
        <w:t>项目经理及技术负责人押证施工，至工程</w:t>
      </w:r>
      <w:r>
        <w:rPr>
          <w:rFonts w:hint="eastAsia" w:ascii="宋体" w:hAnsi="宋体"/>
          <w:color w:val="auto"/>
          <w:highlight w:val="none"/>
          <w:u w:val="single"/>
        </w:rPr>
        <w:t>主体竣工</w:t>
      </w:r>
      <w:r>
        <w:rPr>
          <w:rFonts w:ascii="宋体" w:hAnsi="宋体"/>
          <w:color w:val="auto"/>
          <w:highlight w:val="none"/>
          <w:u w:val="single"/>
        </w:rPr>
        <w:t>后才能退还。</w:t>
      </w:r>
    </w:p>
    <w:p>
      <w:pPr>
        <w:spacing w:line="360" w:lineRule="auto"/>
        <w:ind w:firstLine="480" w:firstLineChars="200"/>
        <w:rPr>
          <w:rFonts w:ascii="宋体" w:hAnsi="宋体"/>
          <w:color w:val="auto"/>
          <w:highlight w:val="none"/>
          <w:u w:val="single"/>
        </w:rPr>
      </w:pPr>
      <w:r>
        <w:rPr>
          <w:rFonts w:ascii="宋体" w:hAnsi="宋体"/>
          <w:color w:val="auto"/>
          <w:highlight w:val="none"/>
          <w:u w:val="single"/>
        </w:rPr>
        <w:t>成交人派驻施工现场的项目经理主要技术负责人</w:t>
      </w:r>
      <w:r>
        <w:rPr>
          <w:rFonts w:hint="eastAsia" w:ascii="宋体" w:hAnsi="宋体"/>
          <w:color w:val="auto"/>
          <w:highlight w:val="none"/>
          <w:u w:val="single"/>
        </w:rPr>
        <w:t>以及相关工程工作人员</w:t>
      </w:r>
      <w:r>
        <w:rPr>
          <w:rFonts w:ascii="宋体" w:hAnsi="宋体"/>
          <w:color w:val="auto"/>
          <w:highlight w:val="none"/>
          <w:u w:val="single"/>
        </w:rPr>
        <w:t>与</w:t>
      </w:r>
      <w:r>
        <w:rPr>
          <w:rFonts w:hint="eastAsia" w:ascii="宋体" w:hAnsi="宋体"/>
          <w:color w:val="auto"/>
          <w:highlight w:val="none"/>
          <w:u w:val="single"/>
          <w:lang w:eastAsia="zh-CN"/>
        </w:rPr>
        <w:t>施工响应文件</w:t>
      </w:r>
      <w:r>
        <w:rPr>
          <w:rFonts w:ascii="宋体" w:hAnsi="宋体"/>
          <w:color w:val="auto"/>
          <w:highlight w:val="none"/>
          <w:u w:val="single"/>
        </w:rPr>
        <w:t>承诺不符的，视同转包</w:t>
      </w:r>
      <w:r>
        <w:rPr>
          <w:rFonts w:hint="eastAsia" w:ascii="宋体" w:hAnsi="宋体"/>
          <w:color w:val="auto"/>
          <w:highlight w:val="none"/>
          <w:u w:val="single"/>
        </w:rPr>
        <w:t>、甲方有权终止合同、并承担相应的法律责任及行政处罚。</w:t>
      </w:r>
    </w:p>
    <w:p>
      <w:pPr>
        <w:spacing w:line="360" w:lineRule="auto"/>
        <w:ind w:firstLine="482" w:firstLineChars="200"/>
        <w:rPr>
          <w:rFonts w:ascii="宋体" w:hAnsi="宋体"/>
          <w:b/>
          <w:color w:val="auto"/>
          <w:highlight w:val="none"/>
        </w:rPr>
      </w:pPr>
      <w:r>
        <w:rPr>
          <w:rFonts w:hint="eastAsia" w:ascii="宋体" w:hAnsi="宋体"/>
          <w:b/>
          <w:color w:val="auto"/>
          <w:highlight w:val="none"/>
        </w:rPr>
        <w:t>第7条  甲方工作</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7</w:t>
      </w:r>
      <w:r>
        <w:rPr>
          <w:rFonts w:ascii="宋体" w:hAnsi="宋体"/>
          <w:color w:val="auto"/>
          <w:highlight w:val="none"/>
        </w:rPr>
        <w:t>.1</w:t>
      </w:r>
      <w:r>
        <w:rPr>
          <w:rFonts w:hint="eastAsia" w:ascii="宋体" w:hAnsi="宋体"/>
          <w:color w:val="auto"/>
          <w:highlight w:val="none"/>
        </w:rPr>
        <w:t xml:space="preserve"> 提供具备开工条件施工场地的时间和要求：</w:t>
      </w:r>
      <w:r>
        <w:rPr>
          <w:rFonts w:hint="eastAsia" w:ascii="宋体" w:hAnsi="宋体"/>
          <w:color w:val="auto"/>
          <w:highlight w:val="none"/>
          <w:u w:val="single"/>
        </w:rPr>
        <w:t xml:space="preserve">合同签订后，开工前3天，向乙方进行现场交底。 清除影响施工的障碍物。 向乙方提供施工所需水、电、气及电讯等设备，并说明使用注意事项。办理施工所涉及的各种申请、批件等手续。施工期间的水、电费由乙方负责。 </w:t>
      </w:r>
    </w:p>
    <w:p>
      <w:pPr>
        <w:spacing w:line="360" w:lineRule="auto"/>
        <w:ind w:firstLine="480" w:firstLineChars="200"/>
        <w:rPr>
          <w:rFonts w:ascii="宋体" w:hAnsi="宋体"/>
          <w:color w:val="auto"/>
          <w:highlight w:val="none"/>
        </w:rPr>
      </w:pPr>
      <w:r>
        <w:rPr>
          <w:rFonts w:hint="eastAsia" w:ascii="宋体" w:hAnsi="宋体"/>
          <w:color w:val="auto"/>
          <w:highlight w:val="none"/>
        </w:rPr>
        <w:t>7</w:t>
      </w:r>
      <w:r>
        <w:rPr>
          <w:rFonts w:ascii="宋体" w:hAnsi="宋体"/>
          <w:color w:val="auto"/>
          <w:highlight w:val="none"/>
        </w:rPr>
        <w:t xml:space="preserve">.2 </w:t>
      </w:r>
      <w:r>
        <w:rPr>
          <w:rFonts w:hint="eastAsia" w:ascii="宋体" w:hAnsi="宋体"/>
          <w:color w:val="auto"/>
          <w:highlight w:val="none"/>
        </w:rPr>
        <w:t>需要与有关部门联系和协调工作的内容及完成时间：</w:t>
      </w:r>
    </w:p>
    <w:p>
      <w:pPr>
        <w:spacing w:line="360" w:lineRule="auto"/>
        <w:rPr>
          <w:rFonts w:ascii="宋体" w:hAnsi="宋体"/>
          <w:color w:val="auto"/>
          <w:highlight w:val="none"/>
          <w:u w:val="single"/>
        </w:rPr>
      </w:pPr>
      <w:r>
        <w:rPr>
          <w:rFonts w:hint="eastAsia" w:ascii="宋体" w:hAnsi="宋体"/>
          <w:color w:val="auto"/>
          <w:highlight w:val="none"/>
        </w:rPr>
        <w:t xml:space="preserve">    </w:t>
      </w:r>
      <w:r>
        <w:rPr>
          <w:rFonts w:hint="eastAsia" w:ascii="宋体" w:hAnsi="宋体"/>
          <w:color w:val="auto"/>
          <w:highlight w:val="none"/>
          <w:u w:val="single"/>
        </w:rPr>
        <w:t xml:space="preserve">由甲方负责协调、配合乙方完成    </w:t>
      </w:r>
    </w:p>
    <w:p>
      <w:pPr>
        <w:spacing w:line="360" w:lineRule="auto"/>
        <w:ind w:firstLine="480" w:firstLineChars="200"/>
        <w:rPr>
          <w:rFonts w:ascii="宋体" w:hAnsi="宋体"/>
          <w:color w:val="auto"/>
          <w:highlight w:val="none"/>
        </w:rPr>
      </w:pPr>
      <w:r>
        <w:rPr>
          <w:rFonts w:hint="eastAsia" w:ascii="宋体" w:hAnsi="宋体"/>
          <w:color w:val="auto"/>
          <w:highlight w:val="none"/>
        </w:rPr>
        <w:t>7</w:t>
      </w:r>
      <w:r>
        <w:rPr>
          <w:rFonts w:ascii="宋体" w:hAnsi="宋体"/>
          <w:color w:val="auto"/>
          <w:highlight w:val="none"/>
        </w:rPr>
        <w:t>.</w:t>
      </w:r>
      <w:r>
        <w:rPr>
          <w:rFonts w:hint="eastAsia" w:ascii="宋体" w:hAnsi="宋体"/>
          <w:color w:val="auto"/>
          <w:highlight w:val="none"/>
        </w:rPr>
        <w:t>3 需要协调各施工单位之间关系的工作内容和完成时间：</w:t>
      </w:r>
      <w:r>
        <w:rPr>
          <w:rFonts w:hint="eastAsia" w:ascii="宋体" w:hAnsi="宋体"/>
          <w:color w:val="auto"/>
          <w:highlight w:val="none"/>
          <w:u w:val="single"/>
        </w:rPr>
        <w:t xml:space="preserve">   无      </w:t>
      </w:r>
    </w:p>
    <w:p>
      <w:pPr>
        <w:spacing w:line="360" w:lineRule="auto"/>
        <w:ind w:firstLine="480" w:firstLineChars="200"/>
        <w:rPr>
          <w:rFonts w:ascii="宋体" w:hAnsi="宋体"/>
          <w:color w:val="auto"/>
          <w:highlight w:val="none"/>
        </w:rPr>
      </w:pPr>
      <w:r>
        <w:rPr>
          <w:rFonts w:hint="eastAsia" w:ascii="宋体" w:hAnsi="宋体"/>
          <w:color w:val="auto"/>
          <w:highlight w:val="none"/>
        </w:rPr>
        <w:t>7</w:t>
      </w:r>
      <w:r>
        <w:rPr>
          <w:rFonts w:ascii="宋体" w:hAnsi="宋体"/>
          <w:color w:val="auto"/>
          <w:highlight w:val="none"/>
        </w:rPr>
        <w:t>.</w:t>
      </w:r>
      <w:r>
        <w:rPr>
          <w:rFonts w:hint="eastAsia" w:ascii="宋体" w:hAnsi="宋体"/>
          <w:color w:val="auto"/>
          <w:highlight w:val="none"/>
        </w:rPr>
        <w:t>4 办理证件、批件的名称和完成时间：</w:t>
      </w:r>
      <w:r>
        <w:rPr>
          <w:rFonts w:hint="eastAsia" w:ascii="宋体" w:hAnsi="宋体"/>
          <w:color w:val="auto"/>
          <w:highlight w:val="none"/>
          <w:u w:val="single"/>
        </w:rPr>
        <w:t xml:space="preserve">            无            </w:t>
      </w:r>
      <w:r>
        <w:rPr>
          <w:rFonts w:ascii="宋体" w:hAnsi="宋体"/>
          <w:color w:val="auto"/>
          <w:highlight w:val="none"/>
          <w:u w:val="single"/>
        </w:rPr>
        <w:t xml:space="preserve"> </w:t>
      </w:r>
      <w:r>
        <w:rPr>
          <w:rFonts w:hint="eastAsia" w:ascii="宋体" w:hAnsi="宋体"/>
          <w:color w:val="auto"/>
          <w:highlight w:val="none"/>
          <w:u w:val="single"/>
        </w:rPr>
        <w:t xml:space="preserve"> </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7</w:t>
      </w:r>
      <w:r>
        <w:rPr>
          <w:rFonts w:ascii="宋体" w:hAnsi="宋体"/>
          <w:color w:val="auto"/>
          <w:highlight w:val="none"/>
        </w:rPr>
        <w:t>.</w:t>
      </w:r>
      <w:r>
        <w:rPr>
          <w:rFonts w:hint="eastAsia" w:ascii="宋体" w:hAnsi="宋体"/>
          <w:color w:val="auto"/>
          <w:highlight w:val="none"/>
        </w:rPr>
        <w:t>5 会审图纸和设计交底的时间：</w:t>
      </w:r>
      <w:r>
        <w:rPr>
          <w:rFonts w:hint="eastAsia" w:ascii="宋体" w:hAnsi="宋体"/>
          <w:color w:val="auto"/>
          <w:highlight w:val="none"/>
          <w:u w:val="single"/>
        </w:rPr>
        <w:t>合同签订后，开工前 3 天</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7</w:t>
      </w:r>
      <w:r>
        <w:rPr>
          <w:rFonts w:ascii="宋体" w:hAnsi="宋体"/>
          <w:color w:val="auto"/>
          <w:highlight w:val="none"/>
        </w:rPr>
        <w:t>.</w:t>
      </w:r>
      <w:r>
        <w:rPr>
          <w:rFonts w:hint="eastAsia" w:ascii="宋体" w:hAnsi="宋体"/>
          <w:color w:val="auto"/>
          <w:highlight w:val="none"/>
        </w:rPr>
        <w:t>6 向乙方提供的设施内容：</w:t>
      </w:r>
      <w:r>
        <w:rPr>
          <w:rFonts w:hint="eastAsia" w:ascii="宋体" w:hAnsi="宋体"/>
          <w:color w:val="auto"/>
          <w:highlight w:val="none"/>
          <w:u w:val="single"/>
        </w:rPr>
        <w:t xml:space="preserve">                                     </w:t>
      </w:r>
    </w:p>
    <w:p>
      <w:pPr>
        <w:spacing w:line="360" w:lineRule="auto"/>
        <w:ind w:firstLine="482" w:firstLineChars="200"/>
        <w:rPr>
          <w:rFonts w:ascii="宋体" w:hAnsi="宋体"/>
          <w:b/>
          <w:color w:val="auto"/>
          <w:highlight w:val="none"/>
        </w:rPr>
      </w:pPr>
      <w:r>
        <w:rPr>
          <w:rFonts w:hint="eastAsia" w:ascii="宋体" w:hAnsi="宋体"/>
          <w:b/>
          <w:color w:val="auto"/>
          <w:highlight w:val="none"/>
        </w:rPr>
        <w:t>第8条  乙方工作</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8</w:t>
      </w:r>
      <w:r>
        <w:rPr>
          <w:rFonts w:ascii="宋体" w:hAnsi="宋体"/>
          <w:color w:val="auto"/>
          <w:highlight w:val="none"/>
        </w:rPr>
        <w:t>.1</w:t>
      </w:r>
      <w:r>
        <w:rPr>
          <w:rFonts w:hint="eastAsia" w:ascii="宋体" w:hAnsi="宋体"/>
          <w:color w:val="auto"/>
          <w:highlight w:val="none"/>
        </w:rPr>
        <w:t xml:space="preserve"> 施工图和配套设计名称、完成时间和要求：</w:t>
      </w:r>
      <w:r>
        <w:rPr>
          <w:rFonts w:hint="eastAsia" w:ascii="宋体" w:hAnsi="宋体"/>
          <w:color w:val="auto"/>
          <w:highlight w:val="none"/>
          <w:u w:val="single"/>
        </w:rPr>
        <w:t xml:space="preserve">  无            </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8</w:t>
      </w:r>
      <w:r>
        <w:rPr>
          <w:rFonts w:ascii="宋体" w:hAnsi="宋体"/>
          <w:color w:val="auto"/>
          <w:highlight w:val="none"/>
        </w:rPr>
        <w:t xml:space="preserve">.2 </w:t>
      </w:r>
      <w:r>
        <w:rPr>
          <w:rFonts w:hint="eastAsia" w:ascii="宋体" w:hAnsi="宋体"/>
          <w:color w:val="auto"/>
          <w:highlight w:val="none"/>
        </w:rPr>
        <w:t>提供计划、报表的名称、时间和份数</w:t>
      </w:r>
      <w:r>
        <w:rPr>
          <w:rFonts w:ascii="宋体" w:hAnsi="宋体"/>
          <w:color w:val="auto"/>
          <w:highlight w:val="none"/>
        </w:rPr>
        <w:t>:</w:t>
      </w:r>
      <w:r>
        <w:rPr>
          <w:rFonts w:hint="eastAsia" w:ascii="宋体" w:hAnsi="宋体"/>
          <w:color w:val="auto"/>
          <w:highlight w:val="none"/>
          <w:u w:val="single"/>
        </w:rPr>
        <w:t xml:space="preserve">  每2周的第一个星期一（需要起算时间）向甲方提供下2周施工计划及上2周完成工程报表，一式五份，自留二份、甲方二份、返回监理方一份。</w:t>
      </w:r>
    </w:p>
    <w:p>
      <w:pPr>
        <w:spacing w:line="360" w:lineRule="auto"/>
        <w:ind w:firstLine="480" w:firstLineChars="200"/>
        <w:rPr>
          <w:rFonts w:ascii="宋体" w:hAnsi="宋体"/>
          <w:color w:val="auto"/>
          <w:highlight w:val="none"/>
        </w:rPr>
      </w:pPr>
      <w:r>
        <w:rPr>
          <w:rFonts w:hint="eastAsia" w:ascii="宋体" w:hAnsi="宋体"/>
          <w:color w:val="auto"/>
          <w:highlight w:val="none"/>
        </w:rPr>
        <w:t>8</w:t>
      </w:r>
      <w:r>
        <w:rPr>
          <w:rFonts w:ascii="宋体" w:hAnsi="宋体"/>
          <w:color w:val="auto"/>
          <w:highlight w:val="none"/>
        </w:rPr>
        <w:t>.3</w:t>
      </w:r>
      <w:r>
        <w:rPr>
          <w:rFonts w:hint="eastAsia" w:ascii="宋体" w:hAnsi="宋体"/>
          <w:color w:val="auto"/>
          <w:highlight w:val="none"/>
        </w:rPr>
        <w:t xml:space="preserve"> 施工保护工作的要求：按工程需要提供和维修非夜间施工的使用的照明、看守、围栏和警卫等。如乙方未履行上述义务造成工程、财产和人身伤害，由乙方承担责任及所发生的费用。施工期间，不得侵害甲方与他人使用公用道路、水源、市政管网等公共设施的权利，避免对邻近的公共设施产生干扰。乙方占用或使用他人的施工场地，影响他人作业或生活的，应承担相应的赔偿责任。</w:t>
      </w:r>
    </w:p>
    <w:p>
      <w:pPr>
        <w:spacing w:line="360" w:lineRule="auto"/>
        <w:ind w:firstLine="480" w:firstLineChars="200"/>
        <w:rPr>
          <w:rFonts w:ascii="宋体" w:hAnsi="宋体"/>
          <w:color w:val="auto"/>
          <w:highlight w:val="none"/>
        </w:rPr>
      </w:pPr>
      <w:r>
        <w:rPr>
          <w:rFonts w:hint="eastAsia" w:ascii="宋体" w:hAnsi="宋体"/>
          <w:color w:val="auto"/>
          <w:highlight w:val="none"/>
        </w:rPr>
        <w:t>8</w:t>
      </w:r>
      <w:r>
        <w:rPr>
          <w:rFonts w:ascii="宋体" w:hAnsi="宋体"/>
          <w:color w:val="auto"/>
          <w:highlight w:val="none"/>
        </w:rPr>
        <w:t>.</w:t>
      </w:r>
      <w:r>
        <w:rPr>
          <w:rFonts w:hint="eastAsia" w:ascii="宋体" w:hAnsi="宋体"/>
          <w:color w:val="auto"/>
          <w:highlight w:val="none"/>
        </w:rPr>
        <w:t>4 对施工现场交通和噪音的要求：遵守地方政府和有关部门对施工场地交通和施工噪音等管理规定。</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8</w:t>
      </w:r>
      <w:r>
        <w:rPr>
          <w:rFonts w:ascii="宋体" w:hAnsi="宋体"/>
          <w:color w:val="auto"/>
          <w:highlight w:val="none"/>
        </w:rPr>
        <w:t>.</w:t>
      </w:r>
      <w:r>
        <w:rPr>
          <w:rFonts w:hint="eastAsia" w:ascii="宋体" w:hAnsi="宋体"/>
          <w:color w:val="auto"/>
          <w:highlight w:val="none"/>
        </w:rPr>
        <w:t>5 施工场地整洁卫生的要求：保证施工现场清洁符合有关规定。交工前清理现场达到合同文件的要求，承担因违反有关规定造成的损失和罚款（非乙方造成的损失和罚款除外）。</w:t>
      </w:r>
      <w:r>
        <w:rPr>
          <w:rFonts w:hint="eastAsia" w:ascii="宋体" w:hAnsi="宋体"/>
          <w:color w:val="auto"/>
          <w:highlight w:val="none"/>
          <w:u w:val="single"/>
        </w:rPr>
        <w:t>合同期间，遇上级单位精神文明建设检查，因乙方随意堆放建渣或者安全文明施工未达要求造成甲方不能通过检查或检查结果不理想的，甲方有权对乙方处以5000-10000元罚款。</w:t>
      </w:r>
    </w:p>
    <w:p>
      <w:pPr>
        <w:spacing w:line="360" w:lineRule="auto"/>
        <w:ind w:firstLine="480" w:firstLineChars="200"/>
        <w:rPr>
          <w:rFonts w:ascii="宋体" w:hAnsi="宋体"/>
          <w:color w:val="auto"/>
          <w:highlight w:val="none"/>
        </w:rPr>
      </w:pPr>
      <w:r>
        <w:rPr>
          <w:rFonts w:hint="eastAsia" w:ascii="宋体" w:hAnsi="宋体"/>
          <w:color w:val="auto"/>
          <w:highlight w:val="none"/>
        </w:rPr>
        <w:t>乙方不履行上述各项义务，造成工期延误和工程损失，应对甲方的损失给予赔偿。</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8</w:t>
      </w:r>
      <w:r>
        <w:rPr>
          <w:rFonts w:ascii="宋体" w:hAnsi="宋体"/>
          <w:color w:val="auto"/>
          <w:highlight w:val="none"/>
        </w:rPr>
        <w:t>.</w:t>
      </w:r>
      <w:r>
        <w:rPr>
          <w:rFonts w:hint="eastAsia" w:ascii="宋体" w:hAnsi="宋体"/>
          <w:color w:val="auto"/>
          <w:highlight w:val="none"/>
        </w:rPr>
        <w:t>6 保护建筑物结构及相应管线和设备的措施：</w:t>
      </w:r>
      <w:r>
        <w:rPr>
          <w:rFonts w:hint="eastAsia" w:ascii="宋体" w:hAnsi="宋体"/>
          <w:color w:val="auto"/>
          <w:highlight w:val="none"/>
          <w:u w:val="single"/>
        </w:rPr>
        <w:t xml:space="preserve"> 按照四川省、成都市、高新区、街办的相关规定办理。</w:t>
      </w:r>
    </w:p>
    <w:p>
      <w:pPr>
        <w:spacing w:line="360" w:lineRule="auto"/>
        <w:ind w:right="-132" w:rightChars="-55" w:firstLine="480" w:firstLineChars="200"/>
        <w:rPr>
          <w:rFonts w:ascii="宋体" w:hAnsi="宋体"/>
          <w:color w:val="auto"/>
          <w:highlight w:val="none"/>
        </w:rPr>
      </w:pPr>
      <w:r>
        <w:rPr>
          <w:rFonts w:hint="eastAsia" w:ascii="宋体" w:hAnsi="宋体"/>
          <w:color w:val="auto"/>
          <w:highlight w:val="none"/>
        </w:rPr>
        <w:t>（1）已完工程成品保护的特殊要求及费用承担：</w:t>
      </w:r>
      <w:r>
        <w:rPr>
          <w:rFonts w:hint="eastAsia" w:ascii="宋体" w:hAnsi="宋体"/>
          <w:color w:val="auto"/>
          <w:highlight w:val="none"/>
          <w:u w:val="single"/>
        </w:rPr>
        <w:t>在工程验收移交前由乙方自行负责，费用已包含在本合同协议书的签约合同价中。</w:t>
      </w:r>
    </w:p>
    <w:p>
      <w:pPr>
        <w:autoSpaceDE w:val="0"/>
        <w:autoSpaceDN w:val="0"/>
        <w:adjustRightInd w:val="0"/>
        <w:spacing w:line="360" w:lineRule="auto"/>
        <w:ind w:firstLine="470" w:firstLineChars="196"/>
        <w:rPr>
          <w:rFonts w:ascii="宋体" w:hAnsi="宋体"/>
          <w:color w:val="auto"/>
          <w:highlight w:val="none"/>
          <w:u w:val="single"/>
        </w:rPr>
      </w:pPr>
      <w:r>
        <w:rPr>
          <w:rFonts w:hint="eastAsia" w:ascii="宋体" w:hAnsi="宋体"/>
          <w:color w:val="auto"/>
          <w:highlight w:val="none"/>
        </w:rPr>
        <w:t>（2）施工场地周围地下管线和邻近建筑物、构筑物（含文物保护建筑）、古树名木的保护要求及费用承担：</w:t>
      </w:r>
      <w:r>
        <w:rPr>
          <w:rFonts w:hint="eastAsia" w:ascii="宋体" w:hAnsi="宋体"/>
          <w:color w:val="auto"/>
          <w:highlight w:val="none"/>
          <w:u w:val="single"/>
        </w:rPr>
        <w:t xml:space="preserve"> 由乙方承担。</w:t>
      </w:r>
    </w:p>
    <w:p>
      <w:pPr>
        <w:autoSpaceDE w:val="0"/>
        <w:autoSpaceDN w:val="0"/>
        <w:adjustRightInd w:val="0"/>
        <w:spacing w:line="360" w:lineRule="auto"/>
        <w:ind w:firstLine="470" w:firstLineChars="196"/>
        <w:rPr>
          <w:rFonts w:ascii="宋体" w:hAnsi="宋体"/>
          <w:color w:val="auto"/>
          <w:highlight w:val="none"/>
        </w:rPr>
      </w:pPr>
      <w:r>
        <w:rPr>
          <w:rFonts w:hint="eastAsia" w:ascii="宋体" w:hAnsi="宋体"/>
          <w:color w:val="auto"/>
          <w:highlight w:val="none"/>
        </w:rPr>
        <w:t>（3）对因施工所造成的绿化、市政设施损坏，一律由施工单位负责恢复原貌或者进行等价赔偿，且涉及费用由乙方承担。</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8</w:t>
      </w:r>
      <w:r>
        <w:rPr>
          <w:rFonts w:ascii="宋体" w:hAnsi="宋体"/>
          <w:color w:val="auto"/>
          <w:highlight w:val="none"/>
        </w:rPr>
        <w:t>.</w:t>
      </w:r>
      <w:r>
        <w:rPr>
          <w:rFonts w:hint="eastAsia" w:ascii="宋体" w:hAnsi="宋体"/>
          <w:color w:val="auto"/>
          <w:highlight w:val="none"/>
        </w:rPr>
        <w:t>7 建筑成品保护的措施</w:t>
      </w:r>
      <w:r>
        <w:rPr>
          <w:rFonts w:hint="eastAsia" w:ascii="宋体" w:hAnsi="宋体"/>
          <w:color w:val="auto"/>
          <w:highlight w:val="none"/>
          <w:u w:val="single"/>
        </w:rPr>
        <w:t xml:space="preserve">   由乙方制定专项保护措施、报甲方、监理单位审批，已完工程未交付甲方并经验收合格之前，乙方负责已完工程的保护工作，其费用包含在合同报价中。 </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8.8乙方应</w:t>
      </w:r>
      <w:r>
        <w:rPr>
          <w:rFonts w:hint="eastAsia" w:ascii="宋体" w:hAnsi="宋体"/>
          <w:color w:val="auto"/>
          <w:highlight w:val="none"/>
          <w:u w:val="single"/>
        </w:rPr>
        <w:t>办理施工许可证及质监、安监、消防备案，并承担相关费用。</w:t>
      </w:r>
    </w:p>
    <w:p>
      <w:pPr>
        <w:spacing w:line="360" w:lineRule="auto"/>
        <w:ind w:firstLine="480" w:firstLineChars="200"/>
        <w:rPr>
          <w:rFonts w:ascii="宋体" w:hAnsi="宋体"/>
          <w:color w:val="auto"/>
          <w:highlight w:val="none"/>
        </w:rPr>
      </w:pPr>
      <w:r>
        <w:rPr>
          <w:rFonts w:hint="eastAsia" w:ascii="宋体" w:hAnsi="宋体"/>
          <w:color w:val="auto"/>
          <w:highlight w:val="none"/>
        </w:rPr>
        <w:t>8.9双方约定乙方应做的其他工作：</w:t>
      </w:r>
    </w:p>
    <w:p>
      <w:pPr>
        <w:spacing w:line="360" w:lineRule="auto"/>
        <w:ind w:firstLine="480" w:firstLineChars="200"/>
        <w:rPr>
          <w:rFonts w:ascii="宋体" w:hAnsi="宋体"/>
          <w:color w:val="auto"/>
          <w:highlight w:val="none"/>
        </w:rPr>
      </w:pPr>
      <w:r>
        <w:rPr>
          <w:rFonts w:hint="eastAsia" w:ascii="宋体" w:hAnsi="宋体"/>
          <w:color w:val="auto"/>
          <w:highlight w:val="none"/>
        </w:rPr>
        <w:t>（1）施工进场前需对项目工程量清单、图纸对照现场进行清标工作</w:t>
      </w:r>
      <w:r>
        <w:rPr>
          <w:rFonts w:hint="eastAsia" w:ascii="宋体" w:hAnsi="宋体"/>
          <w:color w:val="auto"/>
          <w:highlight w:val="none"/>
          <w:lang w:eastAsia="zh-CN"/>
        </w:rPr>
        <w:t>（即技术交底）</w:t>
      </w:r>
      <w:r>
        <w:rPr>
          <w:rFonts w:hint="eastAsia" w:ascii="宋体" w:hAnsi="宋体"/>
          <w:color w:val="auto"/>
          <w:highlight w:val="none"/>
        </w:rPr>
        <w:t>，并对清标结果签字、盖章做出承诺。</w:t>
      </w:r>
    </w:p>
    <w:p>
      <w:pPr>
        <w:spacing w:line="360" w:lineRule="auto"/>
        <w:ind w:right="-191" w:firstLine="480" w:firstLineChars="200"/>
        <w:rPr>
          <w:rFonts w:ascii="宋体" w:hAnsi="宋体"/>
          <w:color w:val="auto"/>
          <w:highlight w:val="none"/>
        </w:rPr>
      </w:pPr>
      <w:r>
        <w:rPr>
          <w:rFonts w:hint="eastAsia" w:ascii="宋体" w:hAnsi="宋体"/>
          <w:color w:val="auto"/>
          <w:highlight w:val="none"/>
        </w:rPr>
        <w:t>（2）施工打围需符合甲方的要求；临时设施应按甲方要求统一位置、统一标识搭设；</w:t>
      </w:r>
    </w:p>
    <w:p>
      <w:pPr>
        <w:spacing w:line="360" w:lineRule="auto"/>
        <w:ind w:right="-191" w:firstLine="480" w:firstLineChars="200"/>
        <w:rPr>
          <w:rFonts w:ascii="宋体" w:hAnsi="宋体"/>
          <w:color w:val="auto"/>
          <w:highlight w:val="none"/>
        </w:rPr>
      </w:pPr>
      <w:r>
        <w:rPr>
          <w:rFonts w:hint="eastAsia" w:ascii="宋体" w:hAnsi="宋体"/>
          <w:color w:val="auto"/>
          <w:highlight w:val="none"/>
        </w:rPr>
        <w:t>（3）临时设施的搭设需符合行政主管部门的有关规定；</w:t>
      </w:r>
    </w:p>
    <w:p>
      <w:pPr>
        <w:spacing w:line="360" w:lineRule="auto"/>
        <w:ind w:right="-191" w:firstLine="480" w:firstLineChars="200"/>
        <w:rPr>
          <w:rFonts w:ascii="宋体" w:hAnsi="宋体"/>
          <w:color w:val="auto"/>
          <w:highlight w:val="none"/>
        </w:rPr>
      </w:pPr>
      <w:r>
        <w:rPr>
          <w:rFonts w:hint="eastAsia" w:ascii="宋体" w:hAnsi="宋体"/>
          <w:color w:val="auto"/>
          <w:highlight w:val="none"/>
        </w:rPr>
        <w:t>（4）由施工不当造成的施工质量问题引起的一切后果、责任均由乙方承担</w:t>
      </w:r>
    </w:p>
    <w:p>
      <w:pPr>
        <w:spacing w:line="360" w:lineRule="auto"/>
        <w:ind w:right="-191" w:firstLine="480" w:firstLineChars="200"/>
        <w:rPr>
          <w:rFonts w:ascii="宋体" w:hAnsi="宋体"/>
          <w:color w:val="auto"/>
          <w:highlight w:val="none"/>
        </w:rPr>
      </w:pPr>
      <w:r>
        <w:rPr>
          <w:rFonts w:hint="eastAsia" w:ascii="宋体" w:hAnsi="宋体"/>
          <w:color w:val="auto"/>
          <w:highlight w:val="none"/>
        </w:rPr>
        <w:t>（5）其它未尽事宜另行协商确定</w:t>
      </w:r>
    </w:p>
    <w:p>
      <w:pPr>
        <w:spacing w:line="360" w:lineRule="auto"/>
        <w:ind w:firstLine="361" w:firstLineChars="150"/>
        <w:rPr>
          <w:rFonts w:ascii="宋体" w:hAnsi="宋体"/>
          <w:b/>
          <w:color w:val="auto"/>
          <w:highlight w:val="none"/>
        </w:rPr>
      </w:pPr>
      <w:r>
        <w:rPr>
          <w:rFonts w:hint="eastAsia" w:ascii="宋体" w:hAnsi="宋体"/>
          <w:b/>
          <w:color w:val="auto"/>
          <w:highlight w:val="none"/>
        </w:rPr>
        <w:t>第9条  进度计划</w:t>
      </w:r>
    </w:p>
    <w:p>
      <w:pPr>
        <w:spacing w:line="360" w:lineRule="auto"/>
        <w:ind w:firstLine="480" w:firstLineChars="200"/>
        <w:rPr>
          <w:rFonts w:ascii="宋体" w:hAnsi="宋体"/>
          <w:color w:val="auto"/>
          <w:highlight w:val="none"/>
        </w:rPr>
      </w:pPr>
      <w:r>
        <w:rPr>
          <w:rFonts w:hint="eastAsia" w:ascii="宋体" w:hAnsi="宋体"/>
          <w:color w:val="auto"/>
          <w:highlight w:val="none"/>
        </w:rPr>
        <w:t>9</w:t>
      </w:r>
      <w:r>
        <w:rPr>
          <w:rFonts w:ascii="宋体" w:hAnsi="宋体"/>
          <w:color w:val="auto"/>
          <w:highlight w:val="none"/>
        </w:rPr>
        <w:t>.</w:t>
      </w:r>
      <w:r>
        <w:rPr>
          <w:rFonts w:hint="eastAsia" w:ascii="宋体" w:hAnsi="宋体"/>
          <w:color w:val="auto"/>
          <w:highlight w:val="none"/>
        </w:rPr>
        <w:t>1 乙方提供施工组织设计（或施工方案）和进度计划的时间：</w:t>
      </w:r>
    </w:p>
    <w:p>
      <w:pPr>
        <w:spacing w:line="360" w:lineRule="auto"/>
        <w:rPr>
          <w:rFonts w:ascii="宋体" w:hAnsi="宋体"/>
          <w:color w:val="auto"/>
          <w:highlight w:val="none"/>
          <w:u w:val="single"/>
        </w:rPr>
      </w:pPr>
      <w:r>
        <w:rPr>
          <w:rFonts w:hint="eastAsia" w:ascii="宋体" w:hAnsi="宋体"/>
          <w:color w:val="auto"/>
          <w:highlight w:val="none"/>
          <w:u w:val="single"/>
        </w:rPr>
        <w:t xml:space="preserve">   合同签订后三日内、乙方向甲方提供施工组织设计（或施工方案）和进度计划一式叁份、同时向甲方提供人员进场情况说明（现场人员花名册）  </w:t>
      </w:r>
    </w:p>
    <w:p>
      <w:pPr>
        <w:spacing w:line="360" w:lineRule="auto"/>
        <w:ind w:left="360" w:leftChars="150" w:firstLine="120" w:firstLineChars="50"/>
        <w:rPr>
          <w:rFonts w:ascii="宋体" w:hAnsi="宋体"/>
          <w:b/>
          <w:color w:val="auto"/>
          <w:highlight w:val="none"/>
        </w:rPr>
      </w:pPr>
      <w:r>
        <w:rPr>
          <w:rFonts w:hint="eastAsia" w:ascii="宋体" w:hAnsi="宋体"/>
          <w:color w:val="auto"/>
          <w:highlight w:val="none"/>
        </w:rPr>
        <w:t>9</w:t>
      </w:r>
      <w:r>
        <w:rPr>
          <w:rFonts w:ascii="宋体" w:hAnsi="宋体"/>
          <w:color w:val="auto"/>
          <w:highlight w:val="none"/>
        </w:rPr>
        <w:t>.</w:t>
      </w:r>
      <w:r>
        <w:rPr>
          <w:rFonts w:hint="eastAsia" w:ascii="宋体" w:hAnsi="宋体"/>
          <w:color w:val="auto"/>
          <w:highlight w:val="none"/>
        </w:rPr>
        <w:t>2 甲方代表批准进度计划的时间：</w:t>
      </w:r>
      <w:r>
        <w:rPr>
          <w:rFonts w:hint="eastAsia" w:ascii="宋体" w:hAnsi="宋体"/>
          <w:color w:val="auto"/>
          <w:highlight w:val="none"/>
          <w:u w:val="single"/>
        </w:rPr>
        <w:t xml:space="preserve">  乙方提供9.1条中约定的材料后七天内。        </w:t>
      </w:r>
      <w:r>
        <w:rPr>
          <w:rFonts w:hint="eastAsia" w:ascii="宋体" w:hAnsi="宋体"/>
          <w:b/>
          <w:color w:val="auto"/>
          <w:highlight w:val="none"/>
        </w:rPr>
        <w:t xml:space="preserve">  </w:t>
      </w:r>
    </w:p>
    <w:p>
      <w:pPr>
        <w:spacing w:line="360" w:lineRule="auto"/>
        <w:ind w:left="361" w:hanging="361" w:hangingChars="150"/>
        <w:rPr>
          <w:rFonts w:ascii="方正大黑简体" w:hAnsi="宋体" w:eastAsia="方正大黑简体"/>
          <w:color w:val="auto"/>
          <w:highlight w:val="none"/>
          <w:u w:val="single"/>
        </w:rPr>
      </w:pPr>
      <w:r>
        <w:rPr>
          <w:rFonts w:hint="eastAsia" w:ascii="宋体" w:hAnsi="宋体"/>
          <w:b/>
          <w:color w:val="auto"/>
          <w:highlight w:val="none"/>
        </w:rPr>
        <w:t xml:space="preserve">   第10条  延期开工</w:t>
      </w:r>
    </w:p>
    <w:p>
      <w:pPr>
        <w:spacing w:line="360" w:lineRule="auto"/>
        <w:ind w:firstLine="408" w:firstLineChars="170"/>
        <w:rPr>
          <w:rFonts w:ascii="宋体" w:hAnsi="宋体"/>
          <w:color w:val="auto"/>
          <w:highlight w:val="none"/>
        </w:rPr>
      </w:pPr>
      <w:r>
        <w:rPr>
          <w:rFonts w:hint="eastAsia" w:ascii="宋体" w:hAnsi="宋体"/>
          <w:color w:val="auto"/>
          <w:highlight w:val="none"/>
        </w:rPr>
        <w:t>乙方按协议条款约定的开工日期开始施工。乙方不能按时开工，应在协议条款约定的开工日期7天前，向甲方代表提出</w:t>
      </w:r>
      <w:r>
        <w:rPr>
          <w:rFonts w:hint="eastAsia" w:ascii="宋体" w:hAnsi="宋体"/>
          <w:color w:val="auto"/>
          <w:highlight w:val="none"/>
          <w:u w:val="single"/>
        </w:rPr>
        <w:t>书面</w:t>
      </w:r>
      <w:r>
        <w:rPr>
          <w:rFonts w:hint="eastAsia" w:ascii="宋体" w:hAnsi="宋体"/>
          <w:color w:val="auto"/>
          <w:highlight w:val="none"/>
        </w:rPr>
        <w:t>延期开工的理由和要求。甲方代表在</w:t>
      </w:r>
      <w:r>
        <w:rPr>
          <w:rFonts w:hint="eastAsia" w:ascii="宋体" w:hAnsi="宋体"/>
          <w:color w:val="auto"/>
          <w:highlight w:val="none"/>
          <w:u w:val="single"/>
        </w:rPr>
        <w:t>收到乙方延期开工书面请求后</w:t>
      </w:r>
      <w:r>
        <w:rPr>
          <w:rFonts w:hint="eastAsia" w:ascii="宋体" w:hAnsi="宋体"/>
          <w:color w:val="auto"/>
          <w:highlight w:val="none"/>
        </w:rPr>
        <w:t>7天内答复乙方。甲方代表7天内不予答复，视为已同意乙方要求，工期相应顺延。甲方代表不同意延期要求或乙方未在规定时间内提出延期开工要求，竣工工期不予顺延。</w:t>
      </w:r>
    </w:p>
    <w:p>
      <w:pPr>
        <w:spacing w:line="360" w:lineRule="auto"/>
        <w:ind w:firstLine="422" w:firstLineChars="175"/>
        <w:rPr>
          <w:rFonts w:ascii="宋体" w:hAnsi="宋体"/>
          <w:b/>
          <w:color w:val="auto"/>
          <w:highlight w:val="none"/>
        </w:rPr>
      </w:pPr>
      <w:r>
        <w:rPr>
          <w:rFonts w:hint="eastAsia" w:ascii="宋体" w:hAnsi="宋体"/>
          <w:b/>
          <w:color w:val="auto"/>
          <w:highlight w:val="none"/>
        </w:rPr>
        <w:t>第11条  暂停施工</w:t>
      </w:r>
    </w:p>
    <w:p>
      <w:pPr>
        <w:spacing w:line="360" w:lineRule="auto"/>
        <w:ind w:firstLine="434" w:firstLineChars="181"/>
        <w:rPr>
          <w:rFonts w:ascii="宋体" w:hAnsi="宋体"/>
          <w:color w:val="auto"/>
          <w:highlight w:val="none"/>
        </w:rPr>
      </w:pPr>
      <w:r>
        <w:rPr>
          <w:rFonts w:hint="eastAsia" w:ascii="宋体" w:hAnsi="宋体"/>
          <w:color w:val="auto"/>
          <w:highlight w:val="none"/>
        </w:rPr>
        <w:t>甲方代表在确有必要时，可要求乙方暂停施工，并在提出要求后48小时内提出处理意见。乙方应按甲方要求停止施工，并妥善保护已完工工程。乙方实施甲方代表处理意见后，可提出复工要求，甲方代表应在48小时内给予答复。甲方代表未能在规定时间内提出处理意见，或收到乙方书面复工要求后48小时内未予答复，乙方可自行复工。停工责任在甲方，由甲方承担追加合同价款，相应顺延工期；停工责任在乙方，由乙方承担发生的费用。</w:t>
      </w:r>
    </w:p>
    <w:p>
      <w:pPr>
        <w:spacing w:line="360" w:lineRule="auto"/>
        <w:ind w:firstLine="434" w:firstLineChars="181"/>
        <w:rPr>
          <w:rFonts w:ascii="宋体" w:hAnsi="宋体"/>
          <w:color w:val="auto"/>
          <w:highlight w:val="none"/>
          <w:u w:val="single"/>
        </w:rPr>
      </w:pPr>
      <w:r>
        <w:rPr>
          <w:rFonts w:hint="eastAsia" w:ascii="宋体" w:hAnsi="宋体"/>
          <w:color w:val="auto"/>
          <w:highlight w:val="none"/>
        </w:rPr>
        <w:t>因乙方原因引起的暂停施工，乙方应承担由此增加的费用，乙方在收到甲方复工通知后3日内仍未复工的，应承担工期延误以及合同不能履行的违约责任。</w:t>
      </w:r>
    </w:p>
    <w:p>
      <w:pPr>
        <w:spacing w:line="360" w:lineRule="auto"/>
        <w:ind w:firstLine="472" w:firstLineChars="196"/>
        <w:rPr>
          <w:rFonts w:ascii="宋体" w:hAnsi="宋体" w:cs="Arial"/>
          <w:b/>
          <w:color w:val="auto"/>
          <w:szCs w:val="21"/>
          <w:highlight w:val="none"/>
        </w:rPr>
      </w:pPr>
      <w:r>
        <w:rPr>
          <w:rFonts w:hint="eastAsia" w:ascii="宋体" w:hAnsi="宋体" w:cs="Arial"/>
          <w:b/>
          <w:color w:val="auto"/>
          <w:szCs w:val="21"/>
          <w:highlight w:val="none"/>
        </w:rPr>
        <w:t>第12条  工期约定</w:t>
      </w:r>
    </w:p>
    <w:p>
      <w:pPr>
        <w:spacing w:line="360" w:lineRule="auto"/>
        <w:ind w:firstLine="480" w:firstLineChars="200"/>
        <w:rPr>
          <w:rFonts w:ascii="宋体" w:hAnsi="宋体" w:cs="Arial"/>
          <w:color w:val="auto"/>
          <w:szCs w:val="21"/>
          <w:highlight w:val="none"/>
        </w:rPr>
      </w:pPr>
      <w:r>
        <w:rPr>
          <w:rFonts w:hint="eastAsia" w:ascii="宋体" w:hAnsi="宋体" w:cs="Arial"/>
          <w:color w:val="auto"/>
          <w:szCs w:val="21"/>
          <w:highlight w:val="none"/>
        </w:rPr>
        <w:t>12.1因不可抗力因素，延误工期，工期顺延。</w:t>
      </w:r>
    </w:p>
    <w:p>
      <w:pPr>
        <w:spacing w:line="360" w:lineRule="auto"/>
        <w:ind w:right="-358" w:rightChars="-149" w:firstLine="480" w:firstLineChars="200"/>
        <w:rPr>
          <w:rFonts w:ascii="宋体" w:hAnsi="宋体" w:cs="Arial"/>
          <w:color w:val="auto"/>
          <w:szCs w:val="21"/>
          <w:highlight w:val="none"/>
        </w:rPr>
      </w:pPr>
      <w:r>
        <w:rPr>
          <w:rFonts w:hint="eastAsia" w:ascii="宋体" w:hAnsi="宋体" w:cs="Arial"/>
          <w:color w:val="auto"/>
          <w:szCs w:val="21"/>
          <w:highlight w:val="none"/>
        </w:rPr>
        <w:t>12.2由于乙方的责任原因，甲方或政府有关部门通知乙方停工或接受处罚的，工期不予顺延。</w:t>
      </w:r>
    </w:p>
    <w:p>
      <w:pPr>
        <w:spacing w:line="360" w:lineRule="auto"/>
        <w:ind w:right="-358" w:rightChars="-149" w:firstLine="480" w:firstLineChars="200"/>
        <w:rPr>
          <w:rFonts w:ascii="宋体" w:hAnsi="宋体" w:cs="Arial"/>
          <w:color w:val="auto"/>
          <w:szCs w:val="21"/>
          <w:highlight w:val="none"/>
        </w:rPr>
      </w:pPr>
      <w:r>
        <w:rPr>
          <w:rFonts w:hint="eastAsia" w:ascii="宋体" w:hAnsi="宋体" w:cs="Arial"/>
          <w:color w:val="auto"/>
          <w:szCs w:val="21"/>
          <w:highlight w:val="none"/>
        </w:rPr>
        <w:t>12.3 因工程完工后验收不合格导致的乙方对工程进行整改，工期不顺延，乙方应承担相应的工期延误的违约责任。</w:t>
      </w:r>
    </w:p>
    <w:p>
      <w:pPr>
        <w:spacing w:line="360" w:lineRule="auto"/>
        <w:ind w:right="-358" w:rightChars="-149" w:firstLine="480" w:firstLineChars="200"/>
        <w:rPr>
          <w:rFonts w:ascii="宋体" w:hAnsi="宋体" w:cs="Arial"/>
          <w:color w:val="auto"/>
          <w:szCs w:val="21"/>
          <w:highlight w:val="none"/>
        </w:rPr>
      </w:pPr>
      <w:r>
        <w:rPr>
          <w:rFonts w:hint="eastAsia" w:ascii="宋体" w:hAnsi="宋体" w:cs="Arial"/>
          <w:color w:val="auto"/>
          <w:szCs w:val="21"/>
          <w:highlight w:val="none"/>
        </w:rPr>
        <w:t>12.4 因乙方责任，不能按时开工或中途停工，影响工期，工期不顺延，乙方应承担相应的工期延误的违约责任。</w:t>
      </w:r>
    </w:p>
    <w:p>
      <w:pPr>
        <w:tabs>
          <w:tab w:val="center" w:pos="5283"/>
        </w:tabs>
        <w:spacing w:line="360" w:lineRule="auto"/>
        <w:ind w:firstLine="480" w:firstLineChars="200"/>
        <w:rPr>
          <w:rFonts w:ascii="宋体" w:hAnsi="宋体" w:cs="Arial"/>
          <w:color w:val="auto"/>
          <w:szCs w:val="21"/>
          <w:highlight w:val="none"/>
        </w:rPr>
      </w:pPr>
      <w:r>
        <w:rPr>
          <w:rFonts w:hint="eastAsia" w:ascii="宋体" w:hAnsi="宋体" w:cs="Arial"/>
          <w:color w:val="auto"/>
          <w:szCs w:val="21"/>
          <w:highlight w:val="none"/>
        </w:rPr>
        <w:t>12.5甲乙双方在确定竣工日期时，已充分考虑下雨、停水、停电等因素在内，非属本合同明确约定的工期顺延情况，工期均不予顺延。</w:t>
      </w:r>
    </w:p>
    <w:p>
      <w:pPr>
        <w:autoSpaceDE w:val="0"/>
        <w:autoSpaceDN w:val="0"/>
        <w:adjustRightInd w:val="0"/>
        <w:spacing w:line="360" w:lineRule="auto"/>
        <w:ind w:firstLine="480" w:firstLineChars="200"/>
        <w:rPr>
          <w:color w:val="auto"/>
          <w:szCs w:val="21"/>
          <w:highlight w:val="none"/>
        </w:rPr>
      </w:pPr>
      <w:r>
        <w:rPr>
          <w:rFonts w:hint="eastAsia" w:ascii="宋体" w:hAnsi="宋体" w:cs="Arial"/>
          <w:color w:val="auto"/>
          <w:szCs w:val="21"/>
          <w:highlight w:val="none"/>
        </w:rPr>
        <w:t>12</w:t>
      </w:r>
      <w:r>
        <w:rPr>
          <w:rFonts w:hint="eastAsia" w:ascii="宋体"/>
          <w:color w:val="auto"/>
          <w:szCs w:val="21"/>
          <w:highlight w:val="none"/>
          <w:lang w:val="zh-CN"/>
        </w:rPr>
        <w:t>.6工期延误。对以下造成竣工日期推迟的延误，经甲方书面确认，工期相应顺延。</w:t>
      </w:r>
    </w:p>
    <w:p>
      <w:pPr>
        <w:autoSpaceDE w:val="0"/>
        <w:autoSpaceDN w:val="0"/>
        <w:adjustRightInd w:val="0"/>
        <w:spacing w:line="360" w:lineRule="auto"/>
        <w:rPr>
          <w:color w:val="auto"/>
          <w:szCs w:val="21"/>
          <w:highlight w:val="none"/>
        </w:rPr>
      </w:pPr>
      <w:r>
        <w:rPr>
          <w:rFonts w:hint="eastAsia" w:ascii="宋体"/>
          <w:color w:val="auto"/>
          <w:szCs w:val="21"/>
          <w:highlight w:val="none"/>
          <w:lang w:val="zh-CN"/>
        </w:rPr>
        <w:t xml:space="preserve">    a.工程量变化和设计变更，顺延时间双方协商确定；</w:t>
      </w:r>
    </w:p>
    <w:p>
      <w:pPr>
        <w:autoSpaceDE w:val="0"/>
        <w:autoSpaceDN w:val="0"/>
        <w:adjustRightInd w:val="0"/>
        <w:spacing w:line="360" w:lineRule="auto"/>
        <w:rPr>
          <w:color w:val="auto"/>
          <w:szCs w:val="21"/>
          <w:highlight w:val="none"/>
        </w:rPr>
      </w:pPr>
      <w:r>
        <w:rPr>
          <w:rFonts w:hint="eastAsia" w:ascii="宋体"/>
          <w:color w:val="auto"/>
          <w:szCs w:val="21"/>
          <w:highlight w:val="none"/>
          <w:lang w:val="zh-CN"/>
        </w:rPr>
        <w:t xml:space="preserve">    b.一周内，非乙方原因停水、停电、</w:t>
      </w:r>
      <w:r>
        <w:rPr>
          <w:rFonts w:hint="eastAsia" w:ascii="宋体"/>
          <w:color w:val="auto"/>
          <w:szCs w:val="21"/>
          <w:highlight w:val="none"/>
          <w:u w:val="single"/>
          <w:lang w:val="zh-CN"/>
        </w:rPr>
        <w:t>停气</w:t>
      </w:r>
      <w:r>
        <w:rPr>
          <w:rFonts w:hint="eastAsia" w:ascii="宋体"/>
          <w:color w:val="auto"/>
          <w:szCs w:val="21"/>
          <w:highlight w:val="none"/>
          <w:lang w:val="zh-CN"/>
        </w:rPr>
        <w:t>造成停工累计超过8小时，顺延时间按实际停水停电时间为准；</w:t>
      </w:r>
    </w:p>
    <w:p>
      <w:pPr>
        <w:autoSpaceDE w:val="0"/>
        <w:autoSpaceDN w:val="0"/>
        <w:adjustRightInd w:val="0"/>
        <w:spacing w:line="360" w:lineRule="auto"/>
        <w:rPr>
          <w:color w:val="auto"/>
          <w:szCs w:val="21"/>
          <w:highlight w:val="none"/>
        </w:rPr>
      </w:pPr>
      <w:r>
        <w:rPr>
          <w:rFonts w:hint="eastAsia" w:ascii="宋体"/>
          <w:color w:val="auto"/>
          <w:szCs w:val="21"/>
          <w:highlight w:val="none"/>
        </w:rPr>
        <w:t xml:space="preserve">    c.</w:t>
      </w:r>
      <w:r>
        <w:rPr>
          <w:rFonts w:hint="eastAsia" w:ascii="宋体"/>
          <w:color w:val="auto"/>
          <w:szCs w:val="21"/>
          <w:highlight w:val="none"/>
          <w:lang w:val="zh-CN"/>
        </w:rPr>
        <w:t>不可抗力，顺延时间按不可抗力发生及消除的期间为准</w:t>
      </w:r>
      <w:r>
        <w:rPr>
          <w:rFonts w:hint="eastAsia" w:ascii="宋体"/>
          <w:color w:val="auto"/>
          <w:szCs w:val="21"/>
          <w:highlight w:val="none"/>
        </w:rPr>
        <w:t>；</w:t>
      </w:r>
    </w:p>
    <w:p>
      <w:pPr>
        <w:autoSpaceDE w:val="0"/>
        <w:autoSpaceDN w:val="0"/>
        <w:adjustRightInd w:val="0"/>
        <w:spacing w:line="360" w:lineRule="auto"/>
        <w:rPr>
          <w:color w:val="auto"/>
          <w:szCs w:val="21"/>
          <w:highlight w:val="none"/>
        </w:rPr>
      </w:pPr>
      <w:r>
        <w:rPr>
          <w:rFonts w:hint="eastAsia" w:ascii="宋体"/>
          <w:color w:val="auto"/>
          <w:szCs w:val="21"/>
          <w:highlight w:val="none"/>
        </w:rPr>
        <w:t xml:space="preserve">    </w:t>
      </w:r>
      <w:r>
        <w:rPr>
          <w:rFonts w:hint="eastAsia" w:ascii="宋体"/>
          <w:color w:val="auto"/>
          <w:szCs w:val="21"/>
          <w:highlight w:val="none"/>
          <w:lang w:val="zh-CN"/>
        </w:rPr>
        <w:t>乙方在以上情况发生后5天内，就延误的内容和因此发生的经济支出向甲方代表提出报告，甲方代表在收到报告后5天内予以确认、答复、逾期不予答复，乙方即可视为延期要求已被确认。</w:t>
      </w:r>
    </w:p>
    <w:p>
      <w:pPr>
        <w:spacing w:line="360" w:lineRule="auto"/>
        <w:ind w:firstLine="422" w:firstLineChars="175"/>
        <w:rPr>
          <w:rFonts w:ascii="宋体" w:hAnsi="宋体"/>
          <w:b/>
          <w:color w:val="auto"/>
          <w:highlight w:val="none"/>
        </w:rPr>
      </w:pPr>
      <w:r>
        <w:rPr>
          <w:rFonts w:hint="eastAsia" w:ascii="宋体" w:hAnsi="宋体"/>
          <w:b/>
          <w:color w:val="auto"/>
          <w:highlight w:val="none"/>
        </w:rPr>
        <w:t>第13条  工程质量等级</w:t>
      </w:r>
    </w:p>
    <w:p>
      <w:pPr>
        <w:spacing w:line="360" w:lineRule="auto"/>
        <w:ind w:left="480" w:leftChars="200"/>
        <w:rPr>
          <w:rFonts w:ascii="宋体" w:hAnsi="宋体"/>
          <w:color w:val="auto"/>
          <w:highlight w:val="none"/>
          <w:u w:val="single"/>
        </w:rPr>
      </w:pPr>
      <w:r>
        <w:rPr>
          <w:rFonts w:hint="eastAsia" w:ascii="宋体" w:hAnsi="宋体"/>
          <w:color w:val="auto"/>
          <w:highlight w:val="none"/>
        </w:rPr>
        <w:t>13</w:t>
      </w:r>
      <w:r>
        <w:rPr>
          <w:rFonts w:ascii="宋体" w:hAnsi="宋体"/>
          <w:color w:val="auto"/>
          <w:highlight w:val="none"/>
        </w:rPr>
        <w:t>.1</w:t>
      </w:r>
      <w:r>
        <w:rPr>
          <w:rFonts w:hint="eastAsia" w:ascii="宋体" w:hAnsi="宋体"/>
          <w:color w:val="auto"/>
          <w:highlight w:val="none"/>
        </w:rPr>
        <w:t xml:space="preserve"> 工程质量等级：</w:t>
      </w:r>
      <w:r>
        <w:rPr>
          <w:rFonts w:hint="eastAsia" w:ascii="宋体" w:hAnsi="宋体"/>
          <w:color w:val="auto"/>
          <w:highlight w:val="none"/>
          <w:u w:val="single"/>
        </w:rPr>
        <w:t xml:space="preserve"> 达到国家现行技术标准合格标准         </w:t>
      </w:r>
    </w:p>
    <w:p>
      <w:pPr>
        <w:spacing w:line="360" w:lineRule="auto"/>
        <w:ind w:left="480" w:leftChars="200"/>
        <w:rPr>
          <w:rFonts w:ascii="宋体" w:hAnsi="宋体"/>
          <w:color w:val="auto"/>
          <w:highlight w:val="none"/>
          <w:u w:val="single"/>
        </w:rPr>
      </w:pPr>
      <w:r>
        <w:rPr>
          <w:rFonts w:hint="eastAsia" w:ascii="宋体" w:hAnsi="宋体"/>
          <w:color w:val="auto"/>
          <w:highlight w:val="none"/>
        </w:rPr>
        <w:t>13</w:t>
      </w:r>
      <w:r>
        <w:rPr>
          <w:rFonts w:ascii="宋体" w:hAnsi="宋体"/>
          <w:color w:val="auto"/>
          <w:highlight w:val="none"/>
        </w:rPr>
        <w:t>.2</w:t>
      </w:r>
      <w:r>
        <w:rPr>
          <w:rFonts w:hint="eastAsia" w:ascii="宋体" w:hAnsi="宋体"/>
          <w:color w:val="auto"/>
          <w:highlight w:val="none"/>
        </w:rPr>
        <w:t xml:space="preserve"> 工程质量等级要求的经济支出：</w:t>
      </w:r>
      <w:r>
        <w:rPr>
          <w:rFonts w:hint="eastAsia" w:ascii="宋体" w:hAnsi="宋体"/>
          <w:color w:val="auto"/>
          <w:highlight w:val="none"/>
          <w:u w:val="single"/>
        </w:rPr>
        <w:t xml:space="preserve">    乙方                </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13</w:t>
      </w:r>
      <w:r>
        <w:rPr>
          <w:rFonts w:ascii="宋体" w:hAnsi="宋体"/>
          <w:color w:val="auto"/>
          <w:highlight w:val="none"/>
        </w:rPr>
        <w:t>.3</w:t>
      </w:r>
      <w:r>
        <w:rPr>
          <w:rFonts w:hint="eastAsia" w:ascii="宋体" w:hAnsi="宋体"/>
          <w:color w:val="auto"/>
          <w:highlight w:val="none"/>
        </w:rPr>
        <w:t xml:space="preserve"> 质量评定部门名称：</w:t>
      </w:r>
      <w:r>
        <w:rPr>
          <w:rFonts w:hint="eastAsia" w:ascii="宋体" w:hAnsi="宋体"/>
          <w:color w:val="auto"/>
          <w:highlight w:val="none"/>
          <w:u w:val="single"/>
        </w:rPr>
        <w:t xml:space="preserve">  成都市相关建设主管部门          </w:t>
      </w:r>
    </w:p>
    <w:p>
      <w:pPr>
        <w:spacing w:line="360" w:lineRule="auto"/>
        <w:ind w:firstLine="422" w:firstLineChars="175"/>
        <w:rPr>
          <w:rFonts w:ascii="宋体" w:hAnsi="宋体"/>
          <w:b/>
          <w:color w:val="auto"/>
          <w:highlight w:val="none"/>
        </w:rPr>
      </w:pPr>
      <w:r>
        <w:rPr>
          <w:rFonts w:hint="eastAsia" w:ascii="宋体" w:hAnsi="宋体"/>
          <w:b/>
          <w:color w:val="auto"/>
          <w:highlight w:val="none"/>
        </w:rPr>
        <w:t>第14条  隐蔽工程和中间验收</w:t>
      </w:r>
    </w:p>
    <w:p>
      <w:pPr>
        <w:spacing w:line="360" w:lineRule="auto"/>
        <w:ind w:firstLine="480" w:firstLineChars="200"/>
        <w:rPr>
          <w:rFonts w:ascii="宋体" w:hAnsi="宋体"/>
          <w:color w:val="auto"/>
          <w:highlight w:val="none"/>
        </w:rPr>
      </w:pPr>
      <w:r>
        <w:rPr>
          <w:rFonts w:ascii="宋体" w:hAnsi="宋体"/>
          <w:color w:val="auto"/>
          <w:highlight w:val="none"/>
        </w:rPr>
        <w:t>1</w:t>
      </w:r>
      <w:r>
        <w:rPr>
          <w:rFonts w:hint="eastAsia" w:ascii="宋体" w:hAnsi="宋体"/>
          <w:color w:val="auto"/>
          <w:highlight w:val="none"/>
        </w:rPr>
        <w:t>4</w:t>
      </w:r>
      <w:r>
        <w:rPr>
          <w:rFonts w:ascii="宋体" w:hAnsi="宋体"/>
          <w:color w:val="auto"/>
          <w:highlight w:val="none"/>
        </w:rPr>
        <w:t>.1</w:t>
      </w:r>
      <w:r>
        <w:rPr>
          <w:rFonts w:hint="eastAsia" w:ascii="宋体" w:hAnsi="宋体"/>
          <w:color w:val="auto"/>
          <w:highlight w:val="none"/>
        </w:rPr>
        <w:t xml:space="preserve"> 中间验收部位和时间：</w:t>
      </w:r>
      <w:r>
        <w:rPr>
          <w:rFonts w:ascii="宋体" w:hAnsi="宋体"/>
          <w:color w:val="auto"/>
          <w:highlight w:val="none"/>
        </w:rPr>
        <w:t>工程具备隐蔽条件或达到协议条款约定的中间验收部位，乙方自检合格后，在隐蔽和中间验收48小时前通知甲方代表参加。通知包括乙方自检记录、隐蔽和中间验收的内容、验收时间和地点。乙方准备验收记录。验收合格，甲方代表在验收记录上签字后，方可进行隐蔽和继续施工。验收不合格，乙方在限定时间内修改后重新验收。工程符合规范要求，验收</w:t>
      </w:r>
      <w:r>
        <w:rPr>
          <w:rFonts w:hint="eastAsia" w:ascii="宋体" w:hAnsi="宋体"/>
          <w:color w:val="auto"/>
          <w:highlight w:val="none"/>
        </w:rPr>
        <w:t>后</w:t>
      </w:r>
      <w:r>
        <w:rPr>
          <w:rFonts w:ascii="宋体" w:hAnsi="宋体"/>
          <w:color w:val="auto"/>
          <w:highlight w:val="none"/>
        </w:rPr>
        <w:t>24小时</w:t>
      </w:r>
      <w:r>
        <w:rPr>
          <w:rFonts w:hint="eastAsia" w:ascii="宋体" w:hAnsi="宋体"/>
          <w:color w:val="auto"/>
          <w:highlight w:val="none"/>
        </w:rPr>
        <w:t>内</w:t>
      </w:r>
      <w:r>
        <w:rPr>
          <w:rFonts w:ascii="宋体" w:hAnsi="宋体"/>
          <w:color w:val="auto"/>
          <w:highlight w:val="none"/>
        </w:rPr>
        <w:t>，</w:t>
      </w:r>
      <w:r>
        <w:rPr>
          <w:rFonts w:hint="eastAsia" w:ascii="宋体" w:hAnsi="宋体"/>
          <w:color w:val="auto"/>
          <w:highlight w:val="none"/>
        </w:rPr>
        <w:t>乙方必须将验收记录给甲方代表签字，超过24小时未送达甲方代表签字，造成工程损失由乙方负责。送达后</w:t>
      </w:r>
      <w:r>
        <w:rPr>
          <w:rFonts w:ascii="宋体" w:hAnsi="宋体"/>
          <w:color w:val="auto"/>
          <w:highlight w:val="none"/>
        </w:rPr>
        <w:t>甲方代表</w:t>
      </w:r>
      <w:r>
        <w:rPr>
          <w:rFonts w:hint="eastAsia" w:ascii="宋体" w:hAnsi="宋体"/>
          <w:color w:val="auto"/>
          <w:highlight w:val="none"/>
        </w:rPr>
        <w:t>超过24小时</w:t>
      </w:r>
      <w:r>
        <w:rPr>
          <w:rFonts w:ascii="宋体" w:hAnsi="宋体"/>
          <w:color w:val="auto"/>
          <w:highlight w:val="none"/>
        </w:rPr>
        <w:t>不在验收记录签字，可视为甲方代表已经批准，乙方可进行隐蔽或继续施工。</w:t>
      </w:r>
    </w:p>
    <w:p>
      <w:pPr>
        <w:spacing w:line="360" w:lineRule="auto"/>
        <w:ind w:firstLine="480" w:firstLineChars="200"/>
        <w:rPr>
          <w:rFonts w:ascii="宋体" w:hAnsi="宋体"/>
          <w:color w:val="auto"/>
          <w:highlight w:val="none"/>
        </w:rPr>
      </w:pPr>
      <w:r>
        <w:rPr>
          <w:rFonts w:ascii="宋体" w:hAnsi="宋体"/>
          <w:color w:val="auto"/>
          <w:highlight w:val="none"/>
        </w:rPr>
        <w:t>甲方代表不能按时参加验收，须在开始验收24小时之前向乙方提出延期要求，延期不能超过两天，甲方代表未能按以上时间提出延期要求、不参加验收，乙方可组织</w:t>
      </w:r>
      <w:r>
        <w:rPr>
          <w:rFonts w:hint="eastAsia" w:ascii="宋体" w:hAnsi="宋体"/>
          <w:color w:val="auto"/>
          <w:highlight w:val="none"/>
        </w:rPr>
        <w:t>现场监理进行</w:t>
      </w:r>
      <w:r>
        <w:rPr>
          <w:rFonts w:ascii="宋体" w:hAnsi="宋体"/>
          <w:color w:val="auto"/>
          <w:highlight w:val="none"/>
        </w:rPr>
        <w:t>验收，甲方应承认验收记录。</w:t>
      </w:r>
    </w:p>
    <w:p>
      <w:pPr>
        <w:spacing w:line="360" w:lineRule="auto"/>
        <w:ind w:firstLine="480" w:firstLineChars="200"/>
        <w:rPr>
          <w:rFonts w:ascii="宋体" w:hAnsi="宋体"/>
          <w:color w:val="auto"/>
          <w:highlight w:val="none"/>
        </w:rPr>
      </w:pPr>
      <w:r>
        <w:rPr>
          <w:rFonts w:hint="eastAsia" w:ascii="宋体" w:hAnsi="宋体"/>
          <w:color w:val="auto"/>
          <w:highlight w:val="none"/>
        </w:rPr>
        <w:t>乙方在对隐蔽工程进行施工是需留存全过程影像资料。</w:t>
      </w:r>
      <w:r>
        <w:rPr>
          <w:rFonts w:ascii="宋体" w:hAnsi="宋体"/>
          <w:color w:val="auto"/>
          <w:highlight w:val="none"/>
        </w:rPr>
        <w:br w:type="textWrapping"/>
      </w:r>
      <w:r>
        <w:rPr>
          <w:rFonts w:ascii="宋体" w:hAnsi="宋体"/>
          <w:color w:val="auto"/>
          <w:highlight w:val="none"/>
        </w:rPr>
        <w:t>　</w:t>
      </w:r>
      <w:r>
        <w:rPr>
          <w:rFonts w:hint="eastAsia" w:ascii="宋体" w:hAnsi="宋体"/>
          <w:b/>
          <w:bCs/>
          <w:color w:val="auto"/>
          <w:highlight w:val="none"/>
        </w:rPr>
        <w:t xml:space="preserve"> 第15条  验收和重新检验 </w:t>
      </w:r>
    </w:p>
    <w:p>
      <w:pPr>
        <w:spacing w:line="360" w:lineRule="auto"/>
        <w:ind w:firstLine="480" w:firstLineChars="200"/>
        <w:rPr>
          <w:rFonts w:ascii="宋体" w:hAnsi="宋体"/>
          <w:color w:val="auto"/>
          <w:highlight w:val="none"/>
        </w:rPr>
      </w:pPr>
      <w:r>
        <w:rPr>
          <w:rFonts w:hint="eastAsia" w:ascii="宋体" w:hAnsi="宋体"/>
          <w:color w:val="auto"/>
          <w:highlight w:val="none"/>
          <w:lang w:eastAsia="zh-CN"/>
        </w:rPr>
        <w:t>乙方未邀请</w:t>
      </w:r>
      <w:r>
        <w:rPr>
          <w:rFonts w:hint="eastAsia" w:ascii="宋体" w:hAnsi="宋体"/>
          <w:color w:val="auto"/>
          <w:highlight w:val="none"/>
        </w:rPr>
        <w:t>甲方代表参加验收</w:t>
      </w:r>
      <w:r>
        <w:rPr>
          <w:rFonts w:hint="eastAsia" w:ascii="宋体" w:hAnsi="宋体"/>
          <w:color w:val="auto"/>
          <w:highlight w:val="none"/>
          <w:lang w:eastAsia="zh-CN"/>
        </w:rPr>
        <w:t>的</w:t>
      </w:r>
      <w:r>
        <w:rPr>
          <w:rFonts w:hint="eastAsia" w:ascii="宋体" w:hAnsi="宋体"/>
          <w:color w:val="auto"/>
          <w:highlight w:val="none"/>
        </w:rPr>
        <w:t>，</w:t>
      </w:r>
      <w:r>
        <w:rPr>
          <w:rFonts w:hint="eastAsia" w:ascii="宋体" w:hAnsi="宋体"/>
          <w:color w:val="auto"/>
          <w:highlight w:val="none"/>
          <w:lang w:eastAsia="zh-CN"/>
        </w:rPr>
        <w:t>甲方</w:t>
      </w:r>
      <w:r>
        <w:rPr>
          <w:rFonts w:hint="eastAsia" w:ascii="宋体" w:hAnsi="宋体"/>
          <w:color w:val="auto"/>
          <w:highlight w:val="none"/>
        </w:rPr>
        <w:t>提出对已经隐蔽工程重新检验的要求时，乙方应按要求进行剥露，若检验合格，由乙方在检验后重新进行复盖或修复。若检验不合格，甲方有权对所有隐蔽工程进行重新检验，由此带来的经济支出由乙方承担，工期不予顺延。</w:t>
      </w:r>
    </w:p>
    <w:p>
      <w:pPr>
        <w:spacing w:line="360" w:lineRule="auto"/>
        <w:ind w:firstLine="422" w:firstLineChars="175"/>
        <w:rPr>
          <w:rFonts w:ascii="宋体" w:hAnsi="宋体"/>
          <w:b/>
          <w:color w:val="auto"/>
          <w:highlight w:val="none"/>
        </w:rPr>
      </w:pPr>
      <w:r>
        <w:rPr>
          <w:rFonts w:hint="eastAsia" w:ascii="宋体" w:hAnsi="宋体"/>
          <w:b/>
          <w:color w:val="auto"/>
          <w:highlight w:val="none"/>
        </w:rPr>
        <w:t>第16条  合同价款及调整</w:t>
      </w:r>
    </w:p>
    <w:p>
      <w:pPr>
        <w:spacing w:line="360" w:lineRule="auto"/>
        <w:ind w:firstLine="480" w:firstLineChars="200"/>
        <w:rPr>
          <w:rFonts w:ascii="宋体" w:hAnsi="宋体"/>
          <w:color w:val="auto"/>
          <w:highlight w:val="none"/>
        </w:rPr>
      </w:pPr>
      <w:r>
        <w:rPr>
          <w:rFonts w:hint="eastAsia" w:ascii="宋体" w:hAnsi="宋体"/>
          <w:color w:val="auto"/>
          <w:highlight w:val="none"/>
        </w:rPr>
        <w:t>16</w:t>
      </w:r>
      <w:r>
        <w:rPr>
          <w:rFonts w:ascii="宋体" w:hAnsi="宋体"/>
          <w:color w:val="auto"/>
          <w:highlight w:val="none"/>
        </w:rPr>
        <w:t>.1</w:t>
      </w:r>
      <w:r>
        <w:rPr>
          <w:rFonts w:hint="eastAsia" w:ascii="宋体" w:hAnsi="宋体"/>
          <w:color w:val="auto"/>
          <w:highlight w:val="none"/>
        </w:rPr>
        <w:t xml:space="preserve"> 合同价款</w:t>
      </w:r>
      <w:r>
        <w:rPr>
          <w:rFonts w:hint="eastAsia" w:ascii="宋体" w:hAnsi="宋体"/>
          <w:color w:val="auto"/>
          <w:highlight w:val="none"/>
          <w:u w:val="single"/>
        </w:rPr>
        <w:t>支付</w:t>
      </w:r>
      <w:r>
        <w:rPr>
          <w:rFonts w:hint="eastAsia" w:ascii="宋体" w:hAnsi="宋体"/>
          <w:color w:val="auto"/>
          <w:highlight w:val="none"/>
        </w:rPr>
        <w:t>形式：</w:t>
      </w:r>
      <w:r>
        <w:rPr>
          <w:rFonts w:hint="eastAsia" w:ascii="宋体" w:hAnsi="宋体"/>
          <w:color w:val="auto"/>
          <w:highlight w:val="none"/>
          <w:u w:val="single"/>
        </w:rPr>
        <w:t xml:space="preserve"> 以转账形式按确定的计量支付款项划入乙方的企业基本帐户、甲方付款前，乙方应出具等额发票。          </w:t>
      </w:r>
      <w:r>
        <w:rPr>
          <w:rFonts w:hint="eastAsia" w:ascii="宋体" w:hAnsi="宋体"/>
          <w:color w:val="auto"/>
          <w:highlight w:val="none"/>
        </w:rPr>
        <w:t xml:space="preserve">  </w:t>
      </w:r>
    </w:p>
    <w:p>
      <w:pPr>
        <w:spacing w:line="360" w:lineRule="auto"/>
        <w:ind w:firstLine="480" w:firstLineChars="200"/>
        <w:rPr>
          <w:rFonts w:ascii="宋体" w:hAnsi="宋体"/>
          <w:color w:val="auto"/>
          <w:highlight w:val="none"/>
        </w:rPr>
      </w:pPr>
      <w:r>
        <w:rPr>
          <w:rFonts w:hint="eastAsia" w:ascii="宋体" w:hAnsi="宋体"/>
          <w:color w:val="auto"/>
          <w:highlight w:val="none"/>
        </w:rPr>
        <w:t>16.2单价的确定：</w:t>
      </w:r>
      <w:r>
        <w:rPr>
          <w:rFonts w:hint="eastAsia" w:ascii="宋体" w:hAnsi="宋体"/>
          <w:color w:val="auto"/>
          <w:highlight w:val="none"/>
          <w:u w:val="single"/>
        </w:rPr>
        <w:t>以乙方</w:t>
      </w:r>
      <w:r>
        <w:rPr>
          <w:rFonts w:hint="eastAsia" w:ascii="宋体" w:hAnsi="宋体"/>
          <w:color w:val="auto"/>
          <w:highlight w:val="none"/>
          <w:u w:val="single"/>
          <w:lang w:eastAsia="zh-CN"/>
        </w:rPr>
        <w:t>施工响应文件</w:t>
      </w:r>
      <w:r>
        <w:rPr>
          <w:rFonts w:hint="eastAsia" w:ascii="宋体" w:hAnsi="宋体"/>
          <w:color w:val="auto"/>
          <w:highlight w:val="none"/>
          <w:u w:val="single"/>
        </w:rPr>
        <w:t>中的单价为准</w:t>
      </w:r>
      <w:r>
        <w:rPr>
          <w:rFonts w:hint="eastAsia" w:ascii="宋体" w:hAnsi="宋体"/>
          <w:color w:val="auto"/>
          <w:highlight w:val="none"/>
        </w:rPr>
        <w:t xml:space="preserve">  </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16</w:t>
      </w:r>
      <w:r>
        <w:rPr>
          <w:rFonts w:ascii="宋体" w:hAnsi="宋体"/>
          <w:color w:val="auto"/>
          <w:highlight w:val="none"/>
        </w:rPr>
        <w:t>.</w:t>
      </w:r>
      <w:r>
        <w:rPr>
          <w:rFonts w:hint="eastAsia" w:ascii="宋体" w:hAnsi="宋体"/>
          <w:color w:val="auto"/>
          <w:highlight w:val="none"/>
        </w:rPr>
        <w:t>3</w:t>
      </w:r>
      <w:r>
        <w:rPr>
          <w:rFonts w:ascii="宋体" w:hAnsi="宋体"/>
          <w:color w:val="auto"/>
          <w:highlight w:val="none"/>
        </w:rPr>
        <w:t xml:space="preserve"> </w:t>
      </w:r>
      <w:r>
        <w:rPr>
          <w:rFonts w:hint="eastAsia" w:ascii="宋体" w:hAnsi="宋体"/>
          <w:color w:val="auto"/>
          <w:highlight w:val="none"/>
        </w:rPr>
        <w:t>调整的方式：</w:t>
      </w:r>
      <w:r>
        <w:rPr>
          <w:rFonts w:hint="eastAsia" w:ascii="宋体" w:hAnsi="宋体"/>
          <w:color w:val="auto"/>
          <w:highlight w:val="none"/>
          <w:u w:val="single"/>
        </w:rPr>
        <w:t>在合同期内对综合单价不作调整。</w:t>
      </w:r>
    </w:p>
    <w:p>
      <w:pPr>
        <w:spacing w:line="360" w:lineRule="auto"/>
        <w:ind w:firstLine="422" w:firstLineChars="175"/>
        <w:rPr>
          <w:rFonts w:hint="eastAsia" w:ascii="宋体" w:hAnsi="宋体" w:eastAsia="宋体" w:cs="Times New Roman"/>
          <w:b/>
          <w:color w:val="auto"/>
          <w:highlight w:val="none"/>
          <w:u w:val="none"/>
        </w:rPr>
      </w:pPr>
      <w:r>
        <w:rPr>
          <w:rFonts w:hint="eastAsia" w:ascii="宋体" w:hAnsi="宋体" w:eastAsia="宋体" w:cs="Times New Roman"/>
          <w:b/>
          <w:color w:val="auto"/>
          <w:highlight w:val="none"/>
          <w:u w:val="none"/>
        </w:rPr>
        <w:t>第17条  工程量的核实确认</w:t>
      </w:r>
    </w:p>
    <w:p>
      <w:pPr>
        <w:spacing w:line="360" w:lineRule="auto"/>
        <w:ind w:firstLine="480" w:firstLineChars="200"/>
        <w:rPr>
          <w:color w:val="auto"/>
          <w:highlight w:val="none"/>
        </w:rPr>
      </w:pPr>
      <w:r>
        <w:rPr>
          <w:rFonts w:hint="eastAsia" w:ascii="宋体" w:hAnsi="宋体"/>
          <w:color w:val="auto"/>
          <w:highlight w:val="none"/>
          <w:u w:val="none"/>
        </w:rPr>
        <w:t>乙方提交工程量报告的时间和要求： 每到付款节点后10天内，乙方向监理工程师提交5份以工程量清单报价表为格式的已完工程报表。其中报甲方2份。因乙方未按约提交工程量报告，导致工程量确认时间延误，甲方有权按2000元/天的标准对乙方进行处罚。</w:t>
      </w:r>
    </w:p>
    <w:p>
      <w:pPr>
        <w:spacing w:line="360" w:lineRule="auto"/>
        <w:ind w:firstLine="422" w:firstLineChars="175"/>
        <w:rPr>
          <w:rFonts w:ascii="宋体" w:hAnsi="宋体"/>
          <w:b/>
          <w:color w:val="auto"/>
          <w:highlight w:val="none"/>
        </w:rPr>
      </w:pPr>
      <w:r>
        <w:rPr>
          <w:rFonts w:hint="eastAsia" w:ascii="宋体" w:hAnsi="宋体"/>
          <w:b/>
          <w:color w:val="auto"/>
          <w:highlight w:val="none"/>
        </w:rPr>
        <w:t>第18条  工程款支付</w:t>
      </w:r>
    </w:p>
    <w:p>
      <w:pPr>
        <w:spacing w:line="360" w:lineRule="auto"/>
        <w:ind w:firstLine="480" w:firstLineChars="200"/>
        <w:rPr>
          <w:rFonts w:hAnsi="仿宋_GB2312"/>
          <w:color w:val="auto"/>
          <w:highlight w:val="none"/>
          <w:u w:val="single"/>
        </w:rPr>
      </w:pPr>
      <w:r>
        <w:rPr>
          <w:rFonts w:hint="eastAsia" w:ascii="宋体" w:hAnsi="宋体"/>
          <w:color w:val="auto"/>
          <w:highlight w:val="none"/>
        </w:rPr>
        <w:t>18</w:t>
      </w:r>
      <w:r>
        <w:rPr>
          <w:rFonts w:ascii="宋体" w:hAnsi="宋体"/>
          <w:color w:val="auto"/>
          <w:highlight w:val="none"/>
        </w:rPr>
        <w:t>.1</w:t>
      </w:r>
      <w:r>
        <w:rPr>
          <w:rFonts w:hint="eastAsia" w:ascii="宋体" w:hAnsi="宋体"/>
          <w:color w:val="auto"/>
          <w:highlight w:val="none"/>
        </w:rPr>
        <w:t xml:space="preserve"> 工程款支付方式：</w:t>
      </w:r>
      <w:r>
        <w:rPr>
          <w:rFonts w:hint="eastAsia" w:ascii="宋体" w:hAnsi="宋体"/>
          <w:color w:val="auto"/>
          <w:highlight w:val="none"/>
          <w:u w:val="single"/>
        </w:rPr>
        <w:t xml:space="preserve">  乙方在每个结算阶段按时提交已完工程量报告，7日内经监理单位、甲方审核无误后按约定时间支付工程进度款。        </w:t>
      </w:r>
    </w:p>
    <w:p>
      <w:pPr>
        <w:spacing w:before="0" w:beforeAutospacing="0" w:after="0" w:afterAutospacing="0" w:line="360" w:lineRule="auto"/>
        <w:ind w:firstLine="420"/>
        <w:rPr>
          <w:rFonts w:ascii="宋体" w:hAnsi="宋体"/>
          <w:color w:val="auto"/>
          <w:highlight w:val="none"/>
          <w:u w:val="single"/>
        </w:rPr>
      </w:pPr>
      <w:r>
        <w:rPr>
          <w:rFonts w:hint="eastAsia" w:ascii="宋体" w:hAnsi="宋体"/>
          <w:color w:val="auto"/>
          <w:highlight w:val="none"/>
        </w:rPr>
        <w:t>18</w:t>
      </w:r>
      <w:r>
        <w:rPr>
          <w:rFonts w:ascii="宋体" w:hAnsi="宋体"/>
          <w:color w:val="auto"/>
          <w:highlight w:val="none"/>
        </w:rPr>
        <w:t>.</w:t>
      </w:r>
      <w:r>
        <w:rPr>
          <w:rFonts w:hint="eastAsia" w:ascii="宋体" w:hAnsi="宋体"/>
          <w:color w:val="auto"/>
          <w:highlight w:val="none"/>
        </w:rPr>
        <w:t>2 工程款支付金额和时间：</w:t>
      </w:r>
      <w:r>
        <w:rPr>
          <w:rFonts w:hint="eastAsia" w:ascii="宋体" w:hAnsi="宋体"/>
          <w:color w:val="auto"/>
          <w:highlight w:val="none"/>
          <w:u w:val="single"/>
        </w:rPr>
        <w:t xml:space="preserve">  ①第一次:在甲、乙双方签订合同后，乙方进场施工前支付至工程合同价的</w:t>
      </w:r>
      <w:r>
        <w:rPr>
          <w:rFonts w:hint="eastAsia" w:ascii="宋体" w:hAnsi="宋体"/>
          <w:color w:val="auto"/>
          <w:highlight w:val="none"/>
          <w:u w:val="single"/>
          <w:lang w:val="en-US" w:eastAsia="zh-CN"/>
        </w:rPr>
        <w:t>3</w:t>
      </w:r>
      <w:r>
        <w:rPr>
          <w:rFonts w:hint="eastAsia" w:ascii="宋体" w:hAnsi="宋体"/>
          <w:color w:val="auto"/>
          <w:highlight w:val="none"/>
          <w:u w:val="single"/>
        </w:rPr>
        <w:t>0%做为预付款；②第二次:当施工进度达到总工程进度的50%时，7日内经监理单位、甲方审核无误，</w:t>
      </w:r>
      <w:r>
        <w:rPr>
          <w:rFonts w:ascii="宋体" w:hAnsi="宋体"/>
          <w:color w:val="auto"/>
          <w:highlight w:val="none"/>
          <w:u w:val="single"/>
        </w:rPr>
        <w:t>进度款</w:t>
      </w:r>
      <w:r>
        <w:rPr>
          <w:rFonts w:hint="eastAsia" w:ascii="宋体" w:hAnsi="宋体"/>
          <w:color w:val="auto"/>
          <w:highlight w:val="none"/>
          <w:u w:val="single"/>
        </w:rPr>
        <w:t>支付至不高于工程合同价的30%；③第三次：通过竣工验收后，7日内经监理单位、甲方审核无误，由乙方在30个日历天内向甲方提交结算审计资料，甲方在收到乙方提交的结算审计资料后10日内，进度款支付至不高于工程合同价款或送审价的70%（两者取低）；④第四次:甲方向乙方支付至工程款（按审定金额）的97%；⑤第五次:</w:t>
      </w:r>
      <w:r>
        <w:rPr>
          <w:rFonts w:hint="eastAsia" w:ascii="宋体" w:hAnsi="宋体" w:cs="宋体"/>
          <w:color w:val="auto"/>
          <w:szCs w:val="21"/>
          <w:highlight w:val="none"/>
          <w:u w:val="single"/>
          <w:lang w:bidi="ar"/>
        </w:rPr>
        <w:t>剩余价款作为质保金，如无需要使用质保金情况，则在工程质保期满后（</w:t>
      </w:r>
      <w:r>
        <w:rPr>
          <w:rFonts w:hint="eastAsia"/>
          <w:color w:val="auto"/>
          <w:highlight w:val="none"/>
          <w:u w:val="single"/>
        </w:rPr>
        <w:t>具体时间按27.5执行</w:t>
      </w:r>
      <w:r>
        <w:rPr>
          <w:rFonts w:hint="eastAsia" w:ascii="宋体" w:hAnsi="宋体" w:cs="宋体"/>
          <w:color w:val="auto"/>
          <w:szCs w:val="21"/>
          <w:highlight w:val="none"/>
          <w:u w:val="single"/>
          <w:lang w:bidi="ar"/>
        </w:rPr>
        <w:t>）支付（质保金额按工程审计结算价、无息支付）。</w:t>
      </w:r>
    </w:p>
    <w:p>
      <w:pPr>
        <w:spacing w:before="0" w:beforeAutospacing="0" w:after="0" w:afterAutospacing="0" w:line="360" w:lineRule="auto"/>
        <w:ind w:firstLine="420"/>
        <w:rPr>
          <w:rFonts w:ascii="宋体" w:hAnsi="宋体"/>
          <w:color w:val="auto"/>
          <w:highlight w:val="none"/>
        </w:rPr>
      </w:pPr>
      <w:r>
        <w:rPr>
          <w:rFonts w:hint="eastAsia" w:ascii="宋体" w:hAnsi="宋体"/>
          <w:color w:val="auto"/>
          <w:highlight w:val="none"/>
          <w:u w:val="single"/>
        </w:rPr>
        <w:t>18.3甲方支付第二笔、第三笔进度款时应扣除乙方因违反合同第26、29、31条约定而承担的违约金、罚款等金额，将剩余部分支付给乙方。</w:t>
      </w:r>
      <w:r>
        <w:rPr>
          <w:rFonts w:hint="eastAsia" w:ascii="宋体" w:hAnsi="宋体"/>
          <w:color w:val="auto"/>
          <w:highlight w:val="none"/>
          <w:u w:val="single"/>
        </w:rPr>
        <w:br w:type="textWrapping"/>
      </w:r>
      <w:r>
        <w:rPr>
          <w:rFonts w:hint="eastAsia" w:ascii="宋体" w:hAnsi="宋体"/>
          <w:color w:val="auto"/>
          <w:highlight w:val="none"/>
        </w:rPr>
        <w:t xml:space="preserve">    18.4乙方应当于竣工验收合格后30日之内上报全套工程送审资料（一份），逾期未上报者，甲方有权按照10000元/天的标准对乙方进行处罚，并在工程款中予以扣除。乙方应积极配合审计工作，在被通知合理时限内（以函为准）处理现场踏勘、核量等事务，逾期不配合的，视为乙方认可审计结果。  </w:t>
      </w:r>
    </w:p>
    <w:p>
      <w:pPr>
        <w:adjustRightInd w:val="0"/>
        <w:snapToGrid w:val="0"/>
        <w:spacing w:line="360" w:lineRule="auto"/>
        <w:ind w:firstLine="480" w:firstLineChars="200"/>
        <w:rPr>
          <w:rFonts w:ascii="宋体" w:hAnsi="宋体"/>
          <w:color w:val="auto"/>
          <w:highlight w:val="none"/>
        </w:rPr>
      </w:pPr>
      <w:r>
        <w:rPr>
          <w:rFonts w:hint="eastAsia" w:ascii="宋体" w:hAnsi="宋体"/>
          <w:color w:val="auto"/>
          <w:highlight w:val="none"/>
        </w:rPr>
        <w:t>18.5乙方对工程总造价进行控制，乙方上报甲方的竣工结算价格不得高于合同总价款的10%，否则甲方有权拒绝接收竣工结算资料。</w:t>
      </w:r>
    </w:p>
    <w:p>
      <w:pPr>
        <w:adjustRightInd w:val="0"/>
        <w:snapToGrid w:val="0"/>
        <w:spacing w:line="360" w:lineRule="auto"/>
        <w:ind w:firstLine="480" w:firstLineChars="200"/>
        <w:rPr>
          <w:rFonts w:ascii="宋体" w:hAnsi="宋体"/>
          <w:color w:val="auto"/>
          <w:highlight w:val="none"/>
        </w:rPr>
      </w:pPr>
      <w:r>
        <w:rPr>
          <w:rFonts w:hint="eastAsia" w:ascii="宋体" w:hAnsi="宋体"/>
          <w:color w:val="auto"/>
          <w:highlight w:val="none"/>
        </w:rPr>
        <w:t>18.6甲方付款前，乙方应提供正式发票。</w:t>
      </w:r>
    </w:p>
    <w:p>
      <w:pPr>
        <w:spacing w:line="360" w:lineRule="auto"/>
        <w:ind w:firstLine="422" w:firstLineChars="175"/>
        <w:rPr>
          <w:rFonts w:hint="eastAsia" w:ascii="宋体" w:hAnsi="宋体" w:eastAsia="宋体" w:cs="Times New Roman"/>
          <w:b/>
          <w:color w:val="auto"/>
          <w:highlight w:val="none"/>
        </w:rPr>
      </w:pPr>
      <w:r>
        <w:rPr>
          <w:rFonts w:hint="eastAsia" w:ascii="宋体" w:hAnsi="宋体" w:eastAsia="宋体" w:cs="Times New Roman"/>
          <w:b/>
          <w:color w:val="auto"/>
          <w:highlight w:val="none"/>
        </w:rPr>
        <w:t>第19条  乙方采购材料设备及验收</w:t>
      </w:r>
    </w:p>
    <w:p>
      <w:pPr>
        <w:spacing w:line="360" w:lineRule="auto"/>
        <w:ind w:firstLine="405"/>
        <w:rPr>
          <w:rFonts w:ascii="宋体" w:hAnsi="宋体"/>
          <w:color w:val="auto"/>
          <w:highlight w:val="none"/>
          <w:u w:val="none"/>
        </w:rPr>
      </w:pPr>
      <w:r>
        <w:rPr>
          <w:rFonts w:hint="eastAsia" w:ascii="宋体" w:hAnsi="宋体"/>
          <w:color w:val="auto"/>
          <w:highlight w:val="none"/>
          <w:u w:val="none"/>
        </w:rPr>
        <w:t>以</w:t>
      </w:r>
      <w:r>
        <w:rPr>
          <w:rFonts w:hint="eastAsia" w:ascii="宋体" w:hAnsi="宋体"/>
          <w:color w:val="auto"/>
          <w:highlight w:val="none"/>
          <w:u w:val="none"/>
          <w:lang w:eastAsia="zh-CN"/>
        </w:rPr>
        <w:t>竞争性磋商文件</w:t>
      </w:r>
      <w:r>
        <w:rPr>
          <w:rFonts w:hint="eastAsia" w:ascii="宋体" w:hAnsi="宋体"/>
          <w:color w:val="auto"/>
          <w:highlight w:val="none"/>
          <w:u w:val="none"/>
        </w:rPr>
        <w:t>规定为准，未经甲方书面认可不得变动。未作规定的，按</w:t>
      </w:r>
      <w:r>
        <w:rPr>
          <w:rFonts w:hint="eastAsia" w:ascii="宋体" w:hAnsi="宋体"/>
          <w:color w:val="auto"/>
          <w:highlight w:val="none"/>
          <w:u w:val="none"/>
          <w:lang w:eastAsia="zh-CN"/>
        </w:rPr>
        <w:t>施工响应文件</w:t>
      </w:r>
      <w:r>
        <w:rPr>
          <w:rFonts w:hint="eastAsia" w:ascii="宋体" w:hAnsi="宋体"/>
          <w:color w:val="auto"/>
          <w:highlight w:val="none"/>
          <w:u w:val="none"/>
        </w:rPr>
        <w:t>所列为准。 质量保准应至少满足国家相关质量标准及行业准入条件</w:t>
      </w:r>
      <w:r>
        <w:rPr>
          <w:rFonts w:hint="eastAsia" w:ascii="宋体" w:hAnsi="宋体"/>
          <w:color w:val="auto"/>
          <w:highlight w:val="none"/>
          <w:u w:val="none"/>
          <w:lang w:eastAsia="zh-CN"/>
        </w:rPr>
        <w:t>。</w:t>
      </w:r>
      <w:r>
        <w:rPr>
          <w:rFonts w:hint="eastAsia" w:ascii="宋体" w:hAnsi="宋体"/>
          <w:color w:val="auto"/>
          <w:highlight w:val="none"/>
          <w:u w:val="none"/>
        </w:rPr>
        <w:t xml:space="preserve"> </w:t>
      </w:r>
    </w:p>
    <w:p>
      <w:pPr>
        <w:spacing w:line="360" w:lineRule="auto"/>
        <w:ind w:firstLine="422" w:firstLineChars="175"/>
        <w:rPr>
          <w:rFonts w:ascii="宋体" w:hAnsi="宋体"/>
          <w:b/>
          <w:color w:val="auto"/>
          <w:highlight w:val="none"/>
        </w:rPr>
      </w:pPr>
      <w:r>
        <w:rPr>
          <w:rFonts w:hint="eastAsia" w:ascii="宋体" w:hAnsi="宋体"/>
          <w:b/>
          <w:color w:val="auto"/>
          <w:highlight w:val="none"/>
        </w:rPr>
        <w:t>第20条  消防材料的检验</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因消防备案需要，按照消防要求对施工材料进行检测检验的，由乙方负责送相关部门进行检测检验，费用由乙方负责，乙方配合甲方完成消防备案。</w:t>
      </w:r>
    </w:p>
    <w:p>
      <w:pPr>
        <w:spacing w:line="360" w:lineRule="auto"/>
        <w:ind w:firstLine="422" w:firstLineChars="175"/>
        <w:rPr>
          <w:rFonts w:ascii="宋体" w:hAnsi="宋体"/>
          <w:b/>
          <w:color w:val="auto"/>
          <w:highlight w:val="none"/>
        </w:rPr>
      </w:pPr>
      <w:r>
        <w:rPr>
          <w:rFonts w:hint="eastAsia" w:ascii="宋体" w:hAnsi="宋体"/>
          <w:b/>
          <w:color w:val="auto"/>
          <w:highlight w:val="none"/>
        </w:rPr>
        <w:t>第21条  甲方变更设计</w:t>
      </w:r>
    </w:p>
    <w:p>
      <w:pPr>
        <w:spacing w:line="360" w:lineRule="auto"/>
        <w:ind w:firstLine="480" w:firstLineChars="200"/>
        <w:rPr>
          <w:rFonts w:ascii="宋体" w:hAnsi="宋体"/>
          <w:color w:val="auto"/>
          <w:highlight w:val="none"/>
        </w:rPr>
      </w:pPr>
      <w:r>
        <w:rPr>
          <w:rFonts w:hint="eastAsia" w:ascii="宋体" w:hAnsi="宋体"/>
          <w:color w:val="auto"/>
          <w:highlight w:val="none"/>
        </w:rPr>
        <w:t>甲方变更设计，应在该项工程施工前7天通知乙方。乙方已经施工的工程，甲方变更设计应及时通知乙方，乙方在接到通知后立即停止施工。</w:t>
      </w:r>
    </w:p>
    <w:p>
      <w:pPr>
        <w:spacing w:line="360" w:lineRule="auto"/>
        <w:ind w:firstLine="480" w:firstLineChars="200"/>
        <w:rPr>
          <w:rFonts w:ascii="宋体" w:hAnsi="宋体"/>
          <w:color w:val="auto"/>
          <w:highlight w:val="none"/>
        </w:rPr>
      </w:pPr>
      <w:r>
        <w:rPr>
          <w:rFonts w:hint="eastAsia" w:ascii="宋体" w:hAnsi="宋体"/>
          <w:color w:val="auto"/>
          <w:highlight w:val="none"/>
        </w:rPr>
        <w:t>由于设计变更，造成乙方返工需要的全部追加合同价款和相应损失均由甲方承担，相应顺延工期。</w:t>
      </w:r>
    </w:p>
    <w:p>
      <w:pPr>
        <w:spacing w:line="360" w:lineRule="auto"/>
        <w:ind w:firstLine="422" w:firstLineChars="175"/>
        <w:rPr>
          <w:rFonts w:ascii="宋体" w:hAnsi="宋体"/>
          <w:b/>
          <w:color w:val="auto"/>
          <w:highlight w:val="none"/>
        </w:rPr>
      </w:pPr>
      <w:r>
        <w:rPr>
          <w:rFonts w:hint="eastAsia" w:ascii="宋体" w:hAnsi="宋体"/>
          <w:b/>
          <w:color w:val="auto"/>
          <w:highlight w:val="none"/>
        </w:rPr>
        <w:t>第22条  乙方变更设计</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乙方提出合理化建议涉及到变更设计和对原定材料的换用，必须经甲方代表及有关部门批准。</w:t>
      </w:r>
    </w:p>
    <w:p>
      <w:pPr>
        <w:spacing w:line="360" w:lineRule="auto"/>
        <w:ind w:firstLine="422" w:firstLineChars="175"/>
        <w:rPr>
          <w:rFonts w:ascii="宋体" w:hAnsi="宋体"/>
          <w:b/>
          <w:color w:val="auto"/>
          <w:highlight w:val="none"/>
        </w:rPr>
      </w:pPr>
      <w:r>
        <w:rPr>
          <w:rFonts w:hint="eastAsia" w:ascii="宋体" w:hAnsi="宋体"/>
          <w:b/>
          <w:color w:val="auto"/>
          <w:highlight w:val="none"/>
        </w:rPr>
        <w:t>第23条  设计变更对工程的影响</w:t>
      </w:r>
    </w:p>
    <w:p>
      <w:pPr>
        <w:spacing w:line="360" w:lineRule="auto"/>
        <w:ind w:firstLine="480" w:firstLineChars="200"/>
        <w:rPr>
          <w:rFonts w:ascii="宋体" w:hAnsi="宋体"/>
          <w:color w:val="auto"/>
          <w:highlight w:val="none"/>
        </w:rPr>
      </w:pPr>
      <w:r>
        <w:rPr>
          <w:rFonts w:hint="eastAsia" w:ascii="宋体" w:hAnsi="宋体"/>
          <w:color w:val="auto"/>
          <w:highlight w:val="none"/>
        </w:rPr>
        <w:t>所有设计变更，双方均应办理变更洽商签证。发生设计变更后，乙方按甲方代表的要求，进行下列对工程影响的变更：</w:t>
      </w:r>
    </w:p>
    <w:p>
      <w:pPr>
        <w:spacing w:line="360" w:lineRule="auto"/>
        <w:ind w:firstLine="480" w:firstLineChars="200"/>
        <w:rPr>
          <w:rFonts w:ascii="宋体" w:hAnsi="宋体"/>
          <w:color w:val="auto"/>
          <w:highlight w:val="none"/>
        </w:rPr>
      </w:pPr>
      <w:r>
        <w:rPr>
          <w:rFonts w:hint="eastAsia" w:ascii="宋体" w:hAnsi="宋体"/>
          <w:color w:val="auto"/>
          <w:highlight w:val="none"/>
        </w:rPr>
        <w:t>1、增减合同中约定的工程数量；</w:t>
      </w:r>
    </w:p>
    <w:p>
      <w:pPr>
        <w:spacing w:line="360" w:lineRule="auto"/>
        <w:ind w:firstLine="480" w:firstLineChars="200"/>
        <w:rPr>
          <w:rFonts w:ascii="宋体" w:hAnsi="宋体"/>
          <w:color w:val="auto"/>
          <w:highlight w:val="none"/>
        </w:rPr>
      </w:pPr>
      <w:r>
        <w:rPr>
          <w:rFonts w:hint="eastAsia" w:ascii="宋体" w:hAnsi="宋体"/>
          <w:color w:val="auto"/>
          <w:highlight w:val="none"/>
        </w:rPr>
        <w:t>2、更改有关工程的性质、质量、规格；</w:t>
      </w:r>
    </w:p>
    <w:p>
      <w:pPr>
        <w:spacing w:line="360" w:lineRule="auto"/>
        <w:ind w:firstLine="480" w:firstLineChars="200"/>
        <w:rPr>
          <w:rFonts w:ascii="宋体" w:hAnsi="宋体"/>
          <w:color w:val="auto"/>
          <w:highlight w:val="none"/>
        </w:rPr>
      </w:pPr>
      <w:r>
        <w:rPr>
          <w:rFonts w:hint="eastAsia" w:ascii="宋体" w:hAnsi="宋体"/>
          <w:color w:val="auto"/>
          <w:highlight w:val="none"/>
        </w:rPr>
        <w:t>3、更改有关部分的标高、基线、位置和尺寸；</w:t>
      </w:r>
    </w:p>
    <w:p>
      <w:pPr>
        <w:spacing w:line="360" w:lineRule="auto"/>
        <w:ind w:firstLine="480" w:firstLineChars="200"/>
        <w:rPr>
          <w:rFonts w:ascii="宋体" w:hAnsi="宋体"/>
          <w:color w:val="auto"/>
          <w:highlight w:val="none"/>
        </w:rPr>
      </w:pPr>
      <w:r>
        <w:rPr>
          <w:rFonts w:hint="eastAsia" w:ascii="宋体" w:hAnsi="宋体"/>
          <w:color w:val="auto"/>
          <w:highlight w:val="none"/>
        </w:rPr>
        <w:t>4、增加工程需要的附加工作；</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5、改变有关工程施工时间和顺序。</w:t>
      </w:r>
    </w:p>
    <w:p>
      <w:pPr>
        <w:spacing w:line="360" w:lineRule="auto"/>
        <w:ind w:firstLine="422" w:firstLineChars="175"/>
        <w:rPr>
          <w:rFonts w:ascii="宋体" w:hAnsi="宋体"/>
          <w:b/>
          <w:color w:val="auto"/>
          <w:highlight w:val="none"/>
        </w:rPr>
      </w:pPr>
      <w:r>
        <w:rPr>
          <w:rFonts w:hint="eastAsia" w:ascii="宋体" w:hAnsi="宋体"/>
          <w:b/>
          <w:color w:val="auto"/>
          <w:highlight w:val="none"/>
        </w:rPr>
        <w:t>第24条  确定变更价款</w:t>
      </w:r>
    </w:p>
    <w:p>
      <w:pPr>
        <w:spacing w:line="360" w:lineRule="auto"/>
        <w:ind w:firstLine="120" w:firstLineChars="50"/>
        <w:rPr>
          <w:rFonts w:ascii="宋体" w:hAnsi="宋体"/>
          <w:color w:val="auto"/>
          <w:highlight w:val="none"/>
          <w:u w:val="single"/>
        </w:rPr>
      </w:pPr>
      <w:r>
        <w:rPr>
          <w:rFonts w:hint="eastAsia" w:ascii="宋体" w:hAnsi="宋体"/>
          <w:b/>
          <w:color w:val="auto"/>
          <w:highlight w:val="none"/>
        </w:rPr>
        <w:t xml:space="preserve">   </w:t>
      </w:r>
      <w:r>
        <w:rPr>
          <w:rFonts w:hint="eastAsia" w:ascii="宋体" w:hAnsi="宋体"/>
          <w:color w:val="auto"/>
          <w:highlight w:val="none"/>
          <w:u w:val="single"/>
        </w:rPr>
        <w:t>1）由设计、现场监理和乙方提出书面变更事项，交由甲方代表同意，在没有获得甲方代表同意之前，乙方必须对提出变更项目停止施工，甲方代表同意后与设计、现场监理共同出具书面变更文件，涉及工程量变更，办理签证手续后，乙方再根据变更后的设计组织施工。2）乙方应严格按照“按图施工”的原则进行施工，如进行属于图纸及工程量清单所示工程量范围以外的项目施工前，先停止施工，向甲方代表提出书面意见，经甲方代表同意，办理签证手续后方可继续施工，其价款的变更按照以下规定执行。</w:t>
      </w:r>
    </w:p>
    <w:p>
      <w:pPr>
        <w:spacing w:line="360" w:lineRule="auto"/>
        <w:ind w:firstLine="480" w:firstLineChars="200"/>
        <w:rPr>
          <w:rFonts w:ascii="宋体" w:hAnsi="宋体"/>
          <w:color w:val="auto"/>
          <w:highlight w:val="none"/>
          <w:u w:val="single"/>
        </w:rPr>
      </w:pPr>
      <w:r>
        <w:rPr>
          <w:rFonts w:hint="eastAsia" w:ascii="宋体" w:hAnsi="宋体"/>
          <w:color w:val="auto"/>
          <w:highlight w:val="none"/>
          <w:u w:val="single"/>
        </w:rPr>
        <w:t xml:space="preserve">确定变更价款 ：乙方在工程变更确定后2天内，提出变更工程价款的报告，经监理工程师确认后，由甲方代表同意后调整合同价款。变更产生的新增项目的综合单价按下列方法进行： </w:t>
      </w:r>
    </w:p>
    <w:p>
      <w:pPr>
        <w:spacing w:line="360" w:lineRule="auto"/>
        <w:ind w:firstLine="105"/>
        <w:rPr>
          <w:rFonts w:ascii="宋体" w:hAnsi="宋体"/>
          <w:color w:val="auto"/>
          <w:highlight w:val="none"/>
          <w:u w:val="single"/>
        </w:rPr>
      </w:pPr>
      <w:r>
        <w:rPr>
          <w:rFonts w:hint="eastAsia" w:ascii="宋体" w:hAnsi="宋体"/>
          <w:color w:val="auto"/>
          <w:highlight w:val="none"/>
          <w:u w:val="single"/>
        </w:rPr>
        <w:t>A、投标报价中已有适用于此工程项目的综合单价，按已有的综合单价执行。</w:t>
      </w:r>
    </w:p>
    <w:p>
      <w:pPr>
        <w:spacing w:line="360" w:lineRule="auto"/>
        <w:ind w:firstLine="105"/>
        <w:rPr>
          <w:rFonts w:ascii="宋体" w:hAnsi="宋体"/>
          <w:color w:val="auto"/>
          <w:highlight w:val="none"/>
          <w:u w:val="single"/>
        </w:rPr>
      </w:pPr>
      <w:r>
        <w:rPr>
          <w:rFonts w:hint="eastAsia" w:ascii="宋体" w:hAnsi="宋体"/>
          <w:color w:val="auto"/>
          <w:highlight w:val="none"/>
          <w:u w:val="single"/>
        </w:rPr>
        <w:t>B、投标报价中已有类似于此工程项目的综合单价，按已有的综合单价执行。</w:t>
      </w:r>
    </w:p>
    <w:p>
      <w:pPr>
        <w:spacing w:line="360" w:lineRule="auto"/>
        <w:ind w:firstLine="105"/>
        <w:rPr>
          <w:rFonts w:ascii="宋体" w:hAnsi="宋体"/>
          <w:color w:val="auto"/>
          <w:highlight w:val="none"/>
          <w:u w:val="single"/>
        </w:rPr>
      </w:pPr>
      <w:r>
        <w:rPr>
          <w:rFonts w:hint="eastAsia" w:ascii="宋体" w:hAnsi="宋体"/>
          <w:color w:val="auto"/>
          <w:highlight w:val="none"/>
          <w:u w:val="single"/>
        </w:rPr>
        <w:t>C、投标报价中没有适用于或类似于此工程项目的综合单价，清单项目综合单价按2015年《四川省建设工程工程量清单计价定额》及相关配套文件编制。材料价格按施工期间成都市《工程造价信息价》中的价格执行，人工费按最新文件规定执行,作为中间支付依据，最终以审计部门审定的金额为准。</w:t>
      </w:r>
    </w:p>
    <w:p>
      <w:pPr>
        <w:spacing w:line="360" w:lineRule="auto"/>
        <w:ind w:firstLine="120" w:firstLineChars="50"/>
        <w:rPr>
          <w:rFonts w:ascii="宋体" w:hAnsi="宋体"/>
          <w:color w:val="auto"/>
          <w:highlight w:val="none"/>
          <w:u w:val="single"/>
        </w:rPr>
      </w:pPr>
      <w:r>
        <w:rPr>
          <w:rFonts w:hint="eastAsia" w:ascii="宋体" w:hAnsi="宋体"/>
          <w:color w:val="auto"/>
          <w:highlight w:val="none"/>
          <w:u w:val="single"/>
        </w:rPr>
        <w:t>D、若取消某工程项目，则该项目的价款不予支付。</w:t>
      </w:r>
    </w:p>
    <w:p>
      <w:pPr>
        <w:spacing w:line="360" w:lineRule="auto"/>
        <w:ind w:firstLine="120" w:firstLineChars="50"/>
        <w:rPr>
          <w:rFonts w:ascii="宋体" w:hAnsi="宋体"/>
          <w:b/>
          <w:color w:val="auto"/>
          <w:highlight w:val="none"/>
        </w:rPr>
      </w:pPr>
      <w:r>
        <w:rPr>
          <w:rFonts w:hint="eastAsia" w:ascii="宋体" w:hAnsi="宋体"/>
          <w:b/>
          <w:color w:val="auto"/>
          <w:highlight w:val="none"/>
        </w:rPr>
        <w:t>若乙方未在2天内提出变更工程价款的报告，视为工程变更不涉及合同价款变更</w:t>
      </w:r>
    </w:p>
    <w:p>
      <w:pPr>
        <w:spacing w:line="360" w:lineRule="auto"/>
        <w:rPr>
          <w:rFonts w:ascii="方正大黑简体" w:hAnsi="宋体" w:eastAsia="方正大黑简体"/>
          <w:color w:val="auto"/>
          <w:highlight w:val="none"/>
        </w:rPr>
      </w:pPr>
      <w:r>
        <w:rPr>
          <w:rFonts w:hint="eastAsia" w:ascii="宋体" w:hAnsi="宋体"/>
          <w:b/>
          <w:color w:val="auto"/>
          <w:highlight w:val="none"/>
        </w:rPr>
        <w:t xml:space="preserve">    第25条  竣工验收</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25</w:t>
      </w:r>
      <w:r>
        <w:rPr>
          <w:rFonts w:ascii="宋体" w:hAnsi="宋体"/>
          <w:color w:val="auto"/>
          <w:highlight w:val="none"/>
        </w:rPr>
        <w:t>.1</w:t>
      </w:r>
      <w:r>
        <w:rPr>
          <w:rFonts w:hint="eastAsia" w:ascii="宋体" w:hAnsi="宋体"/>
          <w:color w:val="auto"/>
          <w:highlight w:val="none"/>
        </w:rPr>
        <w:t xml:space="preserve"> 乙方提供竣工验收资料的内容：</w:t>
      </w:r>
      <w:r>
        <w:rPr>
          <w:rFonts w:hint="eastAsia" w:ascii="宋体" w:hAnsi="宋体"/>
          <w:color w:val="auto"/>
          <w:highlight w:val="none"/>
          <w:u w:val="single"/>
        </w:rPr>
        <w:t xml:space="preserve">竣工验收后30日内提交竣工图一式四份。并将施工过程中形成的有关完整资料分类整理装订成册，经监理工程师审核后交甲方3套归档，监理公司留1套存档，乙方提交的竣工资料和竣工图必须达到《建设工程文件归档整理规范》（GB/T50328-2001）及备案制要求    </w:t>
      </w:r>
    </w:p>
    <w:p>
      <w:pPr>
        <w:spacing w:line="360" w:lineRule="auto"/>
        <w:rPr>
          <w:rFonts w:ascii="宋体" w:hAnsi="宋体"/>
          <w:color w:val="auto"/>
          <w:highlight w:val="none"/>
          <w:u w:val="single"/>
        </w:rPr>
      </w:pPr>
      <w:r>
        <w:rPr>
          <w:rFonts w:hint="eastAsia" w:ascii="宋体" w:hAnsi="宋体"/>
          <w:color w:val="auto"/>
          <w:highlight w:val="none"/>
        </w:rPr>
        <w:t>25</w:t>
      </w:r>
      <w:r>
        <w:rPr>
          <w:rFonts w:ascii="宋体" w:hAnsi="宋体"/>
          <w:color w:val="auto"/>
          <w:highlight w:val="none"/>
        </w:rPr>
        <w:t>.</w:t>
      </w:r>
      <w:r>
        <w:rPr>
          <w:rFonts w:hint="eastAsia" w:ascii="宋体" w:hAnsi="宋体"/>
          <w:color w:val="auto"/>
          <w:highlight w:val="none"/>
        </w:rPr>
        <w:t>2 乙方提交竣工报告的时间和份数：</w:t>
      </w:r>
      <w:r>
        <w:rPr>
          <w:rFonts w:hint="eastAsia" w:ascii="宋体" w:hAnsi="宋体"/>
          <w:color w:val="auto"/>
          <w:highlight w:val="none"/>
          <w:u w:val="single"/>
        </w:rPr>
        <w:t xml:space="preserve">竣工验收后30日内提交竣工图一式四份。 </w:t>
      </w:r>
    </w:p>
    <w:p>
      <w:pPr>
        <w:spacing w:line="360" w:lineRule="auto"/>
        <w:ind w:firstLine="600" w:firstLineChars="250"/>
        <w:rPr>
          <w:rFonts w:ascii="宋体" w:hAnsi="宋体"/>
          <w:color w:val="auto"/>
          <w:highlight w:val="none"/>
          <w:u w:val="single"/>
        </w:rPr>
      </w:pPr>
      <w:r>
        <w:rPr>
          <w:rFonts w:hint="eastAsia" w:ascii="宋体" w:hAnsi="宋体"/>
          <w:color w:val="auto"/>
          <w:highlight w:val="none"/>
          <w:u w:val="single"/>
        </w:rPr>
        <w:t>乙方未按约定提交竣工验收报告，承担工期延误的违约责任。</w:t>
      </w:r>
    </w:p>
    <w:p>
      <w:pPr>
        <w:spacing w:line="360" w:lineRule="auto"/>
        <w:rPr>
          <w:rFonts w:ascii="宋体" w:hAnsi="宋体"/>
          <w:color w:val="auto"/>
          <w:highlight w:val="none"/>
          <w:u w:val="single"/>
        </w:rPr>
      </w:pPr>
      <w:r>
        <w:rPr>
          <w:rFonts w:hint="eastAsia" w:ascii="宋体" w:hAnsi="宋体"/>
          <w:color w:val="auto"/>
          <w:highlight w:val="none"/>
          <w:u w:val="single"/>
        </w:rPr>
        <w:t>25.3竣工验收不合格的，乙方完成整改后，应当重新进行竣工验收，经重新验收仍不合格的且无法采取补救措施的，甲方有权拒绝接收不合格工程，乙方应承担由此增加的费用和工期延误的违约责任。</w:t>
      </w:r>
    </w:p>
    <w:p>
      <w:pPr>
        <w:spacing w:line="360" w:lineRule="auto"/>
        <w:rPr>
          <w:rFonts w:ascii="宋体" w:hAnsi="宋体"/>
          <w:color w:val="auto"/>
          <w:highlight w:val="none"/>
          <w:u w:val="single"/>
        </w:rPr>
      </w:pPr>
      <w:r>
        <w:rPr>
          <w:rFonts w:hint="eastAsia" w:ascii="宋体" w:hAnsi="宋体"/>
          <w:color w:val="auto"/>
          <w:highlight w:val="none"/>
          <w:u w:val="single"/>
        </w:rPr>
        <w:t>25.4 乙方承建的工程应在颁发工程接受证书后7天内完成工程移交，</w:t>
      </w:r>
    </w:p>
    <w:p>
      <w:pPr>
        <w:spacing w:line="360" w:lineRule="auto"/>
        <w:ind w:firstLine="422" w:firstLineChars="175"/>
        <w:rPr>
          <w:rFonts w:ascii="宋体" w:hAnsi="宋体"/>
          <w:b/>
          <w:color w:val="auto"/>
          <w:highlight w:val="none"/>
        </w:rPr>
      </w:pPr>
      <w:r>
        <w:rPr>
          <w:rFonts w:hint="eastAsia" w:ascii="宋体" w:hAnsi="宋体"/>
          <w:b/>
          <w:color w:val="auto"/>
          <w:highlight w:val="none"/>
        </w:rPr>
        <w:t>第26条  竣工结算</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26</w:t>
      </w:r>
      <w:r>
        <w:rPr>
          <w:rFonts w:ascii="宋体" w:hAnsi="宋体"/>
          <w:color w:val="auto"/>
          <w:highlight w:val="none"/>
        </w:rPr>
        <w:t>.1</w:t>
      </w:r>
      <w:r>
        <w:rPr>
          <w:rFonts w:hint="eastAsia" w:ascii="宋体" w:hAnsi="宋体"/>
          <w:color w:val="auto"/>
          <w:highlight w:val="none"/>
        </w:rPr>
        <w:t xml:space="preserve"> 结算方式：</w:t>
      </w:r>
      <w:r>
        <w:rPr>
          <w:rFonts w:hint="eastAsia" w:ascii="宋体" w:hAnsi="宋体"/>
          <w:color w:val="auto"/>
          <w:highlight w:val="none"/>
          <w:u w:val="single"/>
        </w:rPr>
        <w:t xml:space="preserve"> 审计结算、按四川省、成都市、高新区相关财政审计结算规定进行竣工审计、以最终审计结果作为工程款项总价依据。</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26</w:t>
      </w:r>
      <w:r>
        <w:rPr>
          <w:rFonts w:ascii="宋体" w:hAnsi="宋体"/>
          <w:color w:val="auto"/>
          <w:highlight w:val="none"/>
        </w:rPr>
        <w:t>.</w:t>
      </w:r>
      <w:r>
        <w:rPr>
          <w:rFonts w:hint="eastAsia" w:ascii="宋体" w:hAnsi="宋体"/>
          <w:color w:val="auto"/>
          <w:highlight w:val="none"/>
        </w:rPr>
        <w:t>2 乙方提交结算资料的时间：</w:t>
      </w:r>
      <w:r>
        <w:rPr>
          <w:rFonts w:hint="eastAsia" w:ascii="宋体" w:hAnsi="宋体"/>
          <w:color w:val="auto"/>
          <w:highlight w:val="none"/>
          <w:u w:val="single"/>
        </w:rPr>
        <w:t xml:space="preserve">  竣工验收后30日内，乙方不能在约定时间提交结算资料，甲方有权按照10000元/天的标准对乙方进行处罚，并在工程价款中予以扣除。     </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26</w:t>
      </w:r>
      <w:r>
        <w:rPr>
          <w:rFonts w:ascii="宋体" w:hAnsi="宋体"/>
          <w:color w:val="auto"/>
          <w:highlight w:val="none"/>
        </w:rPr>
        <w:t>.</w:t>
      </w:r>
      <w:r>
        <w:rPr>
          <w:rFonts w:hint="eastAsia" w:ascii="宋体" w:hAnsi="宋体"/>
          <w:color w:val="auto"/>
          <w:highlight w:val="none"/>
        </w:rPr>
        <w:t>3 甲方批准结算报告的时间：</w:t>
      </w:r>
      <w:r>
        <w:rPr>
          <w:rFonts w:hint="eastAsia" w:ascii="宋体" w:hAnsi="宋体"/>
          <w:color w:val="auto"/>
          <w:highlight w:val="none"/>
          <w:u w:val="single"/>
        </w:rPr>
        <w:t xml:space="preserve">  竣工审计结束后20日内 </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26</w:t>
      </w:r>
      <w:r>
        <w:rPr>
          <w:rFonts w:ascii="宋体" w:hAnsi="宋体"/>
          <w:color w:val="auto"/>
          <w:highlight w:val="none"/>
        </w:rPr>
        <w:t>.</w:t>
      </w:r>
      <w:r>
        <w:rPr>
          <w:rFonts w:hint="eastAsia" w:ascii="宋体" w:hAnsi="宋体"/>
          <w:color w:val="auto"/>
          <w:highlight w:val="none"/>
        </w:rPr>
        <w:t>4 甲方将拨款通知送达经办银行的时间：</w:t>
      </w:r>
      <w:r>
        <w:rPr>
          <w:rFonts w:hint="eastAsia" w:ascii="宋体" w:hAnsi="宋体"/>
          <w:color w:val="auto"/>
          <w:highlight w:val="none"/>
          <w:u w:val="single"/>
        </w:rPr>
        <w:t xml:space="preserve"> 10日内    </w:t>
      </w:r>
    </w:p>
    <w:p>
      <w:pPr>
        <w:spacing w:line="360" w:lineRule="auto"/>
        <w:ind w:firstLine="480" w:firstLineChars="200"/>
        <w:rPr>
          <w:rFonts w:ascii="宋体" w:hAnsi="宋体"/>
          <w:color w:val="auto"/>
          <w:highlight w:val="none"/>
          <w:u w:val="single"/>
        </w:rPr>
      </w:pPr>
      <w:r>
        <w:rPr>
          <w:rFonts w:hint="eastAsia" w:ascii="宋体" w:hAnsi="宋体"/>
          <w:color w:val="auto"/>
          <w:highlight w:val="none"/>
        </w:rPr>
        <w:t>26.5乙方应积极配合审计工作，在被通知合理时限内（以函为准）处理现场踏勘、核量等事务，乙方拒不配合的，视为乙方认可审计结果。</w:t>
      </w:r>
      <w:r>
        <w:rPr>
          <w:rFonts w:ascii="宋体" w:hAnsi="宋体"/>
          <w:color w:val="auto"/>
          <w:highlight w:val="none"/>
          <w:u w:val="single"/>
        </w:rPr>
        <w:t>工程结算资料(含月进度款结算资料、工程阶段性结算资料、竣工结算资料等)，如经</w:t>
      </w:r>
      <w:r>
        <w:rPr>
          <w:rFonts w:hint="eastAsia" w:ascii="宋体" w:hAnsi="宋体"/>
          <w:color w:val="auto"/>
          <w:highlight w:val="none"/>
          <w:u w:val="single"/>
        </w:rPr>
        <w:t>审计部门或</w:t>
      </w:r>
      <w:r>
        <w:rPr>
          <w:rFonts w:ascii="宋体" w:hAnsi="宋体"/>
          <w:color w:val="auto"/>
          <w:highlight w:val="none"/>
          <w:u w:val="single"/>
        </w:rPr>
        <w:t>发包人委托的全过程造价咨询机构审核审减额超过5%（含5%），发包人将</w:t>
      </w:r>
      <w:r>
        <w:rPr>
          <w:rFonts w:hint="eastAsia" w:ascii="宋体" w:hAnsi="宋体"/>
          <w:color w:val="auto"/>
          <w:highlight w:val="none"/>
          <w:u w:val="single"/>
        </w:rPr>
        <w:t>在支付</w:t>
      </w:r>
      <w:r>
        <w:rPr>
          <w:rFonts w:ascii="宋体" w:hAnsi="宋体"/>
          <w:color w:val="auto"/>
          <w:highlight w:val="none"/>
          <w:u w:val="single"/>
        </w:rPr>
        <w:t>承包人</w:t>
      </w:r>
      <w:r>
        <w:rPr>
          <w:rFonts w:hint="eastAsia" w:ascii="宋体" w:hAnsi="宋体"/>
          <w:color w:val="auto"/>
          <w:highlight w:val="none"/>
          <w:u w:val="single"/>
        </w:rPr>
        <w:t>计结算价款中扣除</w:t>
      </w:r>
      <w:r>
        <w:rPr>
          <w:rFonts w:ascii="宋体" w:hAnsi="宋体"/>
          <w:color w:val="auto"/>
          <w:highlight w:val="none"/>
          <w:u w:val="single"/>
        </w:rPr>
        <w:t>全部审减额</w:t>
      </w:r>
      <w:r>
        <w:rPr>
          <w:rFonts w:hint="eastAsia" w:ascii="宋体" w:hAnsi="宋体"/>
          <w:color w:val="auto"/>
          <w:highlight w:val="none"/>
          <w:u w:val="single"/>
        </w:rPr>
        <w:t>6</w:t>
      </w:r>
      <w:r>
        <w:rPr>
          <w:rFonts w:ascii="宋体" w:hAnsi="宋体"/>
          <w:color w:val="auto"/>
          <w:highlight w:val="none"/>
          <w:u w:val="single"/>
        </w:rPr>
        <w:t>%的费用</w:t>
      </w:r>
      <w:r>
        <w:rPr>
          <w:rFonts w:hint="eastAsia" w:ascii="宋体" w:hAnsi="宋体"/>
          <w:color w:val="auto"/>
          <w:highlight w:val="none"/>
          <w:u w:val="single"/>
        </w:rPr>
        <w:t>，并在支付该次结算价款中扣除。</w:t>
      </w:r>
      <w:r>
        <w:rPr>
          <w:rFonts w:ascii="宋体" w:hAnsi="宋体"/>
          <w:color w:val="auto"/>
          <w:highlight w:val="none"/>
          <w:u w:val="single"/>
        </w:rPr>
        <w:t>如经</w:t>
      </w:r>
      <w:r>
        <w:rPr>
          <w:rFonts w:hint="eastAsia" w:ascii="宋体" w:hAnsi="宋体"/>
          <w:color w:val="auto"/>
          <w:highlight w:val="none"/>
          <w:u w:val="single"/>
        </w:rPr>
        <w:t>审计局或</w:t>
      </w:r>
      <w:r>
        <w:rPr>
          <w:rFonts w:ascii="宋体" w:hAnsi="宋体"/>
          <w:color w:val="auto"/>
          <w:highlight w:val="none"/>
          <w:u w:val="single"/>
        </w:rPr>
        <w:t>发包人委托的全过程造价咨询机构审核审减额超过</w:t>
      </w:r>
      <w:r>
        <w:rPr>
          <w:rFonts w:hint="eastAsia" w:ascii="宋体" w:hAnsi="宋体"/>
          <w:color w:val="auto"/>
          <w:highlight w:val="none"/>
          <w:u w:val="single"/>
        </w:rPr>
        <w:t>10</w:t>
      </w:r>
      <w:r>
        <w:rPr>
          <w:rFonts w:ascii="宋体" w:hAnsi="宋体"/>
          <w:color w:val="auto"/>
          <w:highlight w:val="none"/>
          <w:u w:val="single"/>
        </w:rPr>
        <w:t>%（含</w:t>
      </w:r>
      <w:r>
        <w:rPr>
          <w:rFonts w:hint="eastAsia" w:ascii="宋体" w:hAnsi="宋体"/>
          <w:color w:val="auto"/>
          <w:highlight w:val="none"/>
          <w:u w:val="single"/>
        </w:rPr>
        <w:t>10</w:t>
      </w:r>
      <w:r>
        <w:rPr>
          <w:rFonts w:ascii="宋体" w:hAnsi="宋体"/>
          <w:color w:val="auto"/>
          <w:highlight w:val="none"/>
          <w:u w:val="single"/>
        </w:rPr>
        <w:t>%），发包人将</w:t>
      </w:r>
      <w:r>
        <w:rPr>
          <w:rFonts w:hint="eastAsia" w:ascii="宋体" w:hAnsi="宋体"/>
          <w:color w:val="auto"/>
          <w:highlight w:val="none"/>
          <w:u w:val="single"/>
        </w:rPr>
        <w:t>在支付</w:t>
      </w:r>
      <w:r>
        <w:rPr>
          <w:rFonts w:ascii="宋体" w:hAnsi="宋体"/>
          <w:color w:val="auto"/>
          <w:highlight w:val="none"/>
          <w:u w:val="single"/>
        </w:rPr>
        <w:t>承包人</w:t>
      </w:r>
      <w:r>
        <w:rPr>
          <w:rFonts w:hint="eastAsia" w:ascii="宋体" w:hAnsi="宋体"/>
          <w:color w:val="auto"/>
          <w:highlight w:val="none"/>
          <w:u w:val="single"/>
        </w:rPr>
        <w:t>计结算价款中扣除</w:t>
      </w:r>
      <w:r>
        <w:rPr>
          <w:rFonts w:ascii="宋体" w:hAnsi="宋体"/>
          <w:color w:val="auto"/>
          <w:highlight w:val="none"/>
          <w:u w:val="single"/>
        </w:rPr>
        <w:t>全部审减额</w:t>
      </w:r>
      <w:r>
        <w:rPr>
          <w:rFonts w:hint="eastAsia" w:ascii="宋体" w:hAnsi="宋体"/>
          <w:color w:val="auto"/>
          <w:highlight w:val="none"/>
          <w:u w:val="single"/>
        </w:rPr>
        <w:t>50</w:t>
      </w:r>
      <w:r>
        <w:rPr>
          <w:rFonts w:ascii="宋体" w:hAnsi="宋体"/>
          <w:color w:val="auto"/>
          <w:highlight w:val="none"/>
          <w:u w:val="single"/>
        </w:rPr>
        <w:t>%的费用</w:t>
      </w:r>
      <w:r>
        <w:rPr>
          <w:rFonts w:hint="eastAsia" w:ascii="宋体" w:hAnsi="宋体"/>
          <w:color w:val="auto"/>
          <w:highlight w:val="none"/>
          <w:u w:val="single"/>
        </w:rPr>
        <w:t>，并在支付该次结算价款中扣除。</w:t>
      </w:r>
    </w:p>
    <w:p>
      <w:pPr>
        <w:spacing w:line="360" w:lineRule="auto"/>
        <w:ind w:firstLine="480" w:firstLineChars="200"/>
        <w:rPr>
          <w:color w:val="auto"/>
          <w:highlight w:val="none"/>
          <w:u w:val="single"/>
        </w:rPr>
      </w:pPr>
      <w:r>
        <w:rPr>
          <w:rFonts w:hint="eastAsia" w:ascii="宋体" w:hAnsi="宋体"/>
          <w:color w:val="auto"/>
          <w:highlight w:val="none"/>
        </w:rPr>
        <w:t>26.6其他需要说明的问题：</w:t>
      </w:r>
      <w:r>
        <w:rPr>
          <w:rFonts w:hint="eastAsia" w:ascii="宋体" w:hAnsi="宋体" w:cs="Arial"/>
          <w:color w:val="auto"/>
          <w:szCs w:val="21"/>
          <w:highlight w:val="none"/>
          <w:u w:val="single"/>
        </w:rPr>
        <w:t>本工程所有清单项目包含</w:t>
      </w:r>
      <w:r>
        <w:rPr>
          <w:rFonts w:hint="eastAsia" w:ascii="宋体" w:hAnsi="宋体"/>
          <w:color w:val="auto"/>
          <w:highlight w:val="none"/>
          <w:u w:val="single"/>
          <w:lang w:val="en-US" w:eastAsia="zh-CN"/>
        </w:rPr>
        <w:t>2020</w:t>
      </w:r>
      <w:r>
        <w:rPr>
          <w:rFonts w:hint="eastAsia" w:ascii="宋体" w:hAnsi="宋体"/>
          <w:color w:val="auto"/>
          <w:highlight w:val="none"/>
          <w:u w:val="single"/>
        </w:rPr>
        <w:t>《四川省建设工程工程量清单计价定额》及相关配套文件、四川省住房</w:t>
      </w:r>
      <w:r>
        <w:rPr>
          <w:rFonts w:ascii="宋体" w:hAnsi="宋体"/>
          <w:color w:val="auto"/>
          <w:highlight w:val="none"/>
          <w:u w:val="single"/>
        </w:rPr>
        <w:t>和城乡建设厅关于印发《</w:t>
      </w:r>
      <w:r>
        <w:rPr>
          <w:rFonts w:hint="eastAsia" w:ascii="宋体" w:hAnsi="宋体"/>
          <w:color w:val="auto"/>
          <w:highlight w:val="none"/>
          <w:u w:val="single"/>
        </w:rPr>
        <w:t>建筑</w:t>
      </w:r>
      <w:r>
        <w:rPr>
          <w:rFonts w:ascii="宋体" w:hAnsi="宋体"/>
          <w:color w:val="auto"/>
          <w:highlight w:val="none"/>
          <w:u w:val="single"/>
        </w:rPr>
        <w:t>业营业税改征增值税四川省建设工程计价依据调整办法》</w:t>
      </w:r>
      <w:r>
        <w:rPr>
          <w:rFonts w:hint="eastAsia" w:ascii="宋体" w:hAnsi="宋体"/>
          <w:color w:val="auto"/>
          <w:highlight w:val="none"/>
          <w:u w:val="single"/>
        </w:rPr>
        <w:t>的</w:t>
      </w:r>
      <w:r>
        <w:rPr>
          <w:rFonts w:ascii="宋体" w:hAnsi="宋体"/>
          <w:color w:val="auto"/>
          <w:highlight w:val="none"/>
          <w:u w:val="single"/>
        </w:rPr>
        <w:t>通知</w:t>
      </w:r>
      <w:r>
        <w:rPr>
          <w:rFonts w:hint="eastAsia" w:ascii="宋体" w:hAnsi="宋体"/>
          <w:color w:val="auto"/>
          <w:highlight w:val="none"/>
          <w:u w:val="single"/>
        </w:rPr>
        <w:t>、</w:t>
      </w:r>
      <w:r>
        <w:rPr>
          <w:rFonts w:hint="eastAsia" w:ascii="宋体" w:hAnsi="宋体" w:cs="Arial"/>
          <w:color w:val="auto"/>
          <w:szCs w:val="21"/>
          <w:highlight w:val="none"/>
          <w:u w:val="single"/>
        </w:rPr>
        <w:t>《建设工程工程量清单计价规范》(GB50500－2013)及各专业配套计量规范对应清单项目的工作内容，承包人已综合考虑相关费用进入综合报价中。</w:t>
      </w:r>
    </w:p>
    <w:p>
      <w:pPr>
        <w:spacing w:line="360" w:lineRule="auto"/>
        <w:ind w:firstLine="422" w:firstLineChars="175"/>
        <w:rPr>
          <w:rFonts w:ascii="宋体" w:hAnsi="宋体"/>
          <w:b/>
          <w:color w:val="auto"/>
          <w:highlight w:val="none"/>
        </w:rPr>
      </w:pPr>
      <w:r>
        <w:rPr>
          <w:rFonts w:hint="eastAsia" w:ascii="宋体" w:hAnsi="宋体"/>
          <w:b/>
          <w:color w:val="auto"/>
          <w:highlight w:val="none"/>
        </w:rPr>
        <w:t>第27条  保修</w:t>
      </w:r>
    </w:p>
    <w:p>
      <w:pPr>
        <w:tabs>
          <w:tab w:val="left" w:pos="1740"/>
        </w:tabs>
        <w:spacing w:line="360" w:lineRule="auto"/>
        <w:ind w:firstLine="240" w:firstLineChars="100"/>
        <w:rPr>
          <w:rFonts w:ascii="宋体" w:hAnsi="宋体"/>
          <w:color w:val="auto"/>
          <w:highlight w:val="none"/>
          <w:u w:val="single"/>
        </w:rPr>
      </w:pPr>
      <w:r>
        <w:rPr>
          <w:rFonts w:hint="eastAsia" w:ascii="宋体" w:hAnsi="宋体"/>
          <w:color w:val="auto"/>
          <w:highlight w:val="none"/>
        </w:rPr>
        <w:t>27</w:t>
      </w:r>
      <w:r>
        <w:rPr>
          <w:rFonts w:ascii="宋体" w:hAnsi="宋体"/>
          <w:color w:val="auto"/>
          <w:highlight w:val="none"/>
        </w:rPr>
        <w:t>.1</w:t>
      </w:r>
      <w:r>
        <w:rPr>
          <w:rFonts w:hint="eastAsia" w:ascii="宋体" w:hAnsi="宋体"/>
          <w:color w:val="auto"/>
          <w:highlight w:val="none"/>
        </w:rPr>
        <w:t xml:space="preserve"> 保修内容、范围：</w:t>
      </w:r>
      <w:r>
        <w:rPr>
          <w:rFonts w:hint="eastAsia" w:ascii="宋体" w:hAnsi="宋体"/>
          <w:color w:val="auto"/>
          <w:highlight w:val="none"/>
          <w:u w:val="single"/>
        </w:rPr>
        <w:t>工程质量保修的范围是缺陷责任期内的本次招标的所有项目以及双方约定的其他项目。</w:t>
      </w:r>
    </w:p>
    <w:p>
      <w:pPr>
        <w:tabs>
          <w:tab w:val="left" w:pos="1740"/>
        </w:tabs>
        <w:spacing w:line="360" w:lineRule="auto"/>
        <w:ind w:firstLine="240" w:firstLineChars="100"/>
        <w:rPr>
          <w:rFonts w:ascii="宋体" w:hAnsi="宋体"/>
          <w:color w:val="auto"/>
          <w:highlight w:val="none"/>
          <w:u w:val="single"/>
        </w:rPr>
      </w:pPr>
      <w:r>
        <w:rPr>
          <w:rFonts w:hint="eastAsia" w:ascii="宋体" w:hAnsi="宋体"/>
          <w:color w:val="auto"/>
          <w:highlight w:val="none"/>
          <w:u w:val="single"/>
        </w:rPr>
        <w:t>属于保修范围的项目，乙方应当在接到保修通知之日起2天内派人保修。乙方不在约定期限内派人保修的，甲方可委托他人修理，发生的费用从质保金中扣除，不足部分由乙方另行赔偿。</w:t>
      </w:r>
    </w:p>
    <w:p>
      <w:pPr>
        <w:tabs>
          <w:tab w:val="left" w:pos="1740"/>
        </w:tabs>
        <w:spacing w:line="360" w:lineRule="auto"/>
        <w:ind w:firstLine="240" w:firstLineChars="100"/>
        <w:rPr>
          <w:rFonts w:ascii="宋体" w:hAnsi="宋体"/>
          <w:color w:val="auto"/>
          <w:highlight w:val="none"/>
          <w:u w:val="single"/>
        </w:rPr>
      </w:pPr>
      <w:r>
        <w:rPr>
          <w:rFonts w:hint="eastAsia" w:ascii="宋体" w:hAnsi="宋体"/>
          <w:color w:val="auto"/>
          <w:highlight w:val="none"/>
          <w:u w:val="single"/>
        </w:rPr>
        <w:t>发生紧急抢修事故的，乙方在接到事故通知后，应当在2小时内到达事故现场抢修。</w:t>
      </w:r>
    </w:p>
    <w:p>
      <w:pPr>
        <w:tabs>
          <w:tab w:val="left" w:pos="1740"/>
        </w:tabs>
        <w:spacing w:line="360" w:lineRule="auto"/>
        <w:ind w:firstLine="240" w:firstLineChars="100"/>
        <w:rPr>
          <w:rFonts w:ascii="宋体" w:hAnsi="宋体"/>
          <w:color w:val="auto"/>
          <w:highlight w:val="none"/>
          <w:u w:val="single"/>
        </w:rPr>
      </w:pPr>
      <w:r>
        <w:rPr>
          <w:rFonts w:hint="eastAsia" w:ascii="宋体" w:hAnsi="宋体"/>
          <w:color w:val="auto"/>
          <w:highlight w:val="none"/>
          <w:u w:val="single"/>
        </w:rPr>
        <w:t>对于涉及结构安全的质量问题，应当按照有关规定，立即向当地建设行政主管部门报告，采取安全防范措施；由原设计单位或者具有相应资质等级的设计单位提出保修方案，乙方实施保修。</w:t>
      </w:r>
    </w:p>
    <w:p>
      <w:pPr>
        <w:tabs>
          <w:tab w:val="left" w:pos="1740"/>
        </w:tabs>
        <w:spacing w:line="360" w:lineRule="auto"/>
        <w:ind w:firstLine="240" w:firstLineChars="100"/>
        <w:rPr>
          <w:rFonts w:ascii="宋体" w:hAnsi="宋体"/>
          <w:color w:val="auto"/>
          <w:highlight w:val="none"/>
          <w:u w:val="single"/>
        </w:rPr>
      </w:pPr>
      <w:r>
        <w:rPr>
          <w:rFonts w:hint="eastAsia" w:ascii="宋体" w:hAnsi="宋体"/>
          <w:color w:val="auto"/>
          <w:highlight w:val="none"/>
          <w:u w:val="single"/>
        </w:rPr>
        <w:t>质量保修完成后，由甲方组织验收。</w:t>
      </w:r>
    </w:p>
    <w:p>
      <w:pPr>
        <w:tabs>
          <w:tab w:val="left" w:pos="1740"/>
        </w:tabs>
        <w:spacing w:line="360" w:lineRule="auto"/>
        <w:ind w:firstLine="240" w:firstLineChars="100"/>
        <w:rPr>
          <w:rFonts w:ascii="宋体" w:hAnsi="宋体"/>
          <w:color w:val="auto"/>
          <w:highlight w:val="none"/>
          <w:u w:val="single"/>
        </w:rPr>
      </w:pPr>
      <w:r>
        <w:rPr>
          <w:rFonts w:hint="eastAsia" w:ascii="宋体" w:hAnsi="宋体"/>
          <w:color w:val="auto"/>
          <w:highlight w:val="none"/>
        </w:rPr>
        <w:t>27</w:t>
      </w:r>
      <w:r>
        <w:rPr>
          <w:rFonts w:ascii="宋体" w:hAnsi="宋体"/>
          <w:color w:val="auto"/>
          <w:highlight w:val="none"/>
        </w:rPr>
        <w:t>.</w:t>
      </w:r>
      <w:r>
        <w:rPr>
          <w:rFonts w:hint="eastAsia" w:ascii="宋体" w:hAnsi="宋体"/>
          <w:color w:val="auto"/>
          <w:highlight w:val="none"/>
        </w:rPr>
        <w:t>2 保修期限：</w:t>
      </w:r>
      <w:r>
        <w:rPr>
          <w:rFonts w:hint="eastAsia" w:ascii="宋体" w:hAnsi="宋体"/>
          <w:color w:val="auto"/>
          <w:highlight w:val="none"/>
          <w:u w:val="single"/>
        </w:rPr>
        <w:t>经双方约定，本工程保修期为</w:t>
      </w:r>
      <w:r>
        <w:rPr>
          <w:rFonts w:hint="eastAsia" w:ascii="宋体" w:hAnsi="宋体"/>
          <w:color w:val="auto"/>
          <w:highlight w:val="none"/>
          <w:u w:val="single"/>
          <w:lang w:val="en-US" w:eastAsia="zh-CN"/>
        </w:rPr>
        <w:t>2</w:t>
      </w:r>
      <w:r>
        <w:rPr>
          <w:rFonts w:hint="eastAsia" w:ascii="宋体" w:hAnsi="宋体"/>
          <w:color w:val="auto"/>
          <w:highlight w:val="none"/>
          <w:u w:val="single"/>
        </w:rPr>
        <w:t>年，缺陷责任期为2年。保修期和缺陷责任期自工程竣工验收合格之日起计算。</w:t>
      </w:r>
    </w:p>
    <w:p>
      <w:pPr>
        <w:tabs>
          <w:tab w:val="left" w:pos="1740"/>
        </w:tabs>
        <w:spacing w:line="360" w:lineRule="auto"/>
        <w:ind w:firstLine="240" w:firstLineChars="100"/>
        <w:rPr>
          <w:rFonts w:ascii="宋体" w:hAnsi="宋体"/>
          <w:color w:val="auto"/>
          <w:highlight w:val="none"/>
          <w:u w:val="single"/>
        </w:rPr>
      </w:pPr>
      <w:r>
        <w:rPr>
          <w:rFonts w:hint="eastAsia" w:ascii="宋体" w:hAnsi="宋体"/>
          <w:color w:val="auto"/>
          <w:highlight w:val="none"/>
        </w:rPr>
        <w:t>27</w:t>
      </w:r>
      <w:r>
        <w:rPr>
          <w:rFonts w:ascii="宋体" w:hAnsi="宋体"/>
          <w:color w:val="auto"/>
          <w:highlight w:val="none"/>
        </w:rPr>
        <w:t>.</w:t>
      </w:r>
      <w:r>
        <w:rPr>
          <w:rFonts w:hint="eastAsia" w:ascii="宋体" w:hAnsi="宋体"/>
          <w:color w:val="auto"/>
          <w:highlight w:val="none"/>
        </w:rPr>
        <w:t>3 保修金额和支付方法：</w:t>
      </w:r>
      <w:r>
        <w:rPr>
          <w:rFonts w:hint="eastAsia" w:ascii="宋体" w:hAnsi="宋体"/>
          <w:color w:val="auto"/>
          <w:highlight w:val="none"/>
          <w:u w:val="single"/>
        </w:rPr>
        <w:t>质保金为合同总价的3%，保修费用由造成质量缺陷的责任方承担 。</w:t>
      </w:r>
    </w:p>
    <w:p>
      <w:pPr>
        <w:spacing w:line="360" w:lineRule="auto"/>
        <w:ind w:firstLine="240" w:firstLineChars="100"/>
        <w:rPr>
          <w:rFonts w:ascii="宋体" w:hAnsi="宋体"/>
          <w:color w:val="auto"/>
          <w:highlight w:val="none"/>
          <w:u w:val="single"/>
        </w:rPr>
      </w:pPr>
      <w:r>
        <w:rPr>
          <w:rFonts w:hint="eastAsia" w:ascii="宋体" w:hAnsi="宋体"/>
          <w:color w:val="auto"/>
          <w:highlight w:val="none"/>
        </w:rPr>
        <w:t>27</w:t>
      </w:r>
      <w:r>
        <w:rPr>
          <w:rFonts w:ascii="宋体" w:hAnsi="宋体"/>
          <w:color w:val="auto"/>
          <w:highlight w:val="none"/>
        </w:rPr>
        <w:t>.</w:t>
      </w:r>
      <w:r>
        <w:rPr>
          <w:rFonts w:hint="eastAsia" w:ascii="宋体" w:hAnsi="宋体"/>
          <w:color w:val="auto"/>
          <w:highlight w:val="none"/>
        </w:rPr>
        <w:t>4 保修金利息：</w:t>
      </w:r>
      <w:r>
        <w:rPr>
          <w:rFonts w:hint="eastAsia" w:ascii="宋体" w:hAnsi="宋体"/>
          <w:color w:val="auto"/>
          <w:highlight w:val="none"/>
          <w:u w:val="single"/>
        </w:rPr>
        <w:t xml:space="preserve">  无息     </w:t>
      </w:r>
    </w:p>
    <w:p>
      <w:pPr>
        <w:spacing w:line="360" w:lineRule="auto"/>
        <w:ind w:firstLine="240" w:firstLineChars="100"/>
        <w:rPr>
          <w:rFonts w:ascii="宋体" w:hAnsi="宋体"/>
          <w:color w:val="auto"/>
          <w:highlight w:val="none"/>
          <w:u w:val="single"/>
        </w:rPr>
      </w:pPr>
      <w:r>
        <w:rPr>
          <w:rFonts w:hint="eastAsia" w:ascii="宋体" w:hAnsi="宋体"/>
          <w:color w:val="auto"/>
          <w:highlight w:val="none"/>
          <w:u w:val="single"/>
        </w:rPr>
        <w:t>27.5 保修金的返还：质保期届满，甲方在接到乙方返还质保金申请后，应于14日内会同乙方请工程使用单位对保修期间的履行工作进行核实。如无异议，甲方应当在核实后14日内将保证金返还给乙方</w:t>
      </w:r>
      <w:r>
        <w:rPr>
          <w:rFonts w:hint="eastAsia" w:ascii="宋体" w:hAnsi="宋体"/>
          <w:color w:val="auto"/>
          <w:highlight w:val="none"/>
          <w:u w:val="none"/>
        </w:rPr>
        <w:t>。</w:t>
      </w:r>
    </w:p>
    <w:p>
      <w:pPr>
        <w:spacing w:line="360" w:lineRule="auto"/>
        <w:ind w:firstLine="422" w:firstLineChars="175"/>
        <w:rPr>
          <w:rFonts w:ascii="宋体" w:hAnsi="宋体"/>
          <w:b/>
          <w:color w:val="auto"/>
          <w:highlight w:val="none"/>
        </w:rPr>
      </w:pPr>
      <w:r>
        <w:rPr>
          <w:rFonts w:hint="eastAsia" w:ascii="宋体" w:hAnsi="宋体"/>
          <w:b/>
          <w:color w:val="auto"/>
          <w:highlight w:val="none"/>
        </w:rPr>
        <w:t>第28条  争议</w:t>
      </w:r>
    </w:p>
    <w:p>
      <w:pPr>
        <w:pStyle w:val="20"/>
        <w:spacing w:line="360" w:lineRule="auto"/>
        <w:ind w:firstLine="312" w:firstLineChars="104"/>
        <w:rPr>
          <w:rFonts w:hAnsi="宋体"/>
          <w:color w:val="auto"/>
          <w:kern w:val="0"/>
          <w:highlight w:val="none"/>
        </w:rPr>
      </w:pPr>
      <w:r>
        <w:rPr>
          <w:rFonts w:hint="eastAsia" w:hAnsi="宋体"/>
          <w:color w:val="auto"/>
          <w:kern w:val="0"/>
          <w:highlight w:val="none"/>
        </w:rPr>
        <w:t>28.1本合同在履行过程中发生的争议，由双方当事人协商解决，协商不成的，按下列第</w:t>
      </w:r>
      <w:r>
        <w:rPr>
          <w:rFonts w:hint="eastAsia" w:hAnsi="宋体"/>
          <w:color w:val="auto"/>
          <w:kern w:val="0"/>
          <w:highlight w:val="none"/>
          <w:u w:val="single"/>
        </w:rPr>
        <w:t xml:space="preserve">  二  </w:t>
      </w:r>
      <w:r>
        <w:rPr>
          <w:rFonts w:hint="eastAsia" w:hAnsi="宋体"/>
          <w:color w:val="auto"/>
          <w:kern w:val="0"/>
          <w:highlight w:val="none"/>
        </w:rPr>
        <w:t xml:space="preserve"> 种方式解决：</w:t>
      </w:r>
    </w:p>
    <w:p>
      <w:pPr>
        <w:pStyle w:val="20"/>
        <w:spacing w:line="360" w:lineRule="auto"/>
        <w:ind w:firstLine="312" w:firstLineChars="104"/>
        <w:rPr>
          <w:rFonts w:hAnsi="宋体"/>
          <w:color w:val="auto"/>
          <w:kern w:val="0"/>
          <w:highlight w:val="none"/>
        </w:rPr>
      </w:pPr>
      <w:r>
        <w:rPr>
          <w:rFonts w:hint="eastAsia" w:hAnsi="宋体"/>
          <w:color w:val="auto"/>
          <w:kern w:val="0"/>
          <w:highlight w:val="none"/>
        </w:rPr>
        <w:t xml:space="preserve">（一）提交 </w:t>
      </w:r>
      <w:r>
        <w:rPr>
          <w:rFonts w:hint="eastAsia" w:hAnsi="宋体"/>
          <w:color w:val="auto"/>
          <w:kern w:val="0"/>
          <w:highlight w:val="none"/>
          <w:u w:val="single"/>
        </w:rPr>
        <w:t xml:space="preserve">         /       </w:t>
      </w:r>
      <w:r>
        <w:rPr>
          <w:rFonts w:hint="eastAsia" w:hAnsi="宋体"/>
          <w:color w:val="auto"/>
          <w:kern w:val="0"/>
          <w:highlight w:val="none"/>
        </w:rPr>
        <w:t>仲裁委员会仲裁；</w:t>
      </w:r>
    </w:p>
    <w:p>
      <w:pPr>
        <w:spacing w:line="360" w:lineRule="auto"/>
        <w:ind w:firstLine="720" w:firstLineChars="300"/>
        <w:rPr>
          <w:rFonts w:ascii="宋体" w:hAnsi="宋体"/>
          <w:color w:val="auto"/>
          <w:highlight w:val="none"/>
        </w:rPr>
      </w:pPr>
      <w:r>
        <w:rPr>
          <w:rFonts w:hint="eastAsia" w:ascii="宋体" w:hAnsi="宋体"/>
          <w:color w:val="auto"/>
          <w:highlight w:val="none"/>
        </w:rPr>
        <w:t>（二）依法向甲方所在地人民法院起诉。</w:t>
      </w:r>
    </w:p>
    <w:p>
      <w:pPr>
        <w:spacing w:line="360" w:lineRule="auto"/>
        <w:ind w:firstLine="422" w:firstLineChars="175"/>
        <w:rPr>
          <w:rFonts w:ascii="宋体" w:hAnsi="宋体"/>
          <w:b/>
          <w:color w:val="auto"/>
          <w:highlight w:val="none"/>
        </w:rPr>
      </w:pPr>
      <w:r>
        <w:rPr>
          <w:rFonts w:hint="eastAsia" w:ascii="宋体" w:hAnsi="宋体"/>
          <w:b/>
          <w:color w:val="auto"/>
          <w:highlight w:val="none"/>
        </w:rPr>
        <w:t>第29条  违约</w:t>
      </w:r>
    </w:p>
    <w:p>
      <w:pPr>
        <w:spacing w:line="360" w:lineRule="auto"/>
        <w:ind w:firstLine="480" w:firstLineChars="200"/>
        <w:rPr>
          <w:rFonts w:ascii="宋体" w:hAnsi="宋体"/>
          <w:color w:val="auto"/>
          <w:highlight w:val="none"/>
        </w:rPr>
      </w:pPr>
      <w:r>
        <w:rPr>
          <w:rFonts w:hint="eastAsia" w:ascii="宋体" w:hAnsi="宋体"/>
          <w:color w:val="auto"/>
          <w:highlight w:val="none"/>
        </w:rPr>
        <w:t>29</w:t>
      </w:r>
      <w:r>
        <w:rPr>
          <w:rFonts w:ascii="宋体" w:hAnsi="宋体"/>
          <w:color w:val="auto"/>
          <w:highlight w:val="none"/>
        </w:rPr>
        <w:t>.</w:t>
      </w:r>
      <w:r>
        <w:rPr>
          <w:rFonts w:hint="eastAsia" w:ascii="宋体" w:hAnsi="宋体"/>
          <w:color w:val="auto"/>
          <w:highlight w:val="none"/>
        </w:rPr>
        <w:t>1违约的处理：甲方代表不能及时给出必要指令、确认、批准，不按合同约定履行自己的各项义务，支付款项及发生其它使合同无法履行的行为，应承担违约责任（包括支付因其违约导致乙方增加的经济支出和从应支付之日起计算的应支付款项的利息等），相应顺延工期：按协议条款约定支付违约金和赔偿因其违约给乙方造成的窝工等损失。</w:t>
      </w:r>
      <w:r>
        <w:rPr>
          <w:rFonts w:hint="eastAsia" w:ascii="宋体" w:hAnsi="宋体"/>
          <w:color w:val="auto"/>
          <w:highlight w:val="none"/>
        </w:rPr>
        <w:br w:type="textWrapping"/>
      </w:r>
      <w:r>
        <w:rPr>
          <w:rFonts w:hint="eastAsia" w:ascii="宋体" w:hAnsi="宋体"/>
          <w:color w:val="auto"/>
          <w:highlight w:val="none"/>
        </w:rPr>
        <w:t xml:space="preserve">    乙方不能按合同工期竣工，施工质量达不到设计和规范的要求，或发生其它使合同无法履行的行为，甲方代表可通知乙方：按协议条款约定支付违约金，赔偿因其违约给甲方造成的损失。</w:t>
      </w:r>
    </w:p>
    <w:p>
      <w:pPr>
        <w:spacing w:line="360" w:lineRule="auto"/>
        <w:ind w:firstLine="480" w:firstLineChars="200"/>
        <w:rPr>
          <w:rFonts w:ascii="宋体" w:hAnsi="宋体"/>
          <w:color w:val="auto"/>
          <w:highlight w:val="none"/>
        </w:rPr>
      </w:pPr>
      <w:r>
        <w:rPr>
          <w:rFonts w:hint="eastAsia" w:ascii="宋体" w:hAnsi="宋体"/>
          <w:color w:val="auto"/>
          <w:highlight w:val="none"/>
        </w:rPr>
        <w:t>29</w:t>
      </w:r>
      <w:r>
        <w:rPr>
          <w:rFonts w:ascii="宋体" w:hAnsi="宋体"/>
          <w:color w:val="auto"/>
          <w:highlight w:val="none"/>
        </w:rPr>
        <w:t>.</w:t>
      </w:r>
      <w:r>
        <w:rPr>
          <w:rFonts w:hint="eastAsia" w:ascii="宋体" w:hAnsi="宋体"/>
          <w:color w:val="auto"/>
          <w:highlight w:val="none"/>
        </w:rPr>
        <w:t>2 乙方的违约责任：</w:t>
      </w:r>
    </w:p>
    <w:p>
      <w:pPr>
        <w:spacing w:line="360" w:lineRule="auto"/>
        <w:ind w:firstLine="480" w:firstLineChars="200"/>
        <w:rPr>
          <w:rFonts w:ascii="宋体" w:hAnsi="宋体"/>
          <w:color w:val="auto"/>
          <w:highlight w:val="none"/>
          <w:u w:val="single"/>
        </w:rPr>
      </w:pPr>
      <w:r>
        <w:rPr>
          <w:rFonts w:hint="eastAsia" w:ascii="宋体" w:hAnsi="宋体"/>
          <w:color w:val="auto"/>
          <w:highlight w:val="none"/>
          <w:u w:val="single"/>
        </w:rPr>
        <w:t xml:space="preserve"> 1、工期延误：乙方应按约定工期完成工程，若造成工期延误的，每延迟1天，甲方有权在乙方工程款项中扣除10000元，直至乙方完工为止。 </w:t>
      </w:r>
    </w:p>
    <w:p>
      <w:pPr>
        <w:spacing w:line="360" w:lineRule="auto"/>
        <w:ind w:firstLine="480" w:firstLineChars="200"/>
        <w:rPr>
          <w:rFonts w:ascii="宋体" w:hAnsi="宋体"/>
          <w:color w:val="auto"/>
          <w:highlight w:val="none"/>
          <w:u w:val="single"/>
        </w:rPr>
      </w:pPr>
      <w:r>
        <w:rPr>
          <w:rFonts w:hint="eastAsia" w:ascii="宋体" w:hAnsi="宋体"/>
          <w:color w:val="auto"/>
          <w:highlight w:val="none"/>
          <w:u w:val="single"/>
        </w:rPr>
        <w:t xml:space="preserve"> 2、建造师和技术负责人每月必须在工地上不少于25天，施工员、安全员、质检员、材料员必须常驻现场，否则每少一天，建造师和技术负责人扣款1500元/天，施工员、安全员、质检员、材料员扣款300元/天，扣款在相应期次或送审资料后应支付工程款中扣除</w:t>
      </w:r>
    </w:p>
    <w:p>
      <w:pPr>
        <w:spacing w:line="360" w:lineRule="auto"/>
        <w:ind w:firstLine="480" w:firstLineChars="200"/>
        <w:rPr>
          <w:rFonts w:ascii="宋体" w:hAnsi="宋体"/>
          <w:color w:val="auto"/>
          <w:highlight w:val="none"/>
          <w:u w:val="single"/>
        </w:rPr>
      </w:pPr>
      <w:r>
        <w:rPr>
          <w:rFonts w:hint="eastAsia" w:ascii="宋体" w:hAnsi="宋体"/>
          <w:color w:val="auto"/>
          <w:highlight w:val="none"/>
          <w:u w:val="single"/>
        </w:rPr>
        <w:t>3、合同中涉及甲方扣除乙方工程款项情形的，若工程款已全部被扣除，仍不能实现合同目的的，乙方除继续履行合同义务外，还应承担赔偿责任。</w:t>
      </w:r>
    </w:p>
    <w:p>
      <w:pPr>
        <w:spacing w:line="360" w:lineRule="auto"/>
        <w:ind w:firstLine="480" w:firstLineChars="200"/>
        <w:rPr>
          <w:rFonts w:ascii="宋体" w:hAnsi="宋体"/>
          <w:color w:val="auto"/>
          <w:highlight w:val="none"/>
          <w:u w:val="single"/>
        </w:rPr>
      </w:pPr>
      <w:r>
        <w:rPr>
          <w:rFonts w:hint="eastAsia" w:ascii="宋体" w:hAnsi="宋体"/>
          <w:color w:val="auto"/>
          <w:highlight w:val="none"/>
          <w:u w:val="single"/>
        </w:rPr>
        <w:t>除上述约定外，乙方有其他未能按照合同约定履行的违约行为，甲方有权要求乙方按照合同总价3%承担违约责任，并赔偿由此给甲方造成的损失。</w:t>
      </w:r>
    </w:p>
    <w:p>
      <w:pPr>
        <w:spacing w:line="360" w:lineRule="auto"/>
        <w:ind w:firstLine="480" w:firstLineChars="200"/>
        <w:rPr>
          <w:rFonts w:ascii="宋体" w:hAnsi="宋体"/>
          <w:color w:val="auto"/>
          <w:szCs w:val="21"/>
          <w:highlight w:val="none"/>
        </w:rPr>
      </w:pPr>
      <w:r>
        <w:rPr>
          <w:rFonts w:hint="eastAsia" w:ascii="宋体" w:hAnsi="宋体"/>
          <w:color w:val="auto"/>
          <w:szCs w:val="21"/>
          <w:highlight w:val="none"/>
        </w:rPr>
        <w:t>29.3乙方在</w:t>
      </w:r>
      <w:r>
        <w:rPr>
          <w:rFonts w:hint="eastAsia" w:ascii="宋体" w:hAnsi="宋体"/>
          <w:color w:val="auto"/>
          <w:szCs w:val="21"/>
          <w:highlight w:val="none"/>
          <w:lang w:eastAsia="zh-CN"/>
        </w:rPr>
        <w:t>施工响应文件</w:t>
      </w:r>
      <w:r>
        <w:rPr>
          <w:rFonts w:hint="eastAsia" w:ascii="宋体" w:hAnsi="宋体"/>
          <w:color w:val="auto"/>
          <w:szCs w:val="21"/>
          <w:highlight w:val="none"/>
        </w:rPr>
        <w:t>中所报的项目班子成员变更：</w:t>
      </w:r>
    </w:p>
    <w:p>
      <w:pPr>
        <w:spacing w:line="360" w:lineRule="auto"/>
        <w:ind w:firstLine="480" w:firstLineChars="200"/>
        <w:rPr>
          <w:rFonts w:ascii="Arial" w:hAnsi="Arial" w:cs="Arial"/>
          <w:color w:val="auto"/>
          <w:highlight w:val="none"/>
          <w:u w:val="single"/>
        </w:rPr>
      </w:pPr>
      <w:r>
        <w:rPr>
          <w:rFonts w:hint="eastAsia" w:ascii="Arial" w:hAnsi="Arial" w:cs="Arial"/>
          <w:color w:val="auto"/>
          <w:highlight w:val="none"/>
        </w:rPr>
        <w:t>（1）乙方在</w:t>
      </w:r>
      <w:r>
        <w:rPr>
          <w:rFonts w:hint="eastAsia" w:ascii="Arial" w:hAnsi="Arial" w:cs="Arial"/>
          <w:color w:val="auto"/>
          <w:highlight w:val="none"/>
          <w:lang w:eastAsia="zh-CN"/>
        </w:rPr>
        <w:t>施工响应文件</w:t>
      </w:r>
      <w:r>
        <w:rPr>
          <w:rFonts w:hint="eastAsia" w:ascii="Arial" w:hAnsi="Arial" w:cs="Arial"/>
          <w:color w:val="auto"/>
          <w:highlight w:val="none"/>
        </w:rPr>
        <w:t>中所报的项目班子主要成员（项目经理、项目技术负责人、项目工长），必须严格按照合同约定履行相应的义务，若未经甲方同意，擅自更换投标时项目班子主要成员的，视为违约，甲方有权向乙方主张违约金20万元。</w:t>
      </w:r>
      <w:r>
        <w:rPr>
          <w:rFonts w:hint="eastAsia" w:ascii="Arial" w:hAnsi="Arial" w:cs="Arial"/>
          <w:color w:val="auto"/>
          <w:highlight w:val="none"/>
          <w:u w:val="single"/>
        </w:rPr>
        <w:t>乙方擅自变更项目班子主要成员2次的（包括2次），甲方有权单方解除合同。</w:t>
      </w:r>
    </w:p>
    <w:p>
      <w:pPr>
        <w:spacing w:line="360" w:lineRule="auto"/>
        <w:ind w:firstLine="480" w:firstLineChars="200"/>
        <w:rPr>
          <w:rFonts w:ascii="Arial" w:hAnsi="Arial" w:cs="Arial"/>
          <w:color w:val="auto"/>
          <w:highlight w:val="none"/>
        </w:rPr>
      </w:pPr>
      <w:r>
        <w:rPr>
          <w:rFonts w:hint="eastAsia" w:ascii="Arial" w:hAnsi="Arial" w:cs="Arial"/>
          <w:color w:val="auto"/>
          <w:highlight w:val="none"/>
        </w:rPr>
        <w:t>（2）项目经理及其他主要负责人无故或请假理由不充分，未取得甲方认可而不参加工地例会，视为违约，</w:t>
      </w:r>
      <w:r>
        <w:rPr>
          <w:rFonts w:hint="eastAsia" w:ascii="宋体" w:hAnsi="宋体" w:cs="Arial"/>
          <w:color w:val="auto"/>
          <w:highlight w:val="none"/>
        </w:rPr>
        <w:t>每次收取乙方违约金5000元/人次。</w:t>
      </w:r>
    </w:p>
    <w:p>
      <w:pPr>
        <w:spacing w:line="360" w:lineRule="auto"/>
        <w:ind w:firstLine="480" w:firstLineChars="200"/>
        <w:rPr>
          <w:rFonts w:ascii="Arial" w:hAnsi="Arial" w:cs="Arial"/>
          <w:color w:val="auto"/>
          <w:highlight w:val="none"/>
        </w:rPr>
      </w:pPr>
      <w:r>
        <w:rPr>
          <w:rFonts w:hint="eastAsia" w:ascii="Arial" w:hAnsi="Arial" w:cs="Arial"/>
          <w:color w:val="auto"/>
          <w:highlight w:val="none"/>
        </w:rPr>
        <w:t>（3）以上违约金从最近一次进度款中扣取。</w:t>
      </w:r>
    </w:p>
    <w:p>
      <w:pPr>
        <w:spacing w:line="360" w:lineRule="auto"/>
        <w:ind w:firstLine="422" w:firstLineChars="175"/>
        <w:rPr>
          <w:rFonts w:ascii="宋体" w:hAnsi="宋体"/>
          <w:b/>
          <w:color w:val="auto"/>
          <w:highlight w:val="none"/>
        </w:rPr>
      </w:pPr>
      <w:r>
        <w:rPr>
          <w:rFonts w:hint="eastAsia" w:ascii="宋体" w:hAnsi="宋体"/>
          <w:b/>
          <w:color w:val="auto"/>
          <w:highlight w:val="none"/>
        </w:rPr>
        <w:t>第30条  索赔</w:t>
      </w:r>
    </w:p>
    <w:p>
      <w:pPr>
        <w:spacing w:line="360" w:lineRule="auto"/>
        <w:ind w:firstLine="480" w:firstLineChars="200"/>
        <w:rPr>
          <w:rFonts w:ascii="宋体" w:hAnsi="宋体"/>
          <w:color w:val="auto"/>
          <w:highlight w:val="none"/>
        </w:rPr>
      </w:pPr>
      <w:r>
        <w:rPr>
          <w:rFonts w:hint="eastAsia" w:ascii="宋体" w:hAnsi="宋体"/>
          <w:color w:val="auto"/>
          <w:highlight w:val="none"/>
        </w:rPr>
        <w:t>除非双方协议将合同终止，或因一方违约使合同无法履行，违约方承担上述违约责任后仍应继续履行合同。</w:t>
      </w:r>
    </w:p>
    <w:p>
      <w:pPr>
        <w:spacing w:line="360" w:lineRule="auto"/>
        <w:ind w:firstLine="480" w:firstLineChars="200"/>
        <w:rPr>
          <w:rFonts w:ascii="宋体" w:hAnsi="宋体"/>
          <w:color w:val="auto"/>
          <w:highlight w:val="none"/>
        </w:rPr>
      </w:pPr>
      <w:r>
        <w:rPr>
          <w:rFonts w:hint="eastAsia" w:ascii="宋体" w:hAnsi="宋体"/>
          <w:color w:val="auto"/>
          <w:highlight w:val="none"/>
        </w:rPr>
        <w:t>因一方违约使合同不能履行，另一方欲中止或解除全部合同，应提前10天书面通知违约方后，方可中止或解除合同，由违约方承担违约责任。</w:t>
      </w:r>
    </w:p>
    <w:p>
      <w:pPr>
        <w:spacing w:line="360" w:lineRule="auto"/>
        <w:ind w:firstLine="480" w:firstLineChars="200"/>
        <w:rPr>
          <w:rFonts w:ascii="宋体" w:hAnsi="宋体"/>
          <w:color w:val="auto"/>
          <w:highlight w:val="none"/>
        </w:rPr>
      </w:pPr>
      <w:r>
        <w:rPr>
          <w:rFonts w:hint="eastAsia" w:ascii="宋体" w:hAnsi="宋体"/>
          <w:color w:val="auto"/>
          <w:highlight w:val="none"/>
        </w:rPr>
        <w:t>甲方未能按合同约定支付各种费用、顺延工期、赔偿损失，乙方可按以下规定向甲方索赔：1。有正当索赔理由、且有索赔事件发生时的有关证据；2。索赔事件发生14天内，向甲方发出索赔通知；3。甲方在接到索赔通知后14天内给予批准、或要求乙方进一步补充索赔理由和证据，甲方在</w:t>
      </w:r>
      <w:r>
        <w:rPr>
          <w:rFonts w:hint="eastAsia" w:ascii="宋体" w:hAnsi="宋体"/>
          <w:color w:val="auto"/>
          <w:highlight w:val="none"/>
          <w:u w:val="single"/>
        </w:rPr>
        <w:t>14</w:t>
      </w:r>
      <w:r>
        <w:rPr>
          <w:rFonts w:hint="eastAsia" w:ascii="宋体" w:hAnsi="宋体"/>
          <w:color w:val="auto"/>
          <w:highlight w:val="none"/>
        </w:rPr>
        <w:t>天内未予答复，应视为该项索赔已经批准。</w:t>
      </w:r>
    </w:p>
    <w:p>
      <w:pPr>
        <w:spacing w:line="360" w:lineRule="auto"/>
        <w:ind w:firstLine="422" w:firstLineChars="175"/>
        <w:rPr>
          <w:rFonts w:ascii="宋体" w:hAnsi="宋体"/>
          <w:b/>
          <w:color w:val="auto"/>
          <w:highlight w:val="none"/>
        </w:rPr>
      </w:pPr>
      <w:r>
        <w:rPr>
          <w:rFonts w:hint="eastAsia" w:ascii="宋体" w:hAnsi="宋体"/>
          <w:b/>
          <w:color w:val="auto"/>
          <w:highlight w:val="none"/>
        </w:rPr>
        <w:t>第31条  安全施工</w:t>
      </w:r>
    </w:p>
    <w:p>
      <w:pPr>
        <w:spacing w:line="360" w:lineRule="auto"/>
        <w:ind w:firstLine="410" w:firstLineChars="171"/>
        <w:rPr>
          <w:rFonts w:ascii="宋体" w:hAnsi="宋体"/>
          <w:color w:val="auto"/>
          <w:highlight w:val="none"/>
        </w:rPr>
      </w:pPr>
      <w:r>
        <w:rPr>
          <w:rFonts w:hint="eastAsia" w:ascii="宋体" w:hAnsi="宋体"/>
          <w:color w:val="auto"/>
          <w:highlight w:val="none"/>
        </w:rPr>
        <w:t>31.1乙方按有关规定，采取严格的安全措施。承担由于自身安全措施不力造成事故的责任和因此发生的费用，非乙方责任造成的伤亡事故、由责任方承担责任和有关费用。发生重大伤亡事故，乙方应按有关规定立即上报有关部门并通知甲方代表。同时按政府有关部门要求处理。甲方为抢救提供必要条件。发生的费用由事故责任方承担。乙方在动力设备、高电压线路、地下管道、密封防震车间、易燃易爆地段以及临时交通要道附近施工前，应向甲方代表提出安全保护措施，经甲方代表批准后实施。由甲方承担保护措施费用。在有毒有害环境中施工，甲方应按有关规定提供相应的防护措施，并承担有关的经济支出。</w:t>
      </w:r>
    </w:p>
    <w:p>
      <w:pPr>
        <w:spacing w:line="360" w:lineRule="auto"/>
        <w:ind w:firstLine="410" w:firstLineChars="171"/>
        <w:rPr>
          <w:rFonts w:ascii="宋体" w:hAnsi="宋体"/>
          <w:color w:val="auto"/>
          <w:highlight w:val="none"/>
        </w:rPr>
      </w:pPr>
      <w:r>
        <w:rPr>
          <w:rFonts w:hint="eastAsia" w:ascii="宋体" w:hAnsi="宋体"/>
          <w:color w:val="auto"/>
          <w:highlight w:val="none"/>
        </w:rPr>
        <w:t>31.2施工现场发生事故、乙方的响应时间为1个小时，如未按时赶到处理相关事故、所造成的损失、责任由乙方承担</w:t>
      </w:r>
    </w:p>
    <w:p>
      <w:pPr>
        <w:spacing w:line="360" w:lineRule="auto"/>
        <w:ind w:firstLine="410" w:firstLineChars="171"/>
        <w:rPr>
          <w:rFonts w:ascii="宋体" w:hAnsi="宋体"/>
          <w:color w:val="auto"/>
          <w:highlight w:val="none"/>
        </w:rPr>
      </w:pPr>
      <w:r>
        <w:rPr>
          <w:rFonts w:hint="eastAsia" w:ascii="宋体" w:hAnsi="宋体"/>
          <w:color w:val="auto"/>
          <w:highlight w:val="none"/>
        </w:rPr>
        <w:t>31.3该项目的施工人员与甲方无任何劳动关系，其由乙方统一安排并进行管理，乙方在施工人员进场前3日向甲方提交详细的施工人员管理办法。施工期间，施工人员因自身或第三人遭受人身财产损害的，由乙方承担所有法律责任，与甲方无关。</w:t>
      </w:r>
    </w:p>
    <w:p>
      <w:pPr>
        <w:spacing w:line="360" w:lineRule="auto"/>
        <w:ind w:firstLine="480" w:firstLineChars="200"/>
        <w:rPr>
          <w:rFonts w:ascii="宋体" w:hAnsi="宋体"/>
          <w:color w:val="auto"/>
          <w:highlight w:val="none"/>
          <w:u w:val="single"/>
        </w:rPr>
      </w:pPr>
      <w:r>
        <w:rPr>
          <w:rFonts w:hint="eastAsia" w:ascii="宋体" w:hAnsi="宋体"/>
          <w:color w:val="auto"/>
          <w:highlight w:val="none"/>
          <w:u w:val="single"/>
        </w:rPr>
        <w:t>31.4若乙方怠于履行监理单位书面整改通知所涉及的整改义务的，监理单位告知甲方后，甲方有权对施工单位处以2000元/次的罚款。</w:t>
      </w:r>
    </w:p>
    <w:p>
      <w:pPr>
        <w:spacing w:line="360" w:lineRule="auto"/>
        <w:ind w:left="250" w:leftChars="104" w:firstLine="236" w:firstLineChars="98"/>
        <w:rPr>
          <w:rFonts w:ascii="宋体" w:hAnsi="宋体"/>
          <w:b/>
          <w:color w:val="auto"/>
          <w:highlight w:val="none"/>
        </w:rPr>
      </w:pPr>
      <w:r>
        <w:rPr>
          <w:rFonts w:hint="eastAsia" w:ascii="宋体" w:hAnsi="宋体"/>
          <w:b/>
          <w:color w:val="auto"/>
          <w:highlight w:val="none"/>
        </w:rPr>
        <w:t xml:space="preserve">第32条  不可抗力  </w:t>
      </w:r>
    </w:p>
    <w:p>
      <w:pPr>
        <w:spacing w:line="360" w:lineRule="auto"/>
        <w:rPr>
          <w:rFonts w:ascii="宋体" w:hAnsi="宋体"/>
          <w:color w:val="auto"/>
          <w:highlight w:val="none"/>
          <w:u w:val="single"/>
        </w:rPr>
      </w:pPr>
      <w:r>
        <w:rPr>
          <w:rFonts w:hint="eastAsia" w:ascii="宋体" w:hAnsi="宋体"/>
          <w:color w:val="auto"/>
          <w:highlight w:val="none"/>
        </w:rPr>
        <w:t>32</w:t>
      </w:r>
      <w:r>
        <w:rPr>
          <w:rFonts w:ascii="宋体" w:hAnsi="宋体"/>
          <w:color w:val="auto"/>
          <w:highlight w:val="none"/>
        </w:rPr>
        <w:t>.1</w:t>
      </w:r>
      <w:r>
        <w:rPr>
          <w:rFonts w:hint="eastAsia" w:ascii="宋体" w:hAnsi="宋体"/>
          <w:color w:val="auto"/>
          <w:highlight w:val="none"/>
        </w:rPr>
        <w:t xml:space="preserve"> 不可抗力的认定标准：</w:t>
      </w:r>
      <w:r>
        <w:rPr>
          <w:rFonts w:hint="eastAsia" w:ascii="宋体" w:hAnsi="宋体"/>
          <w:color w:val="auto"/>
          <w:highlight w:val="none"/>
          <w:u w:val="single"/>
        </w:rPr>
        <w:t xml:space="preserve">   国家法律及相关司法解释  </w:t>
      </w:r>
      <w:r>
        <w:rPr>
          <w:rFonts w:ascii="宋体" w:hAnsi="宋体"/>
          <w:color w:val="auto"/>
          <w:highlight w:val="none"/>
          <w:u w:val="single"/>
        </w:rPr>
        <w:t xml:space="preserve">    </w:t>
      </w:r>
      <w:r>
        <w:rPr>
          <w:rFonts w:hint="eastAsia" w:ascii="宋体" w:hAnsi="宋体"/>
          <w:color w:val="auto"/>
          <w:highlight w:val="none"/>
          <w:u w:val="single"/>
        </w:rPr>
        <w:t xml:space="preserve">      </w:t>
      </w:r>
    </w:p>
    <w:p>
      <w:pPr>
        <w:pStyle w:val="42"/>
        <w:spacing w:before="0" w:beforeAutospacing="0" w:after="0" w:afterAutospacing="0" w:line="360" w:lineRule="auto"/>
        <w:rPr>
          <w:color w:val="auto"/>
          <w:sz w:val="21"/>
          <w:szCs w:val="21"/>
          <w:highlight w:val="none"/>
        </w:rPr>
      </w:pPr>
      <w:r>
        <w:rPr>
          <w:rFonts w:hint="eastAsia"/>
          <w:color w:val="auto"/>
          <w:sz w:val="21"/>
          <w:szCs w:val="21"/>
          <w:highlight w:val="none"/>
        </w:rPr>
        <w:t>32.2</w:t>
      </w:r>
      <w:r>
        <w:rPr>
          <w:color w:val="auto"/>
          <w:sz w:val="21"/>
          <w:szCs w:val="21"/>
          <w:highlight w:val="none"/>
        </w:rPr>
        <w:t xml:space="preserve"> </w:t>
      </w:r>
      <w:r>
        <w:rPr>
          <w:rFonts w:hint="eastAsia"/>
          <w:color w:val="auto"/>
          <w:sz w:val="21"/>
          <w:szCs w:val="21"/>
          <w:highlight w:val="none"/>
        </w:rPr>
        <w:t xml:space="preserve"> </w:t>
      </w:r>
      <w:r>
        <w:rPr>
          <w:color w:val="auto"/>
          <w:sz w:val="21"/>
          <w:szCs w:val="21"/>
          <w:highlight w:val="none"/>
        </w:rPr>
        <w:t>合同一方当事人遇到不可抗力事件，使其履行合同义务受到阻碍时，应立即通知合同另一方当事人和监理人，书面说明不可抗力和受阻碍的详细情况，并提供必要的证明。</w:t>
      </w:r>
    </w:p>
    <w:p>
      <w:pPr>
        <w:pStyle w:val="42"/>
        <w:spacing w:before="0" w:beforeAutospacing="0" w:after="0" w:afterAutospacing="0" w:line="360" w:lineRule="auto"/>
        <w:ind w:firstLine="480"/>
        <w:rPr>
          <w:color w:val="auto"/>
          <w:sz w:val="21"/>
          <w:szCs w:val="21"/>
          <w:highlight w:val="none"/>
        </w:rPr>
      </w:pPr>
      <w:r>
        <w:rPr>
          <w:color w:val="auto"/>
          <w:sz w:val="21"/>
          <w:szCs w:val="21"/>
          <w:highlight w:val="none"/>
        </w:rPr>
        <w:t>不可抗力持续发生的，合同一方当事人应及时向合同另一方当事人和监理人提交中间报告，说明不可抗力和履行合同受阻的情况，并于不可抗力事件结束后28天内提交最终报告及有关资料。</w:t>
      </w:r>
    </w:p>
    <w:p>
      <w:pPr>
        <w:pStyle w:val="42"/>
        <w:spacing w:before="0" w:beforeAutospacing="0" w:after="0" w:afterAutospacing="0" w:line="360" w:lineRule="auto"/>
        <w:ind w:firstLine="480"/>
        <w:rPr>
          <w:color w:val="auto"/>
          <w:sz w:val="21"/>
          <w:szCs w:val="21"/>
          <w:highlight w:val="none"/>
        </w:rPr>
      </w:pPr>
      <w:r>
        <w:rPr>
          <w:rFonts w:hint="eastAsia"/>
          <w:color w:val="auto"/>
          <w:sz w:val="21"/>
          <w:szCs w:val="21"/>
          <w:highlight w:val="none"/>
        </w:rPr>
        <w:t>32.</w:t>
      </w:r>
      <w:r>
        <w:rPr>
          <w:color w:val="auto"/>
          <w:sz w:val="21"/>
          <w:szCs w:val="21"/>
          <w:highlight w:val="none"/>
        </w:rPr>
        <w:t>3不可抗力引起的后果及造成的损失由合同当事人按照法律规定及合同约定各自承担。不可抗力发生前已完成的工程应当按照合同约定进行计量支付。</w:t>
      </w:r>
    </w:p>
    <w:p>
      <w:pPr>
        <w:pStyle w:val="42"/>
        <w:spacing w:before="0" w:beforeAutospacing="0" w:after="0" w:afterAutospacing="0" w:line="360" w:lineRule="auto"/>
        <w:ind w:firstLine="480"/>
        <w:rPr>
          <w:color w:val="auto"/>
          <w:sz w:val="21"/>
          <w:szCs w:val="21"/>
          <w:highlight w:val="none"/>
        </w:rPr>
      </w:pPr>
      <w:r>
        <w:rPr>
          <w:rFonts w:hint="eastAsia"/>
          <w:color w:val="auto"/>
          <w:sz w:val="21"/>
          <w:szCs w:val="21"/>
          <w:highlight w:val="none"/>
        </w:rPr>
        <w:t>32.4</w:t>
      </w:r>
      <w:r>
        <w:rPr>
          <w:color w:val="auto"/>
          <w:sz w:val="21"/>
          <w:szCs w:val="21"/>
          <w:highlight w:val="none"/>
        </w:rPr>
        <w:t>因不可抗力解除合同</w:t>
      </w:r>
    </w:p>
    <w:p>
      <w:pPr>
        <w:pStyle w:val="42"/>
        <w:spacing w:before="0" w:beforeAutospacing="0" w:after="0" w:afterAutospacing="0" w:line="360" w:lineRule="auto"/>
        <w:ind w:firstLine="480"/>
        <w:rPr>
          <w:color w:val="auto"/>
          <w:sz w:val="21"/>
          <w:szCs w:val="21"/>
          <w:highlight w:val="none"/>
        </w:rPr>
      </w:pPr>
      <w:r>
        <w:rPr>
          <w:color w:val="auto"/>
          <w:sz w:val="21"/>
          <w:szCs w:val="21"/>
          <w:highlight w:val="none"/>
        </w:rPr>
        <w:t>因不可抗力导致合同无法履行连续超过</w:t>
      </w:r>
      <w:r>
        <w:rPr>
          <w:rFonts w:hint="eastAsia"/>
          <w:color w:val="auto"/>
          <w:sz w:val="21"/>
          <w:szCs w:val="21"/>
          <w:highlight w:val="none"/>
        </w:rPr>
        <w:t>7</w:t>
      </w:r>
      <w:r>
        <w:rPr>
          <w:color w:val="auto"/>
          <w:sz w:val="21"/>
          <w:szCs w:val="21"/>
          <w:highlight w:val="none"/>
        </w:rPr>
        <w:t>天的，</w:t>
      </w:r>
      <w:r>
        <w:rPr>
          <w:rFonts w:hint="eastAsia"/>
          <w:color w:val="auto"/>
          <w:sz w:val="21"/>
          <w:szCs w:val="21"/>
          <w:highlight w:val="none"/>
        </w:rPr>
        <w:t>甲乙双方</w:t>
      </w:r>
      <w:r>
        <w:rPr>
          <w:color w:val="auto"/>
          <w:sz w:val="21"/>
          <w:szCs w:val="21"/>
          <w:highlight w:val="none"/>
        </w:rPr>
        <w:t>均有权解除合同。</w:t>
      </w:r>
    </w:p>
    <w:p>
      <w:pPr>
        <w:spacing w:line="360" w:lineRule="auto"/>
        <w:ind w:left="250" w:leftChars="104" w:firstLine="236" w:firstLineChars="98"/>
        <w:rPr>
          <w:rFonts w:ascii="宋体" w:hAnsi="宋体"/>
          <w:b/>
          <w:color w:val="auto"/>
          <w:highlight w:val="none"/>
        </w:rPr>
      </w:pPr>
      <w:r>
        <w:rPr>
          <w:rFonts w:hint="eastAsia" w:ascii="宋体" w:hAnsi="宋体"/>
          <w:b/>
          <w:color w:val="auto"/>
          <w:highlight w:val="none"/>
        </w:rPr>
        <w:t xml:space="preserve">第33条  保险  </w:t>
      </w:r>
    </w:p>
    <w:p>
      <w:pPr>
        <w:spacing w:line="360" w:lineRule="auto"/>
        <w:rPr>
          <w:rFonts w:ascii="宋体" w:hAnsi="宋体"/>
          <w:color w:val="auto"/>
          <w:highlight w:val="none"/>
          <w:u w:val="single"/>
        </w:rPr>
      </w:pPr>
      <w:r>
        <w:rPr>
          <w:rFonts w:hint="eastAsia" w:ascii="宋体" w:hAnsi="宋体"/>
          <w:color w:val="auto"/>
          <w:highlight w:val="none"/>
          <w:u w:val="single"/>
        </w:rPr>
        <w:t>施工人员意外伤害人身安全险，由乙方负责投保</w:t>
      </w:r>
      <w:r>
        <w:rPr>
          <w:rFonts w:hint="eastAsia" w:ascii="宋体" w:hAnsi="宋体"/>
          <w:color w:val="auto"/>
          <w:highlight w:val="none"/>
          <w:u w:val="single"/>
          <w:lang w:eastAsia="zh-CN"/>
        </w:rPr>
        <w:t>并支付。</w:t>
      </w:r>
      <w:r>
        <w:rPr>
          <w:rFonts w:ascii="宋体" w:hAnsi="宋体"/>
          <w:color w:val="auto"/>
          <w:highlight w:val="none"/>
          <w:u w:val="single"/>
        </w:rPr>
        <w:t xml:space="preserve">     </w:t>
      </w:r>
    </w:p>
    <w:p>
      <w:pPr>
        <w:spacing w:line="360" w:lineRule="auto"/>
        <w:ind w:firstLine="482" w:firstLineChars="200"/>
        <w:rPr>
          <w:rFonts w:ascii="宋体" w:hAnsi="宋体"/>
          <w:b/>
          <w:color w:val="auto"/>
          <w:highlight w:val="none"/>
        </w:rPr>
      </w:pPr>
      <w:r>
        <w:rPr>
          <w:rFonts w:hint="eastAsia" w:ascii="宋体" w:hAnsi="宋体"/>
          <w:b/>
          <w:color w:val="auto"/>
          <w:highlight w:val="none"/>
        </w:rPr>
        <w:t>第34条  工程停建或缓建</w:t>
      </w:r>
    </w:p>
    <w:p>
      <w:pPr>
        <w:spacing w:line="360" w:lineRule="auto"/>
        <w:ind w:firstLine="480" w:firstLineChars="200"/>
        <w:rPr>
          <w:rFonts w:ascii="宋体" w:hAnsi="宋体"/>
          <w:color w:val="auto"/>
          <w:highlight w:val="none"/>
          <w:u w:val="single"/>
        </w:rPr>
      </w:pPr>
      <w:r>
        <w:rPr>
          <w:rFonts w:hint="eastAsia"/>
          <w:color w:val="auto"/>
          <w:highlight w:val="none"/>
        </w:rPr>
        <w:t>由于不可抗力及其它甲乙双方之外原因导致工程停建或缓建，使合同不能继续履行，乙方应妥善做好已完工程和已购材料、设备的保护和移交工作，按甲方要求将自有机械设备和人员撤出施工现场。甲方应为乙方撤出提供必要条件，并按合同规定支付已完工程价款。</w:t>
      </w:r>
      <w:r>
        <w:rPr>
          <w:rFonts w:hint="eastAsia" w:ascii="宋体" w:hAnsi="宋体"/>
          <w:color w:val="auto"/>
          <w:highlight w:val="none"/>
        </w:rPr>
        <w:t>已经定货的材料、设备由定货方负责退货，不能退还的货款和退货发生的费用，由甲方承担。但未及时退货造成的损失由责任方承担。</w:t>
      </w:r>
    </w:p>
    <w:p>
      <w:pPr>
        <w:spacing w:line="360" w:lineRule="auto"/>
        <w:ind w:firstLine="482" w:firstLineChars="200"/>
        <w:rPr>
          <w:rFonts w:ascii="宋体" w:hAnsi="宋体"/>
          <w:b/>
          <w:color w:val="auto"/>
          <w:highlight w:val="none"/>
        </w:rPr>
      </w:pPr>
      <w:r>
        <w:rPr>
          <w:rFonts w:hint="eastAsia" w:ascii="宋体" w:hAnsi="宋体"/>
          <w:b/>
          <w:color w:val="auto"/>
          <w:highlight w:val="none"/>
        </w:rPr>
        <w:t xml:space="preserve">第35条  合同份数  </w:t>
      </w:r>
    </w:p>
    <w:p>
      <w:pPr>
        <w:spacing w:line="360" w:lineRule="auto"/>
        <w:ind w:firstLine="480" w:firstLineChars="200"/>
        <w:rPr>
          <w:rFonts w:ascii="宋体" w:hAnsi="宋体"/>
          <w:color w:val="auto"/>
          <w:highlight w:val="none"/>
        </w:rPr>
      </w:pPr>
      <w:r>
        <w:rPr>
          <w:rFonts w:hint="eastAsia" w:ascii="宋体" w:hAnsi="宋体"/>
          <w:color w:val="auto"/>
          <w:highlight w:val="none"/>
        </w:rPr>
        <w:t>35</w:t>
      </w:r>
      <w:r>
        <w:rPr>
          <w:rFonts w:ascii="宋体" w:hAnsi="宋体"/>
          <w:color w:val="auto"/>
          <w:highlight w:val="none"/>
        </w:rPr>
        <w:t>.1</w:t>
      </w:r>
      <w:r>
        <w:rPr>
          <w:rFonts w:hint="eastAsia" w:ascii="宋体" w:hAnsi="宋体"/>
          <w:color w:val="auto"/>
          <w:highlight w:val="none"/>
        </w:rPr>
        <w:t>本合同一式八份，其中正本二份．副本六份，合同双方各执正本一份，副本三份。</w:t>
      </w:r>
    </w:p>
    <w:p>
      <w:pPr>
        <w:spacing w:line="360" w:lineRule="auto"/>
        <w:ind w:firstLine="482" w:firstLineChars="200"/>
        <w:rPr>
          <w:rFonts w:ascii="宋体" w:hAnsi="宋体"/>
          <w:b/>
          <w:color w:val="auto"/>
          <w:highlight w:val="none"/>
        </w:rPr>
      </w:pPr>
      <w:r>
        <w:rPr>
          <w:rFonts w:hint="eastAsia" w:ascii="宋体" w:hAnsi="宋体"/>
          <w:b/>
          <w:color w:val="auto"/>
          <w:highlight w:val="none"/>
        </w:rPr>
        <w:t>第36条  附加条款</w:t>
      </w:r>
    </w:p>
    <w:p>
      <w:pPr>
        <w:spacing w:line="312" w:lineRule="auto"/>
        <w:ind w:firstLine="480" w:firstLineChars="200"/>
        <w:rPr>
          <w:color w:val="auto"/>
          <w:highlight w:val="none"/>
        </w:rPr>
      </w:pPr>
      <w:r>
        <w:rPr>
          <w:rFonts w:hint="eastAsia" w:ascii="宋体" w:hAnsi="宋体"/>
          <w:color w:val="auto"/>
          <w:highlight w:val="none"/>
          <w:u w:val="single"/>
        </w:rPr>
        <w:t xml:space="preserve">                                                    </w:t>
      </w:r>
      <w:r>
        <w:rPr>
          <w:rFonts w:ascii="宋体" w:hAnsi="宋体"/>
          <w:color w:val="auto"/>
          <w:highlight w:val="none"/>
          <w:u w:val="single"/>
        </w:rPr>
        <w:t xml:space="preserve">            </w:t>
      </w:r>
    </w:p>
    <w:p>
      <w:pPr>
        <w:spacing w:line="312" w:lineRule="auto"/>
        <w:ind w:firstLine="540" w:firstLineChars="225"/>
        <w:rPr>
          <w:color w:val="auto"/>
          <w:highlight w:val="none"/>
        </w:rPr>
      </w:pPr>
      <w:r>
        <w:rPr>
          <w:rFonts w:hint="eastAsia"/>
          <w:color w:val="auto"/>
          <w:highlight w:val="none"/>
        </w:rPr>
        <w:t>甲方：（公章）                         乙方：（公章）</w:t>
      </w: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r>
        <w:rPr>
          <w:rFonts w:hint="eastAsia"/>
          <w:color w:val="auto"/>
          <w:highlight w:val="none"/>
        </w:rPr>
        <w:t>住  所：                              住  所：</w:t>
      </w: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r>
        <w:rPr>
          <w:rFonts w:hint="eastAsia"/>
          <w:color w:val="auto"/>
          <w:highlight w:val="none"/>
        </w:rPr>
        <w:t xml:space="preserve">法定代表：                            法定代表人：              </w:t>
      </w:r>
    </w:p>
    <w:p>
      <w:pPr>
        <w:spacing w:line="312" w:lineRule="auto"/>
        <w:ind w:left="6060" w:leftChars="225" w:hanging="5520" w:hangingChars="2300"/>
        <w:rPr>
          <w:color w:val="auto"/>
          <w:highlight w:val="none"/>
        </w:rPr>
      </w:pPr>
      <w:r>
        <w:rPr>
          <w:rFonts w:hint="eastAsia"/>
          <w:color w:val="auto"/>
          <w:highlight w:val="none"/>
        </w:rPr>
        <w:t>（或委托代理人）：                    （或委托代理人）：</w:t>
      </w:r>
    </w:p>
    <w:p>
      <w:pPr>
        <w:spacing w:line="312" w:lineRule="auto"/>
        <w:ind w:firstLine="540" w:firstLineChars="225"/>
        <w:rPr>
          <w:color w:val="auto"/>
          <w:highlight w:val="none"/>
        </w:rPr>
      </w:pPr>
      <w:r>
        <w:rPr>
          <w:rFonts w:hint="eastAsia"/>
          <w:color w:val="auto"/>
          <w:highlight w:val="none"/>
        </w:rPr>
        <w:t>电  话：                               电  话：</w:t>
      </w:r>
    </w:p>
    <w:p>
      <w:pPr>
        <w:spacing w:line="312" w:lineRule="auto"/>
        <w:ind w:firstLine="540" w:firstLineChars="225"/>
        <w:rPr>
          <w:color w:val="auto"/>
          <w:highlight w:val="none"/>
        </w:rPr>
      </w:pPr>
      <w:r>
        <w:rPr>
          <w:rFonts w:hint="eastAsia"/>
          <w:color w:val="auto"/>
          <w:highlight w:val="none"/>
        </w:rPr>
        <w:t xml:space="preserve">户  名： </w:t>
      </w:r>
    </w:p>
    <w:p>
      <w:pPr>
        <w:spacing w:line="312" w:lineRule="auto"/>
        <w:ind w:firstLine="540" w:firstLineChars="225"/>
        <w:rPr>
          <w:color w:val="auto"/>
          <w:highlight w:val="none"/>
        </w:rPr>
      </w:pPr>
      <w:r>
        <w:rPr>
          <w:rFonts w:hint="eastAsia"/>
          <w:color w:val="auto"/>
          <w:highlight w:val="none"/>
        </w:rPr>
        <w:t xml:space="preserve">开户行： </w:t>
      </w:r>
    </w:p>
    <w:p>
      <w:pPr>
        <w:spacing w:line="312" w:lineRule="auto"/>
        <w:ind w:firstLine="540" w:firstLineChars="225"/>
        <w:rPr>
          <w:color w:val="auto"/>
          <w:highlight w:val="none"/>
        </w:rPr>
      </w:pPr>
      <w:r>
        <w:rPr>
          <w:rFonts w:hint="eastAsia"/>
          <w:color w:val="auto"/>
          <w:highlight w:val="none"/>
        </w:rPr>
        <w:t>帐  号：</w:t>
      </w:r>
    </w:p>
    <w:p>
      <w:pPr>
        <w:pStyle w:val="20"/>
        <w:spacing w:line="312" w:lineRule="auto"/>
        <w:rPr>
          <w:rFonts w:ascii="黑体" w:hAnsi="黑体" w:eastAsia="黑体"/>
          <w:color w:val="auto"/>
          <w:szCs w:val="21"/>
          <w:highlight w:val="none"/>
        </w:rPr>
      </w:pPr>
      <w:r>
        <w:rPr>
          <w:rFonts w:hint="eastAsia"/>
          <w:color w:val="auto"/>
          <w:highlight w:val="none"/>
        </w:rPr>
        <w:t xml:space="preserve">     年  月   日                        年    月    日                                       </w:t>
      </w:r>
    </w:p>
    <w:p>
      <w:pPr>
        <w:adjustRightInd w:val="0"/>
        <w:snapToGrid w:val="0"/>
        <w:spacing w:line="336" w:lineRule="auto"/>
        <w:outlineLvl w:val="0"/>
        <w:rPr>
          <w:rFonts w:ascii="黑体" w:hAnsi="黑体" w:eastAsia="黑体"/>
          <w:color w:val="auto"/>
          <w:szCs w:val="21"/>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spacing w:line="312" w:lineRule="auto"/>
        <w:ind w:left="6060" w:leftChars="225" w:hanging="5520" w:hangingChars="2300"/>
        <w:rPr>
          <w:color w:val="auto"/>
          <w:highlight w:val="none"/>
        </w:rPr>
      </w:pPr>
    </w:p>
    <w:p>
      <w:pPr>
        <w:pStyle w:val="2"/>
        <w:rPr>
          <w:rFonts w:eastAsia="宋体"/>
          <w:color w:val="auto"/>
          <w:highlight w:val="none"/>
        </w:rPr>
      </w:pPr>
    </w:p>
    <w:p>
      <w:pPr>
        <w:rPr>
          <w:color w:val="auto"/>
          <w:highlight w:val="none"/>
        </w:rPr>
      </w:pPr>
    </w:p>
    <w:p>
      <w:pPr>
        <w:pStyle w:val="2"/>
        <w:rPr>
          <w:rFonts w:eastAsia="宋体"/>
          <w:color w:val="auto"/>
          <w:highlight w:val="none"/>
        </w:rPr>
      </w:pPr>
    </w:p>
    <w:p>
      <w:pPr>
        <w:rPr>
          <w:color w:val="auto"/>
          <w:highlight w:val="none"/>
        </w:rPr>
      </w:pPr>
    </w:p>
    <w:p>
      <w:pPr>
        <w:pStyle w:val="2"/>
        <w:rPr>
          <w:color w:val="auto"/>
          <w:highlight w:val="none"/>
        </w:rPr>
      </w:pPr>
    </w:p>
    <w:p>
      <w:pPr>
        <w:spacing w:line="312" w:lineRule="auto"/>
        <w:ind w:left="6060" w:leftChars="225" w:hanging="5520" w:hangingChars="2300"/>
        <w:rPr>
          <w:color w:val="auto"/>
          <w:highlight w:val="none"/>
        </w:rPr>
      </w:pPr>
    </w:p>
    <w:p>
      <w:pPr>
        <w:adjustRightInd w:val="0"/>
        <w:snapToGrid w:val="0"/>
        <w:spacing w:line="336" w:lineRule="auto"/>
        <w:outlineLvl w:val="0"/>
        <w:rPr>
          <w:rFonts w:ascii="黑体" w:hAnsi="黑体" w:eastAsia="黑体"/>
          <w:color w:val="auto"/>
          <w:szCs w:val="21"/>
          <w:highlight w:val="none"/>
        </w:rPr>
      </w:pPr>
      <w:bookmarkStart w:id="271" w:name="_Toc19131"/>
      <w:bookmarkStart w:id="272" w:name="_Toc15120"/>
      <w:r>
        <w:rPr>
          <w:rFonts w:hint="eastAsia" w:ascii="黑体" w:hAnsi="黑体" w:eastAsia="黑体"/>
          <w:color w:val="auto"/>
          <w:szCs w:val="21"/>
          <w:highlight w:val="none"/>
        </w:rPr>
        <w:t>合同附件一</w:t>
      </w:r>
      <w:bookmarkEnd w:id="271"/>
      <w:bookmarkEnd w:id="272"/>
    </w:p>
    <w:p>
      <w:pPr>
        <w:jc w:val="center"/>
        <w:rPr>
          <w:rFonts w:ascii="黑体" w:eastAsia="黑体"/>
          <w:color w:val="auto"/>
          <w:sz w:val="32"/>
          <w:szCs w:val="32"/>
          <w:highlight w:val="none"/>
        </w:rPr>
      </w:pPr>
      <w:r>
        <w:rPr>
          <w:rFonts w:hint="eastAsia" w:ascii="黑体" w:eastAsia="黑体"/>
          <w:color w:val="auto"/>
          <w:sz w:val="32"/>
          <w:szCs w:val="32"/>
          <w:highlight w:val="none"/>
        </w:rPr>
        <w:t>廉  政  合  同</w:t>
      </w:r>
    </w:p>
    <w:p>
      <w:pPr>
        <w:rPr>
          <w:color w:val="auto"/>
          <w:sz w:val="10"/>
          <w:szCs w:val="10"/>
          <w:highlight w:val="none"/>
        </w:rPr>
      </w:pP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为做好工程建设中的廉政建设,保证工程建设高效优质,保证建设资金的安全和有效使用以及投资效益,本项目发包人（</w:t>
      </w:r>
      <w:r>
        <w:rPr>
          <w:rFonts w:hint="eastAsia" w:ascii="宋体" w:hAnsi="宋体"/>
          <w:color w:val="auto"/>
          <w:szCs w:val="21"/>
          <w:highlight w:val="none"/>
          <w:u w:val="single"/>
          <w:lang w:eastAsia="zh-CN"/>
        </w:rPr>
        <w:t>成都高新区合作街道办事处</w:t>
      </w:r>
      <w:r>
        <w:rPr>
          <w:rFonts w:hint="eastAsia" w:ascii="宋体" w:hAnsi="宋体"/>
          <w:color w:val="auto"/>
          <w:szCs w:val="21"/>
          <w:highlight w:val="none"/>
        </w:rPr>
        <w:t>，以下简称“甲方”）与施工单位（</w:t>
      </w:r>
      <w:r>
        <w:rPr>
          <w:rFonts w:hint="eastAsia" w:ascii="宋体" w:hAnsi="宋体"/>
          <w:color w:val="auto"/>
          <w:highlight w:val="none"/>
          <w:u w:val="single"/>
        </w:rPr>
        <w:t xml:space="preserve">                   </w:t>
      </w:r>
      <w:r>
        <w:rPr>
          <w:rFonts w:hint="eastAsia" w:ascii="宋体" w:hAnsi="宋体"/>
          <w:color w:val="auto"/>
          <w:szCs w:val="21"/>
          <w:highlight w:val="none"/>
          <w:u w:val="single"/>
        </w:rPr>
        <w:t xml:space="preserve">   </w:t>
      </w:r>
      <w:r>
        <w:rPr>
          <w:rFonts w:hint="eastAsia" w:ascii="宋体" w:hAnsi="宋体"/>
          <w:color w:val="auto"/>
          <w:szCs w:val="21"/>
          <w:highlight w:val="none"/>
        </w:rPr>
        <w:t>，以下简称“乙方”）经协商，特订立如下合同。</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第一条  甲乙双方的权利</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1、严格遵守党和国家有关法律、法规的规定。</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2、严格执行</w:t>
      </w:r>
      <w:r>
        <w:rPr>
          <w:rFonts w:hint="eastAsia" w:ascii="宋体" w:hAnsi="宋体"/>
          <w:color w:val="auto"/>
          <w:szCs w:val="21"/>
          <w:highlight w:val="none"/>
          <w:u w:val="single"/>
        </w:rPr>
        <w:t xml:space="preserve">                       </w:t>
      </w:r>
      <w:r>
        <w:rPr>
          <w:rFonts w:hint="eastAsia" w:ascii="宋体" w:hAnsi="宋体"/>
          <w:color w:val="auto"/>
          <w:szCs w:val="21"/>
          <w:highlight w:val="none"/>
        </w:rPr>
        <w:t>工程施工承包合同文件，自觉按照合同办事。</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3、双方的业务和活动坚持公开、公正、诚信、透明的原则(除法律认定的商业秘密和合同文件另有规定之外),不得损害国家和集体利益,违反工程建设管理规章制度。</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4、建立健全廉政制度,开展廉政教育,公布廉政告示举报电话,监督并认真查处违法违纪行为（甲方举报电话：02887956511）。</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5、发现对方在业务活动中有违反廉政规定的行为,有及时提醒对方纠正的权利。</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6、发现对方严重违反本合同义务条款的行为,有向上级有关部门举报、建议给予处理并要求告知处理结果的权利。</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第二条  甲方的义务</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1、甲方及其工作人员不得索要或接受乙方的礼金、有价证券和贵重物品, 不得在乙方报销任何应由甲方单位或个人支付的费用等。</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2、甲方工作人员不得参加乙方安排的超标准宴请和娱乐活动,不得接受乙方提供的通讯工具、交通工具和高档办公用品等。</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3、甲方及其工作人员不得要求或接受乙方为其住房装修、婚丧嫁娶活动、配偶及子女的工作安排以及出国出境、旅游提供方便等。</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4、甲方工作人员及其配偶、子女不得从事与乙方工作有关的经济活动。</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5、甲方工作人员不得与乙方人员参与以打牌娱乐为名，借赌博行贿为实的活动。</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第三条  乙方义务</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1、乙方不得以任何理由向甲方及其工作人员行贿或馈赠礼金、有价证券、贵重礼品等。</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2、乙方不得以任何名义为甲方及其工作人员报销应由甲方单位或个人支付的任何费用。</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 xml:space="preserve">3、乙方不得以任何理由安排甲方及其工作人员参加超标准宴请和娱乐活动。 </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4、乙方不得为甲方单位和个人购置或提供通讯工具、交通工具和高档办公用品等。</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第四条  违约责任</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1、甲方及其工作人员违反本合同第一、二条,按管理权限,依据有关规定给予党纪、政纪或组织处理;涉嫌犯罪的,移交司法机关追究刑事责任,给乙方单位造成经济损失的,应予以赔偿。</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2、乙方及其工作人员违反本合同第一、三条,按管理权限,依据有关规定给予党纪、政纪或组织处理,给甲方单位造成经济损失的,应予以赔偿;情节严重的,甲方将建议建设行政主管部门对乙方实行一至三年内不得进入其主管的建设市场。</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第五条  除本合同约定的权利义务外，甲乙双方若有违反《中国共产党纪律处分条例》、《行政机关公务员处分条例》以及其他国家法律法规的，依照相关条例给予党纪、政纪处分，或移交司法机关追究法律责任。</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第六条  本合同由双方纪检监察机关负责监督。</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第七条  本合同有效期为甲乙双方签署之日起至本工程项目的竣工验收后为止。</w:t>
      </w:r>
    </w:p>
    <w:p>
      <w:pPr>
        <w:spacing w:line="360" w:lineRule="auto"/>
        <w:ind w:firstLine="410" w:firstLineChars="171"/>
        <w:rPr>
          <w:rFonts w:ascii="宋体" w:hAnsi="宋体"/>
          <w:color w:val="auto"/>
          <w:szCs w:val="21"/>
          <w:highlight w:val="none"/>
        </w:rPr>
      </w:pPr>
      <w:r>
        <w:rPr>
          <w:rFonts w:hint="eastAsia" w:ascii="宋体" w:hAnsi="宋体"/>
          <w:color w:val="auto"/>
          <w:szCs w:val="21"/>
          <w:highlight w:val="none"/>
        </w:rPr>
        <w:t>第八条  本合同为工程施工承包合同的附件,与施工承包合同具有同等的法律效力,经双方签署并盖章后立即生效。</w:t>
      </w:r>
    </w:p>
    <w:p>
      <w:pPr>
        <w:spacing w:line="360" w:lineRule="auto"/>
        <w:ind w:firstLine="360" w:firstLineChars="150"/>
        <w:rPr>
          <w:rFonts w:ascii="宋体" w:hAnsi="宋体"/>
          <w:color w:val="auto"/>
          <w:szCs w:val="21"/>
          <w:highlight w:val="none"/>
        </w:rPr>
      </w:pPr>
      <w:r>
        <w:rPr>
          <w:rFonts w:hint="eastAsia" w:ascii="宋体" w:hAnsi="宋体"/>
          <w:color w:val="auto"/>
          <w:szCs w:val="21"/>
          <w:highlight w:val="none"/>
        </w:rPr>
        <w:t xml:space="preserve">第九条  </w:t>
      </w:r>
      <w:r>
        <w:rPr>
          <w:rFonts w:hint="eastAsia" w:ascii="宋体" w:hAnsi="宋体"/>
          <w:color w:val="auto"/>
          <w:highlight w:val="none"/>
        </w:rPr>
        <w:t>本合同一式八份，其中正本二份．副本六份，合同双方各执正本一份，副本三份</w:t>
      </w:r>
      <w:r>
        <w:rPr>
          <w:rFonts w:hint="eastAsia" w:ascii="宋体" w:hAnsi="宋体"/>
          <w:color w:val="auto"/>
          <w:szCs w:val="21"/>
          <w:highlight w:val="none"/>
        </w:rPr>
        <w:t>,双方分送有关部门。</w:t>
      </w:r>
    </w:p>
    <w:p>
      <w:pPr>
        <w:spacing w:line="360" w:lineRule="auto"/>
        <w:rPr>
          <w:rFonts w:ascii="仿宋" w:hAnsi="仿宋" w:eastAsia="仿宋"/>
          <w:color w:val="auto"/>
          <w:szCs w:val="21"/>
          <w:highlight w:val="none"/>
        </w:rPr>
      </w:pPr>
    </w:p>
    <w:p>
      <w:pPr>
        <w:spacing w:line="360" w:lineRule="auto"/>
        <w:rPr>
          <w:rFonts w:ascii="仿宋" w:hAnsi="仿宋" w:eastAsia="仿宋"/>
          <w:color w:val="auto"/>
          <w:szCs w:val="21"/>
          <w:highlight w:val="none"/>
        </w:rPr>
      </w:pPr>
    </w:p>
    <w:p>
      <w:pPr>
        <w:spacing w:line="360" w:lineRule="auto"/>
        <w:ind w:firstLine="1200" w:firstLineChars="500"/>
        <w:rPr>
          <w:rFonts w:ascii="仿宋" w:hAnsi="仿宋" w:eastAsia="仿宋"/>
          <w:color w:val="auto"/>
          <w:szCs w:val="21"/>
          <w:highlight w:val="none"/>
        </w:rPr>
      </w:pPr>
      <w:r>
        <w:rPr>
          <w:rFonts w:hint="eastAsia" w:ascii="仿宋" w:hAnsi="仿宋" w:eastAsia="仿宋"/>
          <w:color w:val="auto"/>
          <w:szCs w:val="21"/>
          <w:highlight w:val="none"/>
        </w:rPr>
        <w:t>甲方(公章):                          乙方(公章):</w:t>
      </w:r>
    </w:p>
    <w:p>
      <w:pPr>
        <w:spacing w:line="360" w:lineRule="auto"/>
        <w:rPr>
          <w:rFonts w:ascii="仿宋" w:hAnsi="仿宋" w:eastAsia="仿宋"/>
          <w:color w:val="auto"/>
          <w:szCs w:val="21"/>
          <w:highlight w:val="none"/>
        </w:rPr>
      </w:pPr>
    </w:p>
    <w:p>
      <w:pPr>
        <w:spacing w:line="360" w:lineRule="auto"/>
        <w:rPr>
          <w:rFonts w:ascii="仿宋" w:hAnsi="仿宋" w:eastAsia="仿宋"/>
          <w:color w:val="auto"/>
          <w:szCs w:val="21"/>
          <w:highlight w:val="none"/>
        </w:rPr>
      </w:pPr>
    </w:p>
    <w:p>
      <w:pPr>
        <w:spacing w:line="360" w:lineRule="auto"/>
        <w:ind w:firstLine="1200" w:firstLineChars="500"/>
        <w:rPr>
          <w:rFonts w:ascii="仿宋" w:hAnsi="仿宋" w:eastAsia="仿宋"/>
          <w:color w:val="auto"/>
          <w:szCs w:val="21"/>
          <w:highlight w:val="none"/>
        </w:rPr>
      </w:pPr>
      <w:r>
        <w:rPr>
          <w:rFonts w:hint="eastAsia" w:ascii="仿宋" w:hAnsi="仿宋" w:eastAsia="仿宋"/>
          <w:color w:val="auto"/>
          <w:szCs w:val="21"/>
          <w:highlight w:val="none"/>
        </w:rPr>
        <w:t>法定代表人(签字):                    法定代表人(签字):</w:t>
      </w:r>
    </w:p>
    <w:p>
      <w:pPr>
        <w:spacing w:line="360" w:lineRule="auto"/>
        <w:rPr>
          <w:rFonts w:ascii="仿宋" w:hAnsi="仿宋" w:eastAsia="仿宋"/>
          <w:color w:val="auto"/>
          <w:szCs w:val="21"/>
          <w:highlight w:val="none"/>
        </w:rPr>
      </w:pPr>
    </w:p>
    <w:p>
      <w:pPr>
        <w:spacing w:line="360" w:lineRule="auto"/>
        <w:ind w:firstLine="2160" w:firstLineChars="900"/>
        <w:rPr>
          <w:rFonts w:ascii="仿宋" w:hAnsi="仿宋" w:eastAsia="仿宋"/>
          <w:color w:val="auto"/>
          <w:szCs w:val="21"/>
          <w:highlight w:val="none"/>
        </w:rPr>
      </w:pPr>
      <w:r>
        <w:rPr>
          <w:rFonts w:hint="eastAsia" w:ascii="仿宋" w:hAnsi="仿宋" w:eastAsia="仿宋"/>
          <w:color w:val="auto"/>
          <w:szCs w:val="21"/>
          <w:highlight w:val="none"/>
        </w:rPr>
        <w:t>年    月    日                   年    月    日</w:t>
      </w:r>
    </w:p>
    <w:p>
      <w:pPr>
        <w:adjustRightInd w:val="0"/>
        <w:snapToGrid w:val="0"/>
        <w:spacing w:line="336" w:lineRule="auto"/>
        <w:outlineLvl w:val="0"/>
        <w:rPr>
          <w:rFonts w:ascii="宋体" w:hAnsi="宋体"/>
          <w:b/>
          <w:color w:val="auto"/>
          <w:highlight w:val="none"/>
        </w:rPr>
      </w:pPr>
    </w:p>
    <w:p>
      <w:pPr>
        <w:rPr>
          <w:color w:val="auto"/>
          <w:highlight w:val="none"/>
        </w:rPr>
      </w:pPr>
    </w:p>
    <w:p>
      <w:pPr>
        <w:spacing w:line="360" w:lineRule="auto"/>
        <w:ind w:firstLine="1200" w:firstLineChars="500"/>
        <w:rPr>
          <w:rFonts w:ascii="仿宋" w:hAnsi="仿宋" w:eastAsia="仿宋"/>
          <w:color w:val="auto"/>
          <w:szCs w:val="21"/>
          <w:highlight w:val="none"/>
        </w:rPr>
      </w:pPr>
    </w:p>
    <w:p>
      <w:pPr>
        <w:spacing w:line="360" w:lineRule="auto"/>
        <w:ind w:firstLine="1200" w:firstLineChars="500"/>
        <w:rPr>
          <w:rFonts w:ascii="仿宋" w:hAnsi="仿宋" w:eastAsia="仿宋"/>
          <w:color w:val="auto"/>
          <w:szCs w:val="21"/>
          <w:highlight w:val="none"/>
        </w:rPr>
      </w:pPr>
    </w:p>
    <w:p>
      <w:pPr>
        <w:spacing w:line="360" w:lineRule="auto"/>
        <w:ind w:firstLine="1200" w:firstLineChars="500"/>
        <w:rPr>
          <w:rFonts w:ascii="仿宋" w:hAnsi="仿宋" w:eastAsia="仿宋"/>
          <w:color w:val="auto"/>
          <w:szCs w:val="21"/>
          <w:highlight w:val="none"/>
        </w:rPr>
      </w:pPr>
    </w:p>
    <w:p>
      <w:pPr>
        <w:spacing w:line="360" w:lineRule="auto"/>
        <w:ind w:firstLine="1200" w:firstLineChars="500"/>
        <w:rPr>
          <w:rFonts w:ascii="仿宋" w:hAnsi="仿宋" w:eastAsia="仿宋"/>
          <w:color w:val="auto"/>
          <w:szCs w:val="21"/>
          <w:highlight w:val="none"/>
        </w:rPr>
      </w:pPr>
    </w:p>
    <w:p>
      <w:pPr>
        <w:spacing w:line="360" w:lineRule="auto"/>
        <w:ind w:firstLine="1200" w:firstLineChars="500"/>
        <w:rPr>
          <w:rFonts w:ascii="仿宋" w:hAnsi="仿宋" w:eastAsia="仿宋"/>
          <w:color w:val="auto"/>
          <w:szCs w:val="21"/>
          <w:highlight w:val="none"/>
        </w:rPr>
      </w:pPr>
    </w:p>
    <w:p>
      <w:pPr>
        <w:spacing w:line="360" w:lineRule="auto"/>
        <w:ind w:firstLine="1200" w:firstLineChars="500"/>
        <w:rPr>
          <w:rFonts w:ascii="仿宋" w:hAnsi="仿宋" w:eastAsia="仿宋"/>
          <w:color w:val="auto"/>
          <w:szCs w:val="21"/>
          <w:highlight w:val="none"/>
        </w:rPr>
      </w:pPr>
    </w:p>
    <w:p>
      <w:pPr>
        <w:spacing w:line="360" w:lineRule="auto"/>
        <w:ind w:firstLine="1200" w:firstLineChars="500"/>
        <w:rPr>
          <w:rFonts w:ascii="仿宋" w:hAnsi="仿宋" w:eastAsia="仿宋"/>
          <w:color w:val="auto"/>
          <w:szCs w:val="21"/>
          <w:highlight w:val="none"/>
        </w:rPr>
      </w:pPr>
    </w:p>
    <w:p>
      <w:pPr>
        <w:spacing w:line="360" w:lineRule="auto"/>
        <w:ind w:firstLine="1200" w:firstLineChars="500"/>
        <w:rPr>
          <w:rFonts w:ascii="仿宋" w:hAnsi="仿宋" w:eastAsia="仿宋"/>
          <w:color w:val="auto"/>
          <w:szCs w:val="21"/>
          <w:highlight w:val="none"/>
        </w:rPr>
      </w:pPr>
    </w:p>
    <w:p>
      <w:pPr>
        <w:spacing w:line="360" w:lineRule="auto"/>
        <w:rPr>
          <w:rFonts w:ascii="仿宋" w:hAnsi="仿宋" w:eastAsia="仿宋"/>
          <w:color w:val="auto"/>
          <w:szCs w:val="21"/>
          <w:highlight w:val="none"/>
        </w:rPr>
      </w:pPr>
    </w:p>
    <w:p>
      <w:pPr>
        <w:adjustRightInd w:val="0"/>
        <w:snapToGrid w:val="0"/>
        <w:spacing w:line="336" w:lineRule="auto"/>
        <w:outlineLvl w:val="0"/>
        <w:rPr>
          <w:rFonts w:ascii="黑体" w:hAnsi="黑体" w:eastAsia="黑体"/>
          <w:color w:val="auto"/>
          <w:szCs w:val="21"/>
          <w:highlight w:val="none"/>
        </w:rPr>
      </w:pPr>
      <w:bookmarkStart w:id="273" w:name="_Toc20752"/>
      <w:bookmarkStart w:id="274" w:name="_Toc8807"/>
      <w:r>
        <w:rPr>
          <w:rFonts w:hint="eastAsia" w:ascii="黑体" w:hAnsi="黑体" w:eastAsia="黑体"/>
          <w:color w:val="auto"/>
          <w:szCs w:val="21"/>
          <w:highlight w:val="none"/>
        </w:rPr>
        <w:t>合同附件二</w:t>
      </w:r>
      <w:bookmarkEnd w:id="273"/>
      <w:bookmarkEnd w:id="274"/>
    </w:p>
    <w:p>
      <w:pPr>
        <w:adjustRightInd w:val="0"/>
        <w:snapToGrid w:val="0"/>
        <w:spacing w:line="336" w:lineRule="auto"/>
        <w:jc w:val="center"/>
        <w:outlineLvl w:val="0"/>
        <w:rPr>
          <w:rFonts w:ascii="黑体" w:hAnsi="黑体" w:eastAsia="黑体"/>
          <w:b/>
          <w:color w:val="auto"/>
          <w:sz w:val="32"/>
          <w:szCs w:val="32"/>
          <w:highlight w:val="none"/>
        </w:rPr>
      </w:pPr>
      <w:bookmarkStart w:id="275" w:name="_Toc21460"/>
      <w:bookmarkStart w:id="276" w:name="_Toc30763"/>
      <w:r>
        <w:rPr>
          <w:rFonts w:hint="eastAsia" w:ascii="黑体" w:hAnsi="黑体" w:eastAsia="黑体"/>
          <w:color w:val="auto"/>
          <w:sz w:val="32"/>
          <w:szCs w:val="32"/>
          <w:highlight w:val="none"/>
        </w:rPr>
        <w:t>工程质量保修书</w:t>
      </w:r>
      <w:bookmarkEnd w:id="275"/>
      <w:bookmarkEnd w:id="276"/>
    </w:p>
    <w:p>
      <w:pPr>
        <w:spacing w:line="336" w:lineRule="auto"/>
        <w:rPr>
          <w:rFonts w:hint="eastAsia" w:eastAsia="宋体"/>
          <w:color w:val="auto"/>
          <w:highlight w:val="none"/>
          <w:u w:val="single"/>
          <w:lang w:eastAsia="zh-CN"/>
        </w:rPr>
      </w:pPr>
      <w:r>
        <w:rPr>
          <w:rFonts w:hint="eastAsia" w:ascii="宋体" w:hAnsi="宋体"/>
          <w:color w:val="auto"/>
          <w:highlight w:val="none"/>
        </w:rPr>
        <w:t>甲方（全称）：</w:t>
      </w:r>
      <w:r>
        <w:rPr>
          <w:rFonts w:hint="eastAsia"/>
          <w:color w:val="auto"/>
          <w:highlight w:val="none"/>
          <w:u w:val="single"/>
          <w:lang w:eastAsia="zh-CN"/>
        </w:rPr>
        <w:t>成都高新区合作街道办事处</w:t>
      </w:r>
    </w:p>
    <w:p>
      <w:pPr>
        <w:spacing w:line="336" w:lineRule="auto"/>
        <w:rPr>
          <w:rFonts w:ascii="宋体" w:hAnsi="宋体"/>
          <w:color w:val="auto"/>
          <w:highlight w:val="none"/>
        </w:rPr>
      </w:pPr>
      <w:r>
        <w:rPr>
          <w:rFonts w:hint="eastAsia" w:ascii="宋体" w:hAnsi="宋体"/>
          <w:color w:val="auto"/>
          <w:highlight w:val="none"/>
        </w:rPr>
        <w:t>乙方（全称）：</w:t>
      </w:r>
      <w:r>
        <w:rPr>
          <w:rFonts w:hint="eastAsia" w:ascii="宋体" w:hAnsi="宋体"/>
          <w:color w:val="auto"/>
          <w:highlight w:val="none"/>
          <w:u w:val="single"/>
        </w:rPr>
        <w:t xml:space="preserve">                                    </w:t>
      </w:r>
      <w:r>
        <w:rPr>
          <w:rFonts w:ascii="宋体" w:hAnsi="宋体"/>
          <w:color w:val="auto"/>
          <w:highlight w:val="none"/>
        </w:rPr>
        <w:br w:type="textWrapping"/>
      </w:r>
      <w:r>
        <w:rPr>
          <w:rFonts w:hint="eastAsia" w:ascii="宋体" w:hAnsi="宋体"/>
          <w:color w:val="auto"/>
          <w:highlight w:val="none"/>
        </w:rPr>
        <w:t>　　甲方、乙方根据《中华人民共和国建筑法》、《建设工程质量管理条例》和《房屋建筑工程质量保修办法》，经协商一致，对</w:t>
      </w:r>
      <w:r>
        <w:rPr>
          <w:rFonts w:ascii="宋体" w:hAnsi="宋体"/>
          <w:color w:val="auto"/>
          <w:highlight w:val="none"/>
          <w:u w:val="single"/>
        </w:rPr>
        <w:t xml:space="preserve"> </w:t>
      </w:r>
      <w:r>
        <w:rPr>
          <w:rFonts w:hint="eastAsia" w:ascii="宋体" w:hAnsi="宋体"/>
          <w:color w:val="auto"/>
          <w:highlight w:val="none"/>
          <w:u w:val="single"/>
        </w:rPr>
        <w:t xml:space="preserve">                         工程</w:t>
      </w:r>
      <w:r>
        <w:rPr>
          <w:rFonts w:hint="eastAsia" w:ascii="宋体" w:hAnsi="宋体"/>
          <w:color w:val="auto"/>
          <w:highlight w:val="none"/>
        </w:rPr>
        <w:t>签订工程质量保修书。　　</w:t>
      </w:r>
    </w:p>
    <w:p>
      <w:pPr>
        <w:spacing w:line="336" w:lineRule="auto"/>
        <w:ind w:firstLine="600" w:firstLineChars="250"/>
        <w:rPr>
          <w:rFonts w:ascii="宋体" w:hAnsi="宋体"/>
          <w:color w:val="auto"/>
          <w:highlight w:val="none"/>
        </w:rPr>
      </w:pPr>
      <w:r>
        <w:rPr>
          <w:rFonts w:hint="eastAsia" w:ascii="宋体" w:hAnsi="宋体"/>
          <w:color w:val="auto"/>
          <w:highlight w:val="none"/>
        </w:rPr>
        <w:t>一、工程质量保修范围和内容</w:t>
      </w:r>
    </w:p>
    <w:p>
      <w:pPr>
        <w:spacing w:line="336" w:lineRule="auto"/>
        <w:ind w:firstLine="600" w:firstLineChars="250"/>
        <w:rPr>
          <w:rFonts w:ascii="宋体" w:hAnsi="宋体"/>
          <w:color w:val="auto"/>
          <w:highlight w:val="none"/>
        </w:rPr>
      </w:pPr>
      <w:r>
        <w:rPr>
          <w:rFonts w:hint="eastAsia" w:ascii="宋体" w:hAnsi="宋体"/>
          <w:color w:val="auto"/>
          <w:highlight w:val="none"/>
        </w:rPr>
        <w:t>乙方在质量保修期内，按照有关法律、法规、规章的管理规定和双方约定，承担本工程质量保修责任。质量保修范围包括本工程所有施工内容，双方约定如下：</w:t>
      </w:r>
      <w:r>
        <w:rPr>
          <w:rFonts w:ascii="宋体" w:hAnsi="宋体"/>
          <w:color w:val="auto"/>
          <w:highlight w:val="none"/>
          <w:u w:val="single"/>
        </w:rPr>
        <w:t xml:space="preserve">                   </w:t>
      </w:r>
    </w:p>
    <w:p>
      <w:pPr>
        <w:spacing w:line="336" w:lineRule="auto"/>
        <w:ind w:left="840" w:leftChars="300" w:hanging="120" w:hangingChars="50"/>
        <w:rPr>
          <w:rFonts w:ascii="宋体" w:hAnsi="宋体"/>
          <w:color w:val="auto"/>
          <w:highlight w:val="none"/>
        </w:rPr>
      </w:pPr>
      <w:r>
        <w:rPr>
          <w:rFonts w:hint="eastAsia" w:ascii="宋体" w:hAnsi="宋体"/>
          <w:color w:val="auto"/>
          <w:highlight w:val="none"/>
        </w:rPr>
        <w:t>二、质量保修期</w:t>
      </w:r>
    </w:p>
    <w:p>
      <w:pPr>
        <w:spacing w:line="336" w:lineRule="auto"/>
        <w:ind w:firstLine="600" w:firstLineChars="250"/>
        <w:rPr>
          <w:rFonts w:ascii="宋体" w:hAnsi="宋体"/>
          <w:color w:val="auto"/>
          <w:highlight w:val="none"/>
        </w:rPr>
      </w:pPr>
      <w:r>
        <w:rPr>
          <w:rFonts w:hint="eastAsia" w:ascii="宋体" w:hAnsi="宋体"/>
          <w:color w:val="auto"/>
          <w:highlight w:val="none"/>
        </w:rPr>
        <w:t>1、地基基础工程和主体结构工程为设计文件规定的该工程合理使用年限；</w:t>
      </w:r>
    </w:p>
    <w:p>
      <w:pPr>
        <w:spacing w:line="336" w:lineRule="auto"/>
        <w:ind w:firstLine="600" w:firstLineChars="250"/>
        <w:rPr>
          <w:rFonts w:ascii="宋体" w:hAnsi="宋体"/>
          <w:color w:val="auto"/>
          <w:highlight w:val="none"/>
        </w:rPr>
      </w:pPr>
      <w:r>
        <w:rPr>
          <w:rFonts w:ascii="宋体" w:hAnsi="宋体"/>
          <w:color w:val="auto"/>
          <w:highlight w:val="none"/>
        </w:rPr>
        <w:t>2</w:t>
      </w:r>
      <w:r>
        <w:rPr>
          <w:rFonts w:hint="eastAsia" w:ascii="宋体" w:hAnsi="宋体"/>
          <w:color w:val="auto"/>
          <w:highlight w:val="none"/>
        </w:rPr>
        <w:t>、屋面防水工程、有防水要求的卫生间、房间和外墙面的防渗漏为</w:t>
      </w:r>
      <w:r>
        <w:rPr>
          <w:rFonts w:hint="eastAsia" w:ascii="宋体" w:hAnsi="宋体"/>
          <w:color w:val="auto"/>
          <w:highlight w:val="none"/>
          <w:u w:val="single"/>
        </w:rPr>
        <w:t>五</w:t>
      </w:r>
      <w:r>
        <w:rPr>
          <w:rFonts w:hint="eastAsia" w:ascii="宋体" w:hAnsi="宋体"/>
          <w:color w:val="auto"/>
          <w:highlight w:val="none"/>
        </w:rPr>
        <w:t>年；</w:t>
      </w:r>
    </w:p>
    <w:p>
      <w:pPr>
        <w:spacing w:line="336" w:lineRule="auto"/>
        <w:ind w:firstLine="600" w:firstLineChars="250"/>
        <w:rPr>
          <w:rFonts w:ascii="宋体" w:hAnsi="宋体"/>
          <w:color w:val="auto"/>
          <w:highlight w:val="none"/>
        </w:rPr>
      </w:pPr>
      <w:r>
        <w:rPr>
          <w:rFonts w:ascii="宋体" w:hAnsi="宋体"/>
          <w:color w:val="auto"/>
          <w:highlight w:val="none"/>
        </w:rPr>
        <w:t>3</w:t>
      </w:r>
      <w:r>
        <w:rPr>
          <w:rFonts w:hint="eastAsia" w:ascii="宋体" w:hAnsi="宋体"/>
          <w:color w:val="auto"/>
          <w:highlight w:val="none"/>
        </w:rPr>
        <w:t>、装修工程为</w:t>
      </w:r>
      <w:r>
        <w:rPr>
          <w:rFonts w:hint="eastAsia" w:ascii="宋体" w:hAnsi="宋体"/>
          <w:color w:val="auto"/>
          <w:highlight w:val="none"/>
          <w:u w:val="single"/>
        </w:rPr>
        <w:t>壹</w:t>
      </w:r>
      <w:r>
        <w:rPr>
          <w:rFonts w:hint="eastAsia" w:ascii="宋体" w:hAnsi="宋体"/>
          <w:color w:val="auto"/>
          <w:highlight w:val="none"/>
        </w:rPr>
        <w:t>年；</w:t>
      </w:r>
    </w:p>
    <w:p>
      <w:pPr>
        <w:spacing w:line="336" w:lineRule="auto"/>
        <w:ind w:firstLine="600" w:firstLineChars="250"/>
        <w:rPr>
          <w:rFonts w:ascii="宋体" w:hAnsi="宋体"/>
          <w:color w:val="auto"/>
          <w:highlight w:val="none"/>
        </w:rPr>
      </w:pPr>
      <w:r>
        <w:rPr>
          <w:rFonts w:ascii="宋体" w:hAnsi="宋体"/>
          <w:color w:val="auto"/>
          <w:highlight w:val="none"/>
        </w:rPr>
        <w:t>4</w:t>
      </w:r>
      <w:r>
        <w:rPr>
          <w:rFonts w:hint="eastAsia" w:ascii="宋体" w:hAnsi="宋体"/>
          <w:color w:val="auto"/>
          <w:highlight w:val="none"/>
        </w:rPr>
        <w:t>、电气管线、给排水管道、设备安装工程为</w:t>
      </w:r>
      <w:r>
        <w:rPr>
          <w:rFonts w:hint="eastAsia" w:ascii="宋体" w:hAnsi="宋体"/>
          <w:color w:val="auto"/>
          <w:highlight w:val="none"/>
          <w:u w:val="single"/>
        </w:rPr>
        <w:t>贰</w:t>
      </w:r>
      <w:r>
        <w:rPr>
          <w:rFonts w:hint="eastAsia" w:ascii="宋体" w:hAnsi="宋体"/>
          <w:color w:val="auto"/>
          <w:highlight w:val="none"/>
        </w:rPr>
        <w:t>年；</w:t>
      </w:r>
    </w:p>
    <w:p>
      <w:pPr>
        <w:spacing w:line="336" w:lineRule="auto"/>
        <w:ind w:firstLine="600" w:firstLineChars="250"/>
        <w:rPr>
          <w:rFonts w:ascii="宋体" w:hAnsi="宋体"/>
          <w:color w:val="auto"/>
          <w:highlight w:val="none"/>
        </w:rPr>
      </w:pPr>
      <w:r>
        <w:rPr>
          <w:rFonts w:ascii="宋体" w:hAnsi="宋体"/>
          <w:color w:val="auto"/>
          <w:highlight w:val="none"/>
        </w:rPr>
        <w:t>5</w:t>
      </w:r>
      <w:r>
        <w:rPr>
          <w:rFonts w:hint="eastAsia" w:ascii="宋体" w:hAnsi="宋体"/>
          <w:color w:val="auto"/>
          <w:highlight w:val="none"/>
        </w:rPr>
        <w:t>、供热与供冷系统为</w:t>
      </w:r>
      <w:r>
        <w:rPr>
          <w:rFonts w:hint="eastAsia" w:ascii="宋体" w:hAnsi="宋体"/>
          <w:color w:val="auto"/>
          <w:highlight w:val="none"/>
          <w:u w:val="single"/>
        </w:rPr>
        <w:t>贰</w:t>
      </w:r>
      <w:r>
        <w:rPr>
          <w:rFonts w:hint="eastAsia" w:ascii="宋体" w:hAnsi="宋体"/>
          <w:color w:val="auto"/>
          <w:highlight w:val="none"/>
        </w:rPr>
        <w:t>个采暖期、供冷期；</w:t>
      </w:r>
    </w:p>
    <w:p>
      <w:pPr>
        <w:spacing w:line="336" w:lineRule="auto"/>
        <w:ind w:firstLine="600" w:firstLineChars="250"/>
        <w:rPr>
          <w:rFonts w:ascii="宋体" w:hAnsi="宋体"/>
          <w:color w:val="auto"/>
          <w:highlight w:val="none"/>
        </w:rPr>
      </w:pPr>
      <w:r>
        <w:rPr>
          <w:rFonts w:ascii="宋体" w:hAnsi="宋体"/>
          <w:color w:val="auto"/>
          <w:highlight w:val="none"/>
        </w:rPr>
        <w:t>6</w:t>
      </w:r>
      <w:r>
        <w:rPr>
          <w:rFonts w:hint="eastAsia" w:ascii="宋体" w:hAnsi="宋体"/>
          <w:color w:val="auto"/>
          <w:highlight w:val="none"/>
        </w:rPr>
        <w:t>、住宅小区内的给排水设施、道路等到配套工程为</w:t>
      </w:r>
      <w:r>
        <w:rPr>
          <w:rFonts w:ascii="宋体" w:hAnsi="宋体"/>
          <w:color w:val="auto"/>
          <w:highlight w:val="none"/>
          <w:u w:val="single"/>
        </w:rPr>
        <w:t xml:space="preserve">     </w:t>
      </w:r>
      <w:r>
        <w:rPr>
          <w:rFonts w:hint="eastAsia" w:ascii="宋体" w:hAnsi="宋体"/>
          <w:color w:val="auto"/>
          <w:highlight w:val="none"/>
        </w:rPr>
        <w:t>年；</w:t>
      </w:r>
    </w:p>
    <w:p>
      <w:pPr>
        <w:spacing w:line="336" w:lineRule="auto"/>
        <w:ind w:firstLine="600" w:firstLineChars="250"/>
        <w:rPr>
          <w:rFonts w:ascii="宋体" w:hAnsi="宋体"/>
          <w:color w:val="auto"/>
          <w:highlight w:val="none"/>
        </w:rPr>
      </w:pPr>
      <w:r>
        <w:rPr>
          <w:rFonts w:ascii="宋体" w:hAnsi="宋体"/>
          <w:color w:val="auto"/>
          <w:highlight w:val="none"/>
        </w:rPr>
        <w:t>7</w:t>
      </w:r>
      <w:r>
        <w:rPr>
          <w:rFonts w:hint="eastAsia" w:ascii="宋体" w:hAnsi="宋体"/>
          <w:color w:val="auto"/>
          <w:highlight w:val="none"/>
        </w:rPr>
        <w:t>、其他项目保修期限约定如下：</w:t>
      </w:r>
      <w:r>
        <w:rPr>
          <w:rFonts w:hint="eastAsia" w:ascii="宋体" w:hAnsi="宋体"/>
          <w:color w:val="auto"/>
          <w:highlight w:val="none"/>
          <w:u w:val="single"/>
        </w:rPr>
        <w:t>本项目质保期为一年</w:t>
      </w:r>
      <w:r>
        <w:rPr>
          <w:rFonts w:hint="eastAsia" w:ascii="宋体" w:hAnsi="宋体"/>
          <w:color w:val="auto"/>
          <w:highlight w:val="none"/>
        </w:rPr>
        <w:t>质量保修期自工程竣工验收合格之日起计算。</w:t>
      </w:r>
    </w:p>
    <w:p>
      <w:pPr>
        <w:spacing w:line="336" w:lineRule="auto"/>
        <w:ind w:firstLine="480" w:firstLineChars="200"/>
        <w:rPr>
          <w:rFonts w:ascii="宋体" w:hAnsi="宋体"/>
          <w:color w:val="auto"/>
          <w:highlight w:val="none"/>
        </w:rPr>
      </w:pPr>
      <w:r>
        <w:rPr>
          <w:rFonts w:hint="eastAsia" w:ascii="宋体" w:hAnsi="宋体"/>
          <w:color w:val="auto"/>
          <w:highlight w:val="none"/>
        </w:rPr>
        <w:t>三、质量保修责任</w:t>
      </w:r>
      <w:r>
        <w:rPr>
          <w:rFonts w:ascii="宋体" w:hAnsi="宋体"/>
          <w:color w:val="auto"/>
          <w:highlight w:val="none"/>
        </w:rPr>
        <w:br w:type="textWrapping"/>
      </w:r>
      <w:r>
        <w:rPr>
          <w:rFonts w:hint="eastAsia" w:ascii="宋体" w:hAnsi="宋体"/>
          <w:color w:val="auto"/>
          <w:highlight w:val="none"/>
        </w:rPr>
        <w:t>　　</w:t>
      </w:r>
      <w:r>
        <w:rPr>
          <w:rFonts w:ascii="宋体" w:hAnsi="宋体"/>
          <w:color w:val="auto"/>
          <w:highlight w:val="none"/>
        </w:rPr>
        <w:t>1.</w:t>
      </w:r>
      <w:r>
        <w:rPr>
          <w:rFonts w:hint="eastAsia" w:ascii="宋体" w:hAnsi="宋体"/>
          <w:color w:val="auto"/>
          <w:highlight w:val="none"/>
        </w:rPr>
        <w:t>属于保修范围、内容的项目，乙方应当在接到保修通知之日起</w:t>
      </w:r>
      <w:r>
        <w:rPr>
          <w:rFonts w:ascii="宋体" w:hAnsi="宋体"/>
          <w:color w:val="auto"/>
          <w:highlight w:val="none"/>
        </w:rPr>
        <w:t>2</w:t>
      </w:r>
      <w:r>
        <w:rPr>
          <w:rFonts w:hint="eastAsia" w:ascii="宋体" w:hAnsi="宋体"/>
          <w:color w:val="auto"/>
          <w:highlight w:val="none"/>
        </w:rPr>
        <w:t>天内派人保修。乙方不在约定期限内派人保修的，甲方可委托他人修理，发生的费用从保修金中扣除。</w:t>
      </w:r>
    </w:p>
    <w:p>
      <w:pPr>
        <w:spacing w:line="336" w:lineRule="auto"/>
        <w:ind w:left="408" w:leftChars="170" w:firstLine="120" w:firstLineChars="50"/>
        <w:rPr>
          <w:rFonts w:ascii="宋体" w:hAnsi="宋体"/>
          <w:color w:val="auto"/>
          <w:highlight w:val="none"/>
        </w:rPr>
      </w:pPr>
      <w:r>
        <w:rPr>
          <w:rFonts w:ascii="宋体" w:hAnsi="宋体"/>
          <w:color w:val="auto"/>
          <w:highlight w:val="none"/>
        </w:rPr>
        <w:t>2.</w:t>
      </w:r>
      <w:r>
        <w:rPr>
          <w:rFonts w:hint="eastAsia" w:ascii="宋体" w:hAnsi="宋体"/>
          <w:color w:val="auto"/>
          <w:highlight w:val="none"/>
        </w:rPr>
        <w:t>发生紧急抢修事故的，乙方在接到事故通知后，应在</w:t>
      </w:r>
      <w:r>
        <w:rPr>
          <w:rFonts w:ascii="宋体" w:hAnsi="宋体"/>
          <w:color w:val="auto"/>
          <w:highlight w:val="none"/>
        </w:rPr>
        <w:t>2</w:t>
      </w:r>
      <w:r>
        <w:rPr>
          <w:rFonts w:hint="eastAsia" w:ascii="宋体" w:hAnsi="宋体"/>
          <w:color w:val="auto"/>
          <w:highlight w:val="none"/>
        </w:rPr>
        <w:t>小时内到达事故现场抢修。</w:t>
      </w:r>
    </w:p>
    <w:p>
      <w:pPr>
        <w:spacing w:line="336" w:lineRule="auto"/>
        <w:ind w:firstLine="528" w:firstLineChars="220"/>
        <w:rPr>
          <w:rFonts w:ascii="宋体" w:hAnsi="宋体"/>
          <w:color w:val="auto"/>
          <w:highlight w:val="none"/>
        </w:rPr>
      </w:pPr>
      <w:r>
        <w:rPr>
          <w:rFonts w:ascii="宋体" w:hAnsi="宋体"/>
          <w:color w:val="auto"/>
          <w:highlight w:val="none"/>
        </w:rPr>
        <w:t>3.</w:t>
      </w:r>
      <w:r>
        <w:rPr>
          <w:rFonts w:hint="eastAsia" w:ascii="宋体" w:hAnsi="宋体"/>
          <w:color w:val="auto"/>
          <w:highlight w:val="none"/>
        </w:rPr>
        <w:t>对于涉及结构安全的质量问题，应当按照《房屋建筑工程质量保修办法》的规定，立即向当地建设行政主管部门报告，采取安全防范措施；由设计单位或者具有相应资质等级的设计单位提出保修方案，乙方实施保修。</w:t>
      </w:r>
    </w:p>
    <w:p>
      <w:pPr>
        <w:spacing w:line="336" w:lineRule="auto"/>
        <w:ind w:firstLine="528" w:firstLineChars="220"/>
        <w:rPr>
          <w:rFonts w:ascii="宋体" w:hAnsi="宋体"/>
          <w:color w:val="auto"/>
          <w:highlight w:val="none"/>
        </w:rPr>
      </w:pPr>
      <w:r>
        <w:rPr>
          <w:rFonts w:ascii="宋体" w:hAnsi="宋体"/>
          <w:color w:val="auto"/>
          <w:highlight w:val="none"/>
        </w:rPr>
        <w:t>4.</w:t>
      </w:r>
      <w:r>
        <w:rPr>
          <w:rFonts w:hint="eastAsia" w:ascii="宋体" w:hAnsi="宋体"/>
          <w:color w:val="auto"/>
          <w:highlight w:val="none"/>
        </w:rPr>
        <w:t>质量保修完成后，由甲方组织验收。</w:t>
      </w:r>
    </w:p>
    <w:p>
      <w:pPr>
        <w:spacing w:line="336" w:lineRule="auto"/>
        <w:ind w:firstLine="480" w:firstLineChars="200"/>
        <w:rPr>
          <w:rFonts w:ascii="宋体" w:hAnsi="宋体"/>
          <w:color w:val="auto"/>
          <w:highlight w:val="none"/>
        </w:rPr>
      </w:pPr>
      <w:r>
        <w:rPr>
          <w:rFonts w:hint="eastAsia" w:ascii="宋体" w:hAnsi="宋体"/>
          <w:color w:val="auto"/>
          <w:highlight w:val="none"/>
        </w:rPr>
        <w:t>四、保修费用</w:t>
      </w:r>
      <w:r>
        <w:rPr>
          <w:rFonts w:ascii="宋体" w:hAnsi="宋体"/>
          <w:color w:val="auto"/>
          <w:highlight w:val="none"/>
        </w:rPr>
        <w:br w:type="textWrapping"/>
      </w:r>
      <w:r>
        <w:rPr>
          <w:rFonts w:hint="eastAsia" w:ascii="宋体" w:hAnsi="宋体"/>
          <w:color w:val="auto"/>
          <w:highlight w:val="none"/>
        </w:rPr>
        <w:t>　　保修费用由造成质量缺陷的责任方承担。</w:t>
      </w:r>
      <w:r>
        <w:rPr>
          <w:rFonts w:ascii="宋体" w:hAnsi="宋体"/>
          <w:color w:val="auto"/>
          <w:highlight w:val="none"/>
        </w:rPr>
        <w:br w:type="textWrapping"/>
      </w:r>
      <w:r>
        <w:rPr>
          <w:rFonts w:hint="eastAsia" w:ascii="宋体" w:hAnsi="宋体"/>
          <w:color w:val="auto"/>
          <w:highlight w:val="none"/>
        </w:rPr>
        <w:t xml:space="preserve">    五、质量保修金的返还，质量保修期满无质量问题后一月内，将该项剩余保修金全额（无息）返还乙方。</w:t>
      </w:r>
    </w:p>
    <w:p>
      <w:pPr>
        <w:spacing w:line="336" w:lineRule="auto"/>
        <w:ind w:firstLine="600" w:firstLineChars="250"/>
        <w:rPr>
          <w:rFonts w:ascii="宋体" w:hAnsi="宋体"/>
          <w:color w:val="auto"/>
          <w:highlight w:val="none"/>
        </w:rPr>
      </w:pPr>
      <w:r>
        <w:rPr>
          <w:rFonts w:hint="eastAsia" w:ascii="宋体" w:hAnsi="宋体"/>
          <w:color w:val="auto"/>
          <w:highlight w:val="none"/>
        </w:rPr>
        <w:t>六、其他</w:t>
      </w:r>
    </w:p>
    <w:p>
      <w:pPr>
        <w:spacing w:line="336" w:lineRule="auto"/>
        <w:ind w:firstLine="600" w:firstLineChars="250"/>
        <w:rPr>
          <w:rFonts w:ascii="宋体" w:hAnsi="宋体"/>
          <w:color w:val="auto"/>
          <w:highlight w:val="none"/>
          <w:u w:val="single"/>
        </w:rPr>
      </w:pPr>
      <w:r>
        <w:rPr>
          <w:rFonts w:hint="eastAsia" w:ascii="宋体" w:hAnsi="宋体"/>
          <w:color w:val="auto"/>
          <w:highlight w:val="none"/>
        </w:rPr>
        <w:t>双方约定的其他工程质量保修事项：</w:t>
      </w:r>
      <w:r>
        <w:rPr>
          <w:rFonts w:ascii="宋体" w:hAnsi="宋体"/>
          <w:color w:val="auto"/>
          <w:highlight w:val="none"/>
          <w:u w:val="single"/>
        </w:rPr>
        <w:t xml:space="preserve">                             </w:t>
      </w:r>
      <w:r>
        <w:rPr>
          <w:rFonts w:ascii="宋体" w:hAnsi="宋体"/>
          <w:color w:val="auto"/>
          <w:highlight w:val="none"/>
        </w:rPr>
        <w:br w:type="textWrapping"/>
      </w:r>
      <w:r>
        <w:rPr>
          <w:rFonts w:hint="eastAsia" w:ascii="宋体" w:hAnsi="宋体"/>
          <w:color w:val="auto"/>
          <w:highlight w:val="none"/>
        </w:rPr>
        <w:t>　　本工程质量保修书，由施工合同甲、乙方双方在竣工验收前共同签署，作为施工合同附件，其有效期限至保修期满。</w:t>
      </w:r>
    </w:p>
    <w:p>
      <w:pPr>
        <w:spacing w:line="336" w:lineRule="auto"/>
        <w:rPr>
          <w:rFonts w:ascii="宋体" w:hAnsi="宋体"/>
          <w:color w:val="auto"/>
          <w:highlight w:val="none"/>
        </w:rPr>
      </w:pPr>
    </w:p>
    <w:p>
      <w:pPr>
        <w:spacing w:line="336" w:lineRule="auto"/>
        <w:rPr>
          <w:rFonts w:ascii="宋体" w:hAnsi="宋体"/>
          <w:color w:val="auto"/>
          <w:highlight w:val="none"/>
        </w:rPr>
      </w:pPr>
      <w:r>
        <w:rPr>
          <w:rFonts w:hint="eastAsia" w:ascii="宋体" w:hAnsi="宋体"/>
          <w:color w:val="auto"/>
          <w:highlight w:val="none"/>
        </w:rPr>
        <w:t>甲方（公章）：　</w:t>
      </w:r>
      <w:r>
        <w:rPr>
          <w:rFonts w:ascii="宋体" w:hAnsi="宋体"/>
          <w:color w:val="auto"/>
          <w:highlight w:val="none"/>
        </w:rPr>
        <w:t xml:space="preserve">             </w:t>
      </w:r>
      <w:r>
        <w:rPr>
          <w:rFonts w:hint="eastAsia" w:ascii="宋体" w:hAnsi="宋体"/>
          <w:color w:val="auto"/>
          <w:highlight w:val="none"/>
        </w:rPr>
        <w:t xml:space="preserve">            乙方（公章）：　　　　</w:t>
      </w:r>
    </w:p>
    <w:p>
      <w:pPr>
        <w:spacing w:line="336" w:lineRule="auto"/>
        <w:rPr>
          <w:rFonts w:ascii="宋体" w:hAnsi="宋体"/>
          <w:color w:val="auto"/>
          <w:highlight w:val="none"/>
        </w:rPr>
      </w:pPr>
    </w:p>
    <w:p>
      <w:pPr>
        <w:spacing w:line="336" w:lineRule="auto"/>
        <w:rPr>
          <w:rFonts w:ascii="宋体" w:hAnsi="宋体"/>
          <w:color w:val="auto"/>
          <w:highlight w:val="none"/>
        </w:rPr>
      </w:pPr>
      <w:r>
        <w:rPr>
          <w:rFonts w:hint="eastAsia" w:ascii="宋体" w:hAnsi="宋体"/>
          <w:color w:val="auto"/>
          <w:highlight w:val="none"/>
        </w:rPr>
        <w:t>法定代表人（签字）：　　</w:t>
      </w:r>
      <w:r>
        <w:rPr>
          <w:rFonts w:ascii="宋体" w:hAnsi="宋体"/>
          <w:color w:val="auto"/>
          <w:highlight w:val="none"/>
        </w:rPr>
        <w:t xml:space="preserve">         </w:t>
      </w:r>
      <w:r>
        <w:rPr>
          <w:rFonts w:hint="eastAsia" w:ascii="宋体" w:hAnsi="宋体"/>
          <w:color w:val="auto"/>
          <w:highlight w:val="none"/>
        </w:rPr>
        <w:t xml:space="preserve">      </w:t>
      </w:r>
      <w:r>
        <w:rPr>
          <w:rFonts w:ascii="宋体" w:hAnsi="宋体"/>
          <w:color w:val="auto"/>
          <w:highlight w:val="none"/>
        </w:rPr>
        <w:t xml:space="preserve">  </w:t>
      </w:r>
      <w:r>
        <w:rPr>
          <w:rFonts w:hint="eastAsia" w:ascii="宋体" w:hAnsi="宋体"/>
          <w:color w:val="auto"/>
          <w:highlight w:val="none"/>
        </w:rPr>
        <w:t>法定代表人（签字）：　　　　</w:t>
      </w:r>
    </w:p>
    <w:p>
      <w:pPr>
        <w:spacing w:line="336" w:lineRule="auto"/>
        <w:ind w:firstLine="840" w:firstLineChars="350"/>
        <w:rPr>
          <w:rFonts w:ascii="宋体" w:hAnsi="宋体"/>
          <w:color w:val="auto"/>
          <w:highlight w:val="none"/>
          <w:u w:val="single"/>
        </w:rPr>
      </w:pPr>
    </w:p>
    <w:p>
      <w:pPr>
        <w:spacing w:line="336" w:lineRule="auto"/>
        <w:ind w:firstLine="840" w:firstLineChars="350"/>
        <w:rPr>
          <w:rFonts w:ascii="宋体" w:hAnsi="宋体"/>
          <w:color w:val="auto"/>
          <w:highlight w:val="none"/>
        </w:rPr>
      </w:pPr>
      <w:r>
        <w:rPr>
          <w:rFonts w:ascii="宋体" w:hAnsi="宋体"/>
          <w:color w:val="auto"/>
          <w:highlight w:val="none"/>
          <w:u w:val="single"/>
        </w:rPr>
        <w:t xml:space="preserve">      </w:t>
      </w:r>
      <w:r>
        <w:rPr>
          <w:rFonts w:hint="eastAsia" w:ascii="宋体" w:hAnsi="宋体"/>
          <w:color w:val="auto"/>
          <w:highlight w:val="none"/>
        </w:rPr>
        <w:t>年</w:t>
      </w:r>
      <w:r>
        <w:rPr>
          <w:rFonts w:ascii="宋体" w:hAnsi="宋体"/>
          <w:color w:val="auto"/>
          <w:highlight w:val="none"/>
          <w:u w:val="single"/>
        </w:rPr>
        <w:t xml:space="preserve">     </w:t>
      </w:r>
      <w:r>
        <w:rPr>
          <w:rFonts w:hint="eastAsia" w:ascii="宋体" w:hAnsi="宋体"/>
          <w:color w:val="auto"/>
          <w:highlight w:val="none"/>
        </w:rPr>
        <w:t>月</w:t>
      </w:r>
      <w:r>
        <w:rPr>
          <w:rFonts w:ascii="宋体" w:hAnsi="宋体"/>
          <w:color w:val="auto"/>
          <w:highlight w:val="none"/>
          <w:u w:val="single"/>
        </w:rPr>
        <w:t xml:space="preserve">    </w:t>
      </w:r>
      <w:r>
        <w:rPr>
          <w:rFonts w:hint="eastAsia" w:ascii="宋体" w:hAnsi="宋体"/>
          <w:color w:val="auto"/>
          <w:highlight w:val="none"/>
        </w:rPr>
        <w:t>日　　</w:t>
      </w:r>
      <w:r>
        <w:rPr>
          <w:rFonts w:ascii="宋体" w:hAnsi="宋体"/>
          <w:color w:val="auto"/>
          <w:highlight w:val="none"/>
        </w:rPr>
        <w:t xml:space="preserve">         </w:t>
      </w:r>
      <w:r>
        <w:rPr>
          <w:rFonts w:hint="eastAsia" w:ascii="宋体" w:hAnsi="宋体"/>
          <w:color w:val="auto"/>
          <w:highlight w:val="none"/>
        </w:rPr>
        <w:t xml:space="preserve">             </w:t>
      </w:r>
      <w:r>
        <w:rPr>
          <w:rFonts w:ascii="宋体" w:hAnsi="宋体"/>
          <w:color w:val="auto"/>
          <w:highlight w:val="none"/>
          <w:u w:val="single"/>
        </w:rPr>
        <w:t xml:space="preserve">     </w:t>
      </w:r>
      <w:r>
        <w:rPr>
          <w:rFonts w:hint="eastAsia" w:ascii="宋体" w:hAnsi="宋体"/>
          <w:color w:val="auto"/>
          <w:highlight w:val="none"/>
        </w:rPr>
        <w:t>年</w:t>
      </w:r>
      <w:r>
        <w:rPr>
          <w:rFonts w:ascii="宋体" w:hAnsi="宋体"/>
          <w:color w:val="auto"/>
          <w:highlight w:val="none"/>
          <w:u w:val="single"/>
        </w:rPr>
        <w:t xml:space="preserve">     </w:t>
      </w:r>
      <w:r>
        <w:rPr>
          <w:rFonts w:hint="eastAsia" w:ascii="宋体" w:hAnsi="宋体"/>
          <w:color w:val="auto"/>
          <w:highlight w:val="none"/>
        </w:rPr>
        <w:t>月</w:t>
      </w:r>
      <w:r>
        <w:rPr>
          <w:rFonts w:ascii="宋体" w:hAnsi="宋体"/>
          <w:color w:val="auto"/>
          <w:highlight w:val="none"/>
          <w:u w:val="single"/>
        </w:rPr>
        <w:t xml:space="preserve">    </w:t>
      </w:r>
      <w:r>
        <w:rPr>
          <w:rFonts w:hint="eastAsia" w:ascii="宋体" w:hAnsi="宋体"/>
          <w:color w:val="auto"/>
          <w:highlight w:val="none"/>
        </w:rPr>
        <w:t>日</w:t>
      </w:r>
    </w:p>
    <w:p>
      <w:pPr>
        <w:spacing w:line="336" w:lineRule="auto"/>
        <w:rPr>
          <w:rFonts w:ascii="宋体" w:hAnsi="宋体"/>
          <w:color w:val="auto"/>
          <w:highlight w:val="none"/>
        </w:rPr>
      </w:pPr>
    </w:p>
    <w:p>
      <w:pPr>
        <w:spacing w:line="336" w:lineRule="auto"/>
        <w:rPr>
          <w:rFonts w:ascii="宋体" w:hAnsi="宋体"/>
          <w:color w:val="auto"/>
          <w:highlight w:val="none"/>
        </w:rPr>
      </w:pPr>
    </w:p>
    <w:p>
      <w:pPr>
        <w:spacing w:line="336" w:lineRule="auto"/>
        <w:rPr>
          <w:rFonts w:ascii="宋体" w:hAnsi="宋体"/>
          <w:color w:val="auto"/>
          <w:highlight w:val="none"/>
        </w:rPr>
      </w:pPr>
    </w:p>
    <w:p>
      <w:pPr>
        <w:adjustRightInd w:val="0"/>
        <w:snapToGrid w:val="0"/>
        <w:spacing w:line="336" w:lineRule="auto"/>
        <w:outlineLvl w:val="0"/>
        <w:rPr>
          <w:rFonts w:ascii="黑体" w:hAnsi="黑体" w:eastAsia="黑体"/>
          <w:color w:val="auto"/>
          <w:szCs w:val="21"/>
          <w:highlight w:val="none"/>
        </w:rPr>
      </w:pPr>
      <w:bookmarkStart w:id="277" w:name="_Toc10809"/>
      <w:bookmarkStart w:id="278" w:name="_Toc11377"/>
      <w:r>
        <w:rPr>
          <w:rFonts w:hint="eastAsia" w:ascii="黑体" w:hAnsi="黑体" w:eastAsia="黑体"/>
          <w:color w:val="auto"/>
          <w:szCs w:val="21"/>
          <w:highlight w:val="none"/>
        </w:rPr>
        <w:t>合同附件三</w:t>
      </w:r>
      <w:bookmarkEnd w:id="277"/>
      <w:bookmarkEnd w:id="278"/>
    </w:p>
    <w:p>
      <w:pPr>
        <w:spacing w:before="156" w:beforeLines="50" w:after="156" w:afterLines="50" w:line="336" w:lineRule="auto"/>
        <w:jc w:val="center"/>
        <w:rPr>
          <w:rFonts w:ascii="黑体" w:hAnsi="黑体" w:eastAsia="黑体"/>
          <w:b/>
          <w:color w:val="auto"/>
          <w:sz w:val="32"/>
          <w:szCs w:val="32"/>
          <w:highlight w:val="none"/>
        </w:rPr>
      </w:pPr>
      <w:r>
        <w:rPr>
          <w:rFonts w:hint="eastAsia" w:ascii="黑体" w:hAnsi="黑体" w:eastAsia="黑体"/>
          <w:b/>
          <w:color w:val="auto"/>
          <w:sz w:val="32"/>
          <w:szCs w:val="32"/>
          <w:highlight w:val="none"/>
        </w:rPr>
        <w:t>安全生产合同</w:t>
      </w:r>
    </w:p>
    <w:p>
      <w:pPr>
        <w:spacing w:line="336" w:lineRule="auto"/>
        <w:ind w:firstLine="460" w:firstLineChars="192"/>
        <w:rPr>
          <w:rFonts w:ascii="宋体" w:hAnsi="宋体"/>
          <w:color w:val="auto"/>
          <w:highlight w:val="none"/>
        </w:rPr>
      </w:pPr>
      <w:r>
        <w:rPr>
          <w:rFonts w:hint="eastAsia" w:ascii="宋体" w:hAnsi="宋体"/>
          <w:color w:val="auto"/>
          <w:highlight w:val="none"/>
        </w:rPr>
        <w:t>为在</w:t>
      </w:r>
      <w:r>
        <w:rPr>
          <w:rFonts w:hint="eastAsia" w:ascii="宋体" w:hAnsi="宋体"/>
          <w:color w:val="auto"/>
          <w:highlight w:val="none"/>
          <w:u w:val="single"/>
        </w:rPr>
        <w:t xml:space="preserve">                           工程</w:t>
      </w:r>
      <w:r>
        <w:rPr>
          <w:rFonts w:hint="eastAsia" w:ascii="宋体" w:hAnsi="宋体"/>
          <w:color w:val="auto"/>
          <w:highlight w:val="none"/>
        </w:rPr>
        <w:t>施工合同的实施过程中创造安全、高效的施工环境，切实搞好本项目的安全管理工作，本项目业主</w:t>
      </w:r>
      <w:r>
        <w:rPr>
          <w:rFonts w:hint="eastAsia" w:ascii="宋体" w:hAnsi="宋体"/>
          <w:color w:val="auto"/>
          <w:highlight w:val="none"/>
          <w:u w:val="single"/>
          <w:lang w:eastAsia="zh-CN"/>
        </w:rPr>
        <w:t>成都高新区合作街道办事处</w:t>
      </w:r>
      <w:r>
        <w:rPr>
          <w:rFonts w:ascii="宋体" w:hAnsi="宋体"/>
          <w:color w:val="auto"/>
          <w:highlight w:val="none"/>
        </w:rPr>
        <w:t>(</w:t>
      </w:r>
      <w:r>
        <w:rPr>
          <w:rFonts w:hint="eastAsia" w:ascii="宋体" w:hAnsi="宋体"/>
          <w:color w:val="auto"/>
          <w:highlight w:val="none"/>
        </w:rPr>
        <w:t>以下简称</w:t>
      </w:r>
      <w:r>
        <w:rPr>
          <w:rFonts w:ascii="宋体" w:hAnsi="宋体"/>
          <w:color w:val="auto"/>
          <w:highlight w:val="none"/>
        </w:rPr>
        <w:t>“</w:t>
      </w:r>
      <w:r>
        <w:rPr>
          <w:rFonts w:hint="eastAsia" w:ascii="宋体" w:hAnsi="宋体"/>
          <w:color w:val="auto"/>
          <w:highlight w:val="none"/>
        </w:rPr>
        <w:t>甲方</w:t>
      </w:r>
      <w:r>
        <w:rPr>
          <w:rFonts w:ascii="宋体" w:hAnsi="宋体"/>
          <w:color w:val="auto"/>
          <w:highlight w:val="none"/>
        </w:rPr>
        <w:t>”)</w:t>
      </w:r>
      <w:r>
        <w:rPr>
          <w:rFonts w:hint="eastAsia" w:ascii="宋体" w:hAnsi="宋体"/>
          <w:color w:val="auto"/>
          <w:highlight w:val="none"/>
        </w:rPr>
        <w:t>与承包人</w:t>
      </w:r>
      <w:r>
        <w:rPr>
          <w:rFonts w:ascii="宋体" w:hAnsi="宋体"/>
          <w:color w:val="auto"/>
          <w:highlight w:val="none"/>
          <w:u w:val="single"/>
        </w:rPr>
        <w:t xml:space="preserve">  </w:t>
      </w:r>
      <w:r>
        <w:rPr>
          <w:rFonts w:hint="eastAsia" w:ascii="宋体" w:hAnsi="宋体"/>
          <w:color w:val="auto"/>
          <w:highlight w:val="none"/>
          <w:u w:val="single"/>
        </w:rPr>
        <w:t xml:space="preserve">                     </w:t>
      </w:r>
      <w:r>
        <w:rPr>
          <w:rFonts w:ascii="宋体" w:hAnsi="宋体"/>
          <w:color w:val="auto"/>
          <w:highlight w:val="none"/>
        </w:rPr>
        <w:t>(</w:t>
      </w:r>
      <w:r>
        <w:rPr>
          <w:rFonts w:hint="eastAsia" w:ascii="宋体" w:hAnsi="宋体"/>
          <w:color w:val="auto"/>
          <w:highlight w:val="none"/>
        </w:rPr>
        <w:t>以下简称</w:t>
      </w:r>
      <w:r>
        <w:rPr>
          <w:rFonts w:ascii="宋体" w:hAnsi="宋体"/>
          <w:color w:val="auto"/>
          <w:highlight w:val="none"/>
        </w:rPr>
        <w:t>“</w:t>
      </w:r>
      <w:r>
        <w:rPr>
          <w:rFonts w:hint="eastAsia" w:ascii="宋体" w:hAnsi="宋体"/>
          <w:color w:val="auto"/>
          <w:highlight w:val="none"/>
        </w:rPr>
        <w:t>乙方</w:t>
      </w:r>
      <w:r>
        <w:rPr>
          <w:rFonts w:ascii="宋体" w:hAnsi="宋体"/>
          <w:color w:val="auto"/>
          <w:highlight w:val="none"/>
        </w:rPr>
        <w:t>”)</w:t>
      </w:r>
      <w:r>
        <w:rPr>
          <w:rFonts w:hint="eastAsia" w:ascii="宋体" w:hAnsi="宋体"/>
          <w:color w:val="auto"/>
          <w:highlight w:val="none"/>
        </w:rPr>
        <w:t>特此签订安全生产合同：</w:t>
      </w:r>
      <w:r>
        <w:rPr>
          <w:rFonts w:ascii="宋体" w:hAnsi="宋体"/>
          <w:color w:val="auto"/>
          <w:highlight w:val="none"/>
        </w:rPr>
        <w:t xml:space="preserve">   </w:t>
      </w:r>
    </w:p>
    <w:p>
      <w:pPr>
        <w:spacing w:line="336" w:lineRule="auto"/>
        <w:rPr>
          <w:rFonts w:ascii="宋体" w:hAnsi="宋体"/>
          <w:color w:val="auto"/>
          <w:highlight w:val="none"/>
        </w:rPr>
      </w:pPr>
      <w:r>
        <w:rPr>
          <w:rFonts w:ascii="宋体" w:hAnsi="宋体"/>
          <w:color w:val="auto"/>
          <w:highlight w:val="none"/>
        </w:rPr>
        <w:t xml:space="preserve">    </w:t>
      </w:r>
      <w:r>
        <w:rPr>
          <w:rFonts w:hint="eastAsia" w:ascii="宋体" w:hAnsi="宋体"/>
          <w:color w:val="auto"/>
          <w:highlight w:val="none"/>
        </w:rPr>
        <w:t>一、甲方职责</w:t>
      </w:r>
      <w:r>
        <w:rPr>
          <w:rFonts w:ascii="宋体" w:hAnsi="宋体"/>
          <w:color w:val="auto"/>
          <w:highlight w:val="none"/>
        </w:rPr>
        <w:t xml:space="preserve">  </w:t>
      </w:r>
    </w:p>
    <w:p>
      <w:pPr>
        <w:spacing w:line="336" w:lineRule="auto"/>
        <w:rPr>
          <w:rFonts w:ascii="宋体" w:hAnsi="宋体"/>
          <w:color w:val="auto"/>
          <w:highlight w:val="none"/>
        </w:rPr>
      </w:pPr>
      <w:r>
        <w:rPr>
          <w:rFonts w:ascii="宋体" w:hAnsi="宋体"/>
          <w:color w:val="auto"/>
          <w:highlight w:val="none"/>
        </w:rPr>
        <w:t xml:space="preserve">    1</w:t>
      </w:r>
      <w:r>
        <w:rPr>
          <w:rFonts w:hint="eastAsia" w:ascii="宋体" w:hAnsi="宋体"/>
          <w:color w:val="auto"/>
          <w:highlight w:val="none"/>
        </w:rPr>
        <w:t>．严格遵守国家有关安全生产的法律法规，认真执行工程承包合同中的有关安全要求。</w:t>
      </w:r>
    </w:p>
    <w:p>
      <w:pPr>
        <w:spacing w:line="336" w:lineRule="auto"/>
        <w:ind w:firstLine="420"/>
        <w:rPr>
          <w:rFonts w:ascii="宋体" w:hAnsi="宋体"/>
          <w:color w:val="auto"/>
          <w:highlight w:val="none"/>
        </w:rPr>
      </w:pPr>
      <w:r>
        <w:rPr>
          <w:rFonts w:ascii="宋体" w:hAnsi="宋体"/>
          <w:color w:val="auto"/>
          <w:highlight w:val="none"/>
        </w:rPr>
        <w:t>2</w:t>
      </w:r>
      <w:r>
        <w:rPr>
          <w:rFonts w:hint="eastAsia" w:ascii="宋体" w:hAnsi="宋体"/>
          <w:color w:val="auto"/>
          <w:highlight w:val="none"/>
        </w:rPr>
        <w:t>．按照</w:t>
      </w:r>
      <w:r>
        <w:rPr>
          <w:rFonts w:ascii="宋体" w:hAnsi="宋体"/>
          <w:color w:val="auto"/>
          <w:highlight w:val="none"/>
        </w:rPr>
        <w:t>“</w:t>
      </w:r>
      <w:r>
        <w:rPr>
          <w:rFonts w:hint="eastAsia" w:ascii="宋体" w:hAnsi="宋体"/>
          <w:color w:val="auto"/>
          <w:highlight w:val="none"/>
        </w:rPr>
        <w:t>安全第一、预防为主</w:t>
      </w:r>
      <w:r>
        <w:rPr>
          <w:rFonts w:ascii="宋体" w:hAnsi="宋体"/>
          <w:color w:val="auto"/>
          <w:highlight w:val="none"/>
        </w:rPr>
        <w:t>”</w:t>
      </w:r>
      <w:r>
        <w:rPr>
          <w:rFonts w:hint="eastAsia" w:ascii="宋体" w:hAnsi="宋体"/>
          <w:color w:val="auto"/>
          <w:highlight w:val="none"/>
        </w:rPr>
        <w:t>和坚持</w:t>
      </w:r>
      <w:r>
        <w:rPr>
          <w:rFonts w:ascii="宋体" w:hAnsi="宋体"/>
          <w:color w:val="auto"/>
          <w:highlight w:val="none"/>
        </w:rPr>
        <w:t>“</w:t>
      </w:r>
      <w:r>
        <w:rPr>
          <w:rFonts w:hint="eastAsia" w:ascii="宋体" w:hAnsi="宋体"/>
          <w:color w:val="auto"/>
          <w:highlight w:val="none"/>
        </w:rPr>
        <w:t>管生产必须管安全</w:t>
      </w:r>
      <w:r>
        <w:rPr>
          <w:rFonts w:ascii="宋体" w:hAnsi="宋体"/>
          <w:color w:val="auto"/>
          <w:highlight w:val="none"/>
        </w:rPr>
        <w:t>”</w:t>
      </w:r>
      <w:r>
        <w:rPr>
          <w:rFonts w:hint="eastAsia" w:ascii="宋体" w:hAnsi="宋体"/>
          <w:color w:val="auto"/>
          <w:highlight w:val="none"/>
        </w:rPr>
        <w:t>的原则进行安全生产管理，做到生产与安全工作同时计划、布置、检查、总结和评比。</w:t>
      </w:r>
      <w:r>
        <w:rPr>
          <w:rFonts w:ascii="宋体" w:hAnsi="宋体"/>
          <w:color w:val="auto"/>
          <w:highlight w:val="none"/>
        </w:rPr>
        <w:t xml:space="preserve">      </w:t>
      </w:r>
    </w:p>
    <w:p>
      <w:pPr>
        <w:spacing w:line="336" w:lineRule="auto"/>
        <w:ind w:firstLine="420"/>
        <w:rPr>
          <w:rFonts w:ascii="宋体" w:hAnsi="宋体"/>
          <w:color w:val="auto"/>
          <w:highlight w:val="none"/>
        </w:rPr>
      </w:pPr>
      <w:r>
        <w:rPr>
          <w:rFonts w:ascii="宋体" w:hAnsi="宋体"/>
          <w:color w:val="auto"/>
          <w:highlight w:val="none"/>
        </w:rPr>
        <w:t>3</w:t>
      </w:r>
      <w:r>
        <w:rPr>
          <w:rFonts w:hint="eastAsia" w:ascii="宋体" w:hAnsi="宋体"/>
          <w:color w:val="auto"/>
          <w:highlight w:val="none"/>
        </w:rPr>
        <w:t>．重要的安全设施必须坚持与主体工程</w:t>
      </w:r>
      <w:r>
        <w:rPr>
          <w:rFonts w:ascii="宋体" w:hAnsi="宋体"/>
          <w:color w:val="auto"/>
          <w:highlight w:val="none"/>
        </w:rPr>
        <w:t>“</w:t>
      </w:r>
      <w:r>
        <w:rPr>
          <w:rFonts w:hint="eastAsia" w:ascii="宋体" w:hAnsi="宋体"/>
          <w:color w:val="auto"/>
          <w:highlight w:val="none"/>
        </w:rPr>
        <w:t>三同时</w:t>
      </w:r>
      <w:r>
        <w:rPr>
          <w:rFonts w:ascii="宋体" w:hAnsi="宋体"/>
          <w:color w:val="auto"/>
          <w:highlight w:val="none"/>
        </w:rPr>
        <w:t>”</w:t>
      </w:r>
      <w:r>
        <w:rPr>
          <w:rFonts w:hint="eastAsia" w:ascii="宋体" w:hAnsi="宋体"/>
          <w:color w:val="auto"/>
          <w:highlight w:val="none"/>
        </w:rPr>
        <w:t>的原则，即：同时设计、审批，同时施工，同时验收，投入使用。</w:t>
      </w:r>
      <w:r>
        <w:rPr>
          <w:rFonts w:ascii="宋体" w:hAnsi="宋体"/>
          <w:color w:val="auto"/>
          <w:highlight w:val="none"/>
        </w:rPr>
        <w:t xml:space="preserve">    </w:t>
      </w:r>
    </w:p>
    <w:p>
      <w:pPr>
        <w:spacing w:line="336" w:lineRule="auto"/>
        <w:ind w:firstLine="420"/>
        <w:rPr>
          <w:rFonts w:ascii="宋体" w:hAnsi="宋体"/>
          <w:color w:val="auto"/>
          <w:highlight w:val="none"/>
        </w:rPr>
      </w:pPr>
      <w:r>
        <w:rPr>
          <w:rFonts w:ascii="宋体" w:hAnsi="宋体"/>
          <w:color w:val="auto"/>
          <w:highlight w:val="none"/>
        </w:rPr>
        <w:t>4</w:t>
      </w:r>
      <w:r>
        <w:rPr>
          <w:rFonts w:hint="eastAsia" w:ascii="宋体" w:hAnsi="宋体"/>
          <w:color w:val="auto"/>
          <w:highlight w:val="none"/>
        </w:rPr>
        <w:t>．定期召开安全生产调度会，及时传达中央及地方有关安全生产的精神。</w:t>
      </w:r>
      <w:r>
        <w:rPr>
          <w:rFonts w:ascii="宋体" w:hAnsi="宋体"/>
          <w:color w:val="auto"/>
          <w:highlight w:val="none"/>
        </w:rPr>
        <w:t xml:space="preserve">        </w:t>
      </w:r>
    </w:p>
    <w:p>
      <w:pPr>
        <w:spacing w:line="336" w:lineRule="auto"/>
        <w:ind w:firstLine="420"/>
        <w:rPr>
          <w:rFonts w:ascii="宋体" w:hAnsi="宋体"/>
          <w:color w:val="auto"/>
          <w:highlight w:val="none"/>
        </w:rPr>
      </w:pPr>
      <w:r>
        <w:rPr>
          <w:rFonts w:ascii="宋体" w:hAnsi="宋体"/>
          <w:color w:val="auto"/>
          <w:highlight w:val="none"/>
        </w:rPr>
        <w:t>5</w:t>
      </w:r>
      <w:r>
        <w:rPr>
          <w:rFonts w:hint="eastAsia" w:ascii="宋体" w:hAnsi="宋体"/>
          <w:color w:val="auto"/>
          <w:highlight w:val="none"/>
        </w:rPr>
        <w:t>．组织对乙方施工现场安全生产检查，监督乙方及时处理发现的各种安全隐患。</w:t>
      </w:r>
      <w:r>
        <w:rPr>
          <w:rFonts w:ascii="宋体" w:hAnsi="宋体"/>
          <w:color w:val="auto"/>
          <w:highlight w:val="none"/>
        </w:rPr>
        <w:t xml:space="preserve">    </w:t>
      </w:r>
    </w:p>
    <w:p>
      <w:pPr>
        <w:spacing w:line="336" w:lineRule="auto"/>
        <w:rPr>
          <w:rFonts w:ascii="宋体" w:hAnsi="宋体"/>
          <w:color w:val="auto"/>
          <w:highlight w:val="none"/>
        </w:rPr>
      </w:pPr>
      <w:r>
        <w:rPr>
          <w:rFonts w:ascii="宋体" w:hAnsi="宋体"/>
          <w:color w:val="auto"/>
          <w:highlight w:val="none"/>
        </w:rPr>
        <w:t xml:space="preserve">    </w:t>
      </w:r>
      <w:r>
        <w:rPr>
          <w:rFonts w:hint="eastAsia" w:ascii="宋体" w:hAnsi="宋体"/>
          <w:color w:val="auto"/>
          <w:highlight w:val="none"/>
        </w:rPr>
        <w:t>二、乙方职责</w:t>
      </w:r>
      <w:r>
        <w:rPr>
          <w:rFonts w:ascii="宋体" w:hAnsi="宋体"/>
          <w:color w:val="auto"/>
          <w:highlight w:val="none"/>
        </w:rPr>
        <w:t xml:space="preserve">    </w:t>
      </w:r>
    </w:p>
    <w:p>
      <w:pPr>
        <w:spacing w:line="336" w:lineRule="auto"/>
        <w:rPr>
          <w:rFonts w:ascii="宋体" w:hAnsi="宋体"/>
          <w:color w:val="auto"/>
          <w:highlight w:val="none"/>
        </w:rPr>
      </w:pPr>
      <w:r>
        <w:rPr>
          <w:rFonts w:ascii="宋体" w:hAnsi="宋体"/>
          <w:color w:val="auto"/>
          <w:highlight w:val="none"/>
        </w:rPr>
        <w:t xml:space="preserve">    1</w:t>
      </w:r>
      <w:r>
        <w:rPr>
          <w:rFonts w:hint="eastAsia" w:ascii="宋体" w:hAnsi="宋体"/>
          <w:color w:val="auto"/>
          <w:highlight w:val="none"/>
        </w:rPr>
        <w:t>．严格遵守国家有关安全生产的法律法规有关安全生产的规定，认真执行工程承包合同中的有关安全要求。</w:t>
      </w:r>
      <w:r>
        <w:rPr>
          <w:rFonts w:ascii="宋体" w:hAnsi="宋体"/>
          <w:color w:val="auto"/>
          <w:highlight w:val="none"/>
        </w:rPr>
        <w:t xml:space="preserve">    </w:t>
      </w:r>
    </w:p>
    <w:p>
      <w:pPr>
        <w:spacing w:line="336" w:lineRule="auto"/>
        <w:rPr>
          <w:rFonts w:ascii="宋体" w:hAnsi="宋体"/>
          <w:color w:val="auto"/>
          <w:highlight w:val="none"/>
        </w:rPr>
      </w:pPr>
      <w:r>
        <w:rPr>
          <w:rFonts w:ascii="宋体" w:hAnsi="宋体"/>
          <w:color w:val="auto"/>
          <w:highlight w:val="none"/>
        </w:rPr>
        <w:t xml:space="preserve">    2</w:t>
      </w:r>
      <w:r>
        <w:rPr>
          <w:rFonts w:hint="eastAsia" w:ascii="宋体" w:hAnsi="宋体"/>
          <w:color w:val="auto"/>
          <w:highlight w:val="none"/>
        </w:rPr>
        <w:t>．坚持</w:t>
      </w:r>
      <w:r>
        <w:rPr>
          <w:rFonts w:ascii="宋体" w:hAnsi="宋体"/>
          <w:color w:val="auto"/>
          <w:highlight w:val="none"/>
        </w:rPr>
        <w:t>“</w:t>
      </w:r>
      <w:r>
        <w:rPr>
          <w:rFonts w:hint="eastAsia" w:ascii="宋体" w:hAnsi="宋体"/>
          <w:color w:val="auto"/>
          <w:highlight w:val="none"/>
        </w:rPr>
        <w:t>安全第一、预防为主</w:t>
      </w:r>
      <w:r>
        <w:rPr>
          <w:rFonts w:ascii="宋体" w:hAnsi="宋体"/>
          <w:color w:val="auto"/>
          <w:highlight w:val="none"/>
        </w:rPr>
        <w:t>”</w:t>
      </w:r>
      <w:r>
        <w:rPr>
          <w:rFonts w:hint="eastAsia" w:ascii="宋体" w:hAnsi="宋体"/>
          <w:color w:val="auto"/>
          <w:highlight w:val="none"/>
        </w:rPr>
        <w:t>、</w:t>
      </w:r>
      <w:r>
        <w:rPr>
          <w:rFonts w:ascii="宋体" w:hAnsi="宋体"/>
          <w:color w:val="auto"/>
          <w:highlight w:val="none"/>
        </w:rPr>
        <w:t>“</w:t>
      </w:r>
      <w:r>
        <w:rPr>
          <w:rFonts w:hint="eastAsia" w:ascii="宋体" w:hAnsi="宋体"/>
          <w:color w:val="auto"/>
          <w:highlight w:val="none"/>
        </w:rPr>
        <w:t>管生产必须管安全</w:t>
      </w:r>
      <w:r>
        <w:rPr>
          <w:rFonts w:ascii="宋体" w:hAnsi="宋体"/>
          <w:color w:val="auto"/>
          <w:highlight w:val="none"/>
        </w:rPr>
        <w:t>”</w:t>
      </w:r>
      <w:r>
        <w:rPr>
          <w:rFonts w:hint="eastAsia" w:ascii="宋体" w:hAnsi="宋体"/>
          <w:color w:val="auto"/>
          <w:highlight w:val="none"/>
        </w:rPr>
        <w:t>的原则，加强安全生产宣传教育，增强全员安全生产意识，建立健全各项安全生产的管理机构和安全生产管理制度，配备专职及兼职安全检查人员，有组织有领导地开展安全生产活动。各级领导、工程技术人员、生产管理人员和具体操作人员，必须熟悉和遵守本条款的各项规定，做到生产与安全工作同时计划、布置、检查、总结和评比。</w:t>
      </w:r>
      <w:r>
        <w:rPr>
          <w:rFonts w:ascii="宋体" w:hAnsi="宋体"/>
          <w:color w:val="auto"/>
          <w:highlight w:val="none"/>
        </w:rPr>
        <w:t xml:space="preserve">    </w:t>
      </w:r>
    </w:p>
    <w:p>
      <w:pPr>
        <w:spacing w:line="336" w:lineRule="auto"/>
        <w:rPr>
          <w:rFonts w:ascii="宋体" w:hAnsi="宋体"/>
          <w:color w:val="auto"/>
          <w:highlight w:val="none"/>
        </w:rPr>
      </w:pPr>
      <w:r>
        <w:rPr>
          <w:rFonts w:ascii="宋体" w:hAnsi="宋体"/>
          <w:color w:val="auto"/>
          <w:highlight w:val="none"/>
        </w:rPr>
        <w:t xml:space="preserve">    3</w:t>
      </w:r>
      <w:r>
        <w:rPr>
          <w:rFonts w:hint="eastAsia" w:ascii="宋体" w:hAnsi="宋体"/>
          <w:color w:val="auto"/>
          <w:highlight w:val="none"/>
        </w:rPr>
        <w:t>．建立健全安全生产责任制。从派往项目实施的项目经理到生产工人</w:t>
      </w:r>
      <w:r>
        <w:rPr>
          <w:rFonts w:ascii="宋体" w:hAnsi="宋体"/>
          <w:color w:val="auto"/>
          <w:highlight w:val="none"/>
        </w:rPr>
        <w:t>(</w:t>
      </w:r>
      <w:r>
        <w:rPr>
          <w:rFonts w:hint="eastAsia" w:ascii="宋体" w:hAnsi="宋体"/>
          <w:color w:val="auto"/>
          <w:highlight w:val="none"/>
        </w:rPr>
        <w:t>包括临时雇请的</w:t>
      </w:r>
      <w:r>
        <w:rPr>
          <w:rFonts w:ascii="宋体" w:hAnsi="宋体"/>
          <w:color w:val="auto"/>
          <w:highlight w:val="none"/>
        </w:rPr>
        <w:t xml:space="preserve">  </w:t>
      </w:r>
      <w:r>
        <w:rPr>
          <w:rFonts w:hint="eastAsia" w:ascii="宋体" w:hAnsi="宋体"/>
          <w:color w:val="auto"/>
          <w:highlight w:val="none"/>
        </w:rPr>
        <w:t>民工</w:t>
      </w:r>
      <w:r>
        <w:rPr>
          <w:rFonts w:ascii="宋体" w:hAnsi="宋体"/>
          <w:color w:val="auto"/>
          <w:highlight w:val="none"/>
        </w:rPr>
        <w:t>)</w:t>
      </w:r>
      <w:r>
        <w:rPr>
          <w:rFonts w:hint="eastAsia" w:ascii="宋体" w:hAnsi="宋体"/>
          <w:color w:val="auto"/>
          <w:highlight w:val="none"/>
        </w:rPr>
        <w:t>的安全生产管理系统必须做到纵向到底，一环不漏；各职能部门、人员的安全生产责任</w:t>
      </w:r>
      <w:r>
        <w:rPr>
          <w:rFonts w:ascii="宋体" w:hAnsi="宋体"/>
          <w:color w:val="auto"/>
          <w:highlight w:val="none"/>
        </w:rPr>
        <w:t xml:space="preserve">  </w:t>
      </w:r>
      <w:r>
        <w:rPr>
          <w:rFonts w:hint="eastAsia" w:ascii="宋体" w:hAnsi="宋体"/>
          <w:color w:val="auto"/>
          <w:highlight w:val="none"/>
        </w:rPr>
        <w:t>制做到横向到边，人人有责。项目经理是安全生产的第一责任人。现场设置的安全机构，应按施工人员的</w:t>
      </w:r>
      <w:r>
        <w:rPr>
          <w:rFonts w:ascii="宋体" w:hAnsi="宋体"/>
          <w:color w:val="auto"/>
          <w:highlight w:val="none"/>
        </w:rPr>
        <w:t>1</w:t>
      </w:r>
      <w:r>
        <w:rPr>
          <w:rFonts w:hint="eastAsia" w:ascii="宋体" w:hAnsi="宋体"/>
          <w:color w:val="auto"/>
          <w:highlight w:val="none"/>
        </w:rPr>
        <w:t>％一</w:t>
      </w:r>
      <w:r>
        <w:rPr>
          <w:rFonts w:ascii="宋体" w:hAnsi="宋体"/>
          <w:color w:val="auto"/>
          <w:highlight w:val="none"/>
        </w:rPr>
        <w:t>3</w:t>
      </w:r>
      <w:r>
        <w:rPr>
          <w:rFonts w:hint="eastAsia" w:ascii="宋体" w:hAnsi="宋体"/>
          <w:color w:val="auto"/>
          <w:highlight w:val="none"/>
        </w:rPr>
        <w:t>％配备安全员，专职负责所有员工的安全和治安保卫工作及预防事故的发生。安全机构人员，有权按有关规定发布指令，并采取保护性措施防止事故发生。</w:t>
      </w:r>
      <w:r>
        <w:rPr>
          <w:rFonts w:ascii="宋体" w:hAnsi="宋体"/>
          <w:color w:val="auto"/>
          <w:highlight w:val="none"/>
        </w:rPr>
        <w:t xml:space="preserve"> </w:t>
      </w:r>
    </w:p>
    <w:p>
      <w:pPr>
        <w:spacing w:line="336" w:lineRule="auto"/>
        <w:rPr>
          <w:rFonts w:ascii="宋体" w:hAnsi="宋体"/>
          <w:color w:val="auto"/>
          <w:highlight w:val="none"/>
        </w:rPr>
      </w:pPr>
      <w:r>
        <w:rPr>
          <w:rFonts w:ascii="宋体" w:hAnsi="宋体"/>
          <w:color w:val="auto"/>
          <w:highlight w:val="none"/>
        </w:rPr>
        <w:t xml:space="preserve">    4</w:t>
      </w:r>
      <w:r>
        <w:rPr>
          <w:rFonts w:hint="eastAsia" w:ascii="宋体" w:hAnsi="宋体"/>
          <w:color w:val="auto"/>
          <w:highlight w:val="none"/>
        </w:rPr>
        <w:t>．乙方在任何时候都应采取各种合理的预防措施，防止其员工发生任何违法、违禁、暴力或妨碍治安的行为。</w:t>
      </w:r>
      <w:r>
        <w:rPr>
          <w:rFonts w:ascii="宋体" w:hAnsi="宋体"/>
          <w:color w:val="auto"/>
          <w:highlight w:val="none"/>
        </w:rPr>
        <w:t xml:space="preserve">    </w:t>
      </w:r>
    </w:p>
    <w:p>
      <w:pPr>
        <w:spacing w:line="336" w:lineRule="auto"/>
        <w:ind w:firstLine="480"/>
        <w:rPr>
          <w:rFonts w:ascii="宋体" w:hAnsi="宋体"/>
          <w:color w:val="auto"/>
          <w:highlight w:val="none"/>
        </w:rPr>
      </w:pPr>
      <w:r>
        <w:rPr>
          <w:rFonts w:ascii="宋体" w:hAnsi="宋体"/>
          <w:color w:val="auto"/>
          <w:highlight w:val="none"/>
        </w:rPr>
        <w:t>5</w:t>
      </w:r>
      <w:r>
        <w:rPr>
          <w:rFonts w:hint="eastAsia" w:ascii="宋体" w:hAnsi="宋体"/>
          <w:color w:val="auto"/>
          <w:highlight w:val="none"/>
        </w:rPr>
        <w:t>．乙方必须真有劳动安全管理部门颁发的安全生产证书，参加施工的人员，必须接受安全技术教育，熟知和遵守本工种的各项安全技术操作规程，定期进行安全技术考核，合格者方准上岗操作。对于从事电气、起重、建筑登高架设作业、锅炉、压力容器、焊接、机动车船艇驾驶、爆破、潜水、瓦斯检验等特殊工种的人员，经过专业培训，获得《安全操作合格证》后，方准持证上岗。施工现场如出现特种作业无证操作现象时，项目经理必须承担管理责任。</w:t>
      </w:r>
    </w:p>
    <w:p>
      <w:pPr>
        <w:spacing w:line="336" w:lineRule="auto"/>
        <w:rPr>
          <w:rFonts w:ascii="宋体" w:hAnsi="宋体"/>
          <w:color w:val="auto"/>
          <w:highlight w:val="none"/>
        </w:rPr>
      </w:pPr>
      <w:r>
        <w:rPr>
          <w:rFonts w:ascii="宋体" w:hAnsi="宋体"/>
          <w:color w:val="auto"/>
          <w:highlight w:val="none"/>
        </w:rPr>
        <w:t xml:space="preserve">   6</w:t>
      </w:r>
      <w:r>
        <w:rPr>
          <w:rFonts w:hint="eastAsia" w:ascii="宋体" w:hAnsi="宋体"/>
          <w:color w:val="auto"/>
          <w:highlight w:val="none"/>
        </w:rPr>
        <w:t>．对于易燃、易爆的材料除应专门妥善保管之外。还应配备有足够的消防设施，所有施工人员都应熟悉消防设备的性能和使用方法；乙方不得将任何种类的爆炸物给予、易货或以其它方式转让给任何其它人，或允许、容忍上述同样行为。</w:t>
      </w:r>
    </w:p>
    <w:p>
      <w:pPr>
        <w:spacing w:line="336" w:lineRule="auto"/>
        <w:rPr>
          <w:rFonts w:ascii="宋体" w:hAnsi="宋体"/>
          <w:color w:val="auto"/>
          <w:highlight w:val="none"/>
        </w:rPr>
      </w:pPr>
      <w:r>
        <w:rPr>
          <w:rFonts w:ascii="宋体" w:hAnsi="宋体"/>
          <w:color w:val="auto"/>
          <w:highlight w:val="none"/>
        </w:rPr>
        <w:t xml:space="preserve">   7</w:t>
      </w:r>
      <w:r>
        <w:rPr>
          <w:rFonts w:hint="eastAsia" w:ascii="宋体" w:hAnsi="宋体"/>
          <w:color w:val="auto"/>
          <w:highlight w:val="none"/>
        </w:rPr>
        <w:t>．操作人员上岗，必须按规定穿戴防护用品。施工负责人和安全检查员应随时检查劳动防护用品的穿戴情况，不按规定穿戴防护用品的人员不得上岗。</w:t>
      </w:r>
    </w:p>
    <w:p>
      <w:pPr>
        <w:spacing w:line="336" w:lineRule="auto"/>
        <w:rPr>
          <w:rFonts w:ascii="宋体" w:hAnsi="宋体"/>
          <w:color w:val="auto"/>
          <w:highlight w:val="none"/>
        </w:rPr>
      </w:pPr>
      <w:r>
        <w:rPr>
          <w:rFonts w:ascii="宋体" w:hAnsi="宋体"/>
          <w:color w:val="auto"/>
          <w:highlight w:val="none"/>
        </w:rPr>
        <w:t xml:space="preserve">    8</w:t>
      </w:r>
      <w:r>
        <w:rPr>
          <w:rFonts w:hint="eastAsia" w:ascii="宋体" w:hAnsi="宋体"/>
          <w:color w:val="auto"/>
          <w:highlight w:val="none"/>
        </w:rPr>
        <w:t>．所有施工机具设备和高空作业的设备均应定期检查，并有安全员的签字记录，保证其经常处于完好状态；不合格的机具、设备和劳动保护用品严禁使用。</w:t>
      </w:r>
    </w:p>
    <w:p>
      <w:pPr>
        <w:spacing w:line="336" w:lineRule="auto"/>
        <w:rPr>
          <w:rFonts w:ascii="宋体" w:hAnsi="宋体"/>
          <w:color w:val="auto"/>
          <w:highlight w:val="none"/>
        </w:rPr>
      </w:pPr>
      <w:r>
        <w:rPr>
          <w:rFonts w:ascii="宋体" w:hAnsi="宋体"/>
          <w:color w:val="auto"/>
          <w:highlight w:val="none"/>
        </w:rPr>
        <w:t xml:space="preserve">    9</w:t>
      </w:r>
      <w:r>
        <w:rPr>
          <w:rFonts w:hint="eastAsia" w:ascii="宋体" w:hAnsi="宋体"/>
          <w:color w:val="auto"/>
          <w:highlight w:val="none"/>
        </w:rPr>
        <w:t>．施工中采用新技术、新工艺、新设备、新材料时，必须制定相应的安全技术措施，施工现场必须具有相关的安全标志牌。</w:t>
      </w:r>
    </w:p>
    <w:p>
      <w:pPr>
        <w:spacing w:line="336" w:lineRule="auto"/>
        <w:ind w:firstLine="480"/>
        <w:rPr>
          <w:rFonts w:ascii="宋体" w:hAnsi="宋体"/>
          <w:color w:val="auto"/>
          <w:highlight w:val="none"/>
        </w:rPr>
      </w:pPr>
      <w:r>
        <w:rPr>
          <w:rFonts w:ascii="宋体" w:hAnsi="宋体"/>
          <w:color w:val="auto"/>
          <w:highlight w:val="none"/>
        </w:rPr>
        <w:t>10</w:t>
      </w:r>
      <w:r>
        <w:rPr>
          <w:rFonts w:hint="eastAsia" w:ascii="宋体" w:hAnsi="宋体"/>
          <w:color w:val="auto"/>
          <w:highlight w:val="none"/>
        </w:rPr>
        <w:t>．乙方必须按照本工程项目特点，组织制定本工程实施中的生产安全事故应急救援预案；如果发生安全事故，应按照《国务院关于特大安全事故行政责任追究的规定》以及其它有关规定，及时上报有关部门．并坚持</w:t>
      </w:r>
      <w:r>
        <w:rPr>
          <w:rFonts w:ascii="宋体" w:hAnsi="宋体"/>
          <w:color w:val="auto"/>
          <w:highlight w:val="none"/>
        </w:rPr>
        <w:t>“</w:t>
      </w:r>
      <w:r>
        <w:rPr>
          <w:rFonts w:hint="eastAsia" w:ascii="宋体" w:hAnsi="宋体"/>
          <w:color w:val="auto"/>
          <w:highlight w:val="none"/>
        </w:rPr>
        <w:t>三不放过</w:t>
      </w:r>
      <w:r>
        <w:rPr>
          <w:rFonts w:ascii="宋体" w:hAnsi="宋体"/>
          <w:color w:val="auto"/>
          <w:highlight w:val="none"/>
        </w:rPr>
        <w:t>”</w:t>
      </w:r>
      <w:r>
        <w:rPr>
          <w:rFonts w:hint="eastAsia" w:ascii="宋体" w:hAnsi="宋体"/>
          <w:color w:val="auto"/>
          <w:highlight w:val="none"/>
        </w:rPr>
        <w:t>的原则，严肃处理相关责任人。</w:t>
      </w:r>
    </w:p>
    <w:p>
      <w:pPr>
        <w:spacing w:line="336" w:lineRule="auto"/>
        <w:ind w:firstLine="480"/>
        <w:rPr>
          <w:rFonts w:ascii="宋体" w:hAnsi="宋体"/>
          <w:color w:val="auto"/>
          <w:highlight w:val="none"/>
        </w:rPr>
      </w:pPr>
      <w:r>
        <w:rPr>
          <w:rFonts w:hint="eastAsia" w:ascii="宋体" w:hAnsi="宋体"/>
          <w:color w:val="auto"/>
          <w:highlight w:val="none"/>
        </w:rPr>
        <w:t>11.乙方必须在12小时内对施工拆除物进行处理，拆除物在施工地堆放时应有安全警示标志，且要采取必要的安全隔离措施。</w:t>
      </w:r>
    </w:p>
    <w:p>
      <w:pPr>
        <w:spacing w:line="336" w:lineRule="auto"/>
        <w:ind w:firstLine="480"/>
        <w:rPr>
          <w:rFonts w:ascii="宋体" w:hAnsi="宋体"/>
          <w:color w:val="auto"/>
          <w:highlight w:val="none"/>
        </w:rPr>
      </w:pPr>
      <w:r>
        <w:rPr>
          <w:rFonts w:ascii="宋体" w:hAnsi="宋体"/>
          <w:color w:val="auto"/>
          <w:highlight w:val="none"/>
        </w:rPr>
        <w:t>1</w:t>
      </w:r>
      <w:r>
        <w:rPr>
          <w:rFonts w:hint="eastAsia" w:ascii="宋体" w:hAnsi="宋体"/>
          <w:color w:val="auto"/>
          <w:highlight w:val="none"/>
        </w:rPr>
        <w:t>2.乙方所有派驻现场人员应穿戴本公司标识的服饰。</w:t>
      </w:r>
    </w:p>
    <w:p>
      <w:pPr>
        <w:spacing w:line="336" w:lineRule="auto"/>
        <w:rPr>
          <w:rFonts w:ascii="宋体" w:hAnsi="宋体"/>
          <w:color w:val="auto"/>
          <w:highlight w:val="none"/>
        </w:rPr>
      </w:pPr>
      <w:r>
        <w:rPr>
          <w:rFonts w:ascii="宋体" w:hAnsi="宋体"/>
          <w:color w:val="auto"/>
          <w:highlight w:val="none"/>
        </w:rPr>
        <w:t xml:space="preserve">    </w:t>
      </w:r>
      <w:r>
        <w:rPr>
          <w:rFonts w:hint="eastAsia" w:ascii="宋体" w:hAnsi="宋体"/>
          <w:color w:val="auto"/>
          <w:highlight w:val="none"/>
        </w:rPr>
        <w:t>三、违约责任</w:t>
      </w:r>
    </w:p>
    <w:p>
      <w:pPr>
        <w:spacing w:line="336" w:lineRule="auto"/>
        <w:rPr>
          <w:rFonts w:ascii="宋体" w:hAnsi="宋体"/>
          <w:color w:val="auto"/>
          <w:highlight w:val="none"/>
        </w:rPr>
      </w:pPr>
      <w:r>
        <w:rPr>
          <w:rFonts w:ascii="宋体" w:hAnsi="宋体"/>
          <w:color w:val="auto"/>
          <w:highlight w:val="none"/>
        </w:rPr>
        <w:t xml:space="preserve">    </w:t>
      </w:r>
      <w:r>
        <w:rPr>
          <w:rFonts w:hint="eastAsia" w:ascii="宋体" w:hAnsi="宋体"/>
          <w:color w:val="auto"/>
          <w:highlight w:val="none"/>
        </w:rPr>
        <w:t>如因甲方或乙方违约造成安全事故，将依法追究责任。</w:t>
      </w:r>
    </w:p>
    <w:p>
      <w:pPr>
        <w:spacing w:line="360" w:lineRule="auto"/>
        <w:ind w:firstLine="480" w:firstLineChars="200"/>
        <w:rPr>
          <w:rFonts w:ascii="宋体" w:hAnsi="宋体"/>
          <w:color w:val="auto"/>
          <w:szCs w:val="21"/>
          <w:highlight w:val="none"/>
        </w:rPr>
      </w:pPr>
      <w:r>
        <w:rPr>
          <w:rFonts w:hint="eastAsia" w:ascii="宋体" w:hAnsi="宋体"/>
          <w:color w:val="auto"/>
          <w:highlight w:val="none"/>
        </w:rPr>
        <w:t>本合同一式八份，其中正本二份．副本六份，合同双方各执正本一份，副本三份</w:t>
      </w:r>
      <w:r>
        <w:rPr>
          <w:rFonts w:hint="eastAsia" w:ascii="宋体" w:hAnsi="宋体"/>
          <w:color w:val="auto"/>
          <w:szCs w:val="21"/>
          <w:highlight w:val="none"/>
        </w:rPr>
        <w:t>,双方分送有关部门。</w:t>
      </w:r>
    </w:p>
    <w:p>
      <w:pPr>
        <w:spacing w:line="336" w:lineRule="auto"/>
        <w:rPr>
          <w:rFonts w:ascii="宋体" w:hAnsi="宋体"/>
          <w:color w:val="auto"/>
          <w:highlight w:val="none"/>
        </w:rPr>
      </w:pPr>
    </w:p>
    <w:p>
      <w:pPr>
        <w:spacing w:line="336" w:lineRule="auto"/>
        <w:rPr>
          <w:rFonts w:ascii="宋体" w:hAnsi="宋体"/>
          <w:color w:val="auto"/>
          <w:highlight w:val="none"/>
        </w:rPr>
      </w:pPr>
      <w:r>
        <w:rPr>
          <w:rFonts w:hint="eastAsia" w:ascii="宋体" w:hAnsi="宋体"/>
          <w:color w:val="auto"/>
          <w:highlight w:val="none"/>
        </w:rPr>
        <w:t>甲</w:t>
      </w:r>
      <w:r>
        <w:rPr>
          <w:rFonts w:ascii="宋体" w:hAnsi="宋体"/>
          <w:color w:val="auto"/>
          <w:highlight w:val="none"/>
        </w:rPr>
        <w:t xml:space="preserve">  </w:t>
      </w:r>
      <w:r>
        <w:rPr>
          <w:rFonts w:hint="eastAsia" w:ascii="宋体" w:hAnsi="宋体"/>
          <w:color w:val="auto"/>
          <w:highlight w:val="none"/>
        </w:rPr>
        <w:t>方：</w:t>
      </w:r>
      <w:r>
        <w:rPr>
          <w:rFonts w:ascii="宋体" w:hAnsi="宋体"/>
          <w:color w:val="auto"/>
          <w:highlight w:val="none"/>
          <w:u w:val="single"/>
        </w:rPr>
        <w:t xml:space="preserve">  </w:t>
      </w:r>
      <w:r>
        <w:rPr>
          <w:rFonts w:hint="eastAsia" w:ascii="宋体" w:hAnsi="宋体"/>
          <w:color w:val="auto"/>
          <w:highlight w:val="none"/>
          <w:u w:val="single"/>
        </w:rPr>
        <w:t>（单位全称）</w:t>
      </w:r>
      <w:r>
        <w:rPr>
          <w:rFonts w:ascii="宋体" w:hAnsi="宋体"/>
          <w:color w:val="auto"/>
          <w:highlight w:val="none"/>
          <w:u w:val="single"/>
        </w:rPr>
        <w:t xml:space="preserve"> </w:t>
      </w:r>
      <w:r>
        <w:rPr>
          <w:rFonts w:hint="eastAsia" w:ascii="宋体" w:hAnsi="宋体"/>
          <w:color w:val="auto"/>
          <w:highlight w:val="none"/>
          <w:u w:val="single"/>
        </w:rPr>
        <w:t>（盖章）</w:t>
      </w:r>
      <w:r>
        <w:rPr>
          <w:rFonts w:ascii="宋体" w:hAnsi="宋体"/>
          <w:color w:val="auto"/>
          <w:highlight w:val="none"/>
        </w:rPr>
        <w:t xml:space="preserve">   </w:t>
      </w:r>
      <w:r>
        <w:rPr>
          <w:rFonts w:hint="eastAsia" w:ascii="宋体" w:hAnsi="宋体"/>
          <w:color w:val="auto"/>
          <w:highlight w:val="none"/>
        </w:rPr>
        <w:t>乙</w:t>
      </w:r>
      <w:r>
        <w:rPr>
          <w:rFonts w:ascii="宋体" w:hAnsi="宋体"/>
          <w:color w:val="auto"/>
          <w:highlight w:val="none"/>
        </w:rPr>
        <w:t xml:space="preserve">  </w:t>
      </w:r>
      <w:r>
        <w:rPr>
          <w:rFonts w:hint="eastAsia" w:ascii="宋体" w:hAnsi="宋体"/>
          <w:color w:val="auto"/>
          <w:highlight w:val="none"/>
        </w:rPr>
        <w:t>方：</w:t>
      </w:r>
      <w:r>
        <w:rPr>
          <w:rFonts w:ascii="宋体" w:hAnsi="宋体"/>
          <w:color w:val="auto"/>
          <w:highlight w:val="none"/>
          <w:u w:val="single"/>
        </w:rPr>
        <w:t xml:space="preserve">  (</w:t>
      </w:r>
      <w:r>
        <w:rPr>
          <w:rFonts w:hint="eastAsia" w:ascii="宋体" w:hAnsi="宋体"/>
          <w:color w:val="auto"/>
          <w:highlight w:val="none"/>
          <w:u w:val="single"/>
        </w:rPr>
        <w:t>单位全称</w:t>
      </w:r>
      <w:r>
        <w:rPr>
          <w:rFonts w:ascii="宋体" w:hAnsi="宋体"/>
          <w:color w:val="auto"/>
          <w:highlight w:val="none"/>
          <w:u w:val="single"/>
        </w:rPr>
        <w:t>)   (</w:t>
      </w:r>
      <w:r>
        <w:rPr>
          <w:rFonts w:hint="eastAsia" w:ascii="宋体" w:hAnsi="宋体"/>
          <w:color w:val="auto"/>
          <w:highlight w:val="none"/>
          <w:u w:val="single"/>
        </w:rPr>
        <w:t>盖章</w:t>
      </w:r>
      <w:r>
        <w:rPr>
          <w:rFonts w:ascii="宋体" w:hAnsi="宋体"/>
          <w:color w:val="auto"/>
          <w:highlight w:val="none"/>
          <w:u w:val="single"/>
        </w:rPr>
        <w:t xml:space="preserve">)   </w:t>
      </w:r>
    </w:p>
    <w:p>
      <w:pPr>
        <w:spacing w:line="336" w:lineRule="auto"/>
        <w:rPr>
          <w:rFonts w:ascii="宋体" w:hAnsi="宋体"/>
          <w:color w:val="auto"/>
          <w:highlight w:val="none"/>
        </w:rPr>
      </w:pPr>
    </w:p>
    <w:p>
      <w:pPr>
        <w:spacing w:line="336" w:lineRule="auto"/>
        <w:rPr>
          <w:rFonts w:ascii="宋体" w:hAnsi="宋体"/>
          <w:color w:val="auto"/>
          <w:highlight w:val="none"/>
        </w:rPr>
      </w:pPr>
      <w:r>
        <w:rPr>
          <w:rFonts w:hint="eastAsia" w:ascii="宋体" w:hAnsi="宋体"/>
          <w:color w:val="auto"/>
          <w:highlight w:val="none"/>
        </w:rPr>
        <w:t>法定代表人或委托代理人：     （签字）</w:t>
      </w:r>
      <w:r>
        <w:rPr>
          <w:rFonts w:ascii="宋体" w:hAnsi="宋体"/>
          <w:color w:val="auto"/>
          <w:highlight w:val="none"/>
        </w:rPr>
        <w:t xml:space="preserve">    </w:t>
      </w:r>
      <w:r>
        <w:rPr>
          <w:rFonts w:hint="eastAsia" w:ascii="宋体" w:hAnsi="宋体"/>
          <w:color w:val="auto"/>
          <w:highlight w:val="none"/>
        </w:rPr>
        <w:t>法定代表人或委托代理人：     （签字）</w:t>
      </w:r>
    </w:p>
    <w:p>
      <w:pPr>
        <w:spacing w:line="336" w:lineRule="auto"/>
        <w:rPr>
          <w:rFonts w:ascii="宋体" w:hAnsi="宋体"/>
          <w:color w:val="auto"/>
          <w:highlight w:val="none"/>
        </w:rPr>
      </w:pPr>
    </w:p>
    <w:p>
      <w:pPr>
        <w:spacing w:line="336" w:lineRule="auto"/>
        <w:rPr>
          <w:rFonts w:ascii="宋体" w:hAnsi="宋体"/>
          <w:color w:val="auto"/>
          <w:highlight w:val="none"/>
        </w:rPr>
      </w:pPr>
      <w:r>
        <w:rPr>
          <w:rFonts w:hint="eastAsia" w:ascii="宋体" w:hAnsi="宋体"/>
          <w:color w:val="auto"/>
          <w:highlight w:val="none"/>
        </w:rPr>
        <w:t>地址：</w:t>
      </w:r>
      <w:r>
        <w:rPr>
          <w:rFonts w:ascii="宋体" w:hAnsi="宋体"/>
          <w:color w:val="auto"/>
          <w:highlight w:val="none"/>
        </w:rPr>
        <w:t xml:space="preserve">                                    </w:t>
      </w:r>
      <w:r>
        <w:rPr>
          <w:rFonts w:hint="eastAsia" w:ascii="宋体" w:hAnsi="宋体"/>
          <w:color w:val="auto"/>
          <w:highlight w:val="none"/>
        </w:rPr>
        <w:t>地址：</w:t>
      </w:r>
    </w:p>
    <w:p>
      <w:pPr>
        <w:spacing w:line="336" w:lineRule="auto"/>
        <w:rPr>
          <w:rFonts w:ascii="宋体" w:hAnsi="宋体"/>
          <w:color w:val="auto"/>
          <w:highlight w:val="none"/>
        </w:rPr>
      </w:pPr>
      <w:r>
        <w:rPr>
          <w:rFonts w:hint="eastAsia" w:ascii="宋体" w:hAnsi="宋体"/>
          <w:color w:val="auto"/>
          <w:highlight w:val="none"/>
        </w:rPr>
        <w:t>电话：</w:t>
      </w:r>
      <w:r>
        <w:rPr>
          <w:rFonts w:ascii="宋体" w:hAnsi="宋体"/>
          <w:color w:val="auto"/>
          <w:highlight w:val="none"/>
        </w:rPr>
        <w:t xml:space="preserve">                                    </w:t>
      </w:r>
      <w:r>
        <w:rPr>
          <w:rFonts w:hint="eastAsia" w:ascii="宋体" w:hAnsi="宋体"/>
          <w:color w:val="auto"/>
          <w:highlight w:val="none"/>
        </w:rPr>
        <w:t>电话：</w:t>
      </w:r>
    </w:p>
    <w:p>
      <w:pPr>
        <w:spacing w:line="336" w:lineRule="auto"/>
        <w:rPr>
          <w:rFonts w:ascii="宋体" w:hAnsi="宋体"/>
          <w:color w:val="auto"/>
          <w:highlight w:val="none"/>
        </w:rPr>
      </w:pPr>
      <w:r>
        <w:rPr>
          <w:rFonts w:hint="eastAsia" w:ascii="宋体" w:hAnsi="宋体"/>
          <w:color w:val="auto"/>
          <w:highlight w:val="none"/>
        </w:rPr>
        <w:t>日期：</w:t>
      </w:r>
      <w:r>
        <w:rPr>
          <w:rFonts w:ascii="宋体" w:hAnsi="宋体"/>
          <w:color w:val="auto"/>
          <w:highlight w:val="none"/>
        </w:rPr>
        <w:t xml:space="preserve">                                    </w:t>
      </w:r>
      <w:r>
        <w:rPr>
          <w:rFonts w:hint="eastAsia" w:ascii="宋体" w:hAnsi="宋体"/>
          <w:color w:val="auto"/>
          <w:highlight w:val="none"/>
        </w:rPr>
        <w:t>日期：</w:t>
      </w:r>
      <w:r>
        <w:rPr>
          <w:rFonts w:ascii="宋体" w:hAnsi="宋体"/>
          <w:color w:val="auto"/>
          <w:highlight w:val="none"/>
        </w:rPr>
        <w:t xml:space="preserve"> </w:t>
      </w:r>
    </w:p>
    <w:p>
      <w:pPr>
        <w:spacing w:line="360" w:lineRule="auto"/>
        <w:jc w:val="center"/>
        <w:rPr>
          <w:rFonts w:ascii="宋体" w:hAnsi="宋体" w:cs="宋体"/>
          <w:color w:val="auto"/>
          <w:sz w:val="32"/>
          <w:szCs w:val="32"/>
          <w:highlight w:val="none"/>
        </w:rPr>
      </w:pPr>
    </w:p>
    <w:bookmarkEnd w:id="268"/>
    <w:bookmarkEnd w:id="269"/>
    <w:bookmarkEnd w:id="270"/>
    <w:p>
      <w:pPr>
        <w:rPr>
          <w:color w:val="auto"/>
          <w:highlight w:val="none"/>
        </w:rPr>
      </w:pPr>
      <w:bookmarkStart w:id="279" w:name="_Toc45897714"/>
      <w:bookmarkStart w:id="280" w:name="_Toc41037911"/>
      <w:bookmarkStart w:id="281" w:name="_Toc72938472"/>
      <w:r>
        <w:rPr>
          <w:rFonts w:hint="eastAsia"/>
          <w:color w:val="auto"/>
          <w:highlight w:val="none"/>
        </w:rPr>
        <w:br w:type="page"/>
      </w:r>
    </w:p>
    <w:p>
      <w:pPr>
        <w:pStyle w:val="4"/>
        <w:numPr>
          <w:ilvl w:val="0"/>
          <w:numId w:val="1"/>
        </w:numPr>
        <w:spacing w:before="0" w:after="0"/>
        <w:ind w:left="0" w:firstLine="0"/>
        <w:rPr>
          <w:color w:val="auto"/>
          <w:highlight w:val="none"/>
        </w:rPr>
      </w:pPr>
      <w:bookmarkStart w:id="282" w:name="_Toc12875"/>
      <w:bookmarkStart w:id="283" w:name="_Toc23788"/>
      <w:r>
        <w:rPr>
          <w:rFonts w:hint="eastAsia"/>
          <w:color w:val="auto"/>
          <w:highlight w:val="none"/>
        </w:rPr>
        <w:t>工程量清单</w:t>
      </w:r>
      <w:bookmarkEnd w:id="279"/>
      <w:bookmarkEnd w:id="280"/>
      <w:r>
        <w:rPr>
          <w:rFonts w:hint="eastAsia"/>
          <w:color w:val="auto"/>
          <w:highlight w:val="none"/>
        </w:rPr>
        <w:t>和</w:t>
      </w:r>
      <w:bookmarkEnd w:id="281"/>
      <w:r>
        <w:rPr>
          <w:rFonts w:hint="eastAsia"/>
          <w:color w:val="auto"/>
          <w:highlight w:val="none"/>
        </w:rPr>
        <w:t>图纸</w:t>
      </w:r>
      <w:bookmarkEnd w:id="282"/>
      <w:bookmarkEnd w:id="283"/>
    </w:p>
    <w:p>
      <w:pPr>
        <w:rPr>
          <w:color w:val="auto"/>
          <w:highlight w:val="none"/>
        </w:rPr>
      </w:pPr>
    </w:p>
    <w:p>
      <w:pPr>
        <w:ind w:firstLine="560" w:firstLineChars="200"/>
        <w:rPr>
          <w:rFonts w:cs="宋体"/>
          <w:color w:val="auto"/>
          <w:sz w:val="28"/>
          <w:szCs w:val="28"/>
          <w:highlight w:val="none"/>
        </w:rPr>
      </w:pPr>
      <w:r>
        <w:rPr>
          <w:rFonts w:hint="eastAsia" w:cs="宋体"/>
          <w:color w:val="auto"/>
          <w:sz w:val="28"/>
          <w:szCs w:val="28"/>
          <w:highlight w:val="none"/>
        </w:rPr>
        <w:t>一、工程量清单另册，详见《社区公园康养中心打造项目 招标工程量清单》</w:t>
      </w:r>
    </w:p>
    <w:p>
      <w:pPr>
        <w:ind w:firstLine="560" w:firstLineChars="200"/>
        <w:rPr>
          <w:rFonts w:ascii="宋体" w:hAnsi="宋体"/>
          <w:color w:val="auto"/>
          <w:sz w:val="28"/>
          <w:szCs w:val="28"/>
          <w:highlight w:val="none"/>
        </w:rPr>
      </w:pPr>
      <w:r>
        <w:rPr>
          <w:rFonts w:hint="eastAsia" w:cs="宋体"/>
          <w:color w:val="auto"/>
          <w:sz w:val="28"/>
          <w:szCs w:val="28"/>
          <w:highlight w:val="none"/>
        </w:rPr>
        <w:t>二、图纸另册。</w:t>
      </w:r>
    </w:p>
    <w:p>
      <w:pPr>
        <w:rPr>
          <w:rFonts w:ascii="宋体" w:hAnsi="宋体"/>
          <w:color w:val="auto"/>
          <w:sz w:val="28"/>
          <w:szCs w:val="28"/>
          <w:highlight w:val="none"/>
        </w:rPr>
      </w:pPr>
    </w:p>
    <w:p>
      <w:pPr>
        <w:pStyle w:val="2"/>
        <w:rPr>
          <w:color w:val="auto"/>
          <w:highlight w:val="none"/>
        </w:rPr>
      </w:pPr>
    </w:p>
    <w:p>
      <w:pPr>
        <w:rPr>
          <w:color w:val="auto"/>
          <w:highlight w:val="none"/>
        </w:rPr>
      </w:pPr>
    </w:p>
    <w:p>
      <w:pPr>
        <w:pStyle w:val="2"/>
        <w:rPr>
          <w:color w:val="auto"/>
          <w:highlight w:val="none"/>
        </w:rPr>
      </w:pPr>
    </w:p>
    <w:p>
      <w:pPr>
        <w:rPr>
          <w:color w:val="auto"/>
          <w:highlight w:val="none"/>
        </w:rPr>
      </w:pPr>
    </w:p>
    <w:p>
      <w:pPr>
        <w:pStyle w:val="2"/>
        <w:rPr>
          <w:color w:val="auto"/>
          <w:highlight w:val="none"/>
        </w:rPr>
      </w:pPr>
    </w:p>
    <w:p>
      <w:pPr>
        <w:rPr>
          <w:color w:val="auto"/>
          <w:highlight w:val="none"/>
        </w:rPr>
      </w:pPr>
    </w:p>
    <w:p>
      <w:pPr>
        <w:pStyle w:val="2"/>
        <w:rPr>
          <w:color w:val="auto"/>
          <w:highlight w:val="none"/>
        </w:rPr>
      </w:pPr>
    </w:p>
    <w:p>
      <w:pPr>
        <w:rPr>
          <w:color w:val="auto"/>
          <w:highlight w:val="none"/>
        </w:rPr>
      </w:pPr>
    </w:p>
    <w:p>
      <w:pPr>
        <w:pStyle w:val="2"/>
        <w:rPr>
          <w:color w:val="auto"/>
          <w:highlight w:val="none"/>
        </w:rPr>
      </w:pPr>
    </w:p>
    <w:p>
      <w:pPr>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rPr>
          <w:color w:val="auto"/>
          <w:highlight w:val="none"/>
        </w:rPr>
      </w:pPr>
      <w:r>
        <w:rPr>
          <w:rFonts w:hint="eastAsia"/>
          <w:color w:val="auto"/>
          <w:highlight w:val="none"/>
        </w:rPr>
        <w:br w:type="page"/>
      </w:r>
    </w:p>
    <w:p>
      <w:pPr>
        <w:pStyle w:val="2"/>
        <w:rPr>
          <w:color w:val="auto"/>
          <w:highlight w:val="none"/>
        </w:rPr>
      </w:pPr>
      <w:r>
        <w:rPr>
          <w:rFonts w:hint="eastAsia"/>
          <w:color w:val="auto"/>
          <w:highlight w:val="none"/>
        </w:rPr>
        <w:t>附件</w:t>
      </w:r>
    </w:p>
    <w:bookmarkEnd w:id="120"/>
    <w:bookmarkEnd w:id="121"/>
    <w:bookmarkEnd w:id="122"/>
    <w:bookmarkEnd w:id="123"/>
    <w:p>
      <w:pPr>
        <w:rPr>
          <w:rFonts w:ascii="宋体" w:hAnsi="宋体" w:cs="宋体"/>
          <w:color w:val="auto"/>
          <w:highlight w:val="none"/>
        </w:rPr>
      </w:pPr>
      <w:r>
        <w:rPr>
          <w:rFonts w:hint="eastAsia" w:ascii="宋体" w:hAnsi="宋体" w:cs="宋体"/>
          <w:color w:val="auto"/>
          <w:highlight w:val="none"/>
        </w:rPr>
        <w:drawing>
          <wp:inline distT="0" distB="0" distL="114300" distR="114300">
            <wp:extent cx="5808345" cy="8207375"/>
            <wp:effectExtent l="0" t="0" r="1905" b="3175"/>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12"/>
                    <a:stretch>
                      <a:fillRect/>
                    </a:stretch>
                  </pic:blipFill>
                  <pic:spPr>
                    <a:xfrm>
                      <a:off x="0" y="0"/>
                      <a:ext cx="5808345" cy="8207375"/>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834380" cy="8244840"/>
            <wp:effectExtent l="0" t="0" r="13970" b="381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13"/>
                    <a:stretch>
                      <a:fillRect/>
                    </a:stretch>
                  </pic:blipFill>
                  <pic:spPr>
                    <a:xfrm>
                      <a:off x="0" y="0"/>
                      <a:ext cx="5834380" cy="8244840"/>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843270" cy="8259445"/>
            <wp:effectExtent l="0" t="0" r="5080" b="8255"/>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14"/>
                    <a:stretch>
                      <a:fillRect/>
                    </a:stretch>
                  </pic:blipFill>
                  <pic:spPr>
                    <a:xfrm>
                      <a:off x="0" y="0"/>
                      <a:ext cx="5843270" cy="8259445"/>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797550" cy="8192770"/>
            <wp:effectExtent l="0" t="0" r="12700" b="1778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15"/>
                    <a:stretch>
                      <a:fillRect/>
                    </a:stretch>
                  </pic:blipFill>
                  <pic:spPr>
                    <a:xfrm>
                      <a:off x="0" y="0"/>
                      <a:ext cx="5797550" cy="8192770"/>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748655" cy="8125460"/>
            <wp:effectExtent l="0" t="0" r="4445" b="889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16"/>
                    <a:stretch>
                      <a:fillRect/>
                    </a:stretch>
                  </pic:blipFill>
                  <pic:spPr>
                    <a:xfrm>
                      <a:off x="0" y="0"/>
                      <a:ext cx="5748655" cy="8125460"/>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786755" cy="8185150"/>
            <wp:effectExtent l="0" t="0" r="4445" b="6350"/>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17"/>
                    <a:stretch>
                      <a:fillRect/>
                    </a:stretch>
                  </pic:blipFill>
                  <pic:spPr>
                    <a:xfrm>
                      <a:off x="0" y="0"/>
                      <a:ext cx="5786755" cy="8185150"/>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801360" cy="8199755"/>
            <wp:effectExtent l="0" t="0" r="8890" b="10795"/>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18"/>
                    <a:stretch>
                      <a:fillRect/>
                    </a:stretch>
                  </pic:blipFill>
                  <pic:spPr>
                    <a:xfrm>
                      <a:off x="0" y="0"/>
                      <a:ext cx="5801360" cy="8199755"/>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869940" cy="8289290"/>
            <wp:effectExtent l="0" t="0" r="16510" b="16510"/>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19"/>
                    <a:stretch>
                      <a:fillRect/>
                    </a:stretch>
                  </pic:blipFill>
                  <pic:spPr>
                    <a:xfrm>
                      <a:off x="0" y="0"/>
                      <a:ext cx="5869940" cy="8289290"/>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866130" cy="8289290"/>
            <wp:effectExtent l="0" t="0" r="1270" b="16510"/>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20"/>
                    <a:stretch>
                      <a:fillRect/>
                    </a:stretch>
                  </pic:blipFill>
                  <pic:spPr>
                    <a:xfrm>
                      <a:off x="0" y="0"/>
                      <a:ext cx="5866130" cy="8289290"/>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808345" cy="8214995"/>
            <wp:effectExtent l="0" t="0" r="1905" b="14605"/>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21"/>
                    <a:stretch>
                      <a:fillRect/>
                    </a:stretch>
                  </pic:blipFill>
                  <pic:spPr>
                    <a:xfrm>
                      <a:off x="0" y="0"/>
                      <a:ext cx="5808345" cy="8214995"/>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866130" cy="8289290"/>
            <wp:effectExtent l="0" t="0" r="1270" b="16510"/>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22"/>
                    <a:stretch>
                      <a:fillRect/>
                    </a:stretch>
                  </pic:blipFill>
                  <pic:spPr>
                    <a:xfrm>
                      <a:off x="0" y="0"/>
                      <a:ext cx="5866130" cy="8289290"/>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859145" cy="8282305"/>
            <wp:effectExtent l="0" t="0" r="8255" b="4445"/>
            <wp:docPr id="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pic:cNvPicPr>
                      <a:picLocks noChangeAspect="1"/>
                    </pic:cNvPicPr>
                  </pic:nvPicPr>
                  <pic:blipFill>
                    <a:blip r:embed="rId23"/>
                    <a:stretch>
                      <a:fillRect/>
                    </a:stretch>
                  </pic:blipFill>
                  <pic:spPr>
                    <a:xfrm>
                      <a:off x="0" y="0"/>
                      <a:ext cx="5859145" cy="8282305"/>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855335" cy="8282305"/>
            <wp:effectExtent l="0" t="0" r="12065" b="4445"/>
            <wp:docPr id="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pic:cNvPicPr>
                      <a:picLocks noChangeAspect="1"/>
                    </pic:cNvPicPr>
                  </pic:nvPicPr>
                  <pic:blipFill>
                    <a:blip r:embed="rId24"/>
                    <a:stretch>
                      <a:fillRect/>
                    </a:stretch>
                  </pic:blipFill>
                  <pic:spPr>
                    <a:xfrm>
                      <a:off x="0" y="0"/>
                      <a:ext cx="5855335" cy="8282305"/>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866130" cy="8289290"/>
            <wp:effectExtent l="0" t="0" r="1270" b="16510"/>
            <wp:docPr id="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4"/>
                    <pic:cNvPicPr>
                      <a:picLocks noChangeAspect="1"/>
                    </pic:cNvPicPr>
                  </pic:nvPicPr>
                  <pic:blipFill>
                    <a:blip r:embed="rId25"/>
                    <a:stretch>
                      <a:fillRect/>
                    </a:stretch>
                  </pic:blipFill>
                  <pic:spPr>
                    <a:xfrm>
                      <a:off x="0" y="0"/>
                      <a:ext cx="5866130" cy="8289290"/>
                    </a:xfrm>
                    <a:prstGeom prst="rect">
                      <a:avLst/>
                    </a:prstGeom>
                    <a:noFill/>
                    <a:ln>
                      <a:noFill/>
                    </a:ln>
                  </pic:spPr>
                </pic:pic>
              </a:graphicData>
            </a:graphic>
          </wp:inline>
        </w:drawing>
      </w:r>
    </w:p>
    <w:p>
      <w:pPr>
        <w:rPr>
          <w:rFonts w:ascii="宋体" w:hAnsi="宋体" w:cs="宋体"/>
          <w:color w:val="auto"/>
          <w:highlight w:val="none"/>
        </w:rPr>
      </w:pPr>
    </w:p>
    <w:p>
      <w:pPr>
        <w:rPr>
          <w:rFonts w:ascii="宋体" w:hAnsi="宋体" w:cs="宋体"/>
          <w:color w:val="auto"/>
          <w:highlight w:val="none"/>
        </w:rPr>
      </w:pP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850255" cy="8267065"/>
            <wp:effectExtent l="0" t="0" r="17145" b="635"/>
            <wp:docPr id="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5"/>
                    <pic:cNvPicPr>
                      <a:picLocks noChangeAspect="1"/>
                    </pic:cNvPicPr>
                  </pic:nvPicPr>
                  <pic:blipFill>
                    <a:blip r:embed="rId26"/>
                    <a:stretch>
                      <a:fillRect/>
                    </a:stretch>
                  </pic:blipFill>
                  <pic:spPr>
                    <a:xfrm>
                      <a:off x="0" y="0"/>
                      <a:ext cx="5850255" cy="8267065"/>
                    </a:xfrm>
                    <a:prstGeom prst="rect">
                      <a:avLst/>
                    </a:prstGeom>
                    <a:noFill/>
                    <a:ln>
                      <a:noFill/>
                    </a:ln>
                  </pic:spPr>
                </pic:pic>
              </a:graphicData>
            </a:graphic>
          </wp:inline>
        </w:drawing>
      </w:r>
    </w:p>
    <w:p>
      <w:pPr>
        <w:rPr>
          <w:rFonts w:ascii="宋体" w:hAnsi="宋体" w:cs="宋体"/>
          <w:color w:val="auto"/>
          <w:highlight w:val="none"/>
        </w:rPr>
      </w:pPr>
      <w:r>
        <w:rPr>
          <w:rFonts w:hint="eastAsia" w:ascii="宋体" w:hAnsi="宋体" w:cs="宋体"/>
          <w:color w:val="auto"/>
          <w:highlight w:val="none"/>
        </w:rPr>
        <w:drawing>
          <wp:inline distT="0" distB="0" distL="114300" distR="114300">
            <wp:extent cx="5934710" cy="8380730"/>
            <wp:effectExtent l="0" t="0" r="8890" b="1270"/>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pic:cNvPicPr>
                      <a:picLocks noChangeAspect="1"/>
                    </pic:cNvPicPr>
                  </pic:nvPicPr>
                  <pic:blipFill>
                    <a:blip r:embed="rId27"/>
                    <a:stretch>
                      <a:fillRect/>
                    </a:stretch>
                  </pic:blipFill>
                  <pic:spPr>
                    <a:xfrm>
                      <a:off x="0" y="0"/>
                      <a:ext cx="5934710" cy="8380730"/>
                    </a:xfrm>
                    <a:prstGeom prst="rect">
                      <a:avLst/>
                    </a:prstGeom>
                    <a:noFill/>
                    <a:ln>
                      <a:noFill/>
                    </a:ln>
                  </pic:spPr>
                </pic:pic>
              </a:graphicData>
            </a:graphic>
          </wp:inline>
        </w:drawing>
      </w:r>
    </w:p>
    <w:p>
      <w:pPr>
        <w:rPr>
          <w:rFonts w:ascii="宋体" w:hAnsi="宋体" w:cs="宋体"/>
          <w:color w:val="auto"/>
          <w:highlight w:val="none"/>
        </w:rPr>
      </w:pPr>
    </w:p>
    <w:p>
      <w:pPr>
        <w:pStyle w:val="2"/>
        <w:rPr>
          <w:rFonts w:ascii="宋体" w:hAnsi="宋体" w:cs="宋体"/>
          <w:color w:val="auto"/>
          <w:highlight w:val="none"/>
        </w:rPr>
      </w:pPr>
      <w:r>
        <w:rPr>
          <w:rFonts w:hint="eastAsia" w:ascii="宋体" w:hAnsi="宋体" w:cs="宋体"/>
          <w:color w:val="auto"/>
          <w:highlight w:val="none"/>
        </w:rPr>
        <w:br w:type="page"/>
      </w:r>
      <w:r>
        <w:rPr>
          <w:rFonts w:hint="eastAsia" w:ascii="宋体" w:hAnsi="宋体" w:cs="宋体"/>
          <w:color w:val="auto"/>
          <w:highlight w:val="none"/>
        </w:rPr>
        <w:drawing>
          <wp:inline distT="0" distB="0" distL="114300" distR="114300">
            <wp:extent cx="5934710" cy="8380730"/>
            <wp:effectExtent l="0" t="0" r="8890" b="1270"/>
            <wp:docPr id="4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7"/>
                    <pic:cNvPicPr>
                      <a:picLocks noChangeAspect="1"/>
                    </pic:cNvPicPr>
                  </pic:nvPicPr>
                  <pic:blipFill>
                    <a:blip r:embed="rId28"/>
                    <a:stretch>
                      <a:fillRect/>
                    </a:stretch>
                  </pic:blipFill>
                  <pic:spPr>
                    <a:xfrm>
                      <a:off x="0" y="0"/>
                      <a:ext cx="5934710" cy="8380730"/>
                    </a:xfrm>
                    <a:prstGeom prst="rect">
                      <a:avLst/>
                    </a:prstGeom>
                    <a:noFill/>
                    <a:ln>
                      <a:noFill/>
                    </a:ln>
                  </pic:spPr>
                </pic:pic>
              </a:graphicData>
            </a:graphic>
          </wp:inline>
        </w:drawing>
      </w:r>
    </w:p>
    <w:p>
      <w:pPr>
        <w:pStyle w:val="2"/>
        <w:rPr>
          <w:rFonts w:ascii="宋体" w:hAnsi="宋体" w:cs="宋体"/>
          <w:color w:val="auto"/>
          <w:highlight w:val="none"/>
        </w:rPr>
      </w:pPr>
      <w:r>
        <w:rPr>
          <w:rFonts w:hint="eastAsia" w:ascii="宋体" w:hAnsi="宋体" w:cs="宋体"/>
          <w:color w:val="auto"/>
          <w:highlight w:val="none"/>
        </w:rPr>
        <w:br w:type="page"/>
      </w:r>
      <w:r>
        <w:rPr>
          <w:rFonts w:hint="eastAsia" w:ascii="宋体" w:hAnsi="宋体" w:cs="宋体"/>
          <w:color w:val="auto"/>
          <w:highlight w:val="none"/>
        </w:rPr>
        <w:drawing>
          <wp:inline distT="0" distB="0" distL="114300" distR="114300">
            <wp:extent cx="5934710" cy="8380730"/>
            <wp:effectExtent l="0" t="0" r="8890" b="1270"/>
            <wp:docPr id="4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8"/>
                    <pic:cNvPicPr>
                      <a:picLocks noChangeAspect="1"/>
                    </pic:cNvPicPr>
                  </pic:nvPicPr>
                  <pic:blipFill>
                    <a:blip r:embed="rId29"/>
                    <a:stretch>
                      <a:fillRect/>
                    </a:stretch>
                  </pic:blipFill>
                  <pic:spPr>
                    <a:xfrm>
                      <a:off x="0" y="0"/>
                      <a:ext cx="5934710" cy="8380730"/>
                    </a:xfrm>
                    <a:prstGeom prst="rect">
                      <a:avLst/>
                    </a:prstGeom>
                    <a:noFill/>
                    <a:ln>
                      <a:noFill/>
                    </a:ln>
                  </pic:spPr>
                </pic:pic>
              </a:graphicData>
            </a:graphic>
          </wp:inline>
        </w:drawing>
      </w:r>
    </w:p>
    <w:p>
      <w:pPr>
        <w:pStyle w:val="2"/>
        <w:rPr>
          <w:rFonts w:ascii="宋体" w:hAnsi="宋体" w:cs="宋体"/>
          <w:color w:val="auto"/>
          <w:highlight w:val="none"/>
        </w:rPr>
      </w:pPr>
      <w:r>
        <w:rPr>
          <w:rFonts w:hint="eastAsia" w:ascii="宋体" w:hAnsi="宋体" w:cs="宋体"/>
          <w:color w:val="auto"/>
          <w:highlight w:val="none"/>
        </w:rPr>
        <w:br w:type="page"/>
      </w:r>
      <w:r>
        <w:rPr>
          <w:rFonts w:hint="eastAsia" w:ascii="宋体" w:hAnsi="宋体" w:cs="宋体"/>
          <w:color w:val="auto"/>
          <w:highlight w:val="none"/>
        </w:rPr>
        <w:drawing>
          <wp:inline distT="0" distB="0" distL="114300" distR="114300">
            <wp:extent cx="5934710" cy="8380730"/>
            <wp:effectExtent l="0" t="0" r="8890" b="1270"/>
            <wp:docPr id="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9"/>
                    <pic:cNvPicPr>
                      <a:picLocks noChangeAspect="1"/>
                    </pic:cNvPicPr>
                  </pic:nvPicPr>
                  <pic:blipFill>
                    <a:blip r:embed="rId30"/>
                    <a:stretch>
                      <a:fillRect/>
                    </a:stretch>
                  </pic:blipFill>
                  <pic:spPr>
                    <a:xfrm>
                      <a:off x="0" y="0"/>
                      <a:ext cx="5934710" cy="8380730"/>
                    </a:xfrm>
                    <a:prstGeom prst="rect">
                      <a:avLst/>
                    </a:prstGeom>
                    <a:noFill/>
                    <a:ln>
                      <a:noFill/>
                    </a:ln>
                  </pic:spPr>
                </pic:pic>
              </a:graphicData>
            </a:graphic>
          </wp:inline>
        </w:drawing>
      </w:r>
    </w:p>
    <w:p>
      <w:pPr>
        <w:pStyle w:val="2"/>
        <w:rPr>
          <w:rFonts w:ascii="宋体" w:hAnsi="宋体" w:cs="宋体"/>
          <w:color w:val="auto"/>
          <w:highlight w:val="none"/>
        </w:rPr>
      </w:pPr>
      <w:r>
        <w:rPr>
          <w:rFonts w:hint="eastAsia" w:ascii="宋体" w:hAnsi="宋体" w:cs="宋体"/>
          <w:color w:val="auto"/>
          <w:highlight w:val="none"/>
        </w:rPr>
        <w:br w:type="page"/>
      </w:r>
      <w:r>
        <w:rPr>
          <w:rFonts w:hint="eastAsia" w:ascii="宋体" w:hAnsi="宋体" w:cs="宋体"/>
          <w:color w:val="auto"/>
          <w:highlight w:val="none"/>
        </w:rPr>
        <w:drawing>
          <wp:inline distT="0" distB="0" distL="114300" distR="114300">
            <wp:extent cx="5934710" cy="8380730"/>
            <wp:effectExtent l="0" t="0" r="8890" b="1270"/>
            <wp:docPr id="3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0"/>
                    <pic:cNvPicPr>
                      <a:picLocks noChangeAspect="1"/>
                    </pic:cNvPicPr>
                  </pic:nvPicPr>
                  <pic:blipFill>
                    <a:blip r:embed="rId31"/>
                    <a:stretch>
                      <a:fillRect/>
                    </a:stretch>
                  </pic:blipFill>
                  <pic:spPr>
                    <a:xfrm>
                      <a:off x="0" y="0"/>
                      <a:ext cx="5934710" cy="8380730"/>
                    </a:xfrm>
                    <a:prstGeom prst="rect">
                      <a:avLst/>
                    </a:prstGeom>
                    <a:noFill/>
                    <a:ln>
                      <a:noFill/>
                    </a:ln>
                  </pic:spPr>
                </pic:pic>
              </a:graphicData>
            </a:graphic>
          </wp:inline>
        </w:drawing>
      </w:r>
    </w:p>
    <w:p>
      <w:pPr>
        <w:pStyle w:val="2"/>
        <w:rPr>
          <w:rFonts w:ascii="宋体" w:hAnsi="宋体" w:cs="宋体"/>
          <w:color w:val="auto"/>
          <w:highlight w:val="none"/>
        </w:rPr>
      </w:pPr>
      <w:r>
        <w:rPr>
          <w:rFonts w:hint="eastAsia" w:ascii="宋体" w:hAnsi="宋体" w:cs="宋体"/>
          <w:color w:val="auto"/>
          <w:highlight w:val="none"/>
        </w:rPr>
        <w:br w:type="page"/>
      </w:r>
      <w:r>
        <w:rPr>
          <w:rFonts w:hint="eastAsia" w:ascii="宋体" w:hAnsi="宋体" w:cs="宋体"/>
          <w:color w:val="auto"/>
          <w:highlight w:val="none"/>
        </w:rPr>
        <w:drawing>
          <wp:inline distT="0" distB="0" distL="114300" distR="114300">
            <wp:extent cx="5845810" cy="8255000"/>
            <wp:effectExtent l="0" t="0" r="2540" b="12700"/>
            <wp:docPr id="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1"/>
                    <pic:cNvPicPr>
                      <a:picLocks noChangeAspect="1"/>
                    </pic:cNvPicPr>
                  </pic:nvPicPr>
                  <pic:blipFill>
                    <a:blip r:embed="rId32"/>
                    <a:stretch>
                      <a:fillRect/>
                    </a:stretch>
                  </pic:blipFill>
                  <pic:spPr>
                    <a:xfrm>
                      <a:off x="0" y="0"/>
                      <a:ext cx="5845810" cy="8255000"/>
                    </a:xfrm>
                    <a:prstGeom prst="rect">
                      <a:avLst/>
                    </a:prstGeom>
                    <a:noFill/>
                    <a:ln>
                      <a:noFill/>
                    </a:ln>
                  </pic:spPr>
                </pic:pic>
              </a:graphicData>
            </a:graphic>
          </wp:inline>
        </w:drawing>
      </w:r>
    </w:p>
    <w:p>
      <w:pPr>
        <w:pStyle w:val="2"/>
        <w:rPr>
          <w:rFonts w:ascii="宋体" w:hAnsi="宋体" w:cs="宋体"/>
          <w:color w:val="auto"/>
          <w:highlight w:val="none"/>
        </w:rPr>
      </w:pPr>
    </w:p>
    <w:p>
      <w:pPr>
        <w:rPr>
          <w:color w:val="auto"/>
          <w:highlight w:val="none"/>
        </w:rPr>
      </w:pPr>
    </w:p>
    <w:sectPr>
      <w:footerReference r:id="rId10" w:type="first"/>
      <w:headerReference r:id="rId7" w:type="default"/>
      <w:footerReference r:id="rId8" w:type="default"/>
      <w:footerReference r:id="rId9" w:type="even"/>
      <w:pgSz w:w="11906" w:h="16838"/>
      <w:pgMar w:top="1440" w:right="1274" w:bottom="1440" w:left="1418"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Narrow">
    <w:panose1 w:val="020B0606020202030204"/>
    <w:charset w:val="00"/>
    <w:family w:val="swiss"/>
    <w:pitch w:val="default"/>
    <w:sig w:usb0="00000287" w:usb1="00000800" w:usb2="00000000" w:usb3="00000000" w:csb0="2000009F" w:csb1="DFD7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Cambria">
    <w:panose1 w:val="02040503050406030204"/>
    <w:charset w:val="00"/>
    <w:family w:val="roman"/>
    <w:pitch w:val="default"/>
    <w:sig w:usb0="E00006FF" w:usb1="420024FF" w:usb2="02000000" w:usb3="00000000" w:csb0="2000019F" w:csb1="00000000"/>
  </w:font>
  <w:font w:name="Consolas">
    <w:panose1 w:val="020B0609020204030204"/>
    <w:charset w:val="00"/>
    <w:family w:val="modern"/>
    <w:pitch w:val="default"/>
    <w:sig w:usb0="E00006FF" w:usb1="0000FCFF" w:usb2="00000001" w:usb3="00000000" w:csb0="6000019F" w:csb1="DFD70000"/>
  </w:font>
  <w:font w:name="ˎ̥">
    <w:altName w:val="Segoe Print"/>
    <w:panose1 w:val="00000000000000000000"/>
    <w:charset w:val="00"/>
    <w:family w:val="roman"/>
    <w:pitch w:val="default"/>
    <w:sig w:usb0="00000000" w:usb1="00000000" w:usb2="00000000" w:usb3="00000000" w:csb0="00000000"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Verdana">
    <w:panose1 w:val="020B0604030504040204"/>
    <w:charset w:val="00"/>
    <w:family w:val="swiss"/>
    <w:pitch w:val="default"/>
    <w:sig w:usb0="A00006FF" w:usb1="4000205B" w:usb2="00000010" w:usb3="00000000" w:csb0="2000019F" w:csb1="00000000"/>
  </w:font>
  <w:font w:name="楷体à.ā">
    <w:altName w:val="宋体"/>
    <w:panose1 w:val="00000000000000000000"/>
    <w:charset w:val="86"/>
    <w:family w:val="modern"/>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Times New (W1)">
    <w:altName w:val="Segoe Print"/>
    <w:panose1 w:val="00000000000000000000"/>
    <w:charset w:val="00"/>
    <w:family w:val="roman"/>
    <w:pitch w:val="default"/>
    <w:sig w:usb0="00000000" w:usb1="00000000" w:usb2="00000000" w:usb3="00000000" w:csb0="00000000" w:csb1="00000000"/>
  </w:font>
  <w:font w:name="方正仿宋">
    <w:altName w:val="仿宋"/>
    <w:panose1 w:val="03000509000000000000"/>
    <w:charset w:val="86"/>
    <w:family w:val="script"/>
    <w:pitch w:val="default"/>
    <w:sig w:usb0="00000000" w:usb1="00000000" w:usb2="00000000" w:usb3="00000000" w:csb0="00040000" w:csb1="00000000"/>
  </w:font>
  <w:font w:name="隶书">
    <w:panose1 w:val="02010509060101010101"/>
    <w:charset w:val="86"/>
    <w:family w:val="modern"/>
    <w:pitch w:val="default"/>
    <w:sig w:usb0="00000001" w:usb1="080E0000" w:usb2="00000000" w:usb3="00000000" w:csb0="00040000" w:csb1="00000000"/>
  </w:font>
  <w:font w:name="Microsoft YaHei UI">
    <w:panose1 w:val="020B0503020204020204"/>
    <w:charset w:val="86"/>
    <w:family w:val="swiss"/>
    <w:pitch w:val="default"/>
    <w:sig w:usb0="80000287" w:usb1="2ACF3C50" w:usb2="00000016" w:usb3="00000000" w:csb0="0004001F" w:csb1="00000000"/>
  </w:font>
  <w:font w:name="Arial (W1)">
    <w:altName w:val="Arial"/>
    <w:panose1 w:val="00000000000000000000"/>
    <w:charset w:val="00"/>
    <w:family w:val="swiss"/>
    <w:pitch w:val="default"/>
    <w:sig w:usb0="00000000" w:usb1="00000000" w:usb2="00000008" w:usb3="00000000" w:csb0="000001FF" w:csb1="00000000"/>
  </w:font>
  <w:font w:name="等线">
    <w:panose1 w:val="02010600030101010101"/>
    <w:charset w:val="86"/>
    <w:family w:val="auto"/>
    <w:pitch w:val="default"/>
    <w:sig w:usb0="A00002BF" w:usb1="38CF7CFA" w:usb2="00000016" w:usb3="00000000" w:csb0="0004000F" w:csb1="00000000"/>
  </w:font>
  <w:font w:name="华文中宋">
    <w:panose1 w:val="02010600040101010101"/>
    <w:charset w:val="86"/>
    <w:family w:val="auto"/>
    <w:pitch w:val="default"/>
    <w:sig w:usb0="00000287" w:usb1="080F0000" w:usb2="00000000" w:usb3="00000000" w:csb0="0004009F" w:csb1="DFD70000"/>
  </w:font>
  <w:font w:name="Helvetica">
    <w:altName w:val="Arial"/>
    <w:panose1 w:val="020B0604020202020204"/>
    <w:charset w:val="00"/>
    <w:family w:val="swiss"/>
    <w:pitch w:val="default"/>
    <w:sig w:usb0="00000000" w:usb1="00000000" w:usb2="00000000" w:usb3="00000000" w:csb0="00000093"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方正大黑简体">
    <w:altName w:val="黑体"/>
    <w:panose1 w:val="02010601030101010101"/>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center" w:y="1"/>
      <w:rPr>
        <w:rStyle w:val="50"/>
      </w:rPr>
    </w:pPr>
    <w:r>
      <w:fldChar w:fldCharType="begin"/>
    </w:r>
    <w:r>
      <w:rPr>
        <w:rStyle w:val="50"/>
      </w:rPr>
      <w:instrText xml:space="preserve">PAGE  </w:instrText>
    </w:r>
    <w:r>
      <w:fldChar w:fldCharType="separate"/>
    </w:r>
    <w:r>
      <w:rPr>
        <w:rStyle w:val="50"/>
      </w:rPr>
      <w:t>2</w:t>
    </w:r>
    <w:r>
      <w:fldChar w:fldCharType="end"/>
    </w:r>
  </w:p>
  <w:p>
    <w:pPr>
      <w:pStyle w:val="3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center" w:y="1"/>
      <w:rPr>
        <w:rStyle w:val="50"/>
      </w:rPr>
    </w:pPr>
    <w:r>
      <w:fldChar w:fldCharType="begin"/>
    </w:r>
    <w:r>
      <w:rPr>
        <w:rStyle w:val="50"/>
      </w:rPr>
      <w:instrText xml:space="preserve">PAGE  </w:instrText>
    </w:r>
    <w:r>
      <w:fldChar w:fldCharType="end"/>
    </w:r>
  </w:p>
  <w:p>
    <w:pPr>
      <w:pStyle w:val="3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52421924"/>
    </w:sdtPr>
    <w:sdtContent>
      <w:p>
        <w:pPr>
          <w:pStyle w:val="30"/>
          <w:jc w:val="center"/>
        </w:pPr>
        <w:r>
          <w:fldChar w:fldCharType="begin"/>
        </w:r>
        <w:r>
          <w:instrText xml:space="preserve">PAGE   \* MERGEFORMAT</w:instrText>
        </w:r>
        <w:r>
          <w:fldChar w:fldCharType="separate"/>
        </w:r>
        <w:r>
          <w:rPr>
            <w:lang w:val="zh-CN"/>
          </w:rPr>
          <w:t>1</w:t>
        </w:r>
        <w:r>
          <w:fldChar w:fldCharType="end"/>
        </w:r>
      </w:p>
    </w:sdtContent>
  </w:sdt>
  <w:p>
    <w:pPr>
      <w:pStyle w:val="3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center" w:y="1"/>
      <w:rPr>
        <w:rStyle w:val="50"/>
      </w:rPr>
    </w:pPr>
    <w:r>
      <w:fldChar w:fldCharType="begin"/>
    </w:r>
    <w:r>
      <w:rPr>
        <w:rStyle w:val="50"/>
      </w:rPr>
      <w:instrText xml:space="preserve">PAGE  </w:instrText>
    </w:r>
    <w:r>
      <w:fldChar w:fldCharType="separate"/>
    </w:r>
    <w:r>
      <w:rPr>
        <w:rStyle w:val="50"/>
      </w:rPr>
      <w:t>92</w:t>
    </w:r>
    <w:r>
      <w:fldChar w:fldCharType="end"/>
    </w:r>
  </w:p>
  <w:p>
    <w:pPr>
      <w:pStyle w:val="3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center" w:y="1"/>
      <w:rPr>
        <w:rStyle w:val="50"/>
      </w:rPr>
    </w:pPr>
    <w:r>
      <w:fldChar w:fldCharType="begin"/>
    </w:r>
    <w:r>
      <w:rPr>
        <w:rStyle w:val="50"/>
      </w:rPr>
      <w:instrText xml:space="preserve">PAGE  </w:instrText>
    </w:r>
    <w:r>
      <w:fldChar w:fldCharType="end"/>
    </w:r>
  </w:p>
  <w:p>
    <w:pPr>
      <w:pStyle w:val="3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jc w:val="center"/>
    </w:pPr>
    <w:r>
      <w:fldChar w:fldCharType="begin"/>
    </w:r>
    <w:r>
      <w:instrText xml:space="preserve"> PAGE   \* MERGEFORMAT </w:instrText>
    </w:r>
    <w:r>
      <w:fldChar w:fldCharType="separate"/>
    </w:r>
    <w:r>
      <w:rPr>
        <w:lang w:val="zh-CN"/>
      </w:rPr>
      <w:t>7</w:t>
    </w:r>
    <w:r>
      <w:rPr>
        <w:lang w:val="zh-CN"/>
      </w:rPr>
      <w:fldChar w:fldCharType="end"/>
    </w:r>
  </w:p>
  <w:p>
    <w:pPr>
      <w:pStyle w:val="3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2"/>
    <w:multiLevelType w:val="multilevel"/>
    <w:tmpl w:val="00000012"/>
    <w:lvl w:ilvl="0" w:tentative="0">
      <w:start w:val="1"/>
      <w:numFmt w:val="chineseCountingThousand"/>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
    <w:nsid w:val="00000013"/>
    <w:multiLevelType w:val="multilevel"/>
    <w:tmpl w:val="00000013"/>
    <w:lvl w:ilvl="0" w:tentative="0">
      <w:start w:val="1"/>
      <w:numFmt w:val="chineseCountingThousand"/>
      <w:lvlText w:val="%1、"/>
      <w:lvlJc w:val="left"/>
      <w:pPr>
        <w:ind w:left="420" w:hanging="420"/>
      </w:pPr>
      <w:rPr>
        <w:sz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0000015"/>
    <w:multiLevelType w:val="multilevel"/>
    <w:tmpl w:val="00000015"/>
    <w:lvl w:ilvl="0" w:tentative="0">
      <w:start w:val="1"/>
      <w:numFmt w:val="chineseCountingThousand"/>
      <w:lvlText w:val="%1、"/>
      <w:lvlJc w:val="left"/>
      <w:pPr>
        <w:ind w:left="1271"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17"/>
    <w:multiLevelType w:val="multilevel"/>
    <w:tmpl w:val="00000017"/>
    <w:lvl w:ilvl="0" w:tentative="0">
      <w:start w:val="1"/>
      <w:numFmt w:val="chineseCountingThousand"/>
      <w:lvlText w:val="%1、"/>
      <w:lvlJc w:val="left"/>
      <w:pPr>
        <w:ind w:left="846" w:hanging="4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
    <w:nsid w:val="00000024"/>
    <w:multiLevelType w:val="multilevel"/>
    <w:tmpl w:val="00000024"/>
    <w:lvl w:ilvl="0" w:tentative="0">
      <w:start w:val="1"/>
      <w:numFmt w:val="decimal"/>
      <w:lvlText w:val="%1."/>
      <w:lvlJc w:val="left"/>
      <w:pPr>
        <w:ind w:left="958" w:hanging="420"/>
      </w:pPr>
      <w:rPr>
        <w:rFonts w:hint="eastAsia"/>
      </w:rPr>
    </w:lvl>
    <w:lvl w:ilvl="1" w:tentative="0">
      <w:start w:val="1"/>
      <w:numFmt w:val="chineseCountingThousand"/>
      <w:lvlText w:val="%2、"/>
      <w:lvlJc w:val="left"/>
      <w:pPr>
        <w:ind w:left="420" w:hanging="420"/>
      </w:pPr>
      <w:rPr>
        <w:rFonts w:hint="eastAsia"/>
      </w:r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5">
    <w:nsid w:val="00000025"/>
    <w:multiLevelType w:val="multilevel"/>
    <w:tmpl w:val="00000025"/>
    <w:lvl w:ilvl="0" w:tentative="0">
      <w:start w:val="1"/>
      <w:numFmt w:val="chineseCountingThousand"/>
      <w:lvlText w:val="%1、"/>
      <w:lvlJc w:val="left"/>
      <w:pPr>
        <w:ind w:left="2689" w:hanging="420"/>
      </w:pPr>
      <w:rPr>
        <w:b w:val="0"/>
        <w:sz w:val="28"/>
        <w:szCs w:val="28"/>
      </w:rPr>
    </w:lvl>
    <w:lvl w:ilvl="1" w:tentative="0">
      <w:start w:val="1"/>
      <w:numFmt w:val="lowerLetter"/>
      <w:lvlText w:val="%2)"/>
      <w:lvlJc w:val="left"/>
      <w:pPr>
        <w:ind w:left="1563" w:hanging="420"/>
      </w:pPr>
    </w:lvl>
    <w:lvl w:ilvl="2" w:tentative="0">
      <w:start w:val="1"/>
      <w:numFmt w:val="lowerRoman"/>
      <w:lvlText w:val="%3."/>
      <w:lvlJc w:val="right"/>
      <w:pPr>
        <w:ind w:left="1983" w:hanging="420"/>
      </w:pPr>
    </w:lvl>
    <w:lvl w:ilvl="3" w:tentative="0">
      <w:start w:val="1"/>
      <w:numFmt w:val="decimal"/>
      <w:lvlText w:val="%4."/>
      <w:lvlJc w:val="left"/>
      <w:pPr>
        <w:ind w:left="2403" w:hanging="420"/>
      </w:pPr>
    </w:lvl>
    <w:lvl w:ilvl="4" w:tentative="0">
      <w:start w:val="1"/>
      <w:numFmt w:val="lowerLetter"/>
      <w:lvlText w:val="%5)"/>
      <w:lvlJc w:val="left"/>
      <w:pPr>
        <w:ind w:left="2823" w:hanging="420"/>
      </w:pPr>
    </w:lvl>
    <w:lvl w:ilvl="5" w:tentative="0">
      <w:start w:val="1"/>
      <w:numFmt w:val="lowerRoman"/>
      <w:lvlText w:val="%6."/>
      <w:lvlJc w:val="right"/>
      <w:pPr>
        <w:ind w:left="3243" w:hanging="420"/>
      </w:pPr>
    </w:lvl>
    <w:lvl w:ilvl="6" w:tentative="0">
      <w:start w:val="1"/>
      <w:numFmt w:val="decimal"/>
      <w:lvlText w:val="%7."/>
      <w:lvlJc w:val="left"/>
      <w:pPr>
        <w:ind w:left="3663" w:hanging="420"/>
      </w:pPr>
    </w:lvl>
    <w:lvl w:ilvl="7" w:tentative="0">
      <w:start w:val="1"/>
      <w:numFmt w:val="lowerLetter"/>
      <w:lvlText w:val="%8)"/>
      <w:lvlJc w:val="left"/>
      <w:pPr>
        <w:ind w:left="4083" w:hanging="420"/>
      </w:pPr>
    </w:lvl>
    <w:lvl w:ilvl="8" w:tentative="0">
      <w:start w:val="1"/>
      <w:numFmt w:val="lowerRoman"/>
      <w:lvlText w:val="%9."/>
      <w:lvlJc w:val="right"/>
      <w:pPr>
        <w:ind w:left="4503" w:hanging="420"/>
      </w:pPr>
    </w:lvl>
  </w:abstractNum>
  <w:abstractNum w:abstractNumId="6">
    <w:nsid w:val="00000029"/>
    <w:multiLevelType w:val="multilevel"/>
    <w:tmpl w:val="00000029"/>
    <w:lvl w:ilvl="0" w:tentative="0">
      <w:start w:val="1"/>
      <w:numFmt w:val="decimal"/>
      <w:lvlText w:val="%1."/>
      <w:lvlJc w:val="left"/>
      <w:pPr>
        <w:ind w:left="420" w:hanging="420"/>
      </w:pPr>
      <w:rPr>
        <w:sz w:val="24"/>
        <w:szCs w:val="24"/>
      </w:rPr>
    </w:lvl>
    <w:lvl w:ilvl="1" w:tentative="0">
      <w:start w:val="1"/>
      <w:numFmt w:val="decimal"/>
      <w:lvlText w:val="%2、"/>
      <w:lvlJc w:val="left"/>
      <w:pPr>
        <w:ind w:left="360" w:hanging="360"/>
      </w:pPr>
      <w:rPr>
        <w:rFonts w:ascii="Times New Roman" w:hAnsi="Times New Roman" w:eastAsia="Times New Roman" w:cs="Times New Roman"/>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0000002E"/>
    <w:multiLevelType w:val="multilevel"/>
    <w:tmpl w:val="0000002E"/>
    <w:lvl w:ilvl="0" w:tentative="0">
      <w:start w:val="1"/>
      <w:numFmt w:val="decimal"/>
      <w:lvlText w:val="第%1章"/>
      <w:lvlJc w:val="left"/>
      <w:pPr>
        <w:ind w:left="283" w:hanging="425"/>
      </w:pPr>
      <w:rPr>
        <w:rFonts w:hint="default" w:ascii="Times New Roman" w:hAnsi="Times New Roman" w:eastAsia="宋体"/>
        <w:b/>
        <w:i w:val="0"/>
        <w:sz w:val="32"/>
        <w:szCs w:val="32"/>
      </w:rPr>
    </w:lvl>
    <w:lvl w:ilvl="1" w:tentative="0">
      <w:start w:val="1"/>
      <w:numFmt w:val="decimal"/>
      <w:pStyle w:val="5"/>
      <w:suff w:val="nothing"/>
      <w:lvlText w:val="%1.%2"/>
      <w:lvlJc w:val="left"/>
      <w:pPr>
        <w:ind w:left="567" w:hanging="567"/>
      </w:pPr>
      <w:rPr>
        <w:rFonts w:hint="default" w:ascii="Times New Roman" w:hAnsi="Times New Roman" w:eastAsia="宋体" w:cs="Times New Roman"/>
        <w:b/>
        <w:i w:val="0"/>
        <w:color w:val="auto"/>
        <w:sz w:val="28"/>
        <w:szCs w:val="28"/>
      </w:rPr>
    </w:lvl>
    <w:lvl w:ilvl="2" w:tentative="0">
      <w:start w:val="1"/>
      <w:numFmt w:val="decimal"/>
      <w:pStyle w:val="6"/>
      <w:suff w:val="space"/>
      <w:lvlText w:val="%1.%2.%3"/>
      <w:lvlJc w:val="left"/>
      <w:pPr>
        <w:ind w:left="567" w:hanging="567"/>
      </w:pPr>
      <w:rPr>
        <w:rFonts w:hint="default" w:ascii="Times New Roman" w:hAnsi="Times New Roman" w:eastAsia="宋体" w:cs="Times New Roman"/>
        <w:b/>
        <w:i w:val="0"/>
        <w:sz w:val="28"/>
      </w:rPr>
    </w:lvl>
    <w:lvl w:ilvl="3" w:tentative="0">
      <w:start w:val="1"/>
      <w:numFmt w:val="decimal"/>
      <w:suff w:val="nothing"/>
      <w:lvlText w:val="%1.%2.%3.%4"/>
      <w:lvlJc w:val="left"/>
      <w:pPr>
        <w:ind w:left="708" w:hanging="708"/>
      </w:pPr>
      <w:rPr>
        <w:rFonts w:hint="default" w:ascii="Times New Roman" w:hAnsi="Times New Roman" w:eastAsia="宋体" w:cs="Times New Roman"/>
        <w:b/>
        <w:i w:val="0"/>
        <w:strike w:val="0"/>
        <w:sz w:val="28"/>
      </w:rPr>
    </w:lvl>
    <w:lvl w:ilvl="4" w:tentative="0">
      <w:start w:val="1"/>
      <w:numFmt w:val="decimal"/>
      <w:lvlText w:val="%1.%2.%3.%4.%5"/>
      <w:lvlJc w:val="left"/>
      <w:pPr>
        <w:ind w:left="2409" w:hanging="850"/>
      </w:pPr>
      <w:rPr>
        <w:rFonts w:hint="default" w:ascii="Times New Roman" w:hAnsi="Times New Roman" w:cs="Times New Roman"/>
      </w:rPr>
    </w:lvl>
    <w:lvl w:ilvl="5" w:tentative="0">
      <w:start w:val="1"/>
      <w:numFmt w:val="decimal"/>
      <w:lvlText w:val="%1.%2.%3.%4.%5.%6"/>
      <w:lvlJc w:val="left"/>
      <w:pPr>
        <w:ind w:left="3118" w:hanging="1134"/>
      </w:pPr>
      <w:rPr>
        <w:rFonts w:hint="eastAsia"/>
      </w:rPr>
    </w:lvl>
    <w:lvl w:ilvl="6" w:tentative="0">
      <w:start w:val="1"/>
      <w:numFmt w:val="decimal"/>
      <w:lvlText w:val="%1.%2.%3.%4.%5.%6.%7"/>
      <w:lvlJc w:val="left"/>
      <w:pPr>
        <w:ind w:left="3685" w:hanging="1276"/>
      </w:pPr>
      <w:rPr>
        <w:rFonts w:hint="eastAsia"/>
      </w:rPr>
    </w:lvl>
    <w:lvl w:ilvl="7" w:tentative="0">
      <w:start w:val="1"/>
      <w:numFmt w:val="decimal"/>
      <w:lvlText w:val="%1.%2.%3.%4.%5.%6.%7.%8"/>
      <w:lvlJc w:val="left"/>
      <w:pPr>
        <w:ind w:left="4252" w:hanging="1418"/>
      </w:pPr>
      <w:rPr>
        <w:rFonts w:hint="eastAsia"/>
      </w:rPr>
    </w:lvl>
    <w:lvl w:ilvl="8" w:tentative="0">
      <w:start w:val="1"/>
      <w:numFmt w:val="decimal"/>
      <w:lvlText w:val="%1.%2.%3.%4.%5.%6.%7.%8.%9"/>
      <w:lvlJc w:val="left"/>
      <w:pPr>
        <w:ind w:left="4960" w:hanging="1700"/>
      </w:pPr>
      <w:rPr>
        <w:rFonts w:hint="eastAsia"/>
      </w:rPr>
    </w:lvl>
  </w:abstractNum>
  <w:abstractNum w:abstractNumId="8">
    <w:nsid w:val="00000031"/>
    <w:multiLevelType w:val="multilevel"/>
    <w:tmpl w:val="00000031"/>
    <w:lvl w:ilvl="0" w:tentative="0">
      <w:start w:val="1"/>
      <w:numFmt w:val="chineseCountingThousand"/>
      <w:lvlText w:val="%1、"/>
      <w:lvlJc w:val="left"/>
      <w:pPr>
        <w:ind w:left="3114" w:hanging="420"/>
      </w:pPr>
      <w:rPr>
        <w:rFonts w:hint="eastAsia"/>
        <w:sz w:val="28"/>
      </w:rPr>
    </w:lvl>
    <w:lvl w:ilvl="1" w:tentative="0">
      <w:start w:val="1"/>
      <w:numFmt w:val="lowerLetter"/>
      <w:lvlText w:val="%2)"/>
      <w:lvlJc w:val="left"/>
      <w:pPr>
        <w:ind w:left="3548" w:hanging="420"/>
      </w:pPr>
    </w:lvl>
    <w:lvl w:ilvl="2" w:tentative="0">
      <w:start w:val="1"/>
      <w:numFmt w:val="lowerRoman"/>
      <w:lvlText w:val="%3."/>
      <w:lvlJc w:val="right"/>
      <w:pPr>
        <w:ind w:left="3968" w:hanging="420"/>
      </w:pPr>
    </w:lvl>
    <w:lvl w:ilvl="3" w:tentative="0">
      <w:start w:val="1"/>
      <w:numFmt w:val="decimal"/>
      <w:lvlText w:val="%4."/>
      <w:lvlJc w:val="left"/>
      <w:pPr>
        <w:ind w:left="4388" w:hanging="420"/>
      </w:pPr>
    </w:lvl>
    <w:lvl w:ilvl="4" w:tentative="0">
      <w:start w:val="1"/>
      <w:numFmt w:val="lowerLetter"/>
      <w:lvlText w:val="%5)"/>
      <w:lvlJc w:val="left"/>
      <w:pPr>
        <w:ind w:left="4808" w:hanging="420"/>
      </w:pPr>
    </w:lvl>
    <w:lvl w:ilvl="5" w:tentative="0">
      <w:start w:val="1"/>
      <w:numFmt w:val="lowerRoman"/>
      <w:lvlText w:val="%6."/>
      <w:lvlJc w:val="right"/>
      <w:pPr>
        <w:ind w:left="5228" w:hanging="420"/>
      </w:pPr>
    </w:lvl>
    <w:lvl w:ilvl="6" w:tentative="0">
      <w:start w:val="1"/>
      <w:numFmt w:val="decimal"/>
      <w:lvlText w:val="%7."/>
      <w:lvlJc w:val="left"/>
      <w:pPr>
        <w:ind w:left="5648" w:hanging="420"/>
      </w:pPr>
    </w:lvl>
    <w:lvl w:ilvl="7" w:tentative="0">
      <w:start w:val="1"/>
      <w:numFmt w:val="lowerLetter"/>
      <w:lvlText w:val="%8)"/>
      <w:lvlJc w:val="left"/>
      <w:pPr>
        <w:ind w:left="6068" w:hanging="420"/>
      </w:pPr>
    </w:lvl>
    <w:lvl w:ilvl="8" w:tentative="0">
      <w:start w:val="1"/>
      <w:numFmt w:val="lowerRoman"/>
      <w:lvlText w:val="%9."/>
      <w:lvlJc w:val="right"/>
      <w:pPr>
        <w:ind w:left="6488" w:hanging="420"/>
      </w:pPr>
    </w:lvl>
  </w:abstractNum>
  <w:abstractNum w:abstractNumId="9">
    <w:nsid w:val="00000041"/>
    <w:multiLevelType w:val="multilevel"/>
    <w:tmpl w:val="00000041"/>
    <w:lvl w:ilvl="0" w:tentative="0">
      <w:start w:val="1"/>
      <w:numFmt w:val="chineseCountingThousand"/>
      <w:lvlText w:val="%1、"/>
      <w:lvlJc w:val="left"/>
      <w:pPr>
        <w:ind w:left="2122" w:hanging="420"/>
      </w:pPr>
      <w:rPr>
        <w:rFonts w:asciiTheme="minorEastAsia" w:hAnsiTheme="minorEastAsia" w:eastAsiaTheme="minorEastAsia"/>
        <w:sz w:val="28"/>
        <w:szCs w:val="28"/>
      </w:rPr>
    </w:lvl>
    <w:lvl w:ilvl="1" w:tentative="0">
      <w:start w:val="1"/>
      <w:numFmt w:val="chineseCountingThousand"/>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036E4BF1"/>
    <w:multiLevelType w:val="multilevel"/>
    <w:tmpl w:val="036E4BF1"/>
    <w:lvl w:ilvl="0" w:tentative="0">
      <w:start w:val="1"/>
      <w:numFmt w:val="chineseCountingThousand"/>
      <w:lvlText w:val="%1、"/>
      <w:lvlJc w:val="left"/>
      <w:pPr>
        <w:ind w:left="988"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11">
    <w:nsid w:val="0AEA6369"/>
    <w:multiLevelType w:val="multilevel"/>
    <w:tmpl w:val="0AEA6369"/>
    <w:lvl w:ilvl="0" w:tentative="0">
      <w:start w:val="1"/>
      <w:numFmt w:val="chineseCountingThousand"/>
      <w:lvlText w:val="%1、"/>
      <w:lvlJc w:val="left"/>
      <w:pPr>
        <w:ind w:left="1060" w:hanging="420"/>
      </w:pPr>
    </w:lvl>
    <w:lvl w:ilvl="1" w:tentative="0">
      <w:start w:val="1"/>
      <w:numFmt w:val="lowerLetter"/>
      <w:lvlText w:val="%2)"/>
      <w:lvlJc w:val="left"/>
      <w:pPr>
        <w:ind w:left="1480" w:hanging="420"/>
      </w:pPr>
    </w:lvl>
    <w:lvl w:ilvl="2" w:tentative="0">
      <w:start w:val="1"/>
      <w:numFmt w:val="lowerRoman"/>
      <w:lvlText w:val="%3."/>
      <w:lvlJc w:val="right"/>
      <w:pPr>
        <w:ind w:left="1900" w:hanging="420"/>
      </w:pPr>
    </w:lvl>
    <w:lvl w:ilvl="3" w:tentative="0">
      <w:start w:val="1"/>
      <w:numFmt w:val="decimal"/>
      <w:lvlText w:val="%4."/>
      <w:lvlJc w:val="left"/>
      <w:pPr>
        <w:ind w:left="2320" w:hanging="420"/>
      </w:pPr>
    </w:lvl>
    <w:lvl w:ilvl="4" w:tentative="0">
      <w:start w:val="1"/>
      <w:numFmt w:val="lowerLetter"/>
      <w:lvlText w:val="%5)"/>
      <w:lvlJc w:val="left"/>
      <w:pPr>
        <w:ind w:left="2740" w:hanging="420"/>
      </w:pPr>
    </w:lvl>
    <w:lvl w:ilvl="5" w:tentative="0">
      <w:start w:val="1"/>
      <w:numFmt w:val="lowerRoman"/>
      <w:lvlText w:val="%6."/>
      <w:lvlJc w:val="right"/>
      <w:pPr>
        <w:ind w:left="3160" w:hanging="420"/>
      </w:pPr>
    </w:lvl>
    <w:lvl w:ilvl="6" w:tentative="0">
      <w:start w:val="1"/>
      <w:numFmt w:val="decimal"/>
      <w:lvlText w:val="%7."/>
      <w:lvlJc w:val="left"/>
      <w:pPr>
        <w:ind w:left="3580" w:hanging="420"/>
      </w:pPr>
    </w:lvl>
    <w:lvl w:ilvl="7" w:tentative="0">
      <w:start w:val="1"/>
      <w:numFmt w:val="lowerLetter"/>
      <w:lvlText w:val="%8)"/>
      <w:lvlJc w:val="left"/>
      <w:pPr>
        <w:ind w:left="4000" w:hanging="420"/>
      </w:pPr>
    </w:lvl>
    <w:lvl w:ilvl="8" w:tentative="0">
      <w:start w:val="1"/>
      <w:numFmt w:val="lowerRoman"/>
      <w:lvlText w:val="%9."/>
      <w:lvlJc w:val="right"/>
      <w:pPr>
        <w:ind w:left="4420" w:hanging="420"/>
      </w:pPr>
    </w:lvl>
  </w:abstractNum>
  <w:abstractNum w:abstractNumId="12">
    <w:nsid w:val="0D6B6379"/>
    <w:multiLevelType w:val="multilevel"/>
    <w:tmpl w:val="0D6B6379"/>
    <w:lvl w:ilvl="0" w:tentative="0">
      <w:start w:val="1"/>
      <w:numFmt w:val="chineseCountingThousand"/>
      <w:lvlText w:val="%1、"/>
      <w:lvlJc w:val="left"/>
      <w:pPr>
        <w:ind w:left="987" w:hanging="420"/>
      </w:p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abstractNum w:abstractNumId="13">
    <w:nsid w:val="0D983D29"/>
    <w:multiLevelType w:val="multilevel"/>
    <w:tmpl w:val="0D983D29"/>
    <w:lvl w:ilvl="0" w:tentative="0">
      <w:start w:val="1"/>
      <w:numFmt w:val="decimal"/>
      <w:suff w:val="nothing"/>
      <w:lvlText w:val="%1."/>
      <w:lvlJc w:val="left"/>
      <w:pPr>
        <w:ind w:left="1555" w:hanging="420"/>
      </w:pPr>
      <w:rPr>
        <w:rFonts w:hint="eastAsia"/>
        <w:sz w:val="28"/>
        <w:szCs w:val="28"/>
      </w:rPr>
    </w:lvl>
    <w:lvl w:ilvl="1" w:tentative="0">
      <w:start w:val="1"/>
      <w:numFmt w:val="chineseCountingThousand"/>
      <w:lvlText w:val="(%2)"/>
      <w:lvlJc w:val="left"/>
      <w:pPr>
        <w:ind w:left="1474" w:hanging="420"/>
      </w:pPr>
      <w:rPr>
        <w:rFonts w:hint="default"/>
        <w:color w:val="000000"/>
      </w:rPr>
    </w:lvl>
    <w:lvl w:ilvl="2" w:tentative="0">
      <w:start w:val="1"/>
      <w:numFmt w:val="lowerRoman"/>
      <w:lvlText w:val="%3."/>
      <w:lvlJc w:val="right"/>
      <w:pPr>
        <w:ind w:left="1894" w:hanging="420"/>
      </w:pPr>
    </w:lvl>
    <w:lvl w:ilvl="3" w:tentative="0">
      <w:start w:val="1"/>
      <w:numFmt w:val="decimal"/>
      <w:lvlText w:val="%4."/>
      <w:lvlJc w:val="left"/>
      <w:pPr>
        <w:ind w:left="2314" w:hanging="420"/>
      </w:pPr>
    </w:lvl>
    <w:lvl w:ilvl="4" w:tentative="0">
      <w:start w:val="1"/>
      <w:numFmt w:val="lowerLetter"/>
      <w:lvlText w:val="%5)"/>
      <w:lvlJc w:val="left"/>
      <w:pPr>
        <w:ind w:left="2734" w:hanging="420"/>
      </w:pPr>
    </w:lvl>
    <w:lvl w:ilvl="5" w:tentative="0">
      <w:start w:val="1"/>
      <w:numFmt w:val="lowerRoman"/>
      <w:lvlText w:val="%6."/>
      <w:lvlJc w:val="right"/>
      <w:pPr>
        <w:ind w:left="3154" w:hanging="420"/>
      </w:pPr>
    </w:lvl>
    <w:lvl w:ilvl="6" w:tentative="0">
      <w:start w:val="1"/>
      <w:numFmt w:val="decimal"/>
      <w:lvlText w:val="%7."/>
      <w:lvlJc w:val="left"/>
      <w:pPr>
        <w:ind w:left="3574" w:hanging="420"/>
      </w:pPr>
    </w:lvl>
    <w:lvl w:ilvl="7" w:tentative="0">
      <w:start w:val="1"/>
      <w:numFmt w:val="lowerLetter"/>
      <w:lvlText w:val="%8)"/>
      <w:lvlJc w:val="left"/>
      <w:pPr>
        <w:ind w:left="3994" w:hanging="420"/>
      </w:pPr>
    </w:lvl>
    <w:lvl w:ilvl="8" w:tentative="0">
      <w:start w:val="1"/>
      <w:numFmt w:val="lowerRoman"/>
      <w:lvlText w:val="%9."/>
      <w:lvlJc w:val="right"/>
      <w:pPr>
        <w:ind w:left="4414" w:hanging="420"/>
      </w:pPr>
    </w:lvl>
  </w:abstractNum>
  <w:abstractNum w:abstractNumId="14">
    <w:nsid w:val="14303267"/>
    <w:multiLevelType w:val="multilevel"/>
    <w:tmpl w:val="14303267"/>
    <w:lvl w:ilvl="0" w:tentative="0">
      <w:start w:val="1"/>
      <w:numFmt w:val="decimal"/>
      <w:lvlText w:val="%1."/>
      <w:lvlJc w:val="left"/>
      <w:pPr>
        <w:ind w:left="1839"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15">
    <w:nsid w:val="14F1104D"/>
    <w:multiLevelType w:val="multilevel"/>
    <w:tmpl w:val="14F1104D"/>
    <w:lvl w:ilvl="0" w:tentative="0">
      <w:start w:val="1"/>
      <w:numFmt w:val="chineseCountingThousand"/>
      <w:lvlText w:val="(%1)"/>
      <w:lvlJc w:val="left"/>
      <w:pPr>
        <w:ind w:left="1129" w:hanging="420"/>
      </w:pPr>
    </w:lvl>
    <w:lvl w:ilvl="1" w:tentative="0">
      <w:start w:val="1"/>
      <w:numFmt w:val="lowerLetter"/>
      <w:lvlText w:val="%2)"/>
      <w:lvlJc w:val="left"/>
      <w:pPr>
        <w:ind w:left="1549" w:hanging="420"/>
      </w:pPr>
    </w:lvl>
    <w:lvl w:ilvl="2" w:tentative="0">
      <w:start w:val="1"/>
      <w:numFmt w:val="lowerRoman"/>
      <w:lvlText w:val="%3."/>
      <w:lvlJc w:val="right"/>
      <w:pPr>
        <w:ind w:left="1969" w:hanging="420"/>
      </w:pPr>
    </w:lvl>
    <w:lvl w:ilvl="3" w:tentative="0">
      <w:start w:val="1"/>
      <w:numFmt w:val="decimal"/>
      <w:lvlText w:val="%4."/>
      <w:lvlJc w:val="left"/>
      <w:pPr>
        <w:ind w:left="2389" w:hanging="420"/>
      </w:pPr>
    </w:lvl>
    <w:lvl w:ilvl="4" w:tentative="0">
      <w:start w:val="1"/>
      <w:numFmt w:val="lowerLetter"/>
      <w:lvlText w:val="%5)"/>
      <w:lvlJc w:val="left"/>
      <w:pPr>
        <w:ind w:left="2809" w:hanging="420"/>
      </w:pPr>
    </w:lvl>
    <w:lvl w:ilvl="5" w:tentative="0">
      <w:start w:val="1"/>
      <w:numFmt w:val="lowerRoman"/>
      <w:lvlText w:val="%6."/>
      <w:lvlJc w:val="right"/>
      <w:pPr>
        <w:ind w:left="3229" w:hanging="420"/>
      </w:pPr>
    </w:lvl>
    <w:lvl w:ilvl="6" w:tentative="0">
      <w:start w:val="1"/>
      <w:numFmt w:val="decimal"/>
      <w:lvlText w:val="%7."/>
      <w:lvlJc w:val="left"/>
      <w:pPr>
        <w:ind w:left="3649" w:hanging="420"/>
      </w:pPr>
    </w:lvl>
    <w:lvl w:ilvl="7" w:tentative="0">
      <w:start w:val="1"/>
      <w:numFmt w:val="lowerLetter"/>
      <w:lvlText w:val="%8)"/>
      <w:lvlJc w:val="left"/>
      <w:pPr>
        <w:ind w:left="4069" w:hanging="420"/>
      </w:pPr>
    </w:lvl>
    <w:lvl w:ilvl="8" w:tentative="0">
      <w:start w:val="1"/>
      <w:numFmt w:val="lowerRoman"/>
      <w:lvlText w:val="%9."/>
      <w:lvlJc w:val="right"/>
      <w:pPr>
        <w:ind w:left="4489" w:hanging="420"/>
      </w:pPr>
    </w:lvl>
  </w:abstractNum>
  <w:abstractNum w:abstractNumId="16">
    <w:nsid w:val="17B830D0"/>
    <w:multiLevelType w:val="multilevel"/>
    <w:tmpl w:val="17B830D0"/>
    <w:lvl w:ilvl="0" w:tentative="0">
      <w:start w:val="1"/>
      <w:numFmt w:val="chineseCountingThousand"/>
      <w:lvlText w:val="%1、"/>
      <w:lvlJc w:val="left"/>
      <w:pPr>
        <w:ind w:left="958" w:hanging="420"/>
      </w:pPr>
    </w:lvl>
    <w:lvl w:ilvl="1" w:tentative="0">
      <w:start w:val="1"/>
      <w:numFmt w:val="lowerLetter"/>
      <w:lvlText w:val="%2)"/>
      <w:lvlJc w:val="left"/>
      <w:pPr>
        <w:ind w:left="1378" w:hanging="420"/>
      </w:p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17">
    <w:nsid w:val="19077EC4"/>
    <w:multiLevelType w:val="singleLevel"/>
    <w:tmpl w:val="19077EC4"/>
    <w:lvl w:ilvl="0" w:tentative="0">
      <w:start w:val="1"/>
      <w:numFmt w:val="chineseCounting"/>
      <w:suff w:val="nothing"/>
      <w:lvlText w:val="（%1）"/>
      <w:lvlJc w:val="left"/>
      <w:rPr>
        <w:rFonts w:hint="eastAsia"/>
      </w:rPr>
    </w:lvl>
  </w:abstractNum>
  <w:abstractNum w:abstractNumId="18">
    <w:nsid w:val="19EB72CF"/>
    <w:multiLevelType w:val="multilevel"/>
    <w:tmpl w:val="19EB72CF"/>
    <w:lvl w:ilvl="0" w:tentative="0">
      <w:start w:val="1"/>
      <w:numFmt w:val="chineseCountingThousand"/>
      <w:lvlText w:val="%1、"/>
      <w:lvlJc w:val="left"/>
      <w:pPr>
        <w:ind w:left="846" w:hanging="420"/>
      </w:pPr>
    </w:lvl>
    <w:lvl w:ilvl="1" w:tentative="0">
      <w:start w:val="1"/>
      <w:numFmt w:val="lowerLetter"/>
      <w:lvlText w:val="%2)"/>
      <w:lvlJc w:val="left"/>
      <w:pPr>
        <w:ind w:left="1386" w:hanging="420"/>
      </w:pPr>
    </w:lvl>
    <w:lvl w:ilvl="2" w:tentative="0">
      <w:start w:val="1"/>
      <w:numFmt w:val="lowerRoman"/>
      <w:lvlText w:val="%3."/>
      <w:lvlJc w:val="right"/>
      <w:pPr>
        <w:ind w:left="1806" w:hanging="420"/>
      </w:pPr>
    </w:lvl>
    <w:lvl w:ilvl="3" w:tentative="0">
      <w:start w:val="1"/>
      <w:numFmt w:val="decimal"/>
      <w:lvlText w:val="%4."/>
      <w:lvlJc w:val="left"/>
      <w:pPr>
        <w:ind w:left="2226" w:hanging="420"/>
      </w:pPr>
    </w:lvl>
    <w:lvl w:ilvl="4" w:tentative="0">
      <w:start w:val="1"/>
      <w:numFmt w:val="lowerLetter"/>
      <w:lvlText w:val="%5)"/>
      <w:lvlJc w:val="left"/>
      <w:pPr>
        <w:ind w:left="2646" w:hanging="420"/>
      </w:pPr>
    </w:lvl>
    <w:lvl w:ilvl="5" w:tentative="0">
      <w:start w:val="1"/>
      <w:numFmt w:val="lowerRoman"/>
      <w:lvlText w:val="%6."/>
      <w:lvlJc w:val="right"/>
      <w:pPr>
        <w:ind w:left="3066" w:hanging="420"/>
      </w:pPr>
    </w:lvl>
    <w:lvl w:ilvl="6" w:tentative="0">
      <w:start w:val="1"/>
      <w:numFmt w:val="decimal"/>
      <w:lvlText w:val="%7."/>
      <w:lvlJc w:val="left"/>
      <w:pPr>
        <w:ind w:left="3486" w:hanging="420"/>
      </w:pPr>
    </w:lvl>
    <w:lvl w:ilvl="7" w:tentative="0">
      <w:start w:val="1"/>
      <w:numFmt w:val="lowerLetter"/>
      <w:lvlText w:val="%8)"/>
      <w:lvlJc w:val="left"/>
      <w:pPr>
        <w:ind w:left="3906" w:hanging="420"/>
      </w:pPr>
    </w:lvl>
    <w:lvl w:ilvl="8" w:tentative="0">
      <w:start w:val="1"/>
      <w:numFmt w:val="lowerRoman"/>
      <w:lvlText w:val="%9."/>
      <w:lvlJc w:val="right"/>
      <w:pPr>
        <w:ind w:left="4326" w:hanging="420"/>
      </w:pPr>
    </w:lvl>
  </w:abstractNum>
  <w:abstractNum w:abstractNumId="19">
    <w:nsid w:val="26567281"/>
    <w:multiLevelType w:val="multilevel"/>
    <w:tmpl w:val="26567281"/>
    <w:lvl w:ilvl="0" w:tentative="0">
      <w:start w:val="1"/>
      <w:numFmt w:val="decimal"/>
      <w:lvlText w:val="%1."/>
      <w:lvlJc w:val="left"/>
      <w:pPr>
        <w:ind w:left="958" w:hanging="420"/>
      </w:pPr>
    </w:lvl>
    <w:lvl w:ilvl="1" w:tentative="0">
      <w:start w:val="1"/>
      <w:numFmt w:val="chineseCountingThousand"/>
      <w:lvlText w:val="%2、"/>
      <w:lvlJc w:val="left"/>
      <w:pPr>
        <w:ind w:left="988" w:hanging="420"/>
      </w:pPr>
      <w:rPr>
        <w:rFonts w:hint="eastAsia"/>
        <w:lang w:val="en-US"/>
      </w:rPr>
    </w:lvl>
    <w:lvl w:ilvl="2" w:tentative="0">
      <w:start w:val="1"/>
      <w:numFmt w:val="decimal"/>
      <w:lvlText w:val="%3．"/>
      <w:lvlJc w:val="left"/>
      <w:pPr>
        <w:ind w:left="2098" w:hanging="720"/>
      </w:pPr>
    </w:lvl>
    <w:lvl w:ilvl="3" w:tentative="0">
      <w:start w:val="1"/>
      <w:numFmt w:val="decimal"/>
      <w:lvlText w:val="%4、"/>
      <w:lvlJc w:val="left"/>
      <w:pPr>
        <w:ind w:left="2158" w:hanging="360"/>
      </w:pPr>
      <w:rPr>
        <w:rFonts w:hint="default"/>
      </w:r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20">
    <w:nsid w:val="27297F69"/>
    <w:multiLevelType w:val="multilevel"/>
    <w:tmpl w:val="27297F69"/>
    <w:lvl w:ilvl="0" w:tentative="0">
      <w:start w:val="1"/>
      <w:numFmt w:val="chineseCountingThousand"/>
      <w:suff w:val="nothing"/>
      <w:lvlText w:val="%1、"/>
      <w:lvlJc w:val="left"/>
      <w:pPr>
        <w:ind w:left="1271" w:hanging="420"/>
      </w:pPr>
      <w:rPr>
        <w:rFonts w:hint="eastAsia"/>
        <w:b/>
        <w:lang w:val="en-US"/>
      </w:rPr>
    </w:lvl>
    <w:lvl w:ilvl="1" w:tentative="0">
      <w:start w:val="1"/>
      <w:numFmt w:val="lowerLetter"/>
      <w:lvlText w:val="%2)"/>
      <w:lvlJc w:val="left"/>
      <w:pPr>
        <w:ind w:left="1731" w:hanging="420"/>
      </w:pPr>
    </w:lvl>
    <w:lvl w:ilvl="2" w:tentative="0">
      <w:start w:val="1"/>
      <w:numFmt w:val="lowerRoman"/>
      <w:lvlText w:val="%3."/>
      <w:lvlJc w:val="right"/>
      <w:pPr>
        <w:ind w:left="2151" w:hanging="420"/>
      </w:pPr>
    </w:lvl>
    <w:lvl w:ilvl="3" w:tentative="0">
      <w:start w:val="1"/>
      <w:numFmt w:val="decimal"/>
      <w:lvlText w:val="%4."/>
      <w:lvlJc w:val="left"/>
      <w:pPr>
        <w:ind w:left="2571" w:hanging="420"/>
      </w:pPr>
    </w:lvl>
    <w:lvl w:ilvl="4" w:tentative="0">
      <w:start w:val="1"/>
      <w:numFmt w:val="lowerLetter"/>
      <w:lvlText w:val="%5)"/>
      <w:lvlJc w:val="left"/>
      <w:pPr>
        <w:ind w:left="2991" w:hanging="420"/>
      </w:pPr>
    </w:lvl>
    <w:lvl w:ilvl="5" w:tentative="0">
      <w:start w:val="1"/>
      <w:numFmt w:val="lowerRoman"/>
      <w:lvlText w:val="%6."/>
      <w:lvlJc w:val="right"/>
      <w:pPr>
        <w:ind w:left="3411" w:hanging="420"/>
      </w:pPr>
    </w:lvl>
    <w:lvl w:ilvl="6" w:tentative="0">
      <w:start w:val="1"/>
      <w:numFmt w:val="decimal"/>
      <w:lvlText w:val="%7."/>
      <w:lvlJc w:val="left"/>
      <w:pPr>
        <w:ind w:left="3831" w:hanging="420"/>
      </w:pPr>
    </w:lvl>
    <w:lvl w:ilvl="7" w:tentative="0">
      <w:start w:val="1"/>
      <w:numFmt w:val="lowerLetter"/>
      <w:lvlText w:val="%8)"/>
      <w:lvlJc w:val="left"/>
      <w:pPr>
        <w:ind w:left="4251" w:hanging="420"/>
      </w:pPr>
    </w:lvl>
    <w:lvl w:ilvl="8" w:tentative="0">
      <w:start w:val="1"/>
      <w:numFmt w:val="lowerRoman"/>
      <w:lvlText w:val="%9."/>
      <w:lvlJc w:val="right"/>
      <w:pPr>
        <w:ind w:left="4671" w:hanging="420"/>
      </w:pPr>
    </w:lvl>
  </w:abstractNum>
  <w:abstractNum w:abstractNumId="21">
    <w:nsid w:val="28267C73"/>
    <w:multiLevelType w:val="multilevel"/>
    <w:tmpl w:val="28267C73"/>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22">
    <w:nsid w:val="28D371C0"/>
    <w:multiLevelType w:val="multilevel"/>
    <w:tmpl w:val="28D371C0"/>
    <w:lvl w:ilvl="0" w:tentative="0">
      <w:start w:val="1"/>
      <w:numFmt w:val="decimalFullWidth"/>
      <w:lvlText w:val="（%1）"/>
      <w:lvlJc w:val="left"/>
      <w:pPr>
        <w:ind w:left="420" w:hanging="420"/>
      </w:pPr>
      <w:rPr>
        <w:rFonts w:hint="default" w:ascii="宋体" w:hAnsi="宋体" w:eastAsia="宋体" w:cs="Times New Roman"/>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2B713F49"/>
    <w:multiLevelType w:val="multilevel"/>
    <w:tmpl w:val="2B713F49"/>
    <w:lvl w:ilvl="0" w:tentative="0">
      <w:start w:val="1"/>
      <w:numFmt w:val="chineseCountingThousand"/>
      <w:lvlText w:val="(%1)"/>
      <w:lvlJc w:val="left"/>
      <w:pPr>
        <w:ind w:left="980" w:hanging="420"/>
      </w:pPr>
      <w:rPr>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4">
    <w:nsid w:val="2BC84537"/>
    <w:multiLevelType w:val="multilevel"/>
    <w:tmpl w:val="2BC84537"/>
    <w:lvl w:ilvl="0" w:tentative="0">
      <w:start w:val="1"/>
      <w:numFmt w:val="japaneseCounting"/>
      <w:lvlText w:val="%1、"/>
      <w:lvlJc w:val="left"/>
      <w:pPr>
        <w:ind w:left="1856" w:hanging="1005"/>
      </w:pPr>
      <w:rPr>
        <w:color w:val="auto"/>
        <w:sz w:val="28"/>
        <w:szCs w:val="28"/>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25">
    <w:nsid w:val="2E0076D2"/>
    <w:multiLevelType w:val="multilevel"/>
    <w:tmpl w:val="2E0076D2"/>
    <w:lvl w:ilvl="0" w:tentative="0">
      <w:start w:val="1"/>
      <w:numFmt w:val="chineseCountingThousand"/>
      <w:lvlText w:val="%1、"/>
      <w:lvlJc w:val="left"/>
      <w:pPr>
        <w:ind w:left="980" w:hanging="420"/>
      </w:pPr>
      <w:rPr>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6">
    <w:nsid w:val="316418D8"/>
    <w:multiLevelType w:val="multilevel"/>
    <w:tmpl w:val="316418D8"/>
    <w:lvl w:ilvl="0" w:tentative="0">
      <w:start w:val="1"/>
      <w:numFmt w:val="chineseCountingThousand"/>
      <w:lvlText w:val="%1、"/>
      <w:lvlJc w:val="left"/>
      <w:pPr>
        <w:ind w:left="969" w:hanging="420"/>
      </w:pPr>
      <w:rPr>
        <w:color w:val="auto"/>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27">
    <w:nsid w:val="326451AA"/>
    <w:multiLevelType w:val="multilevel"/>
    <w:tmpl w:val="326451AA"/>
    <w:lvl w:ilvl="0" w:tentative="0">
      <w:start w:val="1"/>
      <w:numFmt w:val="chineseCountingThousand"/>
      <w:lvlText w:val="%1、"/>
      <w:lvlJc w:val="left"/>
      <w:pPr>
        <w:ind w:left="846" w:hanging="420"/>
      </w:pPr>
      <w:rPr>
        <w:color w:val="auto"/>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28">
    <w:nsid w:val="3424055C"/>
    <w:multiLevelType w:val="multilevel"/>
    <w:tmpl w:val="3424055C"/>
    <w:lvl w:ilvl="0" w:tentative="0">
      <w:start w:val="1"/>
      <w:numFmt w:val="japaneseCounting"/>
      <w:lvlText w:val="%1、"/>
      <w:lvlJc w:val="left"/>
      <w:pPr>
        <w:ind w:left="988" w:hanging="420"/>
      </w:pPr>
      <w:rPr>
        <w:rFonts w:ascii="宋体" w:hAnsi="宋体" w:eastAsia="宋体" w:cs="Times New Roman"/>
        <w:sz w:val="28"/>
        <w:szCs w:val="28"/>
      </w:rPr>
    </w:lvl>
    <w:lvl w:ilvl="1" w:tentative="0">
      <w:start w:val="1"/>
      <w:numFmt w:val="lowerLetter"/>
      <w:lvlText w:val="%2)"/>
      <w:lvlJc w:val="left"/>
      <w:pPr>
        <w:ind w:left="415" w:hanging="420"/>
      </w:pPr>
    </w:lvl>
    <w:lvl w:ilvl="2" w:tentative="0">
      <w:start w:val="1"/>
      <w:numFmt w:val="lowerRoman"/>
      <w:lvlText w:val="%3."/>
      <w:lvlJc w:val="right"/>
      <w:pPr>
        <w:ind w:left="835" w:hanging="420"/>
      </w:pPr>
    </w:lvl>
    <w:lvl w:ilvl="3" w:tentative="0">
      <w:start w:val="1"/>
      <w:numFmt w:val="decimal"/>
      <w:lvlText w:val="%4."/>
      <w:lvlJc w:val="left"/>
      <w:pPr>
        <w:ind w:left="1255" w:hanging="420"/>
      </w:pPr>
    </w:lvl>
    <w:lvl w:ilvl="4" w:tentative="0">
      <w:start w:val="1"/>
      <w:numFmt w:val="lowerLetter"/>
      <w:lvlText w:val="%5)"/>
      <w:lvlJc w:val="left"/>
      <w:pPr>
        <w:ind w:left="1675" w:hanging="420"/>
      </w:pPr>
    </w:lvl>
    <w:lvl w:ilvl="5" w:tentative="0">
      <w:start w:val="1"/>
      <w:numFmt w:val="lowerRoman"/>
      <w:lvlText w:val="%6."/>
      <w:lvlJc w:val="right"/>
      <w:pPr>
        <w:ind w:left="2095" w:hanging="420"/>
      </w:pPr>
    </w:lvl>
    <w:lvl w:ilvl="6" w:tentative="0">
      <w:start w:val="1"/>
      <w:numFmt w:val="decimal"/>
      <w:lvlText w:val="%7."/>
      <w:lvlJc w:val="left"/>
      <w:pPr>
        <w:ind w:left="2515" w:hanging="420"/>
      </w:pPr>
    </w:lvl>
    <w:lvl w:ilvl="7" w:tentative="0">
      <w:start w:val="1"/>
      <w:numFmt w:val="lowerLetter"/>
      <w:lvlText w:val="%8)"/>
      <w:lvlJc w:val="left"/>
      <w:pPr>
        <w:ind w:left="2935" w:hanging="420"/>
      </w:pPr>
    </w:lvl>
    <w:lvl w:ilvl="8" w:tentative="0">
      <w:start w:val="1"/>
      <w:numFmt w:val="lowerRoman"/>
      <w:lvlText w:val="%9."/>
      <w:lvlJc w:val="right"/>
      <w:pPr>
        <w:ind w:left="3355" w:hanging="420"/>
      </w:pPr>
    </w:lvl>
  </w:abstractNum>
  <w:abstractNum w:abstractNumId="29">
    <w:nsid w:val="343F0848"/>
    <w:multiLevelType w:val="multilevel"/>
    <w:tmpl w:val="343F0848"/>
    <w:lvl w:ilvl="0" w:tentative="0">
      <w:start w:val="1"/>
      <w:numFmt w:val="decimalFullWidth"/>
      <w:lvlText w:val="（%1）"/>
      <w:lvlJc w:val="left"/>
      <w:pPr>
        <w:ind w:left="720" w:hanging="720"/>
      </w:pPr>
      <w:rPr>
        <w:rFonts w:hint="default" w:ascii="宋体" w:hAnsi="宋体" w:eastAsia="宋体"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3907789F"/>
    <w:multiLevelType w:val="multilevel"/>
    <w:tmpl w:val="3907789F"/>
    <w:lvl w:ilvl="0" w:tentative="0">
      <w:start w:val="1"/>
      <w:numFmt w:val="chineseCountingThousand"/>
      <w:lvlText w:val="%1、"/>
      <w:lvlJc w:val="left"/>
      <w:pPr>
        <w:tabs>
          <w:tab w:val="left" w:pos="420"/>
        </w:tabs>
        <w:ind w:left="420" w:hanging="420"/>
      </w:pPr>
    </w:lvl>
    <w:lvl w:ilvl="1" w:tentative="0">
      <w:start w:val="3"/>
      <w:numFmt w:val="decimal"/>
      <w:lvlText w:val="%2）"/>
      <w:lvlJc w:val="left"/>
      <w:pPr>
        <w:tabs>
          <w:tab w:val="left" w:pos="1140"/>
        </w:tabs>
        <w:ind w:left="1140" w:hanging="720"/>
      </w:pPr>
      <w:rPr>
        <w:rFonts w:hint="default"/>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1">
    <w:nsid w:val="394E3612"/>
    <w:multiLevelType w:val="multilevel"/>
    <w:tmpl w:val="394E3612"/>
    <w:lvl w:ilvl="0" w:tentative="0">
      <w:start w:val="1"/>
      <w:numFmt w:val="chineseCountingThousand"/>
      <w:lvlText w:val="%1、"/>
      <w:lvlJc w:val="left"/>
      <w:pPr>
        <w:ind w:left="1555" w:hanging="420"/>
      </w:pPr>
      <w:rPr>
        <w:rFonts w:hint="eastAsia"/>
        <w:color w:val="auto"/>
        <w:sz w:val="28"/>
        <w:szCs w:val="28"/>
        <w:lang w:val="en-US"/>
      </w:rPr>
    </w:lvl>
    <w:lvl w:ilvl="1" w:tentative="0">
      <w:start w:val="1"/>
      <w:numFmt w:val="decimal"/>
      <w:lvlText w:val="（%2）"/>
      <w:lvlJc w:val="left"/>
      <w:pPr>
        <w:ind w:left="1474" w:hanging="420"/>
      </w:pPr>
      <w:rPr>
        <w:rFonts w:hint="default"/>
        <w:color w:val="000000"/>
      </w:rPr>
    </w:lvl>
    <w:lvl w:ilvl="2" w:tentative="0">
      <w:start w:val="1"/>
      <w:numFmt w:val="lowerRoman"/>
      <w:lvlText w:val="%3."/>
      <w:lvlJc w:val="right"/>
      <w:pPr>
        <w:ind w:left="1894" w:hanging="420"/>
      </w:pPr>
    </w:lvl>
    <w:lvl w:ilvl="3" w:tentative="0">
      <w:start w:val="1"/>
      <w:numFmt w:val="decimal"/>
      <w:lvlText w:val="%4."/>
      <w:lvlJc w:val="left"/>
      <w:pPr>
        <w:ind w:left="2314" w:hanging="420"/>
      </w:pPr>
    </w:lvl>
    <w:lvl w:ilvl="4" w:tentative="0">
      <w:start w:val="1"/>
      <w:numFmt w:val="lowerLetter"/>
      <w:lvlText w:val="%5)"/>
      <w:lvlJc w:val="left"/>
      <w:pPr>
        <w:ind w:left="2734" w:hanging="420"/>
      </w:pPr>
    </w:lvl>
    <w:lvl w:ilvl="5" w:tentative="0">
      <w:start w:val="1"/>
      <w:numFmt w:val="lowerRoman"/>
      <w:lvlText w:val="%6."/>
      <w:lvlJc w:val="right"/>
      <w:pPr>
        <w:ind w:left="3154" w:hanging="420"/>
      </w:pPr>
    </w:lvl>
    <w:lvl w:ilvl="6" w:tentative="0">
      <w:start w:val="1"/>
      <w:numFmt w:val="decimal"/>
      <w:lvlText w:val="%7."/>
      <w:lvlJc w:val="left"/>
      <w:pPr>
        <w:ind w:left="3574" w:hanging="420"/>
      </w:pPr>
    </w:lvl>
    <w:lvl w:ilvl="7" w:tentative="0">
      <w:start w:val="1"/>
      <w:numFmt w:val="lowerLetter"/>
      <w:lvlText w:val="%8)"/>
      <w:lvlJc w:val="left"/>
      <w:pPr>
        <w:ind w:left="3994" w:hanging="420"/>
      </w:pPr>
    </w:lvl>
    <w:lvl w:ilvl="8" w:tentative="0">
      <w:start w:val="1"/>
      <w:numFmt w:val="lowerRoman"/>
      <w:lvlText w:val="%9."/>
      <w:lvlJc w:val="right"/>
      <w:pPr>
        <w:ind w:left="4414" w:hanging="420"/>
      </w:pPr>
    </w:lvl>
  </w:abstractNum>
  <w:abstractNum w:abstractNumId="32">
    <w:nsid w:val="3A7F4B0B"/>
    <w:multiLevelType w:val="multilevel"/>
    <w:tmpl w:val="3A7F4B0B"/>
    <w:lvl w:ilvl="0" w:tentative="0">
      <w:start w:val="1"/>
      <w:numFmt w:val="chineseCountingThousand"/>
      <w:lvlText w:val="%1、"/>
      <w:lvlJc w:val="left"/>
      <w:pPr>
        <w:ind w:left="960" w:hanging="420"/>
      </w:pPr>
      <w:rPr>
        <w:color w:val="auto"/>
      </w:rPr>
    </w:lvl>
    <w:lvl w:ilvl="1" w:tentative="0">
      <w:start w:val="1"/>
      <w:numFmt w:val="lowerLetter"/>
      <w:lvlText w:val="%2)"/>
      <w:lvlJc w:val="left"/>
      <w:pPr>
        <w:ind w:left="1500" w:hanging="420"/>
      </w:pPr>
    </w:lvl>
    <w:lvl w:ilvl="2" w:tentative="0">
      <w:start w:val="1"/>
      <w:numFmt w:val="lowerRoman"/>
      <w:lvlText w:val="%3."/>
      <w:lvlJc w:val="right"/>
      <w:pPr>
        <w:ind w:left="1920" w:hanging="420"/>
      </w:pPr>
    </w:lvl>
    <w:lvl w:ilvl="3" w:tentative="0">
      <w:start w:val="1"/>
      <w:numFmt w:val="decimal"/>
      <w:lvlText w:val="%4."/>
      <w:lvlJc w:val="left"/>
      <w:pPr>
        <w:ind w:left="2340" w:hanging="420"/>
      </w:pPr>
    </w:lvl>
    <w:lvl w:ilvl="4" w:tentative="0">
      <w:start w:val="1"/>
      <w:numFmt w:val="lowerLetter"/>
      <w:lvlText w:val="%5)"/>
      <w:lvlJc w:val="left"/>
      <w:pPr>
        <w:ind w:left="2760" w:hanging="420"/>
      </w:pPr>
    </w:lvl>
    <w:lvl w:ilvl="5" w:tentative="0">
      <w:start w:val="1"/>
      <w:numFmt w:val="lowerRoman"/>
      <w:lvlText w:val="%6."/>
      <w:lvlJc w:val="right"/>
      <w:pPr>
        <w:ind w:left="3180" w:hanging="420"/>
      </w:pPr>
    </w:lvl>
    <w:lvl w:ilvl="6" w:tentative="0">
      <w:start w:val="1"/>
      <w:numFmt w:val="decimal"/>
      <w:lvlText w:val="%7."/>
      <w:lvlJc w:val="left"/>
      <w:pPr>
        <w:ind w:left="3600" w:hanging="420"/>
      </w:pPr>
    </w:lvl>
    <w:lvl w:ilvl="7" w:tentative="0">
      <w:start w:val="1"/>
      <w:numFmt w:val="lowerLetter"/>
      <w:lvlText w:val="%8)"/>
      <w:lvlJc w:val="left"/>
      <w:pPr>
        <w:ind w:left="4020" w:hanging="420"/>
      </w:pPr>
    </w:lvl>
    <w:lvl w:ilvl="8" w:tentative="0">
      <w:start w:val="1"/>
      <w:numFmt w:val="lowerRoman"/>
      <w:lvlText w:val="%9."/>
      <w:lvlJc w:val="right"/>
      <w:pPr>
        <w:ind w:left="4440" w:hanging="420"/>
      </w:pPr>
    </w:lvl>
  </w:abstractNum>
  <w:abstractNum w:abstractNumId="33">
    <w:nsid w:val="3CB76D8E"/>
    <w:multiLevelType w:val="multilevel"/>
    <w:tmpl w:val="3CB76D8E"/>
    <w:lvl w:ilvl="0" w:tentative="0">
      <w:start w:val="1"/>
      <w:numFmt w:val="chineseCountingThousand"/>
      <w:lvlText w:val="%1、"/>
      <w:lvlJc w:val="left"/>
      <w:pPr>
        <w:ind w:left="3256" w:hanging="420"/>
      </w:pPr>
    </w:lvl>
    <w:lvl w:ilvl="1" w:tentative="0">
      <w:start w:val="1"/>
      <w:numFmt w:val="lowerLetter"/>
      <w:lvlText w:val="%2)"/>
      <w:lvlJc w:val="left"/>
      <w:pPr>
        <w:ind w:left="2825" w:hanging="420"/>
      </w:pPr>
    </w:lvl>
    <w:lvl w:ilvl="2" w:tentative="0">
      <w:start w:val="1"/>
      <w:numFmt w:val="lowerRoman"/>
      <w:lvlText w:val="%3."/>
      <w:lvlJc w:val="right"/>
      <w:pPr>
        <w:ind w:left="3245" w:hanging="420"/>
      </w:pPr>
    </w:lvl>
    <w:lvl w:ilvl="3" w:tentative="0">
      <w:start w:val="1"/>
      <w:numFmt w:val="decimal"/>
      <w:lvlText w:val="%4."/>
      <w:lvlJc w:val="left"/>
      <w:pPr>
        <w:ind w:left="3665" w:hanging="420"/>
      </w:pPr>
    </w:lvl>
    <w:lvl w:ilvl="4" w:tentative="0">
      <w:start w:val="1"/>
      <w:numFmt w:val="lowerLetter"/>
      <w:lvlText w:val="%5)"/>
      <w:lvlJc w:val="left"/>
      <w:pPr>
        <w:ind w:left="4085" w:hanging="420"/>
      </w:pPr>
    </w:lvl>
    <w:lvl w:ilvl="5" w:tentative="0">
      <w:start w:val="1"/>
      <w:numFmt w:val="lowerRoman"/>
      <w:lvlText w:val="%6."/>
      <w:lvlJc w:val="right"/>
      <w:pPr>
        <w:ind w:left="4505" w:hanging="420"/>
      </w:pPr>
    </w:lvl>
    <w:lvl w:ilvl="6" w:tentative="0">
      <w:start w:val="1"/>
      <w:numFmt w:val="decimal"/>
      <w:lvlText w:val="%7."/>
      <w:lvlJc w:val="left"/>
      <w:pPr>
        <w:ind w:left="4925" w:hanging="420"/>
      </w:pPr>
    </w:lvl>
    <w:lvl w:ilvl="7" w:tentative="0">
      <w:start w:val="1"/>
      <w:numFmt w:val="lowerLetter"/>
      <w:lvlText w:val="%8)"/>
      <w:lvlJc w:val="left"/>
      <w:pPr>
        <w:ind w:left="5345" w:hanging="420"/>
      </w:pPr>
    </w:lvl>
    <w:lvl w:ilvl="8" w:tentative="0">
      <w:start w:val="1"/>
      <w:numFmt w:val="lowerRoman"/>
      <w:lvlText w:val="%9."/>
      <w:lvlJc w:val="right"/>
      <w:pPr>
        <w:ind w:left="5765" w:hanging="420"/>
      </w:pPr>
    </w:lvl>
  </w:abstractNum>
  <w:abstractNum w:abstractNumId="34">
    <w:nsid w:val="3D5536CE"/>
    <w:multiLevelType w:val="multilevel"/>
    <w:tmpl w:val="3D5536CE"/>
    <w:lvl w:ilvl="0" w:tentative="0">
      <w:start w:val="1"/>
      <w:numFmt w:val="chineseCountingThousand"/>
      <w:lvlText w:val="(%1)"/>
      <w:lvlJc w:val="left"/>
      <w:pPr>
        <w:ind w:left="980" w:hanging="420"/>
      </w:pPr>
      <w:rPr>
        <w:color w:val="auto"/>
      </w:rPr>
    </w:lvl>
    <w:lvl w:ilvl="1" w:tentative="0">
      <w:start w:val="1"/>
      <w:numFmt w:val="japaneseCounting"/>
      <w:lvlText w:val="（%2）"/>
      <w:lvlJc w:val="left"/>
      <w:pPr>
        <w:ind w:left="2252" w:hanging="1272"/>
      </w:pPr>
      <w:rPr>
        <w:rFonts w:hint="default"/>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5">
    <w:nsid w:val="3FA321C4"/>
    <w:multiLevelType w:val="multilevel"/>
    <w:tmpl w:val="3FA321C4"/>
    <w:lvl w:ilvl="0" w:tentative="0">
      <w:start w:val="1"/>
      <w:numFmt w:val="chineseCountingThousand"/>
      <w:lvlText w:val="%1、"/>
      <w:lvlJc w:val="left"/>
      <w:pPr>
        <w:ind w:left="2831" w:hanging="420"/>
      </w:pPr>
    </w:lvl>
    <w:lvl w:ilvl="1" w:tentative="0">
      <w:start w:val="1"/>
      <w:numFmt w:val="lowerLetter"/>
      <w:lvlText w:val="%2)"/>
      <w:lvlJc w:val="left"/>
      <w:pPr>
        <w:tabs>
          <w:tab w:val="left" w:pos="2265"/>
        </w:tabs>
        <w:ind w:left="2265" w:hanging="420"/>
      </w:pPr>
    </w:lvl>
    <w:lvl w:ilvl="2" w:tentative="0">
      <w:start w:val="1"/>
      <w:numFmt w:val="lowerRoman"/>
      <w:lvlText w:val="%3."/>
      <w:lvlJc w:val="right"/>
      <w:pPr>
        <w:tabs>
          <w:tab w:val="left" w:pos="2685"/>
        </w:tabs>
        <w:ind w:left="2685" w:hanging="420"/>
      </w:pPr>
    </w:lvl>
    <w:lvl w:ilvl="3" w:tentative="0">
      <w:start w:val="1"/>
      <w:numFmt w:val="decimal"/>
      <w:lvlText w:val="%4."/>
      <w:lvlJc w:val="left"/>
      <w:pPr>
        <w:tabs>
          <w:tab w:val="left" w:pos="3105"/>
        </w:tabs>
        <w:ind w:left="3105" w:hanging="420"/>
      </w:pPr>
    </w:lvl>
    <w:lvl w:ilvl="4" w:tentative="0">
      <w:start w:val="1"/>
      <w:numFmt w:val="lowerLetter"/>
      <w:lvlText w:val="%5)"/>
      <w:lvlJc w:val="left"/>
      <w:pPr>
        <w:tabs>
          <w:tab w:val="left" w:pos="3525"/>
        </w:tabs>
        <w:ind w:left="3525" w:hanging="420"/>
      </w:pPr>
    </w:lvl>
    <w:lvl w:ilvl="5" w:tentative="0">
      <w:start w:val="1"/>
      <w:numFmt w:val="lowerRoman"/>
      <w:lvlText w:val="%6."/>
      <w:lvlJc w:val="right"/>
      <w:pPr>
        <w:tabs>
          <w:tab w:val="left" w:pos="3945"/>
        </w:tabs>
        <w:ind w:left="3945" w:hanging="420"/>
      </w:pPr>
    </w:lvl>
    <w:lvl w:ilvl="6" w:tentative="0">
      <w:start w:val="1"/>
      <w:numFmt w:val="decimal"/>
      <w:lvlText w:val="%7."/>
      <w:lvlJc w:val="left"/>
      <w:pPr>
        <w:tabs>
          <w:tab w:val="left" w:pos="4365"/>
        </w:tabs>
        <w:ind w:left="4365" w:hanging="420"/>
      </w:pPr>
    </w:lvl>
    <w:lvl w:ilvl="7" w:tentative="0">
      <w:start w:val="1"/>
      <w:numFmt w:val="lowerLetter"/>
      <w:lvlText w:val="%8)"/>
      <w:lvlJc w:val="left"/>
      <w:pPr>
        <w:tabs>
          <w:tab w:val="left" w:pos="4785"/>
        </w:tabs>
        <w:ind w:left="4785" w:hanging="420"/>
      </w:pPr>
    </w:lvl>
    <w:lvl w:ilvl="8" w:tentative="0">
      <w:start w:val="1"/>
      <w:numFmt w:val="lowerRoman"/>
      <w:lvlText w:val="%9."/>
      <w:lvlJc w:val="right"/>
      <w:pPr>
        <w:tabs>
          <w:tab w:val="left" w:pos="5205"/>
        </w:tabs>
        <w:ind w:left="5205" w:hanging="420"/>
      </w:pPr>
    </w:lvl>
  </w:abstractNum>
  <w:abstractNum w:abstractNumId="36">
    <w:nsid w:val="443D2B39"/>
    <w:multiLevelType w:val="multilevel"/>
    <w:tmpl w:val="443D2B39"/>
    <w:lvl w:ilvl="0" w:tentative="0">
      <w:start w:val="1"/>
      <w:numFmt w:val="chineseCountingThousand"/>
      <w:lvlText w:val="%1、"/>
      <w:lvlJc w:val="left"/>
      <w:pPr>
        <w:ind w:left="1980" w:hanging="420"/>
      </w:pPr>
      <w:rPr>
        <w:rFonts w:hint="eastAsia" w:ascii="宋体" w:hAnsi="宋体" w:eastAsia="宋体"/>
        <w:i w:val="0"/>
        <w:sz w:val="28"/>
        <w:szCs w:val="28"/>
      </w:rPr>
    </w:lvl>
    <w:lvl w:ilvl="1" w:tentative="0">
      <w:start w:val="1"/>
      <w:numFmt w:val="lowerLetter"/>
      <w:lvlText w:val="%2)"/>
      <w:lvlJc w:val="left"/>
      <w:pPr>
        <w:ind w:left="1474" w:hanging="420"/>
      </w:pPr>
    </w:lvl>
    <w:lvl w:ilvl="2" w:tentative="0">
      <w:start w:val="1"/>
      <w:numFmt w:val="lowerRoman"/>
      <w:lvlText w:val="%3."/>
      <w:lvlJc w:val="right"/>
      <w:pPr>
        <w:ind w:left="1894" w:hanging="420"/>
      </w:pPr>
    </w:lvl>
    <w:lvl w:ilvl="3" w:tentative="0">
      <w:start w:val="1"/>
      <w:numFmt w:val="decimal"/>
      <w:lvlText w:val="%4."/>
      <w:lvlJc w:val="left"/>
      <w:pPr>
        <w:ind w:left="2314" w:hanging="420"/>
      </w:pPr>
    </w:lvl>
    <w:lvl w:ilvl="4" w:tentative="0">
      <w:start w:val="1"/>
      <w:numFmt w:val="lowerLetter"/>
      <w:lvlText w:val="%5)"/>
      <w:lvlJc w:val="left"/>
      <w:pPr>
        <w:ind w:left="2734" w:hanging="420"/>
      </w:pPr>
    </w:lvl>
    <w:lvl w:ilvl="5" w:tentative="0">
      <w:start w:val="1"/>
      <w:numFmt w:val="lowerRoman"/>
      <w:lvlText w:val="%6."/>
      <w:lvlJc w:val="right"/>
      <w:pPr>
        <w:ind w:left="3154" w:hanging="420"/>
      </w:pPr>
    </w:lvl>
    <w:lvl w:ilvl="6" w:tentative="0">
      <w:start w:val="1"/>
      <w:numFmt w:val="decimal"/>
      <w:lvlText w:val="%7."/>
      <w:lvlJc w:val="left"/>
      <w:pPr>
        <w:ind w:left="3574" w:hanging="420"/>
      </w:pPr>
    </w:lvl>
    <w:lvl w:ilvl="7" w:tentative="0">
      <w:start w:val="1"/>
      <w:numFmt w:val="lowerLetter"/>
      <w:lvlText w:val="%8)"/>
      <w:lvlJc w:val="left"/>
      <w:pPr>
        <w:ind w:left="3994" w:hanging="420"/>
      </w:pPr>
    </w:lvl>
    <w:lvl w:ilvl="8" w:tentative="0">
      <w:start w:val="1"/>
      <w:numFmt w:val="lowerRoman"/>
      <w:lvlText w:val="%9."/>
      <w:lvlJc w:val="right"/>
      <w:pPr>
        <w:ind w:left="4414" w:hanging="420"/>
      </w:pPr>
    </w:lvl>
  </w:abstractNum>
  <w:abstractNum w:abstractNumId="37">
    <w:nsid w:val="45B731EA"/>
    <w:multiLevelType w:val="multilevel"/>
    <w:tmpl w:val="45B731EA"/>
    <w:lvl w:ilvl="0" w:tentative="0">
      <w:start w:val="1"/>
      <w:numFmt w:val="chineseCountingThousand"/>
      <w:lvlText w:val="%1、"/>
      <w:lvlJc w:val="left"/>
      <w:pPr>
        <w:ind w:left="1004" w:hanging="420"/>
      </w:pPr>
    </w:lvl>
    <w:lvl w:ilvl="1" w:tentative="0">
      <w:start w:val="1"/>
      <w:numFmt w:val="lowerLetter"/>
      <w:lvlText w:val="%2)"/>
      <w:lvlJc w:val="left"/>
      <w:pPr>
        <w:ind w:left="1424" w:hanging="420"/>
      </w:pPr>
    </w:lvl>
    <w:lvl w:ilvl="2" w:tentative="0">
      <w:start w:val="1"/>
      <w:numFmt w:val="lowerRoman"/>
      <w:lvlText w:val="%3."/>
      <w:lvlJc w:val="right"/>
      <w:pPr>
        <w:ind w:left="1844" w:hanging="420"/>
      </w:pPr>
    </w:lvl>
    <w:lvl w:ilvl="3" w:tentative="0">
      <w:start w:val="1"/>
      <w:numFmt w:val="chineseCountingThousand"/>
      <w:lvlText w:val="%4、"/>
      <w:lvlJc w:val="left"/>
      <w:pPr>
        <w:ind w:left="2264" w:hanging="420"/>
      </w:pPr>
    </w:lvl>
    <w:lvl w:ilvl="4" w:tentative="0">
      <w:start w:val="1"/>
      <w:numFmt w:val="lowerLetter"/>
      <w:lvlText w:val="%5)"/>
      <w:lvlJc w:val="left"/>
      <w:pPr>
        <w:ind w:left="2684" w:hanging="420"/>
      </w:pPr>
    </w:lvl>
    <w:lvl w:ilvl="5" w:tentative="0">
      <w:start w:val="1"/>
      <w:numFmt w:val="lowerRoman"/>
      <w:lvlText w:val="%6."/>
      <w:lvlJc w:val="right"/>
      <w:pPr>
        <w:ind w:left="3104" w:hanging="420"/>
      </w:pPr>
    </w:lvl>
    <w:lvl w:ilvl="6" w:tentative="0">
      <w:start w:val="1"/>
      <w:numFmt w:val="decimal"/>
      <w:lvlText w:val="%7."/>
      <w:lvlJc w:val="left"/>
      <w:pPr>
        <w:ind w:left="3524" w:hanging="420"/>
      </w:pPr>
    </w:lvl>
    <w:lvl w:ilvl="7" w:tentative="0">
      <w:start w:val="1"/>
      <w:numFmt w:val="lowerLetter"/>
      <w:lvlText w:val="%8)"/>
      <w:lvlJc w:val="left"/>
      <w:pPr>
        <w:ind w:left="3944" w:hanging="420"/>
      </w:pPr>
    </w:lvl>
    <w:lvl w:ilvl="8" w:tentative="0">
      <w:start w:val="1"/>
      <w:numFmt w:val="lowerRoman"/>
      <w:lvlText w:val="%9."/>
      <w:lvlJc w:val="right"/>
      <w:pPr>
        <w:ind w:left="4364" w:hanging="420"/>
      </w:pPr>
    </w:lvl>
  </w:abstractNum>
  <w:abstractNum w:abstractNumId="38">
    <w:nsid w:val="484A0618"/>
    <w:multiLevelType w:val="multilevel"/>
    <w:tmpl w:val="484A0618"/>
    <w:lvl w:ilvl="0" w:tentative="0">
      <w:start w:val="1"/>
      <w:numFmt w:val="chineseCountingThousand"/>
      <w:lvlText w:val="(%1)"/>
      <w:lvlJc w:val="left"/>
      <w:pPr>
        <w:ind w:left="840" w:hanging="420"/>
      </w:pPr>
    </w:lvl>
    <w:lvl w:ilvl="1" w:tentative="0">
      <w:start w:val="1"/>
      <w:numFmt w:val="chineseCountingThousand"/>
      <w:lvlText w:val="(%2)"/>
      <w:lvlJc w:val="left"/>
      <w:pPr>
        <w:ind w:left="1260" w:hanging="420"/>
      </w:pPr>
      <w:rPr>
        <w:color w:val="auto"/>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9">
    <w:nsid w:val="4A222CFF"/>
    <w:multiLevelType w:val="multilevel"/>
    <w:tmpl w:val="4A222CFF"/>
    <w:lvl w:ilvl="0" w:tentative="0">
      <w:start w:val="1"/>
      <w:numFmt w:val="chineseCountingThousand"/>
      <w:lvlText w:val="%1、"/>
      <w:lvlJc w:val="left"/>
      <w:pPr>
        <w:ind w:left="980" w:hanging="420"/>
      </w:pPr>
      <w:rPr>
        <w:rFonts w:ascii="宋体" w:hAnsi="宋体" w:eastAsia="宋体"/>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0">
    <w:nsid w:val="4CC31705"/>
    <w:multiLevelType w:val="multilevel"/>
    <w:tmpl w:val="4CC31705"/>
    <w:lvl w:ilvl="0" w:tentative="0">
      <w:start w:val="1"/>
      <w:numFmt w:val="chineseCountingThousand"/>
      <w:lvlText w:val="%1、"/>
      <w:lvlJc w:val="left"/>
      <w:pPr>
        <w:ind w:left="988"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1">
    <w:nsid w:val="4D3C4E8D"/>
    <w:multiLevelType w:val="multilevel"/>
    <w:tmpl w:val="4D3C4E8D"/>
    <w:lvl w:ilvl="0" w:tentative="0">
      <w:start w:val="1"/>
      <w:numFmt w:val="chineseCountingThousand"/>
      <w:lvlText w:val="(%1)"/>
      <w:lvlJc w:val="left"/>
      <w:pPr>
        <w:tabs>
          <w:tab w:val="left" w:pos="846"/>
        </w:tabs>
        <w:ind w:left="846" w:hanging="420"/>
      </w:pPr>
    </w:lvl>
    <w:lvl w:ilvl="1" w:tentative="0">
      <w:start w:val="1"/>
      <w:numFmt w:val="lowerLetter"/>
      <w:lvlText w:val="%2)"/>
      <w:lvlJc w:val="left"/>
      <w:pPr>
        <w:tabs>
          <w:tab w:val="left" w:pos="1266"/>
        </w:tabs>
        <w:ind w:left="1266" w:hanging="420"/>
      </w:pPr>
    </w:lvl>
    <w:lvl w:ilvl="2" w:tentative="0">
      <w:start w:val="1"/>
      <w:numFmt w:val="lowerRoman"/>
      <w:lvlText w:val="%3."/>
      <w:lvlJc w:val="right"/>
      <w:pPr>
        <w:tabs>
          <w:tab w:val="left" w:pos="1686"/>
        </w:tabs>
        <w:ind w:left="1686" w:hanging="420"/>
      </w:pPr>
    </w:lvl>
    <w:lvl w:ilvl="3" w:tentative="0">
      <w:start w:val="1"/>
      <w:numFmt w:val="decimal"/>
      <w:lvlText w:val="%4."/>
      <w:lvlJc w:val="left"/>
      <w:pPr>
        <w:tabs>
          <w:tab w:val="left" w:pos="2106"/>
        </w:tabs>
        <w:ind w:left="2106" w:hanging="420"/>
      </w:pPr>
    </w:lvl>
    <w:lvl w:ilvl="4" w:tentative="0">
      <w:start w:val="1"/>
      <w:numFmt w:val="lowerLetter"/>
      <w:lvlText w:val="%5)"/>
      <w:lvlJc w:val="left"/>
      <w:pPr>
        <w:tabs>
          <w:tab w:val="left" w:pos="2526"/>
        </w:tabs>
        <w:ind w:left="2526" w:hanging="420"/>
      </w:pPr>
    </w:lvl>
    <w:lvl w:ilvl="5" w:tentative="0">
      <w:start w:val="1"/>
      <w:numFmt w:val="lowerRoman"/>
      <w:lvlText w:val="%6."/>
      <w:lvlJc w:val="right"/>
      <w:pPr>
        <w:tabs>
          <w:tab w:val="left" w:pos="2946"/>
        </w:tabs>
        <w:ind w:left="2946" w:hanging="420"/>
      </w:pPr>
    </w:lvl>
    <w:lvl w:ilvl="6" w:tentative="0">
      <w:start w:val="1"/>
      <w:numFmt w:val="decimal"/>
      <w:lvlText w:val="%7."/>
      <w:lvlJc w:val="left"/>
      <w:pPr>
        <w:tabs>
          <w:tab w:val="left" w:pos="3366"/>
        </w:tabs>
        <w:ind w:left="3366" w:hanging="420"/>
      </w:pPr>
    </w:lvl>
    <w:lvl w:ilvl="7" w:tentative="0">
      <w:start w:val="1"/>
      <w:numFmt w:val="lowerLetter"/>
      <w:lvlText w:val="%8)"/>
      <w:lvlJc w:val="left"/>
      <w:pPr>
        <w:tabs>
          <w:tab w:val="left" w:pos="3786"/>
        </w:tabs>
        <w:ind w:left="3786" w:hanging="420"/>
      </w:pPr>
    </w:lvl>
    <w:lvl w:ilvl="8" w:tentative="0">
      <w:start w:val="1"/>
      <w:numFmt w:val="lowerRoman"/>
      <w:lvlText w:val="%9."/>
      <w:lvlJc w:val="right"/>
      <w:pPr>
        <w:tabs>
          <w:tab w:val="left" w:pos="4206"/>
        </w:tabs>
        <w:ind w:left="4206" w:hanging="420"/>
      </w:pPr>
    </w:lvl>
  </w:abstractNum>
  <w:abstractNum w:abstractNumId="42">
    <w:nsid w:val="53F22A82"/>
    <w:multiLevelType w:val="multilevel"/>
    <w:tmpl w:val="53F22A82"/>
    <w:lvl w:ilvl="0" w:tentative="0">
      <w:start w:val="1"/>
      <w:numFmt w:val="chineseCountingThousand"/>
      <w:lvlText w:val="(%1)"/>
      <w:lvlJc w:val="left"/>
      <w:pPr>
        <w:ind w:left="900" w:hanging="420"/>
      </w:pPr>
      <w:rPr>
        <w:sz w:val="28"/>
        <w:szCs w:val="28"/>
      </w:rPr>
    </w:lvl>
    <w:lvl w:ilvl="1" w:tentative="0">
      <w:start w:val="1"/>
      <w:numFmt w:val="chineseCountingThousand"/>
      <w:lvlText w:val="(%2)"/>
      <w:lvlJc w:val="left"/>
      <w:pPr>
        <w:ind w:left="1320" w:hanging="420"/>
      </w:pPr>
      <w:rPr>
        <w:sz w:val="28"/>
        <w:szCs w:val="28"/>
      </w:rPr>
    </w:lvl>
    <w:lvl w:ilvl="2" w:tentative="0">
      <w:start w:val="1"/>
      <w:numFmt w:val="decimalEnclosedCircle"/>
      <w:lvlText w:val="%3"/>
      <w:lvlJc w:val="left"/>
      <w:pPr>
        <w:ind w:left="1680" w:hanging="360"/>
      </w:pPr>
      <w:rPr>
        <w:rFonts w:hint="eastAsia" w:ascii="宋体" w:hAnsi="Times New Roman" w:eastAsia="宋体" w:cs="Times New Roman"/>
      </w:r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3">
    <w:nsid w:val="54B8504E"/>
    <w:multiLevelType w:val="multilevel"/>
    <w:tmpl w:val="54B8504E"/>
    <w:lvl w:ilvl="0" w:tentative="0">
      <w:start w:val="1"/>
      <w:numFmt w:val="japaneseCounting"/>
      <w:lvlText w:val="（%1）"/>
      <w:lvlJc w:val="left"/>
      <w:pPr>
        <w:ind w:left="1404" w:hanging="855"/>
      </w:pPr>
      <w:rPr>
        <w:rFonts w:hint="default"/>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44">
    <w:nsid w:val="56C33A13"/>
    <w:multiLevelType w:val="multilevel"/>
    <w:tmpl w:val="56C33A13"/>
    <w:lvl w:ilvl="0" w:tentative="0">
      <w:start w:val="1"/>
      <w:numFmt w:val="chineseCountingThousand"/>
      <w:lvlText w:val="(%1)"/>
      <w:lvlJc w:val="left"/>
      <w:pPr>
        <w:ind w:left="420" w:hanging="420"/>
      </w:pPr>
      <w:rPr>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5">
    <w:nsid w:val="588F3FBC"/>
    <w:multiLevelType w:val="multilevel"/>
    <w:tmpl w:val="588F3FBC"/>
    <w:lvl w:ilvl="0" w:tentative="0">
      <w:start w:val="1"/>
      <w:numFmt w:val="chineseCountingThousand"/>
      <w:lvlText w:val="%1、"/>
      <w:lvlJc w:val="left"/>
      <w:pPr>
        <w:ind w:left="2831" w:hanging="420"/>
      </w:pPr>
      <w:rPr>
        <w:color w:val="auto"/>
      </w:rPr>
    </w:lvl>
    <w:lvl w:ilvl="1" w:tentative="0">
      <w:start w:val="1"/>
      <w:numFmt w:val="lowerLetter"/>
      <w:lvlText w:val="%2)"/>
      <w:lvlJc w:val="left"/>
      <w:pPr>
        <w:tabs>
          <w:tab w:val="left" w:pos="2265"/>
        </w:tabs>
        <w:ind w:left="2265" w:hanging="420"/>
      </w:pPr>
    </w:lvl>
    <w:lvl w:ilvl="2" w:tentative="0">
      <w:start w:val="1"/>
      <w:numFmt w:val="lowerRoman"/>
      <w:lvlText w:val="%3."/>
      <w:lvlJc w:val="right"/>
      <w:pPr>
        <w:tabs>
          <w:tab w:val="left" w:pos="2685"/>
        </w:tabs>
        <w:ind w:left="2685" w:hanging="420"/>
      </w:pPr>
    </w:lvl>
    <w:lvl w:ilvl="3" w:tentative="0">
      <w:start w:val="1"/>
      <w:numFmt w:val="decimal"/>
      <w:lvlText w:val="%4."/>
      <w:lvlJc w:val="left"/>
      <w:pPr>
        <w:tabs>
          <w:tab w:val="left" w:pos="3105"/>
        </w:tabs>
        <w:ind w:left="3105" w:hanging="420"/>
      </w:pPr>
    </w:lvl>
    <w:lvl w:ilvl="4" w:tentative="0">
      <w:start w:val="1"/>
      <w:numFmt w:val="lowerLetter"/>
      <w:lvlText w:val="%5)"/>
      <w:lvlJc w:val="left"/>
      <w:pPr>
        <w:tabs>
          <w:tab w:val="left" w:pos="3525"/>
        </w:tabs>
        <w:ind w:left="3525" w:hanging="420"/>
      </w:pPr>
    </w:lvl>
    <w:lvl w:ilvl="5" w:tentative="0">
      <w:start w:val="1"/>
      <w:numFmt w:val="lowerRoman"/>
      <w:lvlText w:val="%6."/>
      <w:lvlJc w:val="right"/>
      <w:pPr>
        <w:tabs>
          <w:tab w:val="left" w:pos="3945"/>
        </w:tabs>
        <w:ind w:left="3945" w:hanging="420"/>
      </w:pPr>
    </w:lvl>
    <w:lvl w:ilvl="6" w:tentative="0">
      <w:start w:val="1"/>
      <w:numFmt w:val="decimal"/>
      <w:lvlText w:val="%7."/>
      <w:lvlJc w:val="left"/>
      <w:pPr>
        <w:tabs>
          <w:tab w:val="left" w:pos="4365"/>
        </w:tabs>
        <w:ind w:left="4365" w:hanging="420"/>
      </w:pPr>
    </w:lvl>
    <w:lvl w:ilvl="7" w:tentative="0">
      <w:start w:val="1"/>
      <w:numFmt w:val="lowerLetter"/>
      <w:lvlText w:val="%8)"/>
      <w:lvlJc w:val="left"/>
      <w:pPr>
        <w:tabs>
          <w:tab w:val="left" w:pos="4785"/>
        </w:tabs>
        <w:ind w:left="4785" w:hanging="420"/>
      </w:pPr>
    </w:lvl>
    <w:lvl w:ilvl="8" w:tentative="0">
      <w:start w:val="1"/>
      <w:numFmt w:val="lowerRoman"/>
      <w:lvlText w:val="%9."/>
      <w:lvlJc w:val="right"/>
      <w:pPr>
        <w:tabs>
          <w:tab w:val="left" w:pos="5205"/>
        </w:tabs>
        <w:ind w:left="5205" w:hanging="420"/>
      </w:pPr>
    </w:lvl>
  </w:abstractNum>
  <w:abstractNum w:abstractNumId="46">
    <w:nsid w:val="58E76E2A"/>
    <w:multiLevelType w:val="multilevel"/>
    <w:tmpl w:val="58E76E2A"/>
    <w:lvl w:ilvl="0" w:tentative="0">
      <w:start w:val="1"/>
      <w:numFmt w:val="decimal"/>
      <w:lvlText w:val="%1."/>
      <w:lvlJc w:val="left"/>
      <w:pPr>
        <w:ind w:left="980" w:hanging="420"/>
      </w:pPr>
      <w:rPr>
        <w:rFonts w:hint="eastAsia"/>
      </w:rPr>
    </w:lvl>
    <w:lvl w:ilvl="1" w:tentative="0">
      <w:start w:val="1"/>
      <w:numFmt w:val="chineseCountingThousand"/>
      <w:lvlText w:val="%2、"/>
      <w:lvlJc w:val="left"/>
      <w:pPr>
        <w:ind w:left="1413" w:hanging="420"/>
      </w:pPr>
      <w:rPr>
        <w:rFonts w:hint="default"/>
      </w:rPr>
    </w:lvl>
    <w:lvl w:ilvl="2" w:tentative="0">
      <w:start w:val="1"/>
      <w:numFmt w:val="lowerRoman"/>
      <w:lvlText w:val="%3."/>
      <w:lvlJc w:val="right"/>
      <w:pPr>
        <w:ind w:left="1820" w:hanging="420"/>
      </w:pPr>
    </w:lvl>
    <w:lvl w:ilvl="3" w:tentative="0">
      <w:start w:val="1"/>
      <w:numFmt w:val="decimal"/>
      <w:lvlText w:val="%4．"/>
      <w:lvlJc w:val="left"/>
      <w:pPr>
        <w:ind w:left="502" w:hanging="360"/>
      </w:pPr>
      <w:rPr>
        <w:rFonts w:hint="default"/>
      </w:r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7">
    <w:nsid w:val="5A792747"/>
    <w:multiLevelType w:val="multilevel"/>
    <w:tmpl w:val="5A792747"/>
    <w:lvl w:ilvl="0" w:tentative="0">
      <w:start w:val="1"/>
      <w:numFmt w:val="chineseCountingThousand"/>
      <w:lvlText w:val="(%1)"/>
      <w:lvlJc w:val="left"/>
      <w:pPr>
        <w:ind w:left="928" w:hanging="360"/>
      </w:pPr>
      <w:rPr>
        <w:rFonts w:hint="default"/>
      </w:rPr>
    </w:lvl>
    <w:lvl w:ilvl="1" w:tentative="0">
      <w:start w:val="1"/>
      <w:numFmt w:val="lowerLetter"/>
      <w:lvlText w:val="%2)"/>
      <w:lvlJc w:val="left"/>
      <w:pPr>
        <w:ind w:left="1408" w:hanging="420"/>
      </w:pPr>
    </w:lvl>
    <w:lvl w:ilvl="2" w:tentative="0">
      <w:start w:val="1"/>
      <w:numFmt w:val="lowerRoman"/>
      <w:lvlText w:val="%3."/>
      <w:lvlJc w:val="right"/>
      <w:pPr>
        <w:ind w:left="1828" w:hanging="420"/>
      </w:pPr>
    </w:lvl>
    <w:lvl w:ilvl="3" w:tentative="0">
      <w:start w:val="1"/>
      <w:numFmt w:val="decimal"/>
      <w:lvlText w:val="%4."/>
      <w:lvlJc w:val="left"/>
      <w:pPr>
        <w:ind w:left="2248" w:hanging="420"/>
      </w:pPr>
    </w:lvl>
    <w:lvl w:ilvl="4" w:tentative="0">
      <w:start w:val="1"/>
      <w:numFmt w:val="lowerLetter"/>
      <w:lvlText w:val="%5)"/>
      <w:lvlJc w:val="left"/>
      <w:pPr>
        <w:ind w:left="2668" w:hanging="420"/>
      </w:pPr>
    </w:lvl>
    <w:lvl w:ilvl="5" w:tentative="0">
      <w:start w:val="1"/>
      <w:numFmt w:val="lowerRoman"/>
      <w:lvlText w:val="%6."/>
      <w:lvlJc w:val="right"/>
      <w:pPr>
        <w:ind w:left="3088" w:hanging="420"/>
      </w:pPr>
    </w:lvl>
    <w:lvl w:ilvl="6" w:tentative="0">
      <w:start w:val="1"/>
      <w:numFmt w:val="decimal"/>
      <w:lvlText w:val="%7."/>
      <w:lvlJc w:val="left"/>
      <w:pPr>
        <w:ind w:left="3508" w:hanging="420"/>
      </w:pPr>
    </w:lvl>
    <w:lvl w:ilvl="7" w:tentative="0">
      <w:start w:val="1"/>
      <w:numFmt w:val="lowerLetter"/>
      <w:lvlText w:val="%8)"/>
      <w:lvlJc w:val="left"/>
      <w:pPr>
        <w:ind w:left="3928" w:hanging="420"/>
      </w:pPr>
    </w:lvl>
    <w:lvl w:ilvl="8" w:tentative="0">
      <w:start w:val="1"/>
      <w:numFmt w:val="lowerRoman"/>
      <w:lvlText w:val="%9."/>
      <w:lvlJc w:val="right"/>
      <w:pPr>
        <w:ind w:left="4348" w:hanging="420"/>
      </w:pPr>
    </w:lvl>
  </w:abstractNum>
  <w:abstractNum w:abstractNumId="48">
    <w:nsid w:val="5C1C6488"/>
    <w:multiLevelType w:val="multilevel"/>
    <w:tmpl w:val="5C1C6488"/>
    <w:lvl w:ilvl="0" w:tentative="0">
      <w:start w:val="1"/>
      <w:numFmt w:val="chineseCountingThousand"/>
      <w:lvlText w:val="(%1)"/>
      <w:lvlJc w:val="left"/>
      <w:pPr>
        <w:ind w:left="986" w:hanging="420"/>
      </w:pPr>
    </w:lvl>
    <w:lvl w:ilvl="1" w:tentative="0">
      <w:start w:val="1"/>
      <w:numFmt w:val="chineseCountingThousand"/>
      <w:lvlText w:val="(%2)"/>
      <w:lvlJc w:val="left"/>
      <w:pPr>
        <w:ind w:left="2547" w:hanging="420"/>
      </w:pPr>
      <w:rPr>
        <w:rFonts w:ascii="宋体" w:hAnsi="宋体" w:eastAsia="宋体"/>
        <w:color w:val="auto"/>
      </w:rPr>
    </w:lvl>
    <w:lvl w:ilvl="2" w:tentative="0">
      <w:start w:val="1"/>
      <w:numFmt w:val="decimalEnclosedFullstop"/>
      <w:lvlText w:val="%3"/>
      <w:lvlJc w:val="left"/>
      <w:pPr>
        <w:ind w:left="1766" w:hanging="360"/>
      </w:pPr>
      <w:rPr>
        <w:rFonts w:hint="default"/>
      </w:r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49">
    <w:nsid w:val="5F143CBF"/>
    <w:multiLevelType w:val="multilevel"/>
    <w:tmpl w:val="5F143CBF"/>
    <w:lvl w:ilvl="0" w:tentative="0">
      <w:start w:val="1"/>
      <w:numFmt w:val="chineseCountingThousand"/>
      <w:lvlText w:val="(%1)"/>
      <w:lvlJc w:val="left"/>
      <w:pPr>
        <w:ind w:left="1004" w:hanging="420"/>
      </w:pPr>
    </w:lvl>
    <w:lvl w:ilvl="1" w:tentative="0">
      <w:start w:val="1"/>
      <w:numFmt w:val="lowerLetter"/>
      <w:lvlText w:val="%2)"/>
      <w:lvlJc w:val="left"/>
      <w:pPr>
        <w:ind w:left="1424" w:hanging="420"/>
      </w:pPr>
    </w:lvl>
    <w:lvl w:ilvl="2" w:tentative="0">
      <w:start w:val="1"/>
      <w:numFmt w:val="japaneseCounting"/>
      <w:lvlText w:val="%3、"/>
      <w:lvlJc w:val="left"/>
      <w:pPr>
        <w:ind w:left="2432" w:hanging="1008"/>
      </w:pPr>
      <w:rPr>
        <w:rFonts w:hint="default"/>
      </w:rPr>
    </w:lvl>
    <w:lvl w:ilvl="3" w:tentative="0">
      <w:start w:val="1"/>
      <w:numFmt w:val="decimal"/>
      <w:lvlText w:val="%4."/>
      <w:lvlJc w:val="left"/>
      <w:pPr>
        <w:ind w:left="2264" w:hanging="420"/>
      </w:pPr>
    </w:lvl>
    <w:lvl w:ilvl="4" w:tentative="0">
      <w:start w:val="1"/>
      <w:numFmt w:val="lowerLetter"/>
      <w:lvlText w:val="%5)"/>
      <w:lvlJc w:val="left"/>
      <w:pPr>
        <w:ind w:left="2684" w:hanging="420"/>
      </w:pPr>
    </w:lvl>
    <w:lvl w:ilvl="5" w:tentative="0">
      <w:start w:val="1"/>
      <w:numFmt w:val="lowerRoman"/>
      <w:lvlText w:val="%6."/>
      <w:lvlJc w:val="right"/>
      <w:pPr>
        <w:ind w:left="3104" w:hanging="420"/>
      </w:pPr>
    </w:lvl>
    <w:lvl w:ilvl="6" w:tentative="0">
      <w:start w:val="1"/>
      <w:numFmt w:val="decimal"/>
      <w:lvlText w:val="%7."/>
      <w:lvlJc w:val="left"/>
      <w:pPr>
        <w:ind w:left="3524" w:hanging="420"/>
      </w:pPr>
    </w:lvl>
    <w:lvl w:ilvl="7" w:tentative="0">
      <w:start w:val="1"/>
      <w:numFmt w:val="lowerLetter"/>
      <w:lvlText w:val="%8)"/>
      <w:lvlJc w:val="left"/>
      <w:pPr>
        <w:ind w:left="3944" w:hanging="420"/>
      </w:pPr>
    </w:lvl>
    <w:lvl w:ilvl="8" w:tentative="0">
      <w:start w:val="1"/>
      <w:numFmt w:val="lowerRoman"/>
      <w:lvlText w:val="%9."/>
      <w:lvlJc w:val="right"/>
      <w:pPr>
        <w:ind w:left="4364" w:hanging="420"/>
      </w:pPr>
    </w:lvl>
  </w:abstractNum>
  <w:abstractNum w:abstractNumId="50">
    <w:nsid w:val="5F191BD6"/>
    <w:multiLevelType w:val="multilevel"/>
    <w:tmpl w:val="5F191BD6"/>
    <w:lvl w:ilvl="0" w:tentative="0">
      <w:start w:val="1"/>
      <w:numFmt w:val="chineseCountingThousand"/>
      <w:lvlText w:val="%1、"/>
      <w:lvlJc w:val="left"/>
      <w:pPr>
        <w:ind w:left="846" w:hanging="420"/>
      </w:pPr>
      <w:rPr>
        <w:color w:val="auto"/>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51">
    <w:nsid w:val="5F644052"/>
    <w:multiLevelType w:val="multilevel"/>
    <w:tmpl w:val="5F644052"/>
    <w:lvl w:ilvl="0" w:tentative="0">
      <w:start w:val="1"/>
      <w:numFmt w:val="chineseCountingThousand"/>
      <w:lvlText w:val="(%1)"/>
      <w:lvlJc w:val="left"/>
      <w:pPr>
        <w:ind w:left="980" w:hanging="420"/>
      </w:pPr>
      <w:rPr>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2">
    <w:nsid w:val="60642B38"/>
    <w:multiLevelType w:val="multilevel"/>
    <w:tmpl w:val="60642B38"/>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53">
    <w:nsid w:val="61780E46"/>
    <w:multiLevelType w:val="multilevel"/>
    <w:tmpl w:val="61780E46"/>
    <w:lvl w:ilvl="0" w:tentative="0">
      <w:start w:val="1"/>
      <w:numFmt w:val="japaneseCounting"/>
      <w:lvlText w:val="%1、"/>
      <w:lvlJc w:val="left"/>
      <w:pPr>
        <w:ind w:left="2000" w:hanging="720"/>
      </w:pPr>
      <w:rPr>
        <w:rFonts w:hint="default"/>
      </w:rPr>
    </w:lvl>
    <w:lvl w:ilvl="1" w:tentative="0">
      <w:start w:val="1"/>
      <w:numFmt w:val="lowerLetter"/>
      <w:lvlText w:val="%2)"/>
      <w:lvlJc w:val="left"/>
      <w:pPr>
        <w:ind w:left="2120" w:hanging="420"/>
      </w:pPr>
    </w:lvl>
    <w:lvl w:ilvl="2" w:tentative="0">
      <w:start w:val="1"/>
      <w:numFmt w:val="japaneseCounting"/>
      <w:lvlText w:val="（%3）"/>
      <w:lvlJc w:val="left"/>
      <w:pPr>
        <w:ind w:left="2975" w:hanging="855"/>
      </w:pPr>
      <w:rPr>
        <w:rFonts w:hint="default"/>
      </w:rPr>
    </w:lvl>
    <w:lvl w:ilvl="3" w:tentative="0">
      <w:start w:val="1"/>
      <w:numFmt w:val="decimal"/>
      <w:lvlText w:val="%4."/>
      <w:lvlJc w:val="left"/>
      <w:pPr>
        <w:ind w:left="2960" w:hanging="420"/>
      </w:pPr>
    </w:lvl>
    <w:lvl w:ilvl="4" w:tentative="0">
      <w:start w:val="1"/>
      <w:numFmt w:val="lowerLetter"/>
      <w:lvlText w:val="%5)"/>
      <w:lvlJc w:val="left"/>
      <w:pPr>
        <w:ind w:left="3380" w:hanging="420"/>
      </w:pPr>
    </w:lvl>
    <w:lvl w:ilvl="5" w:tentative="0">
      <w:start w:val="1"/>
      <w:numFmt w:val="lowerRoman"/>
      <w:lvlText w:val="%6."/>
      <w:lvlJc w:val="right"/>
      <w:pPr>
        <w:ind w:left="3800" w:hanging="420"/>
      </w:pPr>
    </w:lvl>
    <w:lvl w:ilvl="6" w:tentative="0">
      <w:start w:val="1"/>
      <w:numFmt w:val="decimal"/>
      <w:lvlText w:val="%7."/>
      <w:lvlJc w:val="left"/>
      <w:pPr>
        <w:ind w:left="4220" w:hanging="420"/>
      </w:pPr>
    </w:lvl>
    <w:lvl w:ilvl="7" w:tentative="0">
      <w:start w:val="1"/>
      <w:numFmt w:val="lowerLetter"/>
      <w:lvlText w:val="%8)"/>
      <w:lvlJc w:val="left"/>
      <w:pPr>
        <w:ind w:left="4640" w:hanging="420"/>
      </w:pPr>
    </w:lvl>
    <w:lvl w:ilvl="8" w:tentative="0">
      <w:start w:val="1"/>
      <w:numFmt w:val="lowerRoman"/>
      <w:lvlText w:val="%9."/>
      <w:lvlJc w:val="right"/>
      <w:pPr>
        <w:ind w:left="5060" w:hanging="420"/>
      </w:pPr>
    </w:lvl>
  </w:abstractNum>
  <w:abstractNum w:abstractNumId="54">
    <w:nsid w:val="61C76959"/>
    <w:multiLevelType w:val="multilevel"/>
    <w:tmpl w:val="61C76959"/>
    <w:lvl w:ilvl="0" w:tentative="0">
      <w:start w:val="1"/>
      <w:numFmt w:val="chineseCountingThousand"/>
      <w:lvlText w:val="%1、"/>
      <w:lvlJc w:val="left"/>
      <w:pPr>
        <w:ind w:left="2264" w:hanging="420"/>
      </w:pPr>
      <w:rPr>
        <w:color w:val="auto"/>
        <w:lang w:val="en-US"/>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5">
    <w:nsid w:val="638064AA"/>
    <w:multiLevelType w:val="multilevel"/>
    <w:tmpl w:val="638064AA"/>
    <w:lvl w:ilvl="0" w:tentative="0">
      <w:start w:val="1"/>
      <w:numFmt w:val="japaneseCounting"/>
      <w:lvlText w:val="%1、"/>
      <w:lvlJc w:val="left"/>
      <w:pPr>
        <w:ind w:left="1856"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56">
    <w:nsid w:val="63993E75"/>
    <w:multiLevelType w:val="multilevel"/>
    <w:tmpl w:val="63993E75"/>
    <w:lvl w:ilvl="0" w:tentative="0">
      <w:start w:val="1"/>
      <w:numFmt w:val="japaneseCounting"/>
      <w:lvlText w:val="（%1）"/>
      <w:lvlJc w:val="left"/>
      <w:pPr>
        <w:ind w:left="1415" w:hanging="855"/>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7">
    <w:nsid w:val="74C1646E"/>
    <w:multiLevelType w:val="multilevel"/>
    <w:tmpl w:val="74C1646E"/>
    <w:lvl w:ilvl="0" w:tentative="0">
      <w:start w:val="1"/>
      <w:numFmt w:val="chineseCountingThousand"/>
      <w:lvlText w:val="%1、"/>
      <w:lvlJc w:val="left"/>
      <w:pPr>
        <w:ind w:left="986" w:hanging="420"/>
      </w:pPr>
      <w:rPr>
        <w:color w:val="auto"/>
      </w:r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58">
    <w:nsid w:val="76475011"/>
    <w:multiLevelType w:val="multilevel"/>
    <w:tmpl w:val="76475011"/>
    <w:lvl w:ilvl="0" w:tentative="0">
      <w:start w:val="1"/>
      <w:numFmt w:val="chineseCountingThousand"/>
      <w:lvlText w:val="(%1)"/>
      <w:lvlJc w:val="left"/>
      <w:pPr>
        <w:tabs>
          <w:tab w:val="left" w:pos="5949"/>
        </w:tabs>
        <w:ind w:left="5949" w:hanging="420"/>
      </w:pPr>
    </w:lvl>
    <w:lvl w:ilvl="1" w:tentative="0">
      <w:start w:val="1"/>
      <w:numFmt w:val="lowerLetter"/>
      <w:lvlText w:val="%2)"/>
      <w:lvlJc w:val="left"/>
      <w:pPr>
        <w:tabs>
          <w:tab w:val="left" w:pos="6532"/>
        </w:tabs>
        <w:ind w:left="6532" w:hanging="420"/>
      </w:pPr>
    </w:lvl>
    <w:lvl w:ilvl="2" w:tentative="0">
      <w:start w:val="1"/>
      <w:numFmt w:val="lowerRoman"/>
      <w:lvlText w:val="%3."/>
      <w:lvlJc w:val="right"/>
      <w:pPr>
        <w:tabs>
          <w:tab w:val="left" w:pos="6952"/>
        </w:tabs>
        <w:ind w:left="6952" w:hanging="420"/>
      </w:pPr>
    </w:lvl>
    <w:lvl w:ilvl="3" w:tentative="0">
      <w:start w:val="1"/>
      <w:numFmt w:val="decimal"/>
      <w:lvlText w:val="%4."/>
      <w:lvlJc w:val="left"/>
      <w:pPr>
        <w:tabs>
          <w:tab w:val="left" w:pos="7372"/>
        </w:tabs>
        <w:ind w:left="7372" w:hanging="420"/>
      </w:pPr>
    </w:lvl>
    <w:lvl w:ilvl="4" w:tentative="0">
      <w:start w:val="1"/>
      <w:numFmt w:val="lowerLetter"/>
      <w:lvlText w:val="%5)"/>
      <w:lvlJc w:val="left"/>
      <w:pPr>
        <w:tabs>
          <w:tab w:val="left" w:pos="7792"/>
        </w:tabs>
        <w:ind w:left="7792" w:hanging="420"/>
      </w:pPr>
    </w:lvl>
    <w:lvl w:ilvl="5" w:tentative="0">
      <w:start w:val="1"/>
      <w:numFmt w:val="lowerRoman"/>
      <w:lvlText w:val="%6."/>
      <w:lvlJc w:val="right"/>
      <w:pPr>
        <w:tabs>
          <w:tab w:val="left" w:pos="8212"/>
        </w:tabs>
        <w:ind w:left="8212" w:hanging="420"/>
      </w:pPr>
    </w:lvl>
    <w:lvl w:ilvl="6" w:tentative="0">
      <w:start w:val="1"/>
      <w:numFmt w:val="decimal"/>
      <w:lvlText w:val="%7."/>
      <w:lvlJc w:val="left"/>
      <w:pPr>
        <w:tabs>
          <w:tab w:val="left" w:pos="8632"/>
        </w:tabs>
        <w:ind w:left="8632" w:hanging="420"/>
      </w:pPr>
    </w:lvl>
    <w:lvl w:ilvl="7" w:tentative="0">
      <w:start w:val="1"/>
      <w:numFmt w:val="lowerLetter"/>
      <w:lvlText w:val="%8)"/>
      <w:lvlJc w:val="left"/>
      <w:pPr>
        <w:tabs>
          <w:tab w:val="left" w:pos="9052"/>
        </w:tabs>
        <w:ind w:left="9052" w:hanging="420"/>
      </w:pPr>
    </w:lvl>
    <w:lvl w:ilvl="8" w:tentative="0">
      <w:start w:val="1"/>
      <w:numFmt w:val="lowerRoman"/>
      <w:lvlText w:val="%9."/>
      <w:lvlJc w:val="right"/>
      <w:pPr>
        <w:tabs>
          <w:tab w:val="left" w:pos="9472"/>
        </w:tabs>
        <w:ind w:left="9472" w:hanging="420"/>
      </w:pPr>
    </w:lvl>
  </w:abstractNum>
  <w:abstractNum w:abstractNumId="59">
    <w:nsid w:val="77D85A8A"/>
    <w:multiLevelType w:val="multilevel"/>
    <w:tmpl w:val="77D85A8A"/>
    <w:lvl w:ilvl="0" w:tentative="0">
      <w:start w:val="1"/>
      <w:numFmt w:val="chineseCountingThousand"/>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0">
    <w:nsid w:val="7B652295"/>
    <w:multiLevelType w:val="multilevel"/>
    <w:tmpl w:val="7B652295"/>
    <w:lvl w:ilvl="0" w:tentative="0">
      <w:start w:val="1"/>
      <w:numFmt w:val="chineseCountingThousand"/>
      <w:lvlText w:val="(%1)"/>
      <w:lvlJc w:val="left"/>
      <w:pPr>
        <w:ind w:left="988" w:hanging="420"/>
      </w:pPr>
    </w:lvl>
    <w:lvl w:ilvl="1" w:tentative="0">
      <w:start w:val="1"/>
      <w:numFmt w:val="lowerLetter"/>
      <w:lvlText w:val="%2)"/>
      <w:lvlJc w:val="left"/>
      <w:pPr>
        <w:ind w:left="1397" w:hanging="420"/>
      </w:pPr>
    </w:lvl>
    <w:lvl w:ilvl="2" w:tentative="0">
      <w:start w:val="1"/>
      <w:numFmt w:val="lowerRoman"/>
      <w:lvlText w:val="%3."/>
      <w:lvlJc w:val="right"/>
      <w:pPr>
        <w:ind w:left="1817" w:hanging="420"/>
      </w:pPr>
    </w:lvl>
    <w:lvl w:ilvl="3" w:tentative="0">
      <w:start w:val="1"/>
      <w:numFmt w:val="decimal"/>
      <w:lvlText w:val="%4."/>
      <w:lvlJc w:val="left"/>
      <w:pPr>
        <w:ind w:left="2237" w:hanging="420"/>
      </w:pPr>
    </w:lvl>
    <w:lvl w:ilvl="4" w:tentative="0">
      <w:start w:val="1"/>
      <w:numFmt w:val="lowerLetter"/>
      <w:lvlText w:val="%5)"/>
      <w:lvlJc w:val="left"/>
      <w:pPr>
        <w:ind w:left="2657" w:hanging="420"/>
      </w:pPr>
    </w:lvl>
    <w:lvl w:ilvl="5" w:tentative="0">
      <w:start w:val="1"/>
      <w:numFmt w:val="lowerRoman"/>
      <w:lvlText w:val="%6."/>
      <w:lvlJc w:val="right"/>
      <w:pPr>
        <w:ind w:left="3077" w:hanging="420"/>
      </w:pPr>
    </w:lvl>
    <w:lvl w:ilvl="6" w:tentative="0">
      <w:start w:val="1"/>
      <w:numFmt w:val="decimal"/>
      <w:lvlText w:val="%7."/>
      <w:lvlJc w:val="left"/>
      <w:pPr>
        <w:ind w:left="3497" w:hanging="420"/>
      </w:pPr>
    </w:lvl>
    <w:lvl w:ilvl="7" w:tentative="0">
      <w:start w:val="1"/>
      <w:numFmt w:val="lowerLetter"/>
      <w:lvlText w:val="%8)"/>
      <w:lvlJc w:val="left"/>
      <w:pPr>
        <w:ind w:left="3917" w:hanging="420"/>
      </w:pPr>
    </w:lvl>
    <w:lvl w:ilvl="8" w:tentative="0">
      <w:start w:val="1"/>
      <w:numFmt w:val="lowerRoman"/>
      <w:lvlText w:val="%9."/>
      <w:lvlJc w:val="right"/>
      <w:pPr>
        <w:ind w:left="4337" w:hanging="420"/>
      </w:pPr>
    </w:lvl>
  </w:abstractNum>
  <w:num w:numId="1">
    <w:abstractNumId w:val="7"/>
  </w:num>
  <w:num w:numId="2">
    <w:abstractNumId w:val="20"/>
  </w:num>
  <w:num w:numId="3">
    <w:abstractNumId w:val="58"/>
  </w:num>
  <w:num w:numId="4">
    <w:abstractNumId w:val="14"/>
  </w:num>
  <w:num w:numId="5">
    <w:abstractNumId w:val="47"/>
  </w:num>
  <w:num w:numId="6">
    <w:abstractNumId w:val="43"/>
  </w:num>
  <w:num w:numId="7">
    <w:abstractNumId w:val="6"/>
  </w:num>
  <w:num w:numId="8">
    <w:abstractNumId w:val="30"/>
  </w:num>
  <w:num w:numId="9">
    <w:abstractNumId w:val="59"/>
  </w:num>
  <w:num w:numId="10">
    <w:abstractNumId w:val="46"/>
  </w:num>
  <w:num w:numId="11">
    <w:abstractNumId w:val="3"/>
  </w:num>
  <w:num w:numId="12">
    <w:abstractNumId w:val="16"/>
  </w:num>
  <w:num w:numId="13">
    <w:abstractNumId w:val="18"/>
  </w:num>
  <w:num w:numId="14">
    <w:abstractNumId w:val="44"/>
  </w:num>
  <w:num w:numId="15">
    <w:abstractNumId w:val="22"/>
  </w:num>
  <w:num w:numId="16">
    <w:abstractNumId w:val="26"/>
  </w:num>
  <w:num w:numId="17">
    <w:abstractNumId w:val="50"/>
  </w:num>
  <w:num w:numId="18">
    <w:abstractNumId w:val="27"/>
  </w:num>
  <w:num w:numId="19">
    <w:abstractNumId w:val="8"/>
  </w:num>
  <w:num w:numId="20">
    <w:abstractNumId w:val="57"/>
  </w:num>
  <w:num w:numId="21">
    <w:abstractNumId w:val="5"/>
  </w:num>
  <w:num w:numId="2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2"/>
  </w:num>
  <w:num w:numId="25">
    <w:abstractNumId w:val="39"/>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3"/>
  </w:num>
  <w:num w:numId="28">
    <w:abstractNumId w:val="34"/>
  </w:num>
  <w:num w:numId="29">
    <w:abstractNumId w:val="1"/>
  </w:num>
  <w:num w:numId="30">
    <w:abstractNumId w:val="4"/>
  </w:num>
  <w:num w:numId="31">
    <w:abstractNumId w:val="0"/>
  </w:num>
  <w:num w:numId="32">
    <w:abstractNumId w:val="55"/>
  </w:num>
  <w:num w:numId="33">
    <w:abstractNumId w:val="38"/>
  </w:num>
  <w:num w:numId="34">
    <w:abstractNumId w:val="48"/>
  </w:num>
  <w:num w:numId="35">
    <w:abstractNumId w:val="24"/>
  </w:num>
  <w:num w:numId="36">
    <w:abstractNumId w:val="37"/>
  </w:num>
  <w:num w:numId="37">
    <w:abstractNumId w:val="49"/>
  </w:num>
  <w:num w:numId="38">
    <w:abstractNumId w:val="54"/>
  </w:num>
  <w:num w:numId="39">
    <w:abstractNumId w:val="11"/>
  </w:num>
  <w:num w:numId="40">
    <w:abstractNumId w:val="17"/>
  </w:num>
  <w:num w:numId="41">
    <w:abstractNumId w:val="9"/>
  </w:num>
  <w:num w:numId="42">
    <w:abstractNumId w:val="42"/>
  </w:num>
  <w:num w:numId="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5"/>
  </w:num>
  <w:num w:numId="45">
    <w:abstractNumId w:val="23"/>
  </w:num>
  <w:num w:numId="46">
    <w:abstractNumId w:val="51"/>
  </w:num>
  <w:num w:numId="47">
    <w:abstractNumId w:val="15"/>
  </w:num>
  <w:num w:numId="48">
    <w:abstractNumId w:val="29"/>
  </w:num>
  <w:num w:numId="49">
    <w:abstractNumId w:val="53"/>
  </w:num>
  <w:num w:numId="50">
    <w:abstractNumId w:val="36"/>
  </w:num>
  <w:num w:numId="51">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1"/>
  </w:num>
  <w:num w:numId="5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5"/>
  </w:num>
  <w:num w:numId="5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5"/>
  </w:num>
  <w:num w:numId="5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31"/>
  </w:num>
  <w:num w:numId="5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5"/>
  <w:bordersDoNotSurroundHeader w:val="0"/>
  <w:bordersDoNotSurroundFooter w:val="0"/>
  <w:trackRevisions w:val="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KGWebUrl" w:val="https://portal.cdggzy.com/iWebOffice2015/OfficeHandler.ashx?directory=/CgProject/BidFile/File/%e6%88%90%e9%83%bd%e5%b8%82%e6%94%bf%e9%87%87%e6%8b%9b%e3%80%942021%e3%80%95006%e5%8f%b7/"/>
  </w:docVars>
  <w:rsids>
    <w:rsidRoot w:val="001C66BE"/>
    <w:rsid w:val="000022BB"/>
    <w:rsid w:val="0000402B"/>
    <w:rsid w:val="00025699"/>
    <w:rsid w:val="00055B3A"/>
    <w:rsid w:val="000605B7"/>
    <w:rsid w:val="000800EF"/>
    <w:rsid w:val="00090BA6"/>
    <w:rsid w:val="000B2FA4"/>
    <w:rsid w:val="000C4C74"/>
    <w:rsid w:val="000C5490"/>
    <w:rsid w:val="000C6CE2"/>
    <w:rsid w:val="000E65EA"/>
    <w:rsid w:val="000F4809"/>
    <w:rsid w:val="000F6B7C"/>
    <w:rsid w:val="00114B69"/>
    <w:rsid w:val="00134EB4"/>
    <w:rsid w:val="00136D53"/>
    <w:rsid w:val="001415FC"/>
    <w:rsid w:val="00154EA1"/>
    <w:rsid w:val="00197B45"/>
    <w:rsid w:val="001A07E3"/>
    <w:rsid w:val="001C15B6"/>
    <w:rsid w:val="001C66BE"/>
    <w:rsid w:val="001D1EAF"/>
    <w:rsid w:val="001F2DA3"/>
    <w:rsid w:val="00205A63"/>
    <w:rsid w:val="0021110B"/>
    <w:rsid w:val="00211D04"/>
    <w:rsid w:val="0021584A"/>
    <w:rsid w:val="0023687E"/>
    <w:rsid w:val="002619C0"/>
    <w:rsid w:val="00262C45"/>
    <w:rsid w:val="0028699C"/>
    <w:rsid w:val="002D0C65"/>
    <w:rsid w:val="002D160A"/>
    <w:rsid w:val="002D5D94"/>
    <w:rsid w:val="002E56D2"/>
    <w:rsid w:val="0031657A"/>
    <w:rsid w:val="00365C5B"/>
    <w:rsid w:val="00366676"/>
    <w:rsid w:val="0037555F"/>
    <w:rsid w:val="00394685"/>
    <w:rsid w:val="003A549F"/>
    <w:rsid w:val="003C0D99"/>
    <w:rsid w:val="003C1B31"/>
    <w:rsid w:val="003D590F"/>
    <w:rsid w:val="003D798F"/>
    <w:rsid w:val="0040670A"/>
    <w:rsid w:val="004212EA"/>
    <w:rsid w:val="00423109"/>
    <w:rsid w:val="00453C58"/>
    <w:rsid w:val="0045562D"/>
    <w:rsid w:val="0047395B"/>
    <w:rsid w:val="00475776"/>
    <w:rsid w:val="00495E22"/>
    <w:rsid w:val="00495E4F"/>
    <w:rsid w:val="00497260"/>
    <w:rsid w:val="004B053A"/>
    <w:rsid w:val="004B4C27"/>
    <w:rsid w:val="004B77FE"/>
    <w:rsid w:val="004C5C1A"/>
    <w:rsid w:val="004D56B9"/>
    <w:rsid w:val="004F508C"/>
    <w:rsid w:val="004F7EE8"/>
    <w:rsid w:val="00534A7E"/>
    <w:rsid w:val="0054488D"/>
    <w:rsid w:val="00545DE6"/>
    <w:rsid w:val="00550B07"/>
    <w:rsid w:val="00551B71"/>
    <w:rsid w:val="005634B1"/>
    <w:rsid w:val="00576299"/>
    <w:rsid w:val="00596989"/>
    <w:rsid w:val="005A3991"/>
    <w:rsid w:val="005A427B"/>
    <w:rsid w:val="005A53A8"/>
    <w:rsid w:val="005B4FD3"/>
    <w:rsid w:val="005D0E78"/>
    <w:rsid w:val="005E1BD1"/>
    <w:rsid w:val="005E3AFD"/>
    <w:rsid w:val="005F320F"/>
    <w:rsid w:val="00611BF3"/>
    <w:rsid w:val="006126A5"/>
    <w:rsid w:val="00635038"/>
    <w:rsid w:val="00641F64"/>
    <w:rsid w:val="006455C8"/>
    <w:rsid w:val="006616C4"/>
    <w:rsid w:val="0066449E"/>
    <w:rsid w:val="00667360"/>
    <w:rsid w:val="00670CDC"/>
    <w:rsid w:val="00675A16"/>
    <w:rsid w:val="00676040"/>
    <w:rsid w:val="00694460"/>
    <w:rsid w:val="006A2EF7"/>
    <w:rsid w:val="006C1F55"/>
    <w:rsid w:val="006D6CF6"/>
    <w:rsid w:val="00705937"/>
    <w:rsid w:val="00727809"/>
    <w:rsid w:val="00727B7C"/>
    <w:rsid w:val="0075399D"/>
    <w:rsid w:val="00760F65"/>
    <w:rsid w:val="007627EB"/>
    <w:rsid w:val="00767686"/>
    <w:rsid w:val="0077444D"/>
    <w:rsid w:val="00780349"/>
    <w:rsid w:val="007A48BC"/>
    <w:rsid w:val="007A5DA1"/>
    <w:rsid w:val="007B16B7"/>
    <w:rsid w:val="007B2356"/>
    <w:rsid w:val="007B7306"/>
    <w:rsid w:val="007C73FF"/>
    <w:rsid w:val="007D38CA"/>
    <w:rsid w:val="007D6A85"/>
    <w:rsid w:val="00843959"/>
    <w:rsid w:val="00853161"/>
    <w:rsid w:val="008535E1"/>
    <w:rsid w:val="00862422"/>
    <w:rsid w:val="00871E3A"/>
    <w:rsid w:val="00875944"/>
    <w:rsid w:val="00887F2C"/>
    <w:rsid w:val="008A65FB"/>
    <w:rsid w:val="008B032E"/>
    <w:rsid w:val="008B472D"/>
    <w:rsid w:val="008C76D8"/>
    <w:rsid w:val="00912B15"/>
    <w:rsid w:val="0092448C"/>
    <w:rsid w:val="00924EB7"/>
    <w:rsid w:val="00946DC1"/>
    <w:rsid w:val="009623F1"/>
    <w:rsid w:val="00981D11"/>
    <w:rsid w:val="00984181"/>
    <w:rsid w:val="009B2BA5"/>
    <w:rsid w:val="009B533B"/>
    <w:rsid w:val="009F0A01"/>
    <w:rsid w:val="00A0066D"/>
    <w:rsid w:val="00A126F3"/>
    <w:rsid w:val="00A33CE8"/>
    <w:rsid w:val="00A3552C"/>
    <w:rsid w:val="00A360C1"/>
    <w:rsid w:val="00A44299"/>
    <w:rsid w:val="00A67ECD"/>
    <w:rsid w:val="00A768B6"/>
    <w:rsid w:val="00A928E9"/>
    <w:rsid w:val="00AB2F81"/>
    <w:rsid w:val="00AB6DFB"/>
    <w:rsid w:val="00AC1469"/>
    <w:rsid w:val="00AF3B32"/>
    <w:rsid w:val="00AF7B4C"/>
    <w:rsid w:val="00B06C14"/>
    <w:rsid w:val="00B254FF"/>
    <w:rsid w:val="00B35130"/>
    <w:rsid w:val="00B4323E"/>
    <w:rsid w:val="00B57B42"/>
    <w:rsid w:val="00B9216B"/>
    <w:rsid w:val="00BB28E3"/>
    <w:rsid w:val="00BC6F31"/>
    <w:rsid w:val="00C03D13"/>
    <w:rsid w:val="00C166A8"/>
    <w:rsid w:val="00C16790"/>
    <w:rsid w:val="00C22BD9"/>
    <w:rsid w:val="00C22EF9"/>
    <w:rsid w:val="00C263D0"/>
    <w:rsid w:val="00C352B9"/>
    <w:rsid w:val="00C52705"/>
    <w:rsid w:val="00C60594"/>
    <w:rsid w:val="00C76D6E"/>
    <w:rsid w:val="00C86D71"/>
    <w:rsid w:val="00C9048A"/>
    <w:rsid w:val="00C91C5E"/>
    <w:rsid w:val="00C92F1D"/>
    <w:rsid w:val="00CA0302"/>
    <w:rsid w:val="00CA26A2"/>
    <w:rsid w:val="00CD2A58"/>
    <w:rsid w:val="00CF1154"/>
    <w:rsid w:val="00CF5080"/>
    <w:rsid w:val="00D00193"/>
    <w:rsid w:val="00D21D44"/>
    <w:rsid w:val="00D32ED4"/>
    <w:rsid w:val="00D367AB"/>
    <w:rsid w:val="00D47C21"/>
    <w:rsid w:val="00D7291B"/>
    <w:rsid w:val="00D72C15"/>
    <w:rsid w:val="00D81A05"/>
    <w:rsid w:val="00D844EE"/>
    <w:rsid w:val="00DA16DE"/>
    <w:rsid w:val="00DA3C93"/>
    <w:rsid w:val="00DB2AC4"/>
    <w:rsid w:val="00DB3BD1"/>
    <w:rsid w:val="00DB6B28"/>
    <w:rsid w:val="00DB7AB0"/>
    <w:rsid w:val="00DC0F33"/>
    <w:rsid w:val="00DC6B3E"/>
    <w:rsid w:val="00DD022E"/>
    <w:rsid w:val="00DD341F"/>
    <w:rsid w:val="00DE2BE2"/>
    <w:rsid w:val="00DE7920"/>
    <w:rsid w:val="00DF6235"/>
    <w:rsid w:val="00E3511C"/>
    <w:rsid w:val="00E52268"/>
    <w:rsid w:val="00E61631"/>
    <w:rsid w:val="00E861E3"/>
    <w:rsid w:val="00E93215"/>
    <w:rsid w:val="00E94E24"/>
    <w:rsid w:val="00EA0E09"/>
    <w:rsid w:val="00EB1C8B"/>
    <w:rsid w:val="00EB7EF3"/>
    <w:rsid w:val="00EC51CF"/>
    <w:rsid w:val="00ED500E"/>
    <w:rsid w:val="00ED57A3"/>
    <w:rsid w:val="00EE4AB3"/>
    <w:rsid w:val="00EF419C"/>
    <w:rsid w:val="00EF6527"/>
    <w:rsid w:val="00EF65F2"/>
    <w:rsid w:val="00F020A9"/>
    <w:rsid w:val="00F201D2"/>
    <w:rsid w:val="00F334EB"/>
    <w:rsid w:val="00F442D2"/>
    <w:rsid w:val="00F73616"/>
    <w:rsid w:val="00F76C83"/>
    <w:rsid w:val="00F810D4"/>
    <w:rsid w:val="00F9261F"/>
    <w:rsid w:val="00FB5009"/>
    <w:rsid w:val="00FB501F"/>
    <w:rsid w:val="00FB54A0"/>
    <w:rsid w:val="00FC524D"/>
    <w:rsid w:val="00FD4483"/>
    <w:rsid w:val="00FE64E1"/>
    <w:rsid w:val="00FF43F7"/>
    <w:rsid w:val="00FF5F08"/>
    <w:rsid w:val="03A277B9"/>
    <w:rsid w:val="067C5C15"/>
    <w:rsid w:val="084B56D4"/>
    <w:rsid w:val="0C6E7325"/>
    <w:rsid w:val="0D324660"/>
    <w:rsid w:val="0EA4273C"/>
    <w:rsid w:val="168E741F"/>
    <w:rsid w:val="1DD910C3"/>
    <w:rsid w:val="2A3D508F"/>
    <w:rsid w:val="2A864D2F"/>
    <w:rsid w:val="2C0A1314"/>
    <w:rsid w:val="2D295F1E"/>
    <w:rsid w:val="2EEE6243"/>
    <w:rsid w:val="47512160"/>
    <w:rsid w:val="494A6B6C"/>
    <w:rsid w:val="4CAA3E92"/>
    <w:rsid w:val="686564F6"/>
    <w:rsid w:val="6AFF48A0"/>
    <w:rsid w:val="6B023D37"/>
    <w:rsid w:val="7281020C"/>
    <w:rsid w:val="7BC7377D"/>
    <w:rsid w:val="7C9E8A9E"/>
    <w:rsid w:val="7DA3CE93"/>
    <w:rsid w:val="7FBC78C8"/>
    <w:rsid w:val="FAFF4759"/>
    <w:rsid w:val="FEF7F298"/>
    <w:rsid w:val="FEFE55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qFormat="1" w:unhideWhenUsed="0" w:uiPriority="0" w:semiHidden="0" w:name="index 4"/>
    <w:lsdException w:uiPriority="99" w:name="index 5"/>
    <w:lsdException w:uiPriority="99" w:name="index 6"/>
    <w:lsdException w:qFormat="1"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99" w:semiHidden="0" w:name="Normal Indent"/>
    <w:lsdException w:qFormat="1"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qFormat="1" w:uiPriority="0" w:semiHidden="0" w:name="footnote reference"/>
    <w:lsdException w:qFormat="1" w:unhideWhenUsed="0"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iPriority="0" w:semiHidden="0" w:name="FollowedHyperlink"/>
    <w:lsdException w:qFormat="1" w:unhideWhenUsed="0" w:uiPriority="0" w:semiHidden="0" w:name="Strong"/>
    <w:lsdException w:qFormat="1" w:unhideWhenUsed="0" w:uiPriority="0" w:semiHidden="0" w:name="Emphasis"/>
    <w:lsdException w:qFormat="1"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qFormat="1" w:uiPriority="99" w:semiHidden="0" w:name="HTML Cite"/>
    <w:lsdException w:qFormat="1" w:uiPriority="99" w:semiHidden="0" w:name="HTML Code"/>
    <w:lsdException w:qFormat="1" w:uiPriority="99" w:semiHidden="0" w:name="HTML Definition"/>
    <w:lsdException w:qFormat="1" w:uiPriority="99" w:semiHidden="0" w:name="HTML Keyboard"/>
    <w:lsdException w:uiPriority="99" w:name="HTML Preformatted"/>
    <w:lsdException w:qFormat="1" w:uiPriority="99" w:semiHidden="0" w:name="HTML Sample"/>
    <w:lsdException w:uiPriority="99" w:name="HTML Typewriter"/>
    <w:lsdException w:qFormat="1" w:uiPriority="99" w:semiHidden="0" w:name="HTML Variable"/>
    <w:lsdException w:qFormat="1" w:uiPriority="99"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Times New Roman" w:hAnsi="Times New Roman" w:eastAsia="宋体" w:cs="Times New Roman"/>
      <w:sz w:val="24"/>
      <w:szCs w:val="24"/>
      <w:lang w:val="en-US" w:eastAsia="zh-CN" w:bidi="ar-SA"/>
    </w:rPr>
  </w:style>
  <w:style w:type="paragraph" w:styleId="4">
    <w:name w:val="heading 1"/>
    <w:basedOn w:val="1"/>
    <w:next w:val="1"/>
    <w:link w:val="62"/>
    <w:qFormat/>
    <w:uiPriority w:val="99"/>
    <w:pPr>
      <w:keepNext/>
      <w:keepLines/>
      <w:spacing w:before="340" w:after="330" w:line="360" w:lineRule="auto"/>
      <w:jc w:val="center"/>
      <w:outlineLvl w:val="0"/>
    </w:pPr>
    <w:rPr>
      <w:rFonts w:ascii="宋体" w:hAnsi="宋体"/>
      <w:b/>
      <w:bCs/>
      <w:kern w:val="44"/>
      <w:sz w:val="32"/>
      <w:szCs w:val="32"/>
    </w:rPr>
  </w:style>
  <w:style w:type="paragraph" w:styleId="5">
    <w:name w:val="heading 2"/>
    <w:basedOn w:val="1"/>
    <w:next w:val="1"/>
    <w:link w:val="63"/>
    <w:qFormat/>
    <w:uiPriority w:val="99"/>
    <w:pPr>
      <w:keepNext/>
      <w:keepLines/>
      <w:widowControl w:val="0"/>
      <w:numPr>
        <w:ilvl w:val="1"/>
        <w:numId w:val="1"/>
      </w:numPr>
      <w:tabs>
        <w:tab w:val="left" w:pos="426"/>
        <w:tab w:val="left" w:pos="567"/>
      </w:tabs>
      <w:spacing w:line="360" w:lineRule="auto"/>
      <w:jc w:val="both"/>
      <w:outlineLvl w:val="1"/>
    </w:pPr>
    <w:rPr>
      <w:rFonts w:ascii="宋体" w:hAnsi="宋体"/>
      <w:b/>
      <w:bCs/>
      <w:iCs/>
      <w:sz w:val="28"/>
      <w:szCs w:val="28"/>
    </w:rPr>
  </w:style>
  <w:style w:type="paragraph" w:styleId="6">
    <w:name w:val="heading 3"/>
    <w:basedOn w:val="1"/>
    <w:next w:val="1"/>
    <w:link w:val="64"/>
    <w:qFormat/>
    <w:uiPriority w:val="99"/>
    <w:pPr>
      <w:keepNext/>
      <w:keepLines/>
      <w:widowControl w:val="0"/>
      <w:numPr>
        <w:ilvl w:val="2"/>
        <w:numId w:val="1"/>
      </w:numPr>
      <w:spacing w:line="360" w:lineRule="auto"/>
      <w:jc w:val="both"/>
      <w:outlineLvl w:val="2"/>
    </w:pPr>
    <w:rPr>
      <w:rFonts w:ascii="宋体" w:hAnsi="宋体"/>
      <w:b/>
      <w:bCs/>
      <w:color w:val="000000"/>
      <w:kern w:val="2"/>
      <w:sz w:val="28"/>
      <w:szCs w:val="28"/>
    </w:rPr>
  </w:style>
  <w:style w:type="paragraph" w:styleId="7">
    <w:name w:val="heading 4"/>
    <w:basedOn w:val="1"/>
    <w:next w:val="1"/>
    <w:link w:val="65"/>
    <w:qFormat/>
    <w:uiPriority w:val="9"/>
    <w:pPr>
      <w:keepNext/>
      <w:keepLines/>
      <w:widowControl w:val="0"/>
      <w:tabs>
        <w:tab w:val="left" w:pos="851"/>
      </w:tabs>
      <w:spacing w:before="120" w:after="120" w:line="360" w:lineRule="auto"/>
      <w:ind w:left="-2" w:leftChars="-1" w:firstLine="1"/>
      <w:outlineLvl w:val="3"/>
    </w:pPr>
    <w:rPr>
      <w:rFonts w:ascii="宋体" w:hAnsi="宋体"/>
      <w:b/>
      <w:bCs/>
      <w:sz w:val="28"/>
      <w:szCs w:val="28"/>
    </w:rPr>
  </w:style>
  <w:style w:type="paragraph" w:styleId="8">
    <w:name w:val="heading 5"/>
    <w:basedOn w:val="1"/>
    <w:next w:val="1"/>
    <w:link w:val="66"/>
    <w:qFormat/>
    <w:uiPriority w:val="0"/>
    <w:pPr>
      <w:keepNext/>
      <w:keepLines/>
      <w:widowControl w:val="0"/>
      <w:tabs>
        <w:tab w:val="left" w:pos="709"/>
      </w:tabs>
      <w:autoSpaceDE w:val="0"/>
      <w:autoSpaceDN w:val="0"/>
      <w:adjustRightInd w:val="0"/>
      <w:spacing w:before="280" w:after="290" w:line="376" w:lineRule="auto"/>
      <w:jc w:val="both"/>
      <w:outlineLvl w:val="4"/>
    </w:pPr>
    <w:rPr>
      <w:b/>
      <w:bCs/>
      <w:sz w:val="28"/>
      <w:szCs w:val="28"/>
    </w:rPr>
  </w:style>
  <w:style w:type="paragraph" w:styleId="9">
    <w:name w:val="heading 6"/>
    <w:basedOn w:val="1"/>
    <w:next w:val="1"/>
    <w:link w:val="67"/>
    <w:qFormat/>
    <w:uiPriority w:val="0"/>
    <w:pPr>
      <w:keepNext/>
      <w:keepLines/>
      <w:widowControl w:val="0"/>
      <w:tabs>
        <w:tab w:val="left" w:pos="1134"/>
      </w:tabs>
      <w:spacing w:before="240" w:after="64" w:line="320" w:lineRule="auto"/>
      <w:ind w:left="1134" w:hanging="1134"/>
      <w:jc w:val="both"/>
      <w:outlineLvl w:val="5"/>
    </w:pPr>
    <w:rPr>
      <w:rFonts w:ascii="Arial" w:hAnsi="Arial" w:eastAsia="黑体"/>
      <w:b/>
      <w:bCs/>
      <w:kern w:val="2"/>
    </w:rPr>
  </w:style>
  <w:style w:type="paragraph" w:styleId="10">
    <w:name w:val="heading 7"/>
    <w:basedOn w:val="1"/>
    <w:next w:val="1"/>
    <w:link w:val="68"/>
    <w:qFormat/>
    <w:uiPriority w:val="0"/>
    <w:pPr>
      <w:keepNext/>
      <w:tabs>
        <w:tab w:val="left" w:pos="3600"/>
      </w:tabs>
      <w:spacing w:after="120"/>
      <w:outlineLvl w:val="6"/>
    </w:pPr>
    <w:rPr>
      <w:rFonts w:ascii="Arial Narrow" w:hAnsi="Arial Narrow"/>
      <w:b/>
      <w:sz w:val="20"/>
      <w:szCs w:val="20"/>
      <w:lang w:eastAsia="en-US"/>
    </w:rPr>
  </w:style>
  <w:style w:type="paragraph" w:styleId="11">
    <w:name w:val="heading 8"/>
    <w:basedOn w:val="1"/>
    <w:next w:val="1"/>
    <w:link w:val="69"/>
    <w:qFormat/>
    <w:uiPriority w:val="0"/>
    <w:pPr>
      <w:keepNext/>
      <w:keepLines/>
      <w:widowControl w:val="0"/>
      <w:spacing w:before="240" w:after="64" w:line="317" w:lineRule="auto"/>
      <w:jc w:val="both"/>
      <w:outlineLvl w:val="7"/>
    </w:pPr>
    <w:rPr>
      <w:rFonts w:ascii="Arial" w:hAnsi="Arial" w:eastAsia="黑体"/>
      <w:kern w:val="2"/>
      <w:szCs w:val="20"/>
    </w:rPr>
  </w:style>
  <w:style w:type="paragraph" w:styleId="12">
    <w:name w:val="heading 9"/>
    <w:basedOn w:val="1"/>
    <w:next w:val="1"/>
    <w:link w:val="70"/>
    <w:qFormat/>
    <w:uiPriority w:val="0"/>
    <w:pPr>
      <w:keepNext/>
      <w:keepLines/>
      <w:widowControl w:val="0"/>
      <w:spacing w:before="240" w:after="64" w:line="317" w:lineRule="auto"/>
      <w:jc w:val="both"/>
      <w:outlineLvl w:val="8"/>
    </w:pPr>
    <w:rPr>
      <w:rFonts w:ascii="Arial" w:hAnsi="Arial" w:eastAsia="黑体"/>
      <w:kern w:val="2"/>
      <w:sz w:val="21"/>
      <w:szCs w:val="20"/>
    </w:rPr>
  </w:style>
  <w:style w:type="character" w:default="1" w:styleId="48">
    <w:name w:val="Default Paragraph Font"/>
    <w:semiHidden/>
    <w:unhideWhenUsed/>
    <w:qFormat/>
    <w:uiPriority w:val="1"/>
  </w:style>
  <w:style w:type="table" w:default="1" w:styleId="45">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98"/>
    <w:qFormat/>
    <w:uiPriority w:val="0"/>
    <w:pPr>
      <w:spacing w:after="120"/>
    </w:pPr>
    <w:rPr>
      <w:rFonts w:asciiTheme="minorHAnsi" w:hAnsiTheme="minorHAnsi" w:eastAsiaTheme="minorEastAsia" w:cstheme="minorBidi"/>
      <w:kern w:val="2"/>
    </w:rPr>
  </w:style>
  <w:style w:type="paragraph" w:styleId="3">
    <w:name w:val="Body Text First Indent"/>
    <w:basedOn w:val="2"/>
    <w:link w:val="95"/>
    <w:qFormat/>
    <w:uiPriority w:val="0"/>
    <w:pPr>
      <w:widowControl w:val="0"/>
      <w:ind w:firstLine="420" w:firstLineChars="100"/>
      <w:jc w:val="both"/>
    </w:pPr>
    <w:rPr>
      <w:rFonts w:ascii="宋体" w:hAnsi="宋体"/>
      <w:sz w:val="21"/>
    </w:rPr>
  </w:style>
  <w:style w:type="paragraph" w:styleId="13">
    <w:name w:val="toc 7"/>
    <w:basedOn w:val="1"/>
    <w:next w:val="1"/>
    <w:qFormat/>
    <w:uiPriority w:val="39"/>
    <w:pPr>
      <w:widowControl w:val="0"/>
      <w:ind w:left="1080"/>
    </w:pPr>
    <w:rPr>
      <w:kern w:val="2"/>
      <w:sz w:val="18"/>
      <w:szCs w:val="20"/>
    </w:rPr>
  </w:style>
  <w:style w:type="paragraph" w:styleId="14">
    <w:name w:val="Normal Indent"/>
    <w:basedOn w:val="1"/>
    <w:link w:val="96"/>
    <w:qFormat/>
    <w:uiPriority w:val="99"/>
    <w:pPr>
      <w:widowControl w:val="0"/>
      <w:spacing w:line="360" w:lineRule="auto"/>
      <w:ind w:firstLine="420" w:firstLineChars="200"/>
      <w:jc w:val="both"/>
    </w:pPr>
    <w:rPr>
      <w:rFonts w:asciiTheme="minorHAnsi" w:hAnsiTheme="minorHAnsi" w:eastAsiaTheme="minorEastAsia" w:cstheme="minorBidi"/>
      <w:kern w:val="2"/>
      <w:sz w:val="21"/>
    </w:rPr>
  </w:style>
  <w:style w:type="paragraph" w:styleId="15">
    <w:name w:val="caption"/>
    <w:basedOn w:val="1"/>
    <w:next w:val="1"/>
    <w:qFormat/>
    <w:uiPriority w:val="0"/>
    <w:pPr>
      <w:widowControl w:val="0"/>
      <w:spacing w:before="152" w:after="160" w:line="360" w:lineRule="auto"/>
      <w:jc w:val="both"/>
    </w:pPr>
    <w:rPr>
      <w:rFonts w:ascii="Arial" w:hAnsi="Arial" w:eastAsia="黑体"/>
      <w:kern w:val="2"/>
      <w:sz w:val="20"/>
      <w:szCs w:val="20"/>
    </w:rPr>
  </w:style>
  <w:style w:type="paragraph" w:styleId="16">
    <w:name w:val="Document Map"/>
    <w:basedOn w:val="1"/>
    <w:link w:val="89"/>
    <w:unhideWhenUsed/>
    <w:qFormat/>
    <w:uiPriority w:val="0"/>
    <w:rPr>
      <w:rFonts w:ascii="宋体" w:hAnsiTheme="minorHAnsi" w:eastAsiaTheme="minorEastAsia" w:cstheme="minorBidi"/>
      <w:kern w:val="2"/>
      <w:sz w:val="18"/>
      <w:szCs w:val="18"/>
    </w:rPr>
  </w:style>
  <w:style w:type="paragraph" w:styleId="17">
    <w:name w:val="annotation text"/>
    <w:basedOn w:val="1"/>
    <w:link w:val="73"/>
    <w:qFormat/>
    <w:uiPriority w:val="99"/>
    <w:pPr>
      <w:widowControl w:val="0"/>
    </w:pPr>
    <w:rPr>
      <w:rFonts w:asciiTheme="minorHAnsi" w:hAnsiTheme="minorHAnsi" w:eastAsiaTheme="minorEastAsia" w:cstheme="minorBidi"/>
      <w:kern w:val="2"/>
      <w:sz w:val="18"/>
      <w:szCs w:val="22"/>
    </w:rPr>
  </w:style>
  <w:style w:type="paragraph" w:styleId="18">
    <w:name w:val="Salutation"/>
    <w:basedOn w:val="1"/>
    <w:next w:val="1"/>
    <w:link w:val="97"/>
    <w:qFormat/>
    <w:uiPriority w:val="0"/>
    <w:pPr>
      <w:widowControl w:val="0"/>
      <w:jc w:val="both"/>
    </w:pPr>
    <w:rPr>
      <w:rFonts w:eastAsia="黑体" w:asciiTheme="minorHAnsi" w:hAnsiTheme="minorHAnsi" w:cstheme="minorBidi"/>
      <w:kern w:val="2"/>
      <w:szCs w:val="22"/>
    </w:rPr>
  </w:style>
  <w:style w:type="paragraph" w:styleId="19">
    <w:name w:val="Body Text 3"/>
    <w:basedOn w:val="1"/>
    <w:link w:val="106"/>
    <w:qFormat/>
    <w:uiPriority w:val="0"/>
    <w:pPr>
      <w:spacing w:after="120"/>
    </w:pPr>
    <w:rPr>
      <w:rFonts w:asciiTheme="minorHAnsi" w:hAnsiTheme="minorHAnsi" w:eastAsiaTheme="minorEastAsia" w:cstheme="minorBidi"/>
      <w:kern w:val="2"/>
      <w:sz w:val="16"/>
      <w:szCs w:val="16"/>
    </w:rPr>
  </w:style>
  <w:style w:type="paragraph" w:styleId="20">
    <w:name w:val="Body Text Indent"/>
    <w:basedOn w:val="1"/>
    <w:link w:val="94"/>
    <w:qFormat/>
    <w:uiPriority w:val="0"/>
    <w:pPr>
      <w:widowControl w:val="0"/>
      <w:autoSpaceDE w:val="0"/>
      <w:autoSpaceDN w:val="0"/>
      <w:adjustRightInd w:val="0"/>
      <w:spacing w:line="360" w:lineRule="auto"/>
      <w:ind w:firstLine="540" w:firstLineChars="180"/>
      <w:jc w:val="both"/>
    </w:pPr>
    <w:rPr>
      <w:rFonts w:ascii="宋体" w:hAnsiTheme="minorHAnsi" w:eastAsiaTheme="minorEastAsia" w:cstheme="minorBidi"/>
      <w:kern w:val="2"/>
      <w:sz w:val="30"/>
    </w:rPr>
  </w:style>
  <w:style w:type="paragraph" w:styleId="21">
    <w:name w:val="Block Text"/>
    <w:basedOn w:val="1"/>
    <w:qFormat/>
    <w:uiPriority w:val="0"/>
    <w:pPr>
      <w:widowControl w:val="0"/>
      <w:ind w:left="-540" w:leftChars="-257" w:right="-334" w:rightChars="-159" w:firstLine="540" w:firstLineChars="180"/>
      <w:jc w:val="both"/>
    </w:pPr>
    <w:rPr>
      <w:kern w:val="2"/>
      <w:sz w:val="30"/>
    </w:rPr>
  </w:style>
  <w:style w:type="paragraph" w:styleId="22">
    <w:name w:val="index 4"/>
    <w:basedOn w:val="1"/>
    <w:next w:val="1"/>
    <w:qFormat/>
    <w:uiPriority w:val="0"/>
    <w:pPr>
      <w:widowControl w:val="0"/>
      <w:ind w:left="600" w:leftChars="600"/>
      <w:jc w:val="both"/>
    </w:pPr>
    <w:rPr>
      <w:kern w:val="2"/>
      <w:sz w:val="21"/>
    </w:rPr>
  </w:style>
  <w:style w:type="paragraph" w:styleId="23">
    <w:name w:val="toc 5"/>
    <w:basedOn w:val="1"/>
    <w:next w:val="1"/>
    <w:qFormat/>
    <w:uiPriority w:val="39"/>
    <w:pPr>
      <w:widowControl w:val="0"/>
      <w:ind w:left="720"/>
    </w:pPr>
    <w:rPr>
      <w:kern w:val="2"/>
      <w:sz w:val="18"/>
      <w:szCs w:val="20"/>
    </w:rPr>
  </w:style>
  <w:style w:type="paragraph" w:styleId="24">
    <w:name w:val="toc 3"/>
    <w:basedOn w:val="1"/>
    <w:next w:val="1"/>
    <w:qFormat/>
    <w:uiPriority w:val="39"/>
    <w:pPr>
      <w:widowControl w:val="0"/>
      <w:ind w:left="360"/>
    </w:pPr>
    <w:rPr>
      <w:i/>
      <w:kern w:val="2"/>
      <w:sz w:val="20"/>
      <w:szCs w:val="20"/>
    </w:rPr>
  </w:style>
  <w:style w:type="paragraph" w:styleId="25">
    <w:name w:val="Plain Text"/>
    <w:basedOn w:val="1"/>
    <w:link w:val="109"/>
    <w:qFormat/>
    <w:uiPriority w:val="0"/>
    <w:pPr>
      <w:widowControl w:val="0"/>
      <w:autoSpaceDE w:val="0"/>
      <w:autoSpaceDN w:val="0"/>
      <w:adjustRightInd w:val="0"/>
      <w:jc w:val="both"/>
    </w:pPr>
    <w:rPr>
      <w:rFonts w:ascii="宋体" w:hAnsi="Tms Rmn" w:cs="宋体" w:eastAsiaTheme="minorEastAsia"/>
      <w:kern w:val="2"/>
      <w:sz w:val="21"/>
      <w:szCs w:val="21"/>
    </w:rPr>
  </w:style>
  <w:style w:type="paragraph" w:styleId="26">
    <w:name w:val="toc 8"/>
    <w:basedOn w:val="1"/>
    <w:next w:val="1"/>
    <w:qFormat/>
    <w:uiPriority w:val="39"/>
    <w:pPr>
      <w:widowControl w:val="0"/>
      <w:ind w:left="1260"/>
    </w:pPr>
    <w:rPr>
      <w:kern w:val="2"/>
      <w:sz w:val="18"/>
      <w:szCs w:val="20"/>
    </w:rPr>
  </w:style>
  <w:style w:type="paragraph" w:styleId="27">
    <w:name w:val="Date"/>
    <w:basedOn w:val="1"/>
    <w:next w:val="1"/>
    <w:link w:val="90"/>
    <w:qFormat/>
    <w:uiPriority w:val="0"/>
    <w:pPr>
      <w:ind w:left="100" w:leftChars="2500"/>
    </w:pPr>
    <w:rPr>
      <w:rFonts w:asciiTheme="minorHAnsi" w:hAnsiTheme="minorHAnsi" w:eastAsiaTheme="minorEastAsia" w:cstheme="minorBidi"/>
      <w:kern w:val="2"/>
    </w:rPr>
  </w:style>
  <w:style w:type="paragraph" w:styleId="28">
    <w:name w:val="Body Text Indent 2"/>
    <w:basedOn w:val="1"/>
    <w:link w:val="105"/>
    <w:qFormat/>
    <w:uiPriority w:val="0"/>
    <w:pPr>
      <w:widowControl w:val="0"/>
      <w:ind w:firstLine="540" w:firstLineChars="257"/>
      <w:jc w:val="both"/>
    </w:pPr>
    <w:rPr>
      <w:rFonts w:asciiTheme="minorHAnsi" w:hAnsiTheme="minorHAnsi" w:eastAsiaTheme="minorEastAsia" w:cstheme="minorBidi"/>
      <w:kern w:val="2"/>
      <w:sz w:val="21"/>
    </w:rPr>
  </w:style>
  <w:style w:type="paragraph" w:styleId="29">
    <w:name w:val="Balloon Text"/>
    <w:basedOn w:val="1"/>
    <w:link w:val="100"/>
    <w:qFormat/>
    <w:uiPriority w:val="0"/>
    <w:rPr>
      <w:rFonts w:asciiTheme="minorHAnsi" w:hAnsiTheme="minorHAnsi" w:eastAsiaTheme="minorEastAsia" w:cstheme="minorBidi"/>
      <w:kern w:val="2"/>
      <w:sz w:val="18"/>
      <w:szCs w:val="18"/>
    </w:rPr>
  </w:style>
  <w:style w:type="paragraph" w:styleId="30">
    <w:name w:val="footer"/>
    <w:basedOn w:val="1"/>
    <w:link w:val="87"/>
    <w:qFormat/>
    <w:uiPriority w:val="99"/>
    <w:pPr>
      <w:tabs>
        <w:tab w:val="center" w:pos="4153"/>
        <w:tab w:val="right" w:pos="8306"/>
      </w:tabs>
      <w:snapToGrid w:val="0"/>
    </w:pPr>
    <w:rPr>
      <w:rFonts w:asciiTheme="minorHAnsi" w:hAnsiTheme="minorHAnsi" w:eastAsiaTheme="minorEastAsia" w:cstheme="minorBidi"/>
      <w:kern w:val="2"/>
      <w:sz w:val="18"/>
      <w:szCs w:val="18"/>
    </w:rPr>
  </w:style>
  <w:style w:type="paragraph" w:styleId="31">
    <w:name w:val="header"/>
    <w:basedOn w:val="1"/>
    <w:link w:val="104"/>
    <w:qFormat/>
    <w:uiPriority w:val="0"/>
    <w:pPr>
      <w:pBdr>
        <w:bottom w:val="single" w:color="auto" w:sz="6" w:space="1"/>
      </w:pBdr>
      <w:tabs>
        <w:tab w:val="center" w:pos="4153"/>
        <w:tab w:val="right" w:pos="8306"/>
      </w:tabs>
      <w:snapToGrid w:val="0"/>
      <w:jc w:val="center"/>
    </w:pPr>
    <w:rPr>
      <w:rFonts w:asciiTheme="minorHAnsi" w:hAnsiTheme="minorHAnsi" w:eastAsiaTheme="minorEastAsia" w:cstheme="minorBidi"/>
      <w:kern w:val="2"/>
      <w:sz w:val="18"/>
      <w:szCs w:val="18"/>
    </w:rPr>
  </w:style>
  <w:style w:type="paragraph" w:styleId="32">
    <w:name w:val="toc 1"/>
    <w:basedOn w:val="1"/>
    <w:next w:val="1"/>
    <w:qFormat/>
    <w:uiPriority w:val="39"/>
    <w:pPr>
      <w:tabs>
        <w:tab w:val="left" w:pos="840"/>
        <w:tab w:val="right" w:leader="dot" w:pos="9204"/>
      </w:tabs>
      <w:spacing w:before="120" w:after="120"/>
    </w:pPr>
    <w:rPr>
      <w:b/>
      <w:bCs/>
      <w:caps/>
      <w:szCs w:val="20"/>
    </w:rPr>
  </w:style>
  <w:style w:type="paragraph" w:styleId="33">
    <w:name w:val="toc 4"/>
    <w:basedOn w:val="1"/>
    <w:next w:val="1"/>
    <w:qFormat/>
    <w:uiPriority w:val="39"/>
    <w:pPr>
      <w:widowControl w:val="0"/>
      <w:ind w:left="540"/>
    </w:pPr>
    <w:rPr>
      <w:kern w:val="2"/>
      <w:sz w:val="18"/>
      <w:szCs w:val="20"/>
    </w:rPr>
  </w:style>
  <w:style w:type="paragraph" w:styleId="34">
    <w:name w:val="Subtitle"/>
    <w:basedOn w:val="1"/>
    <w:next w:val="1"/>
    <w:link w:val="249"/>
    <w:qFormat/>
    <w:uiPriority w:val="0"/>
    <w:pPr>
      <w:widowControl w:val="0"/>
      <w:spacing w:before="240" w:after="60" w:line="312" w:lineRule="auto"/>
      <w:jc w:val="center"/>
      <w:outlineLvl w:val="1"/>
    </w:pPr>
    <w:rPr>
      <w:rFonts w:ascii="Cambria" w:hAnsi="Cambria" w:eastAsiaTheme="minorEastAsia" w:cstheme="minorBidi"/>
      <w:b/>
      <w:bCs/>
      <w:kern w:val="28"/>
      <w:sz w:val="32"/>
      <w:szCs w:val="32"/>
    </w:rPr>
  </w:style>
  <w:style w:type="paragraph" w:styleId="35">
    <w:name w:val="footnote text"/>
    <w:basedOn w:val="1"/>
    <w:link w:val="211"/>
    <w:unhideWhenUsed/>
    <w:qFormat/>
    <w:uiPriority w:val="0"/>
    <w:pPr>
      <w:widowControl w:val="0"/>
      <w:snapToGrid w:val="0"/>
    </w:pPr>
    <w:rPr>
      <w:rFonts w:ascii="Calibri" w:hAnsi="Calibri" w:eastAsiaTheme="minorEastAsia" w:cstheme="minorBidi"/>
      <w:kern w:val="2"/>
      <w:sz w:val="18"/>
      <w:szCs w:val="18"/>
    </w:rPr>
  </w:style>
  <w:style w:type="paragraph" w:styleId="36">
    <w:name w:val="toc 6"/>
    <w:basedOn w:val="1"/>
    <w:next w:val="1"/>
    <w:qFormat/>
    <w:uiPriority w:val="39"/>
    <w:pPr>
      <w:ind w:left="1200"/>
    </w:pPr>
    <w:rPr>
      <w:sz w:val="18"/>
      <w:szCs w:val="18"/>
    </w:rPr>
  </w:style>
  <w:style w:type="paragraph" w:styleId="37">
    <w:name w:val="Body Text Indent 3"/>
    <w:basedOn w:val="1"/>
    <w:link w:val="93"/>
    <w:qFormat/>
    <w:uiPriority w:val="0"/>
    <w:pPr>
      <w:widowControl w:val="0"/>
      <w:spacing w:after="120"/>
      <w:ind w:left="420" w:leftChars="200"/>
      <w:jc w:val="both"/>
    </w:pPr>
    <w:rPr>
      <w:rFonts w:asciiTheme="minorHAnsi" w:hAnsiTheme="minorHAnsi" w:eastAsiaTheme="minorEastAsia" w:cstheme="minorBidi"/>
      <w:kern w:val="2"/>
      <w:sz w:val="16"/>
      <w:szCs w:val="16"/>
    </w:rPr>
  </w:style>
  <w:style w:type="paragraph" w:styleId="38">
    <w:name w:val="index 7"/>
    <w:basedOn w:val="1"/>
    <w:next w:val="1"/>
    <w:semiHidden/>
    <w:unhideWhenUsed/>
    <w:qFormat/>
    <w:uiPriority w:val="99"/>
    <w:pPr>
      <w:widowControl w:val="0"/>
      <w:ind w:left="1200" w:leftChars="1200"/>
      <w:jc w:val="both"/>
    </w:pPr>
    <w:rPr>
      <w:kern w:val="2"/>
      <w:sz w:val="21"/>
      <w:szCs w:val="20"/>
    </w:rPr>
  </w:style>
  <w:style w:type="paragraph" w:styleId="39">
    <w:name w:val="toc 2"/>
    <w:basedOn w:val="1"/>
    <w:next w:val="1"/>
    <w:qFormat/>
    <w:uiPriority w:val="39"/>
    <w:pPr>
      <w:ind w:left="240"/>
    </w:pPr>
    <w:rPr>
      <w:smallCaps/>
      <w:szCs w:val="20"/>
    </w:rPr>
  </w:style>
  <w:style w:type="paragraph" w:styleId="40">
    <w:name w:val="toc 9"/>
    <w:basedOn w:val="1"/>
    <w:next w:val="1"/>
    <w:qFormat/>
    <w:uiPriority w:val="39"/>
    <w:pPr>
      <w:widowControl w:val="0"/>
      <w:ind w:left="1440"/>
    </w:pPr>
    <w:rPr>
      <w:kern w:val="2"/>
      <w:sz w:val="18"/>
      <w:szCs w:val="20"/>
    </w:rPr>
  </w:style>
  <w:style w:type="paragraph" w:styleId="41">
    <w:name w:val="Body Text 2"/>
    <w:basedOn w:val="1"/>
    <w:link w:val="83"/>
    <w:qFormat/>
    <w:uiPriority w:val="0"/>
    <w:pPr>
      <w:widowControl w:val="0"/>
      <w:autoSpaceDE w:val="0"/>
      <w:autoSpaceDN w:val="0"/>
      <w:adjustRightInd w:val="0"/>
      <w:spacing w:after="120" w:line="480" w:lineRule="auto"/>
      <w:jc w:val="both"/>
    </w:pPr>
    <w:rPr>
      <w:rFonts w:asciiTheme="minorHAnsi" w:hAnsiTheme="minorHAnsi" w:eastAsiaTheme="minorEastAsia" w:cstheme="minorBidi"/>
      <w:kern w:val="2"/>
      <w:sz w:val="21"/>
      <w:szCs w:val="21"/>
    </w:rPr>
  </w:style>
  <w:style w:type="paragraph" w:styleId="42">
    <w:name w:val="Normal (Web)"/>
    <w:basedOn w:val="1"/>
    <w:qFormat/>
    <w:uiPriority w:val="0"/>
    <w:pPr>
      <w:spacing w:before="100" w:beforeAutospacing="1" w:after="100" w:afterAutospacing="1"/>
    </w:pPr>
    <w:rPr>
      <w:rFonts w:ascii="宋体" w:hAnsi="宋体"/>
    </w:rPr>
  </w:style>
  <w:style w:type="paragraph" w:styleId="43">
    <w:name w:val="Title"/>
    <w:basedOn w:val="1"/>
    <w:next w:val="1"/>
    <w:link w:val="108"/>
    <w:qFormat/>
    <w:uiPriority w:val="0"/>
    <w:pPr>
      <w:widowControl w:val="0"/>
      <w:spacing w:before="240" w:after="60"/>
      <w:jc w:val="center"/>
      <w:outlineLvl w:val="0"/>
    </w:pPr>
    <w:rPr>
      <w:rFonts w:ascii="Cambria" w:hAnsi="Cambria" w:eastAsiaTheme="minorEastAsia" w:cstheme="minorBidi"/>
      <w:b/>
      <w:bCs/>
      <w:kern w:val="2"/>
      <w:sz w:val="32"/>
      <w:szCs w:val="32"/>
    </w:rPr>
  </w:style>
  <w:style w:type="paragraph" w:styleId="44">
    <w:name w:val="annotation subject"/>
    <w:basedOn w:val="17"/>
    <w:next w:val="17"/>
    <w:link w:val="71"/>
    <w:qFormat/>
    <w:uiPriority w:val="99"/>
    <w:rPr>
      <w:b/>
    </w:rPr>
  </w:style>
  <w:style w:type="table" w:styleId="46">
    <w:name w:val="Table Grid"/>
    <w:basedOn w:val="45"/>
    <w:qFormat/>
    <w:uiPriority w:val="0"/>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7">
    <w:name w:val="Table Elegant"/>
    <w:basedOn w:val="45"/>
    <w:qFormat/>
    <w:uiPriority w:val="0"/>
    <w:pPr>
      <w:widowControl w:val="0"/>
      <w:jc w:val="both"/>
    </w:pPr>
    <w:rPr>
      <w:rFonts w:ascii="Times New Roman" w:hAnsi="Times New Roman" w:eastAsia="宋体" w:cs="Times New Roman"/>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character" w:styleId="49">
    <w:name w:val="Strong"/>
    <w:qFormat/>
    <w:uiPriority w:val="0"/>
    <w:rPr>
      <w:b/>
    </w:rPr>
  </w:style>
  <w:style w:type="character" w:styleId="50">
    <w:name w:val="page number"/>
    <w:basedOn w:val="48"/>
    <w:qFormat/>
    <w:uiPriority w:val="0"/>
  </w:style>
  <w:style w:type="character" w:styleId="51">
    <w:name w:val="FollowedHyperlink"/>
    <w:unhideWhenUsed/>
    <w:qFormat/>
    <w:uiPriority w:val="0"/>
    <w:rPr>
      <w:color w:val="800080"/>
      <w:u w:val="single"/>
    </w:rPr>
  </w:style>
  <w:style w:type="character" w:styleId="52">
    <w:name w:val="Emphasis"/>
    <w:qFormat/>
    <w:uiPriority w:val="0"/>
    <w:rPr>
      <w:i/>
      <w:iCs/>
    </w:rPr>
  </w:style>
  <w:style w:type="character" w:styleId="53">
    <w:name w:val="HTML Definition"/>
    <w:unhideWhenUsed/>
    <w:qFormat/>
    <w:uiPriority w:val="99"/>
    <w:rPr>
      <w:b/>
      <w:i/>
      <w:color w:val="FFFFFF"/>
      <w:sz w:val="15"/>
      <w:szCs w:val="15"/>
      <w:shd w:val="clear" w:color="auto" w:fill="777777"/>
      <w:vertAlign w:val="baseline"/>
    </w:rPr>
  </w:style>
  <w:style w:type="character" w:styleId="54">
    <w:name w:val="HTML Variable"/>
    <w:basedOn w:val="48"/>
    <w:unhideWhenUsed/>
    <w:qFormat/>
    <w:uiPriority w:val="99"/>
  </w:style>
  <w:style w:type="character" w:styleId="55">
    <w:name w:val="Hyperlink"/>
    <w:qFormat/>
    <w:uiPriority w:val="99"/>
    <w:rPr>
      <w:color w:val="0000FF"/>
      <w:u w:val="single"/>
    </w:rPr>
  </w:style>
  <w:style w:type="character" w:styleId="56">
    <w:name w:val="HTML Code"/>
    <w:unhideWhenUsed/>
    <w:qFormat/>
    <w:uiPriority w:val="99"/>
    <w:rPr>
      <w:rFonts w:hint="default" w:ascii="Consolas" w:hAnsi="Consolas" w:eastAsia="Consolas" w:cs="Consolas"/>
      <w:color w:val="C7254E"/>
      <w:sz w:val="21"/>
      <w:szCs w:val="21"/>
      <w:shd w:val="clear" w:color="auto" w:fill="F9F2F4"/>
    </w:rPr>
  </w:style>
  <w:style w:type="character" w:styleId="57">
    <w:name w:val="annotation reference"/>
    <w:qFormat/>
    <w:uiPriority w:val="99"/>
    <w:rPr>
      <w:sz w:val="21"/>
    </w:rPr>
  </w:style>
  <w:style w:type="character" w:styleId="58">
    <w:name w:val="HTML Cite"/>
    <w:basedOn w:val="48"/>
    <w:unhideWhenUsed/>
    <w:qFormat/>
    <w:uiPriority w:val="99"/>
  </w:style>
  <w:style w:type="character" w:styleId="59">
    <w:name w:val="footnote reference"/>
    <w:unhideWhenUsed/>
    <w:qFormat/>
    <w:uiPriority w:val="0"/>
    <w:rPr>
      <w:vertAlign w:val="superscript"/>
    </w:rPr>
  </w:style>
  <w:style w:type="character" w:styleId="60">
    <w:name w:val="HTML Keyboard"/>
    <w:unhideWhenUsed/>
    <w:qFormat/>
    <w:uiPriority w:val="99"/>
    <w:rPr>
      <w:rFonts w:hint="default" w:ascii="Consolas" w:hAnsi="Consolas" w:eastAsia="Consolas" w:cs="Consolas"/>
      <w:color w:val="FFFFFF"/>
      <w:sz w:val="21"/>
      <w:szCs w:val="21"/>
      <w:shd w:val="clear" w:color="auto" w:fill="333333"/>
    </w:rPr>
  </w:style>
  <w:style w:type="character" w:styleId="61">
    <w:name w:val="HTML Sample"/>
    <w:unhideWhenUsed/>
    <w:qFormat/>
    <w:uiPriority w:val="99"/>
    <w:rPr>
      <w:rFonts w:ascii="Consolas" w:hAnsi="Consolas" w:eastAsia="Consolas" w:cs="Consolas"/>
      <w:sz w:val="21"/>
      <w:szCs w:val="21"/>
    </w:rPr>
  </w:style>
  <w:style w:type="character" w:customStyle="1" w:styleId="62">
    <w:name w:val="标题 1 字符"/>
    <w:basedOn w:val="48"/>
    <w:link w:val="4"/>
    <w:qFormat/>
    <w:uiPriority w:val="0"/>
    <w:rPr>
      <w:rFonts w:ascii="宋体" w:hAnsi="宋体" w:eastAsia="宋体" w:cs="Times New Roman"/>
      <w:b/>
      <w:bCs/>
      <w:kern w:val="44"/>
      <w:sz w:val="32"/>
      <w:szCs w:val="32"/>
    </w:rPr>
  </w:style>
  <w:style w:type="character" w:customStyle="1" w:styleId="63">
    <w:name w:val="标题 2 字符"/>
    <w:basedOn w:val="48"/>
    <w:link w:val="5"/>
    <w:qFormat/>
    <w:uiPriority w:val="99"/>
    <w:rPr>
      <w:rFonts w:ascii="宋体" w:hAnsi="宋体" w:eastAsia="宋体" w:cs="Times New Roman"/>
      <w:b/>
      <w:bCs/>
      <w:iCs/>
      <w:kern w:val="0"/>
      <w:sz w:val="28"/>
      <w:szCs w:val="28"/>
    </w:rPr>
  </w:style>
  <w:style w:type="character" w:customStyle="1" w:styleId="64">
    <w:name w:val="标题 3 字符"/>
    <w:basedOn w:val="48"/>
    <w:link w:val="6"/>
    <w:qFormat/>
    <w:uiPriority w:val="99"/>
    <w:rPr>
      <w:rFonts w:ascii="宋体" w:hAnsi="宋体" w:eastAsia="宋体" w:cs="Times New Roman"/>
      <w:b/>
      <w:bCs/>
      <w:color w:val="000000"/>
      <w:sz w:val="28"/>
      <w:szCs w:val="28"/>
    </w:rPr>
  </w:style>
  <w:style w:type="character" w:customStyle="1" w:styleId="65">
    <w:name w:val="标题 4 字符"/>
    <w:basedOn w:val="48"/>
    <w:link w:val="7"/>
    <w:qFormat/>
    <w:uiPriority w:val="0"/>
    <w:rPr>
      <w:rFonts w:ascii="宋体" w:hAnsi="宋体" w:eastAsia="宋体" w:cs="Times New Roman"/>
      <w:b/>
      <w:bCs/>
      <w:kern w:val="0"/>
      <w:sz w:val="28"/>
      <w:szCs w:val="28"/>
    </w:rPr>
  </w:style>
  <w:style w:type="character" w:customStyle="1" w:styleId="66">
    <w:name w:val="标题 5 字符"/>
    <w:basedOn w:val="48"/>
    <w:link w:val="8"/>
    <w:qFormat/>
    <w:uiPriority w:val="0"/>
    <w:rPr>
      <w:rFonts w:ascii="Times New Roman" w:hAnsi="Times New Roman" w:eastAsia="宋体" w:cs="Times New Roman"/>
      <w:b/>
      <w:bCs/>
      <w:kern w:val="0"/>
      <w:sz w:val="28"/>
      <w:szCs w:val="28"/>
    </w:rPr>
  </w:style>
  <w:style w:type="character" w:customStyle="1" w:styleId="67">
    <w:name w:val="标题 6 字符"/>
    <w:basedOn w:val="48"/>
    <w:link w:val="9"/>
    <w:qFormat/>
    <w:uiPriority w:val="0"/>
    <w:rPr>
      <w:rFonts w:ascii="Arial" w:hAnsi="Arial" w:eastAsia="黑体" w:cs="Times New Roman"/>
      <w:b/>
      <w:bCs/>
      <w:sz w:val="24"/>
      <w:szCs w:val="24"/>
    </w:rPr>
  </w:style>
  <w:style w:type="character" w:customStyle="1" w:styleId="68">
    <w:name w:val="标题 7 字符"/>
    <w:basedOn w:val="48"/>
    <w:link w:val="10"/>
    <w:qFormat/>
    <w:uiPriority w:val="0"/>
    <w:rPr>
      <w:rFonts w:ascii="Arial Narrow" w:hAnsi="Arial Narrow" w:eastAsia="宋体" w:cs="Times New Roman"/>
      <w:b/>
      <w:kern w:val="0"/>
      <w:sz w:val="20"/>
      <w:szCs w:val="20"/>
      <w:lang w:eastAsia="en-US"/>
    </w:rPr>
  </w:style>
  <w:style w:type="character" w:customStyle="1" w:styleId="69">
    <w:name w:val="标题 8 字符"/>
    <w:basedOn w:val="48"/>
    <w:link w:val="11"/>
    <w:qFormat/>
    <w:uiPriority w:val="0"/>
    <w:rPr>
      <w:rFonts w:ascii="Arial" w:hAnsi="Arial" w:eastAsia="黑体" w:cs="Times New Roman"/>
      <w:sz w:val="24"/>
      <w:szCs w:val="20"/>
    </w:rPr>
  </w:style>
  <w:style w:type="character" w:customStyle="1" w:styleId="70">
    <w:name w:val="标题 9 字符"/>
    <w:basedOn w:val="48"/>
    <w:link w:val="12"/>
    <w:qFormat/>
    <w:uiPriority w:val="0"/>
    <w:rPr>
      <w:rFonts w:ascii="Arial" w:hAnsi="Arial" w:eastAsia="黑体" w:cs="Times New Roman"/>
      <w:szCs w:val="20"/>
    </w:rPr>
  </w:style>
  <w:style w:type="character" w:customStyle="1" w:styleId="71">
    <w:name w:val="批注主题 字符"/>
    <w:link w:val="44"/>
    <w:qFormat/>
    <w:uiPriority w:val="99"/>
    <w:rPr>
      <w:b/>
      <w:sz w:val="18"/>
    </w:rPr>
  </w:style>
  <w:style w:type="character" w:customStyle="1" w:styleId="72">
    <w:name w:val="访问过的超链接1"/>
    <w:qFormat/>
    <w:uiPriority w:val="0"/>
    <w:rPr>
      <w:color w:val="800080"/>
      <w:u w:val="single"/>
    </w:rPr>
  </w:style>
  <w:style w:type="character" w:customStyle="1" w:styleId="73">
    <w:name w:val="批注文字 字符"/>
    <w:link w:val="17"/>
    <w:qFormat/>
    <w:uiPriority w:val="0"/>
    <w:rPr>
      <w:sz w:val="18"/>
    </w:rPr>
  </w:style>
  <w:style w:type="character" w:customStyle="1" w:styleId="74">
    <w:name w:val="fontblank12"/>
    <w:basedOn w:val="48"/>
    <w:qFormat/>
    <w:uiPriority w:val="0"/>
  </w:style>
  <w:style w:type="character" w:customStyle="1" w:styleId="75">
    <w:name w:val="标书（正文） Char"/>
    <w:link w:val="76"/>
    <w:qFormat/>
    <w:uiPriority w:val="0"/>
    <w:rPr>
      <w:rFonts w:ascii="宋体" w:hAnsi="宋体"/>
      <w:b/>
      <w:kern w:val="10"/>
    </w:rPr>
  </w:style>
  <w:style w:type="paragraph" w:customStyle="1" w:styleId="76">
    <w:name w:val="标书（正文）"/>
    <w:basedOn w:val="1"/>
    <w:link w:val="75"/>
    <w:qFormat/>
    <w:uiPriority w:val="0"/>
    <w:pPr>
      <w:widowControl w:val="0"/>
      <w:spacing w:line="360" w:lineRule="auto"/>
      <w:ind w:firstLine="560" w:firstLineChars="200"/>
      <w:jc w:val="both"/>
    </w:pPr>
    <w:rPr>
      <w:rFonts w:ascii="宋体" w:hAnsi="宋体" w:eastAsiaTheme="minorEastAsia" w:cstheme="minorBidi"/>
      <w:b/>
      <w:kern w:val="10"/>
      <w:sz w:val="21"/>
      <w:szCs w:val="22"/>
    </w:rPr>
  </w:style>
  <w:style w:type="character" w:customStyle="1" w:styleId="77">
    <w:name w:val="Char Char4"/>
    <w:qFormat/>
    <w:uiPriority w:val="0"/>
    <w:rPr>
      <w:rFonts w:ascii="宋体" w:hAnsi="Courier New" w:eastAsia="宋体"/>
      <w:kern w:val="2"/>
      <w:sz w:val="21"/>
      <w:lang w:val="en-US" w:eastAsia="zh-CN"/>
    </w:rPr>
  </w:style>
  <w:style w:type="character" w:customStyle="1" w:styleId="78">
    <w:name w:val="textnormchn1"/>
    <w:basedOn w:val="48"/>
    <w:qFormat/>
    <w:uiPriority w:val="0"/>
  </w:style>
  <w:style w:type="character" w:customStyle="1" w:styleId="79">
    <w:name w:val="列表段落 字符"/>
    <w:link w:val="80"/>
    <w:qFormat/>
    <w:uiPriority w:val="0"/>
    <w:rPr>
      <w:sz w:val="24"/>
      <w:szCs w:val="24"/>
    </w:rPr>
  </w:style>
  <w:style w:type="paragraph" w:styleId="80">
    <w:name w:val="List Paragraph"/>
    <w:basedOn w:val="1"/>
    <w:link w:val="79"/>
    <w:qFormat/>
    <w:uiPriority w:val="0"/>
    <w:pPr>
      <w:ind w:firstLine="420" w:firstLineChars="200"/>
    </w:pPr>
    <w:rPr>
      <w:rFonts w:asciiTheme="minorHAnsi" w:hAnsiTheme="minorHAnsi" w:eastAsiaTheme="minorEastAsia" w:cstheme="minorBidi"/>
      <w:kern w:val="2"/>
    </w:rPr>
  </w:style>
  <w:style w:type="character" w:customStyle="1" w:styleId="81">
    <w:name w:val="CD正文 Char"/>
    <w:link w:val="82"/>
    <w:qFormat/>
    <w:uiPriority w:val="0"/>
    <w:rPr>
      <w:sz w:val="30"/>
      <w:szCs w:val="28"/>
    </w:rPr>
  </w:style>
  <w:style w:type="paragraph" w:customStyle="1" w:styleId="82">
    <w:name w:val="CD正文"/>
    <w:basedOn w:val="1"/>
    <w:link w:val="81"/>
    <w:qFormat/>
    <w:uiPriority w:val="99"/>
    <w:pPr>
      <w:widowControl w:val="0"/>
      <w:spacing w:line="360" w:lineRule="auto"/>
      <w:ind w:firstLine="493"/>
      <w:jc w:val="both"/>
    </w:pPr>
    <w:rPr>
      <w:rFonts w:asciiTheme="minorHAnsi" w:hAnsiTheme="minorHAnsi" w:eastAsiaTheme="minorEastAsia" w:cstheme="minorBidi"/>
      <w:kern w:val="2"/>
      <w:sz w:val="30"/>
      <w:szCs w:val="28"/>
    </w:rPr>
  </w:style>
  <w:style w:type="character" w:customStyle="1" w:styleId="83">
    <w:name w:val="正文文本 2 字符"/>
    <w:link w:val="41"/>
    <w:qFormat/>
    <w:uiPriority w:val="0"/>
    <w:rPr>
      <w:szCs w:val="21"/>
    </w:rPr>
  </w:style>
  <w:style w:type="character" w:customStyle="1" w:styleId="84">
    <w:name w:val="（符号）三标题1.1 Char Char"/>
    <w:link w:val="85"/>
    <w:qFormat/>
    <w:uiPriority w:val="0"/>
    <w:rPr>
      <w:rFonts w:ascii="宋体" w:hAnsi="宋体"/>
      <w:sz w:val="24"/>
      <w:szCs w:val="24"/>
    </w:rPr>
  </w:style>
  <w:style w:type="paragraph" w:customStyle="1" w:styleId="85">
    <w:name w:val="（符号）三标题1.1"/>
    <w:basedOn w:val="1"/>
    <w:link w:val="84"/>
    <w:qFormat/>
    <w:uiPriority w:val="0"/>
    <w:pPr>
      <w:widowControl w:val="0"/>
      <w:tabs>
        <w:tab w:val="left" w:pos="700"/>
        <w:tab w:val="left" w:pos="840"/>
      </w:tabs>
      <w:spacing w:line="500" w:lineRule="exact"/>
      <w:ind w:left="431" w:hanging="431"/>
      <w:jc w:val="both"/>
    </w:pPr>
    <w:rPr>
      <w:rFonts w:ascii="宋体" w:hAnsi="宋体" w:eastAsiaTheme="minorEastAsia" w:cstheme="minorBidi"/>
      <w:kern w:val="2"/>
    </w:rPr>
  </w:style>
  <w:style w:type="character" w:customStyle="1" w:styleId="86">
    <w:name w:val="grame"/>
    <w:basedOn w:val="48"/>
    <w:qFormat/>
    <w:uiPriority w:val="0"/>
  </w:style>
  <w:style w:type="character" w:customStyle="1" w:styleId="87">
    <w:name w:val="页脚 字符"/>
    <w:link w:val="30"/>
    <w:qFormat/>
    <w:uiPriority w:val="99"/>
    <w:rPr>
      <w:sz w:val="18"/>
      <w:szCs w:val="18"/>
    </w:rPr>
  </w:style>
  <w:style w:type="character" w:customStyle="1" w:styleId="88">
    <w:name w:val="keyword"/>
    <w:basedOn w:val="48"/>
    <w:qFormat/>
    <w:uiPriority w:val="0"/>
  </w:style>
  <w:style w:type="character" w:customStyle="1" w:styleId="89">
    <w:name w:val="文档结构图 字符"/>
    <w:link w:val="16"/>
    <w:qFormat/>
    <w:uiPriority w:val="0"/>
    <w:rPr>
      <w:rFonts w:ascii="宋体"/>
      <w:sz w:val="18"/>
      <w:szCs w:val="18"/>
    </w:rPr>
  </w:style>
  <w:style w:type="character" w:customStyle="1" w:styleId="90">
    <w:name w:val="日期 字符"/>
    <w:link w:val="27"/>
    <w:qFormat/>
    <w:uiPriority w:val="0"/>
    <w:rPr>
      <w:sz w:val="24"/>
      <w:szCs w:val="24"/>
    </w:rPr>
  </w:style>
  <w:style w:type="character" w:customStyle="1" w:styleId="91">
    <w:name w:val="文章正文 Char"/>
    <w:link w:val="92"/>
    <w:qFormat/>
    <w:uiPriority w:val="0"/>
    <w:rPr>
      <w:sz w:val="24"/>
      <w:szCs w:val="24"/>
    </w:rPr>
  </w:style>
  <w:style w:type="paragraph" w:customStyle="1" w:styleId="92">
    <w:name w:val="文章正文"/>
    <w:basedOn w:val="1"/>
    <w:link w:val="91"/>
    <w:qFormat/>
    <w:uiPriority w:val="0"/>
    <w:pPr>
      <w:widowControl w:val="0"/>
      <w:spacing w:line="360" w:lineRule="auto"/>
      <w:ind w:firstLine="420"/>
      <w:jc w:val="both"/>
    </w:pPr>
    <w:rPr>
      <w:rFonts w:asciiTheme="minorHAnsi" w:hAnsiTheme="minorHAnsi" w:eastAsiaTheme="minorEastAsia" w:cstheme="minorBidi"/>
      <w:kern w:val="2"/>
    </w:rPr>
  </w:style>
  <w:style w:type="character" w:customStyle="1" w:styleId="93">
    <w:name w:val="正文文本缩进 3 字符"/>
    <w:link w:val="37"/>
    <w:qFormat/>
    <w:uiPriority w:val="0"/>
    <w:rPr>
      <w:sz w:val="16"/>
      <w:szCs w:val="16"/>
    </w:rPr>
  </w:style>
  <w:style w:type="character" w:customStyle="1" w:styleId="94">
    <w:name w:val="正文文本缩进 字符"/>
    <w:link w:val="20"/>
    <w:qFormat/>
    <w:uiPriority w:val="0"/>
    <w:rPr>
      <w:rFonts w:ascii="宋体"/>
      <w:sz w:val="30"/>
      <w:szCs w:val="24"/>
    </w:rPr>
  </w:style>
  <w:style w:type="character" w:customStyle="1" w:styleId="95">
    <w:name w:val="正文文本首行缩进 字符"/>
    <w:link w:val="3"/>
    <w:qFormat/>
    <w:uiPriority w:val="0"/>
    <w:rPr>
      <w:rFonts w:ascii="宋体" w:hAnsi="宋体"/>
      <w:szCs w:val="24"/>
    </w:rPr>
  </w:style>
  <w:style w:type="character" w:customStyle="1" w:styleId="96">
    <w:name w:val="正文缩进 字符"/>
    <w:link w:val="14"/>
    <w:qFormat/>
    <w:uiPriority w:val="99"/>
    <w:rPr>
      <w:szCs w:val="24"/>
    </w:rPr>
  </w:style>
  <w:style w:type="character" w:customStyle="1" w:styleId="97">
    <w:name w:val="称呼 字符"/>
    <w:link w:val="18"/>
    <w:qFormat/>
    <w:uiPriority w:val="0"/>
    <w:rPr>
      <w:rFonts w:eastAsia="黑体"/>
      <w:sz w:val="24"/>
    </w:rPr>
  </w:style>
  <w:style w:type="character" w:customStyle="1" w:styleId="98">
    <w:name w:val="正文文本 字符"/>
    <w:link w:val="2"/>
    <w:qFormat/>
    <w:uiPriority w:val="0"/>
    <w:rPr>
      <w:sz w:val="24"/>
      <w:szCs w:val="24"/>
    </w:rPr>
  </w:style>
  <w:style w:type="character" w:customStyle="1" w:styleId="99">
    <w:name w:val="Char Char40"/>
    <w:qFormat/>
    <w:uiPriority w:val="0"/>
    <w:rPr>
      <w:kern w:val="2"/>
      <w:sz w:val="24"/>
      <w:szCs w:val="24"/>
    </w:rPr>
  </w:style>
  <w:style w:type="character" w:customStyle="1" w:styleId="100">
    <w:name w:val="批注框文本 字符"/>
    <w:link w:val="29"/>
    <w:qFormat/>
    <w:uiPriority w:val="0"/>
    <w:rPr>
      <w:sz w:val="18"/>
      <w:szCs w:val="18"/>
    </w:rPr>
  </w:style>
  <w:style w:type="character" w:customStyle="1" w:styleId="101">
    <w:name w:val="WW8Num9z0"/>
    <w:qFormat/>
    <w:uiPriority w:val="0"/>
    <w:rPr>
      <w:rFonts w:ascii="Wingdings" w:hAnsi="Wingdings"/>
    </w:rPr>
  </w:style>
  <w:style w:type="character" w:customStyle="1" w:styleId="102">
    <w:name w:val="magic-list1"/>
    <w:qFormat/>
    <w:uiPriority w:val="0"/>
    <w:rPr>
      <w:rFonts w:hint="default" w:ascii="ˎ̥" w:hAnsi="ˎ̥"/>
      <w:color w:val="000000"/>
      <w:sz w:val="20"/>
      <w:u w:val="none"/>
    </w:rPr>
  </w:style>
  <w:style w:type="character" w:customStyle="1" w:styleId="103">
    <w:name w:val="small"/>
    <w:basedOn w:val="48"/>
    <w:qFormat/>
    <w:uiPriority w:val="0"/>
  </w:style>
  <w:style w:type="character" w:customStyle="1" w:styleId="104">
    <w:name w:val="页眉 字符"/>
    <w:link w:val="31"/>
    <w:qFormat/>
    <w:uiPriority w:val="0"/>
    <w:rPr>
      <w:sz w:val="18"/>
      <w:szCs w:val="18"/>
    </w:rPr>
  </w:style>
  <w:style w:type="character" w:customStyle="1" w:styleId="105">
    <w:name w:val="正文文本缩进 2 字符"/>
    <w:link w:val="28"/>
    <w:qFormat/>
    <w:uiPriority w:val="0"/>
    <w:rPr>
      <w:szCs w:val="24"/>
    </w:rPr>
  </w:style>
  <w:style w:type="character" w:customStyle="1" w:styleId="106">
    <w:name w:val="正文文本 3 字符"/>
    <w:link w:val="19"/>
    <w:qFormat/>
    <w:uiPriority w:val="0"/>
    <w:rPr>
      <w:sz w:val="16"/>
      <w:szCs w:val="16"/>
    </w:rPr>
  </w:style>
  <w:style w:type="character" w:customStyle="1" w:styleId="107">
    <w:name w:val="纯文本 Char1"/>
    <w:unhideWhenUsed/>
    <w:qFormat/>
    <w:uiPriority w:val="99"/>
    <w:rPr>
      <w:rFonts w:hint="eastAsia" w:ascii="宋体" w:hAnsi="Tms Rmn" w:eastAsia="宋体"/>
      <w:sz w:val="21"/>
      <w:lang w:val="en-US" w:eastAsia="zh-CN"/>
    </w:rPr>
  </w:style>
  <w:style w:type="character" w:customStyle="1" w:styleId="108">
    <w:name w:val="标题 字符"/>
    <w:link w:val="43"/>
    <w:qFormat/>
    <w:uiPriority w:val="0"/>
    <w:rPr>
      <w:rFonts w:ascii="Cambria" w:hAnsi="Cambria"/>
      <w:b/>
      <w:bCs/>
      <w:sz w:val="32"/>
      <w:szCs w:val="32"/>
    </w:rPr>
  </w:style>
  <w:style w:type="character" w:customStyle="1" w:styleId="109">
    <w:name w:val="纯文本 字符"/>
    <w:link w:val="25"/>
    <w:qFormat/>
    <w:uiPriority w:val="0"/>
    <w:rPr>
      <w:rFonts w:ascii="宋体" w:hAnsi="Tms Rmn" w:cs="宋体"/>
      <w:szCs w:val="21"/>
    </w:rPr>
  </w:style>
  <w:style w:type="character" w:customStyle="1" w:styleId="110">
    <w:name w:val="H4 Char"/>
    <w:qFormat/>
    <w:uiPriority w:val="0"/>
    <w:rPr>
      <w:rFonts w:ascii="Arial" w:hAnsi="Arial" w:eastAsia="宋体"/>
      <w:b/>
      <w:kern w:val="2"/>
      <w:sz w:val="28"/>
      <w:lang w:val="en-US" w:eastAsia="zh-CN"/>
    </w:rPr>
  </w:style>
  <w:style w:type="character" w:customStyle="1" w:styleId="111">
    <w:name w:val="正文缩进 Char1"/>
    <w:qFormat/>
    <w:uiPriority w:val="0"/>
    <w:rPr>
      <w:kern w:val="2"/>
      <w:sz w:val="21"/>
      <w:szCs w:val="24"/>
    </w:rPr>
  </w:style>
  <w:style w:type="paragraph" w:customStyle="1" w:styleId="112">
    <w:name w:val="MM Topic 9"/>
    <w:basedOn w:val="12"/>
    <w:qFormat/>
    <w:uiPriority w:val="0"/>
    <w:pPr>
      <w:tabs>
        <w:tab w:val="left" w:pos="5102"/>
      </w:tabs>
    </w:pPr>
  </w:style>
  <w:style w:type="paragraph" w:customStyle="1" w:styleId="113">
    <w:name w:val="默认段落字体 Para Char Char Char Char Char Char Char Char Char Char Char Char Char Char Char Char"/>
    <w:basedOn w:val="16"/>
    <w:qFormat/>
    <w:uiPriority w:val="0"/>
    <w:pPr>
      <w:widowControl w:val="0"/>
      <w:shd w:val="clear" w:color="auto" w:fill="000080"/>
      <w:adjustRightInd w:val="0"/>
      <w:spacing w:line="436" w:lineRule="exact"/>
      <w:ind w:left="357"/>
      <w:outlineLvl w:val="3"/>
    </w:pPr>
    <w:rPr>
      <w:rFonts w:ascii="Tahoma" w:hAnsi="Tahoma"/>
      <w:b/>
      <w:sz w:val="24"/>
      <w:szCs w:val="24"/>
    </w:rPr>
  </w:style>
  <w:style w:type="paragraph" w:customStyle="1" w:styleId="114">
    <w:name w:val="强调2"/>
    <w:basedOn w:val="115"/>
    <w:qFormat/>
    <w:uiPriority w:val="0"/>
    <w:pPr>
      <w:tabs>
        <w:tab w:val="left" w:pos="360"/>
        <w:tab w:val="left" w:pos="1918"/>
      </w:tabs>
      <w:ind w:left="1918" w:hanging="420"/>
    </w:pPr>
  </w:style>
  <w:style w:type="paragraph" w:customStyle="1" w:styleId="115">
    <w:name w:val="强调1"/>
    <w:basedOn w:val="1"/>
    <w:qFormat/>
    <w:uiPriority w:val="0"/>
    <w:pPr>
      <w:widowControl w:val="0"/>
      <w:spacing w:line="360" w:lineRule="auto"/>
      <w:ind w:left="900"/>
      <w:jc w:val="both"/>
    </w:pPr>
    <w:rPr>
      <w:rFonts w:ascii="楷体_GB2312" w:hAnsi="仿宋" w:eastAsia="楷体_GB2312"/>
      <w:kern w:val="2"/>
      <w:sz w:val="28"/>
      <w:szCs w:val="28"/>
    </w:rPr>
  </w:style>
  <w:style w:type="paragraph" w:customStyle="1" w:styleId="116">
    <w:name w:val="Char Char Char Char"/>
    <w:basedOn w:val="1"/>
    <w:next w:val="1"/>
    <w:qFormat/>
    <w:uiPriority w:val="0"/>
    <w:pPr>
      <w:widowControl w:val="0"/>
      <w:spacing w:line="240" w:lineRule="atLeast"/>
      <w:ind w:left="420" w:firstLine="420"/>
    </w:pPr>
    <w:rPr>
      <w:sz w:val="21"/>
      <w:szCs w:val="21"/>
    </w:rPr>
  </w:style>
  <w:style w:type="paragraph" w:customStyle="1" w:styleId="117">
    <w:name w:val="Style Style4 + First line:  2 ch Before:  0.5 line After:  0.5 li..."/>
    <w:basedOn w:val="1"/>
    <w:qFormat/>
    <w:uiPriority w:val="0"/>
    <w:pPr>
      <w:widowControl w:val="0"/>
      <w:spacing w:beforeLines="50" w:afterLines="50" w:line="276" w:lineRule="auto"/>
      <w:ind w:firstLine="480" w:firstLineChars="200"/>
      <w:jc w:val="both"/>
    </w:pPr>
    <w:rPr>
      <w:rFonts w:ascii="Arial" w:hAnsi="Arial"/>
      <w:kern w:val="2"/>
      <w:szCs w:val="20"/>
    </w:rPr>
  </w:style>
  <w:style w:type="paragraph" w:customStyle="1" w:styleId="118">
    <w:name w:val="Char Char Char Char Char Char Char"/>
    <w:basedOn w:val="1"/>
    <w:qFormat/>
    <w:uiPriority w:val="0"/>
    <w:pPr>
      <w:snapToGrid w:val="0"/>
      <w:spacing w:line="240" w:lineRule="exact"/>
    </w:pPr>
    <w:rPr>
      <w:rFonts w:ascii="Verdana" w:hAnsi="Verdana"/>
      <w:sz w:val="20"/>
      <w:szCs w:val="20"/>
      <w:lang w:eastAsia="en-US"/>
    </w:rPr>
  </w:style>
  <w:style w:type="paragraph" w:customStyle="1" w:styleId="119">
    <w:name w:val="默认段落字体 Para Char Char Char Char"/>
    <w:basedOn w:val="1"/>
    <w:qFormat/>
    <w:uiPriority w:val="0"/>
    <w:pPr>
      <w:widowControl w:val="0"/>
      <w:jc w:val="both"/>
    </w:pPr>
    <w:rPr>
      <w:kern w:val="2"/>
      <w:sz w:val="21"/>
    </w:rPr>
  </w:style>
  <w:style w:type="character" w:customStyle="1" w:styleId="120">
    <w:name w:val="纯文本 Char2"/>
    <w:basedOn w:val="48"/>
    <w:qFormat/>
    <w:uiPriority w:val="0"/>
    <w:rPr>
      <w:rFonts w:ascii="宋体" w:hAnsi="Courier New" w:eastAsia="宋体" w:cs="Courier New"/>
      <w:kern w:val="0"/>
      <w:szCs w:val="21"/>
    </w:rPr>
  </w:style>
  <w:style w:type="paragraph" w:customStyle="1" w:styleId="121">
    <w:name w:val="WW-正文（首行缩进两字）"/>
    <w:basedOn w:val="1"/>
    <w:qFormat/>
    <w:uiPriority w:val="0"/>
    <w:pPr>
      <w:widowControl w:val="0"/>
      <w:autoSpaceDE w:val="0"/>
      <w:autoSpaceDN w:val="0"/>
      <w:adjustRightInd w:val="0"/>
      <w:ind w:firstLine="420"/>
      <w:jc w:val="both"/>
    </w:pPr>
    <w:rPr>
      <w:sz w:val="21"/>
      <w:szCs w:val="21"/>
    </w:rPr>
  </w:style>
  <w:style w:type="character" w:customStyle="1" w:styleId="122">
    <w:name w:val="页眉 Char1"/>
    <w:basedOn w:val="48"/>
    <w:semiHidden/>
    <w:qFormat/>
    <w:uiPriority w:val="99"/>
    <w:rPr>
      <w:rFonts w:ascii="Times New Roman" w:hAnsi="Times New Roman" w:eastAsia="宋体" w:cs="Times New Roman"/>
      <w:kern w:val="0"/>
      <w:sz w:val="18"/>
      <w:szCs w:val="18"/>
    </w:rPr>
  </w:style>
  <w:style w:type="character" w:customStyle="1" w:styleId="123">
    <w:name w:val="正文文本 Char1"/>
    <w:basedOn w:val="48"/>
    <w:qFormat/>
    <w:uiPriority w:val="0"/>
    <w:rPr>
      <w:rFonts w:ascii="Times New Roman" w:hAnsi="Times New Roman" w:eastAsia="宋体" w:cs="Times New Roman"/>
      <w:kern w:val="0"/>
      <w:sz w:val="24"/>
      <w:szCs w:val="24"/>
    </w:rPr>
  </w:style>
  <w:style w:type="character" w:customStyle="1" w:styleId="124">
    <w:name w:val="批注框文本 Char1"/>
    <w:basedOn w:val="48"/>
    <w:qFormat/>
    <w:uiPriority w:val="0"/>
    <w:rPr>
      <w:rFonts w:ascii="Times New Roman" w:hAnsi="Times New Roman" w:eastAsia="宋体" w:cs="Times New Roman"/>
      <w:kern w:val="0"/>
      <w:sz w:val="18"/>
      <w:szCs w:val="18"/>
    </w:rPr>
  </w:style>
  <w:style w:type="character" w:customStyle="1" w:styleId="125">
    <w:name w:val="称呼 Char1"/>
    <w:basedOn w:val="48"/>
    <w:semiHidden/>
    <w:qFormat/>
    <w:uiPriority w:val="99"/>
    <w:rPr>
      <w:rFonts w:ascii="Times New Roman" w:hAnsi="Times New Roman" w:eastAsia="宋体" w:cs="Times New Roman"/>
      <w:kern w:val="0"/>
      <w:sz w:val="24"/>
      <w:szCs w:val="24"/>
    </w:rPr>
  </w:style>
  <w:style w:type="character" w:customStyle="1" w:styleId="126">
    <w:name w:val="批注文字 Char1"/>
    <w:basedOn w:val="48"/>
    <w:semiHidden/>
    <w:qFormat/>
    <w:uiPriority w:val="0"/>
    <w:rPr>
      <w:rFonts w:ascii="Times New Roman" w:hAnsi="Times New Roman" w:eastAsia="宋体" w:cs="Times New Roman"/>
      <w:kern w:val="0"/>
      <w:sz w:val="24"/>
      <w:szCs w:val="24"/>
    </w:rPr>
  </w:style>
  <w:style w:type="paragraph" w:customStyle="1" w:styleId="127">
    <w:name w:val="MM Topic 3"/>
    <w:basedOn w:val="6"/>
    <w:qFormat/>
    <w:uiPriority w:val="0"/>
    <w:pPr>
      <w:numPr>
        <w:ilvl w:val="0"/>
        <w:numId w:val="0"/>
      </w:numPr>
      <w:tabs>
        <w:tab w:val="left" w:pos="1418"/>
      </w:tabs>
    </w:pPr>
    <w:rPr>
      <w:rFonts w:ascii="Times New Roman" w:hAnsi="Times New Roman"/>
      <w:bCs w:val="0"/>
      <w:szCs w:val="20"/>
    </w:rPr>
  </w:style>
  <w:style w:type="character" w:customStyle="1" w:styleId="128">
    <w:name w:val="正文文本缩进 Char1"/>
    <w:basedOn w:val="48"/>
    <w:qFormat/>
    <w:uiPriority w:val="99"/>
    <w:rPr>
      <w:rFonts w:ascii="Times New Roman" w:hAnsi="Times New Roman" w:eastAsia="宋体" w:cs="Times New Roman"/>
      <w:kern w:val="0"/>
      <w:sz w:val="24"/>
      <w:szCs w:val="24"/>
    </w:rPr>
  </w:style>
  <w:style w:type="character" w:customStyle="1" w:styleId="129">
    <w:name w:val="页脚 Char1"/>
    <w:basedOn w:val="48"/>
    <w:qFormat/>
    <w:uiPriority w:val="99"/>
    <w:rPr>
      <w:rFonts w:ascii="Times New Roman" w:hAnsi="Times New Roman" w:eastAsia="宋体" w:cs="Times New Roman"/>
      <w:kern w:val="0"/>
      <w:sz w:val="18"/>
      <w:szCs w:val="18"/>
    </w:rPr>
  </w:style>
  <w:style w:type="character" w:customStyle="1" w:styleId="130">
    <w:name w:val="正文文本 3 Char1"/>
    <w:basedOn w:val="48"/>
    <w:qFormat/>
    <w:uiPriority w:val="0"/>
    <w:rPr>
      <w:rFonts w:ascii="Times New Roman" w:hAnsi="Times New Roman" w:eastAsia="宋体" w:cs="Times New Roman"/>
      <w:kern w:val="0"/>
      <w:sz w:val="16"/>
      <w:szCs w:val="16"/>
    </w:rPr>
  </w:style>
  <w:style w:type="character" w:customStyle="1" w:styleId="131">
    <w:name w:val="批注主题 Char1"/>
    <w:basedOn w:val="126"/>
    <w:qFormat/>
    <w:uiPriority w:val="0"/>
    <w:rPr>
      <w:rFonts w:ascii="Times New Roman" w:hAnsi="Times New Roman" w:eastAsia="宋体" w:cs="Times New Roman"/>
      <w:b/>
      <w:bCs/>
      <w:kern w:val="0"/>
      <w:sz w:val="24"/>
      <w:szCs w:val="24"/>
    </w:rPr>
  </w:style>
  <w:style w:type="character" w:customStyle="1" w:styleId="132">
    <w:name w:val="正文首行缩进 Char1"/>
    <w:basedOn w:val="123"/>
    <w:qFormat/>
    <w:uiPriority w:val="0"/>
    <w:rPr>
      <w:rFonts w:ascii="Times New Roman" w:hAnsi="Times New Roman" w:eastAsia="宋体" w:cs="Times New Roman"/>
      <w:kern w:val="0"/>
      <w:sz w:val="24"/>
      <w:szCs w:val="24"/>
    </w:rPr>
  </w:style>
  <w:style w:type="character" w:customStyle="1" w:styleId="133">
    <w:name w:val="文档结构图 Char1"/>
    <w:basedOn w:val="48"/>
    <w:qFormat/>
    <w:uiPriority w:val="0"/>
    <w:rPr>
      <w:rFonts w:ascii="宋体" w:hAnsi="Times New Roman" w:eastAsia="宋体" w:cs="Times New Roman"/>
      <w:kern w:val="0"/>
      <w:sz w:val="18"/>
      <w:szCs w:val="18"/>
    </w:rPr>
  </w:style>
  <w:style w:type="paragraph" w:customStyle="1" w:styleId="134">
    <w:name w:val="标准正文"/>
    <w:basedOn w:val="1"/>
    <w:qFormat/>
    <w:uiPriority w:val="0"/>
    <w:pPr>
      <w:widowControl w:val="0"/>
      <w:adjustRightInd w:val="0"/>
      <w:spacing w:before="120" w:line="400" w:lineRule="atLeast"/>
      <w:ind w:firstLine="576"/>
      <w:textAlignment w:val="baseline"/>
    </w:pPr>
    <w:rPr>
      <w:rFonts w:eastAsia="楷体_GB2312"/>
      <w:sz w:val="28"/>
      <w:szCs w:val="20"/>
    </w:rPr>
  </w:style>
  <w:style w:type="paragraph" w:customStyle="1" w:styleId="135">
    <w:name w:val="样式 标题 2proj2proj21proj22proj23proj24proj25proj26proj27p...1"/>
    <w:basedOn w:val="5"/>
    <w:qFormat/>
    <w:uiPriority w:val="0"/>
    <w:pPr>
      <w:keepNext w:val="0"/>
      <w:keepLines w:val="0"/>
      <w:numPr>
        <w:ilvl w:val="0"/>
        <w:numId w:val="0"/>
      </w:numPr>
      <w:adjustRightInd w:val="0"/>
      <w:spacing w:line="360" w:lineRule="exact"/>
      <w:jc w:val="center"/>
      <w:textAlignment w:val="baseline"/>
      <w:outlineLvl w:val="9"/>
    </w:pPr>
    <w:rPr>
      <w:rFonts w:ascii="Times New Roman" w:hAnsi="Times New Roman"/>
      <w:b w:val="0"/>
      <w:bCs w:val="0"/>
      <w:iCs w:val="0"/>
      <w:kern w:val="2"/>
      <w:sz w:val="24"/>
      <w:szCs w:val="20"/>
    </w:rPr>
  </w:style>
  <w:style w:type="paragraph" w:customStyle="1" w:styleId="136">
    <w:name w:val="MM Topic 4"/>
    <w:basedOn w:val="7"/>
    <w:qFormat/>
    <w:uiPriority w:val="0"/>
    <w:pPr>
      <w:tabs>
        <w:tab w:val="left" w:pos="1984"/>
      </w:tabs>
      <w:spacing w:before="280" w:after="290" w:line="372" w:lineRule="auto"/>
      <w:ind w:left="0" w:leftChars="0" w:firstLine="0"/>
      <w:jc w:val="both"/>
    </w:pPr>
    <w:rPr>
      <w:bCs w:val="0"/>
      <w:kern w:val="2"/>
      <w:szCs w:val="20"/>
    </w:rPr>
  </w:style>
  <w:style w:type="character" w:customStyle="1" w:styleId="137">
    <w:name w:val="日期 Char1"/>
    <w:basedOn w:val="48"/>
    <w:qFormat/>
    <w:uiPriority w:val="0"/>
    <w:rPr>
      <w:rFonts w:ascii="Times New Roman" w:hAnsi="Times New Roman" w:eastAsia="宋体" w:cs="Times New Roman"/>
      <w:kern w:val="0"/>
      <w:sz w:val="24"/>
      <w:szCs w:val="24"/>
    </w:rPr>
  </w:style>
  <w:style w:type="character" w:customStyle="1" w:styleId="138">
    <w:name w:val="正文文本缩进 2 Char1"/>
    <w:basedOn w:val="48"/>
    <w:semiHidden/>
    <w:qFormat/>
    <w:uiPriority w:val="0"/>
    <w:rPr>
      <w:rFonts w:ascii="Times New Roman" w:hAnsi="Times New Roman" w:eastAsia="宋体" w:cs="Times New Roman"/>
      <w:kern w:val="0"/>
      <w:sz w:val="24"/>
      <w:szCs w:val="24"/>
    </w:rPr>
  </w:style>
  <w:style w:type="paragraph" w:customStyle="1" w:styleId="139">
    <w:name w:val="MM Topic 6"/>
    <w:basedOn w:val="9"/>
    <w:qFormat/>
    <w:uiPriority w:val="0"/>
    <w:pPr>
      <w:tabs>
        <w:tab w:val="left" w:pos="3260"/>
      </w:tabs>
      <w:spacing w:line="317" w:lineRule="auto"/>
      <w:ind w:left="0" w:firstLine="0"/>
    </w:pPr>
    <w:rPr>
      <w:bCs w:val="0"/>
      <w:sz w:val="28"/>
      <w:szCs w:val="20"/>
    </w:rPr>
  </w:style>
  <w:style w:type="character" w:customStyle="1" w:styleId="140">
    <w:name w:val="正文文本缩进 3 Char1"/>
    <w:basedOn w:val="48"/>
    <w:qFormat/>
    <w:uiPriority w:val="0"/>
    <w:rPr>
      <w:rFonts w:ascii="Times New Roman" w:hAnsi="Times New Roman" w:eastAsia="宋体" w:cs="Times New Roman"/>
      <w:kern w:val="0"/>
      <w:sz w:val="16"/>
      <w:szCs w:val="16"/>
    </w:rPr>
  </w:style>
  <w:style w:type="character" w:customStyle="1" w:styleId="141">
    <w:name w:val="正文文本 2 Char1"/>
    <w:basedOn w:val="48"/>
    <w:qFormat/>
    <w:uiPriority w:val="0"/>
    <w:rPr>
      <w:rFonts w:ascii="Times New Roman" w:hAnsi="Times New Roman" w:eastAsia="宋体" w:cs="Times New Roman"/>
      <w:kern w:val="0"/>
      <w:sz w:val="24"/>
      <w:szCs w:val="24"/>
    </w:rPr>
  </w:style>
  <w:style w:type="character" w:customStyle="1" w:styleId="142">
    <w:name w:val="标题 Char1"/>
    <w:basedOn w:val="48"/>
    <w:qFormat/>
    <w:uiPriority w:val="10"/>
    <w:rPr>
      <w:rFonts w:eastAsia="宋体" w:asciiTheme="majorHAnsi" w:hAnsiTheme="majorHAnsi" w:cstheme="majorBidi"/>
      <w:b/>
      <w:bCs/>
      <w:kern w:val="0"/>
      <w:sz w:val="32"/>
      <w:szCs w:val="32"/>
    </w:rPr>
  </w:style>
  <w:style w:type="paragraph" w:customStyle="1" w:styleId="143">
    <w:name w:val="Default"/>
    <w:qFormat/>
    <w:uiPriority w:val="0"/>
    <w:pPr>
      <w:widowControl w:val="0"/>
      <w:autoSpaceDE w:val="0"/>
      <w:autoSpaceDN w:val="0"/>
      <w:adjustRightInd w:val="0"/>
    </w:pPr>
    <w:rPr>
      <w:rFonts w:ascii="楷体à.ā" w:hAnsi="Times New Roman" w:eastAsia="楷体à.ā" w:cs="Times New Roman"/>
      <w:color w:val="000000"/>
      <w:sz w:val="24"/>
      <w:lang w:val="en-US" w:eastAsia="zh-CN" w:bidi="ar-SA"/>
    </w:rPr>
  </w:style>
  <w:style w:type="paragraph" w:customStyle="1" w:styleId="144">
    <w:name w:val="标题样式"/>
    <w:basedOn w:val="1"/>
    <w:qFormat/>
    <w:uiPriority w:val="0"/>
    <w:pPr>
      <w:widowControl w:val="0"/>
      <w:tabs>
        <w:tab w:val="left" w:pos="420"/>
      </w:tabs>
      <w:spacing w:line="360" w:lineRule="auto"/>
      <w:jc w:val="both"/>
    </w:pPr>
    <w:rPr>
      <w:rFonts w:ascii="宋体" w:hAnsi="宋体"/>
      <w:kern w:val="2"/>
      <w:szCs w:val="20"/>
    </w:rPr>
  </w:style>
  <w:style w:type="paragraph" w:customStyle="1" w:styleId="145">
    <w:name w:val="Char Char Char Char Char Char Char Char Char"/>
    <w:basedOn w:val="1"/>
    <w:qFormat/>
    <w:uiPriority w:val="0"/>
    <w:pPr>
      <w:spacing w:after="160" w:line="240" w:lineRule="exact"/>
    </w:pPr>
    <w:rPr>
      <w:rFonts w:ascii="Verdana" w:hAnsi="Verdana" w:eastAsia="仿宋_GB2312"/>
      <w:szCs w:val="20"/>
      <w:lang w:eastAsia="en-US"/>
    </w:rPr>
  </w:style>
  <w:style w:type="paragraph" w:customStyle="1" w:styleId="146">
    <w:name w:val="标题 5 + 首行缩进:  2 字符"/>
    <w:basedOn w:val="8"/>
    <w:next w:val="20"/>
    <w:qFormat/>
    <w:uiPriority w:val="0"/>
    <w:pPr>
      <w:keepNext w:val="0"/>
      <w:keepLines w:val="0"/>
      <w:tabs>
        <w:tab w:val="left" w:pos="992"/>
        <w:tab w:val="left" w:pos="1560"/>
      </w:tabs>
      <w:autoSpaceDE/>
      <w:autoSpaceDN/>
      <w:adjustRightInd/>
      <w:snapToGrid w:val="0"/>
      <w:spacing w:beforeLines="50" w:afterLines="50" w:line="360" w:lineRule="auto"/>
      <w:ind w:left="3570" w:firstLine="482" w:firstLineChars="200"/>
    </w:pPr>
    <w:rPr>
      <w:rFonts w:ascii="Calibri" w:hAnsi="Calibri"/>
      <w:color w:val="000000"/>
      <w:szCs w:val="20"/>
    </w:rPr>
  </w:style>
  <w:style w:type="paragraph" w:customStyle="1" w:styleId="147">
    <w:name w:val="09正文_wh"/>
    <w:qFormat/>
    <w:uiPriority w:val="0"/>
    <w:pPr>
      <w:spacing w:line="30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148">
    <w:name w:val="样式"/>
    <w:qFormat/>
    <w:uiPriority w:val="99"/>
    <w:pPr>
      <w:widowControl w:val="0"/>
      <w:autoSpaceDE w:val="0"/>
      <w:autoSpaceDN w:val="0"/>
      <w:adjustRightInd w:val="0"/>
    </w:pPr>
    <w:rPr>
      <w:rFonts w:ascii="宋体" w:hAnsi="宋体" w:eastAsia="宋体" w:cs="宋体"/>
      <w:sz w:val="24"/>
      <w:szCs w:val="24"/>
      <w:lang w:val="en-US" w:eastAsia="zh-CN" w:bidi="ar-SA"/>
    </w:rPr>
  </w:style>
  <w:style w:type="paragraph" w:customStyle="1" w:styleId="149">
    <w:name w:val="Char11"/>
    <w:basedOn w:val="1"/>
    <w:next w:val="1"/>
    <w:qFormat/>
    <w:uiPriority w:val="0"/>
    <w:pPr>
      <w:widowControl w:val="0"/>
      <w:spacing w:line="240" w:lineRule="atLeast"/>
      <w:ind w:left="420" w:firstLine="420"/>
    </w:pPr>
    <w:rPr>
      <w:sz w:val="21"/>
      <w:szCs w:val="21"/>
    </w:rPr>
  </w:style>
  <w:style w:type="paragraph" w:customStyle="1" w:styleId="150">
    <w:name w:val="MM Topic 5"/>
    <w:basedOn w:val="8"/>
    <w:qFormat/>
    <w:uiPriority w:val="0"/>
    <w:pPr>
      <w:tabs>
        <w:tab w:val="left" w:pos="2551"/>
      </w:tabs>
      <w:autoSpaceDE/>
      <w:autoSpaceDN/>
      <w:adjustRightInd/>
      <w:spacing w:line="372" w:lineRule="auto"/>
    </w:pPr>
    <w:rPr>
      <w:bCs w:val="0"/>
      <w:kern w:val="2"/>
      <w:szCs w:val="20"/>
    </w:rPr>
  </w:style>
  <w:style w:type="paragraph" w:customStyle="1" w:styleId="151">
    <w:name w:val="默认段落字体 Para Char Char Char Char Char Char Char"/>
    <w:basedOn w:val="1"/>
    <w:qFormat/>
    <w:uiPriority w:val="0"/>
    <w:pPr>
      <w:widowControl w:val="0"/>
      <w:jc w:val="both"/>
    </w:pPr>
    <w:rPr>
      <w:rFonts w:ascii="Tahoma" w:hAnsi="Tahoma"/>
      <w:kern w:val="2"/>
      <w:szCs w:val="20"/>
    </w:rPr>
  </w:style>
  <w:style w:type="paragraph" w:customStyle="1" w:styleId="152">
    <w:name w:val="Item List"/>
    <w:qFormat/>
    <w:uiPriority w:val="0"/>
    <w:pPr>
      <w:widowControl w:val="0"/>
      <w:adjustRightInd w:val="0"/>
      <w:spacing w:line="360" w:lineRule="auto"/>
      <w:jc w:val="both"/>
      <w:textAlignment w:val="baseline"/>
    </w:pPr>
    <w:rPr>
      <w:rFonts w:ascii="Times New Roman" w:hAnsi="Times New Roman" w:eastAsia="宋体" w:cs="Times New Roman"/>
      <w:kern w:val="2"/>
      <w:sz w:val="24"/>
      <w:lang w:val="en-US" w:eastAsia="zh-CN" w:bidi="ar-SA"/>
    </w:rPr>
  </w:style>
  <w:style w:type="paragraph" w:customStyle="1" w:styleId="153">
    <w:name w:val="样式2"/>
    <w:basedOn w:val="1"/>
    <w:qFormat/>
    <w:uiPriority w:val="0"/>
    <w:pPr>
      <w:widowControl w:val="0"/>
      <w:adjustRightInd w:val="0"/>
      <w:spacing w:line="410" w:lineRule="atLeast"/>
      <w:jc w:val="both"/>
      <w:textAlignment w:val="baseline"/>
    </w:pPr>
    <w:rPr>
      <w:szCs w:val="20"/>
    </w:rPr>
  </w:style>
  <w:style w:type="paragraph" w:customStyle="1" w:styleId="154">
    <w:name w:val="列出段落1"/>
    <w:basedOn w:val="1"/>
    <w:qFormat/>
    <w:uiPriority w:val="34"/>
    <w:pPr>
      <w:ind w:firstLine="420" w:firstLineChars="200"/>
    </w:pPr>
    <w:rPr>
      <w:lang w:val="zh-CN"/>
    </w:rPr>
  </w:style>
  <w:style w:type="paragraph" w:customStyle="1" w:styleId="155">
    <w:name w:val="p4"/>
    <w:basedOn w:val="1"/>
    <w:qFormat/>
    <w:uiPriority w:val="0"/>
    <w:pPr>
      <w:spacing w:before="100" w:beforeAutospacing="1" w:after="100" w:afterAutospacing="1" w:line="360" w:lineRule="auto"/>
      <w:ind w:firstLine="360"/>
    </w:pPr>
    <w:rPr>
      <w:rFonts w:ascii="宋体" w:hAnsi="宋体"/>
    </w:rPr>
  </w:style>
  <w:style w:type="paragraph" w:customStyle="1" w:styleId="156">
    <w:name w:val="样式 首行缩进:  2 字符"/>
    <w:basedOn w:val="1"/>
    <w:qFormat/>
    <w:uiPriority w:val="99"/>
    <w:pPr>
      <w:widowControl w:val="0"/>
      <w:ind w:firstLine="420" w:firstLineChars="200"/>
      <w:jc w:val="both"/>
    </w:pPr>
    <w:rPr>
      <w:rFonts w:cs="宋体"/>
      <w:kern w:val="2"/>
      <w:sz w:val="21"/>
      <w:szCs w:val="20"/>
    </w:rPr>
  </w:style>
  <w:style w:type="paragraph" w:customStyle="1" w:styleId="157">
    <w:name w:val="默认段落字体 Para Char Char"/>
    <w:basedOn w:val="1"/>
    <w:qFormat/>
    <w:uiPriority w:val="0"/>
    <w:pPr>
      <w:widowControl w:val="0"/>
      <w:jc w:val="both"/>
    </w:pPr>
    <w:rPr>
      <w:kern w:val="2"/>
      <w:sz w:val="21"/>
      <w:szCs w:val="20"/>
    </w:rPr>
  </w:style>
  <w:style w:type="paragraph" w:customStyle="1" w:styleId="158">
    <w:name w:val="Char1 Char Char Char"/>
    <w:basedOn w:val="1"/>
    <w:next w:val="1"/>
    <w:qFormat/>
    <w:uiPriority w:val="0"/>
    <w:pPr>
      <w:widowControl w:val="0"/>
      <w:spacing w:line="240" w:lineRule="atLeast"/>
      <w:ind w:left="420" w:firstLine="420"/>
    </w:pPr>
    <w:rPr>
      <w:sz w:val="21"/>
      <w:szCs w:val="20"/>
    </w:rPr>
  </w:style>
  <w:style w:type="paragraph" w:customStyle="1" w:styleId="159">
    <w:name w:val="表格题注"/>
    <w:next w:val="1"/>
    <w:qFormat/>
    <w:uiPriority w:val="0"/>
    <w:pPr>
      <w:keepLines/>
      <w:tabs>
        <w:tab w:val="left" w:pos="1559"/>
      </w:tabs>
      <w:spacing w:beforeLines="100"/>
      <w:ind w:left="1559" w:hanging="1559"/>
      <w:jc w:val="center"/>
    </w:pPr>
    <w:rPr>
      <w:rFonts w:ascii="Arial" w:hAnsi="Arial" w:eastAsia="宋体" w:cs="Times New Roman"/>
      <w:sz w:val="18"/>
      <w:lang w:val="en-US" w:eastAsia="zh-CN" w:bidi="ar-SA"/>
    </w:rPr>
  </w:style>
  <w:style w:type="paragraph" w:customStyle="1" w:styleId="160">
    <w:name w:val="1 Char"/>
    <w:basedOn w:val="1"/>
    <w:qFormat/>
    <w:uiPriority w:val="0"/>
    <w:pPr>
      <w:spacing w:after="160" w:line="240" w:lineRule="exact"/>
    </w:pPr>
    <w:rPr>
      <w:rFonts w:ascii="Tahoma" w:hAnsi="Tahoma" w:eastAsia="Times New Roman"/>
      <w:lang w:eastAsia="en-US"/>
    </w:rPr>
  </w:style>
  <w:style w:type="paragraph" w:customStyle="1" w:styleId="161">
    <w:name w:val="MM Topic 8"/>
    <w:basedOn w:val="11"/>
    <w:qFormat/>
    <w:uiPriority w:val="0"/>
    <w:pPr>
      <w:tabs>
        <w:tab w:val="left" w:pos="4394"/>
      </w:tabs>
    </w:pPr>
  </w:style>
  <w:style w:type="paragraph" w:customStyle="1" w:styleId="162">
    <w:name w:val="MM Topic 7"/>
    <w:basedOn w:val="10"/>
    <w:qFormat/>
    <w:uiPriority w:val="0"/>
    <w:pPr>
      <w:keepLines/>
      <w:widowControl w:val="0"/>
      <w:tabs>
        <w:tab w:val="left" w:pos="3827"/>
        <w:tab w:val="clear" w:pos="3600"/>
      </w:tabs>
      <w:spacing w:before="240" w:after="64" w:line="317" w:lineRule="auto"/>
      <w:jc w:val="both"/>
    </w:pPr>
    <w:rPr>
      <w:rFonts w:ascii="Times New Roman" w:hAnsi="Times New Roman"/>
      <w:kern w:val="2"/>
      <w:sz w:val="24"/>
      <w:lang w:eastAsia="zh-CN"/>
    </w:rPr>
  </w:style>
  <w:style w:type="paragraph" w:customStyle="1" w:styleId="163">
    <w:name w:val="正文1"/>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164">
    <w:name w:val="条目正文"/>
    <w:basedOn w:val="1"/>
    <w:qFormat/>
    <w:uiPriority w:val="0"/>
    <w:pPr>
      <w:widowControl w:val="0"/>
      <w:tabs>
        <w:tab w:val="left" w:pos="425"/>
        <w:tab w:val="left" w:pos="1050"/>
      </w:tabs>
      <w:spacing w:after="120" w:line="360" w:lineRule="auto"/>
      <w:ind w:left="1050" w:hanging="450"/>
      <w:jc w:val="both"/>
    </w:pPr>
    <w:rPr>
      <w:rFonts w:ascii="宋体" w:hAnsi="Arial" w:cs="Arial"/>
      <w:szCs w:val="20"/>
    </w:rPr>
  </w:style>
  <w:style w:type="paragraph" w:customStyle="1" w:styleId="165">
    <w:name w:val="论文正文"/>
    <w:basedOn w:val="1"/>
    <w:qFormat/>
    <w:uiPriority w:val="0"/>
    <w:pPr>
      <w:widowControl w:val="0"/>
      <w:spacing w:line="300" w:lineRule="auto"/>
      <w:ind w:firstLine="200" w:firstLineChars="200"/>
      <w:jc w:val="both"/>
    </w:pPr>
    <w:rPr>
      <w:kern w:val="2"/>
    </w:rPr>
  </w:style>
  <w:style w:type="paragraph" w:customStyle="1" w:styleId="166">
    <w:name w:val="表格文字"/>
    <w:basedOn w:val="1"/>
    <w:qFormat/>
    <w:uiPriority w:val="0"/>
    <w:pPr>
      <w:widowControl w:val="0"/>
      <w:spacing w:beforeLines="25" w:afterLines="25"/>
      <w:jc w:val="both"/>
    </w:pPr>
    <w:rPr>
      <w:rFonts w:ascii="Times New (W1)" w:hAnsi="Times New (W1)"/>
      <w:spacing w:val="10"/>
      <w:kern w:val="2"/>
      <w:sz w:val="21"/>
      <w:szCs w:val="20"/>
    </w:rPr>
  </w:style>
  <w:style w:type="paragraph" w:customStyle="1" w:styleId="167">
    <w:name w:val="正文序号 3"/>
    <w:basedOn w:val="1"/>
    <w:qFormat/>
    <w:uiPriority w:val="0"/>
    <w:pPr>
      <w:widowControl w:val="0"/>
      <w:tabs>
        <w:tab w:val="left" w:pos="1259"/>
      </w:tabs>
      <w:spacing w:before="60"/>
      <w:ind w:left="431" w:hanging="431"/>
      <w:jc w:val="both"/>
    </w:pPr>
    <w:rPr>
      <w:kern w:val="2"/>
      <w:sz w:val="21"/>
      <w:szCs w:val="20"/>
    </w:rPr>
  </w:style>
  <w:style w:type="paragraph" w:customStyle="1" w:styleId="168">
    <w:name w:val="默认段落字体 Para Char Char Char1 Char"/>
    <w:basedOn w:val="1"/>
    <w:next w:val="1"/>
    <w:qFormat/>
    <w:uiPriority w:val="0"/>
    <w:pPr>
      <w:widowControl w:val="0"/>
      <w:spacing w:line="240" w:lineRule="atLeast"/>
      <w:ind w:left="420" w:firstLine="420"/>
    </w:pPr>
    <w:rPr>
      <w:sz w:val="21"/>
      <w:szCs w:val="21"/>
    </w:rPr>
  </w:style>
  <w:style w:type="paragraph" w:customStyle="1" w:styleId="169">
    <w:name w:val="正文段落"/>
    <w:basedOn w:val="1"/>
    <w:qFormat/>
    <w:uiPriority w:val="0"/>
    <w:pPr>
      <w:widowControl w:val="0"/>
      <w:spacing w:line="300" w:lineRule="auto"/>
      <w:ind w:firstLine="510"/>
      <w:jc w:val="both"/>
    </w:pPr>
    <w:rPr>
      <w:kern w:val="2"/>
      <w:szCs w:val="20"/>
    </w:rPr>
  </w:style>
  <w:style w:type="paragraph" w:customStyle="1" w:styleId="170">
    <w:name w:val="正文序号 2"/>
    <w:basedOn w:val="1"/>
    <w:qFormat/>
    <w:uiPriority w:val="0"/>
    <w:pPr>
      <w:widowControl w:val="0"/>
      <w:tabs>
        <w:tab w:val="left" w:pos="1049"/>
      </w:tabs>
      <w:spacing w:before="60"/>
      <w:ind w:left="431" w:hanging="431"/>
      <w:jc w:val="both"/>
    </w:pPr>
    <w:rPr>
      <w:kern w:val="2"/>
      <w:sz w:val="21"/>
      <w:szCs w:val="20"/>
    </w:rPr>
  </w:style>
  <w:style w:type="paragraph" w:customStyle="1" w:styleId="171">
    <w:name w:val="Char1 Char Char Char Char Char Char"/>
    <w:basedOn w:val="1"/>
    <w:qFormat/>
    <w:uiPriority w:val="0"/>
    <w:pPr>
      <w:widowControl w:val="0"/>
      <w:jc w:val="both"/>
    </w:pPr>
    <w:rPr>
      <w:rFonts w:ascii="Tahoma" w:hAnsi="Tahoma"/>
      <w:kern w:val="2"/>
      <w:szCs w:val="20"/>
    </w:rPr>
  </w:style>
  <w:style w:type="paragraph" w:customStyle="1" w:styleId="172">
    <w:name w:val="文章正文 Char Char1"/>
    <w:basedOn w:val="1"/>
    <w:qFormat/>
    <w:uiPriority w:val="0"/>
    <w:pPr>
      <w:widowControl w:val="0"/>
      <w:spacing w:line="360" w:lineRule="auto"/>
      <w:ind w:firstLine="420"/>
      <w:jc w:val="both"/>
    </w:pPr>
    <w:rPr>
      <w:kern w:val="2"/>
      <w:szCs w:val="20"/>
    </w:rPr>
  </w:style>
  <w:style w:type="paragraph" w:customStyle="1" w:styleId="173">
    <w:name w:val="Char"/>
    <w:basedOn w:val="1"/>
    <w:next w:val="1"/>
    <w:qFormat/>
    <w:uiPriority w:val="0"/>
    <w:pPr>
      <w:widowControl w:val="0"/>
      <w:spacing w:line="240" w:lineRule="atLeast"/>
      <w:ind w:left="420" w:firstLine="420"/>
    </w:pPr>
    <w:rPr>
      <w:sz w:val="21"/>
      <w:szCs w:val="21"/>
    </w:rPr>
  </w:style>
  <w:style w:type="paragraph" w:customStyle="1" w:styleId="174">
    <w:name w:val="样式 标题 1 + 宋体 居中 段前: 17 磅 段后: 16.5 磅"/>
    <w:basedOn w:val="4"/>
    <w:qFormat/>
    <w:uiPriority w:val="0"/>
    <w:pPr>
      <w:pageBreakBefore/>
      <w:tabs>
        <w:tab w:val="left" w:pos="840"/>
      </w:tabs>
      <w:ind w:left="840" w:hanging="420"/>
    </w:pPr>
    <w:rPr>
      <w:rFonts w:cs="宋体"/>
      <w:szCs w:val="20"/>
    </w:rPr>
  </w:style>
  <w:style w:type="paragraph" w:customStyle="1" w:styleId="175">
    <w:name w:val="文章正文 Char Char1 Char"/>
    <w:basedOn w:val="1"/>
    <w:qFormat/>
    <w:uiPriority w:val="0"/>
    <w:pPr>
      <w:widowControl w:val="0"/>
      <w:spacing w:line="360" w:lineRule="auto"/>
      <w:ind w:firstLine="420"/>
      <w:jc w:val="both"/>
    </w:pPr>
    <w:rPr>
      <w:kern w:val="2"/>
    </w:rPr>
  </w:style>
  <w:style w:type="paragraph" w:customStyle="1" w:styleId="176">
    <w:name w:val="正文 首行缩进:  2 字符 Char Char"/>
    <w:basedOn w:val="1"/>
    <w:qFormat/>
    <w:uiPriority w:val="0"/>
    <w:pPr>
      <w:widowControl w:val="0"/>
      <w:spacing w:line="360" w:lineRule="auto"/>
      <w:ind w:firstLine="480"/>
      <w:jc w:val="both"/>
    </w:pPr>
    <w:rPr>
      <w:kern w:val="2"/>
      <w:szCs w:val="20"/>
    </w:rPr>
  </w:style>
  <w:style w:type="paragraph" w:customStyle="1" w:styleId="177">
    <w:name w:val="xl26"/>
    <w:basedOn w:val="1"/>
    <w:qFormat/>
    <w:uiPriority w:val="0"/>
    <w:pPr>
      <w:pBdr>
        <w:top w:val="single" w:color="auto" w:sz="4" w:space="0"/>
        <w:left w:val="single" w:color="auto" w:sz="4" w:space="0"/>
        <w:right w:val="single" w:color="auto" w:sz="4" w:space="0"/>
      </w:pBdr>
      <w:spacing w:before="100" w:beforeAutospacing="1" w:after="100" w:afterAutospacing="1"/>
    </w:pPr>
    <w:rPr>
      <w:rFonts w:ascii="宋体" w:hAnsi="宋体"/>
      <w:sz w:val="22"/>
      <w:szCs w:val="22"/>
    </w:rPr>
  </w:style>
  <w:style w:type="paragraph" w:customStyle="1" w:styleId="178">
    <w:name w:val="标题 2 + 楷体_GB2312"/>
    <w:basedOn w:val="1"/>
    <w:qFormat/>
    <w:uiPriority w:val="0"/>
  </w:style>
  <w:style w:type="paragraph" w:customStyle="1" w:styleId="179">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80">
    <w:name w:val="p0"/>
    <w:basedOn w:val="1"/>
    <w:qFormat/>
    <w:uiPriority w:val="0"/>
    <w:pPr>
      <w:jc w:val="both"/>
    </w:pPr>
    <w:rPr>
      <w:sz w:val="21"/>
      <w:szCs w:val="20"/>
    </w:rPr>
  </w:style>
  <w:style w:type="paragraph" w:customStyle="1" w:styleId="181">
    <w:name w:val="gb_master正文"/>
    <w:basedOn w:val="1"/>
    <w:qFormat/>
    <w:uiPriority w:val="0"/>
    <w:pPr>
      <w:widowControl w:val="0"/>
      <w:ind w:firstLine="200" w:firstLineChars="200"/>
      <w:jc w:val="both"/>
    </w:pPr>
    <w:rPr>
      <w:kern w:val="2"/>
      <w:sz w:val="21"/>
    </w:rPr>
  </w:style>
  <w:style w:type="paragraph" w:customStyle="1" w:styleId="182">
    <w:name w:val="Char1"/>
    <w:basedOn w:val="1"/>
    <w:next w:val="1"/>
    <w:qFormat/>
    <w:uiPriority w:val="0"/>
    <w:pPr>
      <w:widowControl w:val="0"/>
      <w:spacing w:line="240" w:lineRule="atLeast"/>
      <w:ind w:left="420" w:firstLine="420"/>
    </w:pPr>
    <w:rPr>
      <w:sz w:val="21"/>
      <w:szCs w:val="21"/>
    </w:rPr>
  </w:style>
  <w:style w:type="paragraph" w:customStyle="1" w:styleId="183">
    <w:name w:val="Char Char1 Char Char Char Char Char Char Char Char Char Char Char Char Char Char"/>
    <w:basedOn w:val="1"/>
    <w:qFormat/>
    <w:uiPriority w:val="0"/>
    <w:pPr>
      <w:spacing w:after="160" w:line="240" w:lineRule="exact"/>
    </w:pPr>
    <w:rPr>
      <w:rFonts w:ascii="Verdana" w:hAnsi="Verdana"/>
      <w:sz w:val="20"/>
      <w:szCs w:val="20"/>
      <w:lang w:eastAsia="en-US"/>
    </w:rPr>
  </w:style>
  <w:style w:type="paragraph" w:customStyle="1" w:styleId="184">
    <w:name w:val="样式 仿宋_GB2312 小四 左侧:  0.63 厘米"/>
    <w:basedOn w:val="1"/>
    <w:qFormat/>
    <w:uiPriority w:val="0"/>
    <w:pPr>
      <w:widowControl w:val="0"/>
      <w:spacing w:before="120" w:after="120" w:line="360" w:lineRule="auto"/>
      <w:ind w:left="357" w:firstLine="200" w:firstLineChars="200"/>
      <w:jc w:val="both"/>
    </w:pPr>
    <w:rPr>
      <w:rFonts w:ascii="仿宋_GB2312" w:hAnsi="仿宋_GB2312" w:eastAsia="仿宋_GB2312"/>
      <w:kern w:val="2"/>
      <w:szCs w:val="20"/>
    </w:rPr>
  </w:style>
  <w:style w:type="paragraph" w:customStyle="1" w:styleId="185">
    <w:name w:val="正文格式"/>
    <w:basedOn w:val="1"/>
    <w:qFormat/>
    <w:uiPriority w:val="0"/>
    <w:pPr>
      <w:adjustRightInd w:val="0"/>
      <w:snapToGrid w:val="0"/>
      <w:spacing w:beforeLines="25" w:line="360" w:lineRule="auto"/>
      <w:ind w:firstLine="480" w:firstLineChars="200"/>
      <w:jc w:val="both"/>
      <w:textAlignment w:val="baseline"/>
    </w:pPr>
    <w:rPr>
      <w:rFonts w:ascii="宋体" w:hAnsi="宋体"/>
      <w:color w:val="000000"/>
      <w:szCs w:val="20"/>
    </w:rPr>
  </w:style>
  <w:style w:type="paragraph" w:customStyle="1" w:styleId="186">
    <w:name w:val="MM Topic 1"/>
    <w:basedOn w:val="4"/>
    <w:qFormat/>
    <w:uiPriority w:val="0"/>
    <w:pPr>
      <w:widowControl w:val="0"/>
      <w:tabs>
        <w:tab w:val="left" w:pos="425"/>
      </w:tabs>
      <w:spacing w:line="576" w:lineRule="auto"/>
    </w:pPr>
    <w:rPr>
      <w:rFonts w:ascii="Times New Roman" w:hAnsi="Times New Roman"/>
      <w:bCs w:val="0"/>
      <w:sz w:val="44"/>
      <w:szCs w:val="20"/>
    </w:rPr>
  </w:style>
  <w:style w:type="paragraph" w:customStyle="1" w:styleId="187">
    <w:name w:val="样式 正文缩进 + (中文) 仿宋_GB2312 小四 Char"/>
    <w:basedOn w:val="14"/>
    <w:qFormat/>
    <w:uiPriority w:val="0"/>
    <w:pPr>
      <w:ind w:firstLine="480"/>
    </w:pPr>
    <w:rPr>
      <w:rFonts w:ascii="宋体" w:hAnsi="宋体"/>
      <w:sz w:val="24"/>
      <w:szCs w:val="20"/>
    </w:rPr>
  </w:style>
  <w:style w:type="paragraph" w:customStyle="1" w:styleId="188">
    <w:name w:val="样式 右侧:  1 字符1"/>
    <w:basedOn w:val="1"/>
    <w:qFormat/>
    <w:uiPriority w:val="0"/>
    <w:pPr>
      <w:widowControl w:val="0"/>
      <w:ind w:left="240" w:leftChars="100" w:right="100" w:rightChars="100"/>
      <w:jc w:val="both"/>
    </w:pPr>
    <w:rPr>
      <w:rFonts w:eastAsia="仿宋_GB2312"/>
      <w:kern w:val="2"/>
      <w:sz w:val="28"/>
      <w:szCs w:val="20"/>
    </w:rPr>
  </w:style>
  <w:style w:type="paragraph" w:customStyle="1" w:styleId="189">
    <w:name w:val="Char2 Char Char Char Char Char Char"/>
    <w:basedOn w:val="1"/>
    <w:qFormat/>
    <w:uiPriority w:val="0"/>
    <w:pPr>
      <w:widowControl w:val="0"/>
      <w:jc w:val="both"/>
    </w:pPr>
    <w:rPr>
      <w:rFonts w:ascii="仿宋_GB2312"/>
      <w:b/>
      <w:kern w:val="2"/>
      <w:sz w:val="30"/>
      <w:szCs w:val="20"/>
    </w:rPr>
  </w:style>
  <w:style w:type="paragraph" w:customStyle="1" w:styleId="190">
    <w:name w:val="项目符号：一级"/>
    <w:basedOn w:val="185"/>
    <w:next w:val="185"/>
    <w:qFormat/>
    <w:uiPriority w:val="0"/>
    <w:pPr>
      <w:tabs>
        <w:tab w:val="left" w:pos="700"/>
      </w:tabs>
      <w:spacing w:beforeLines="0"/>
      <w:ind w:left="630" w:hanging="290" w:firstLineChars="0"/>
    </w:pPr>
  </w:style>
  <w:style w:type="paragraph" w:customStyle="1" w:styleId="191">
    <w:name w:val="正文序号 4"/>
    <w:basedOn w:val="1"/>
    <w:qFormat/>
    <w:uiPriority w:val="0"/>
    <w:pPr>
      <w:widowControl w:val="0"/>
      <w:tabs>
        <w:tab w:val="left" w:pos="1469"/>
      </w:tabs>
      <w:spacing w:before="60"/>
      <w:ind w:left="431" w:hanging="431"/>
      <w:jc w:val="both"/>
    </w:pPr>
    <w:rPr>
      <w:kern w:val="2"/>
      <w:sz w:val="21"/>
      <w:szCs w:val="20"/>
    </w:rPr>
  </w:style>
  <w:style w:type="paragraph" w:customStyle="1" w:styleId="192">
    <w:name w:val="插图题注"/>
    <w:next w:val="1"/>
    <w:qFormat/>
    <w:uiPriority w:val="0"/>
    <w:pPr>
      <w:tabs>
        <w:tab w:val="left" w:pos="1418"/>
      </w:tabs>
      <w:spacing w:afterLines="100"/>
      <w:ind w:left="1418" w:hanging="1418"/>
      <w:jc w:val="center"/>
    </w:pPr>
    <w:rPr>
      <w:rFonts w:ascii="Arial" w:hAnsi="Arial" w:eastAsia="宋体" w:cs="Times New Roman"/>
      <w:sz w:val="18"/>
      <w:lang w:val="en-US" w:eastAsia="zh-CN" w:bidi="ar-SA"/>
    </w:rPr>
  </w:style>
  <w:style w:type="paragraph" w:customStyle="1" w:styleId="193">
    <w:name w:val="正文首行缩进两字符"/>
    <w:basedOn w:val="1"/>
    <w:qFormat/>
    <w:uiPriority w:val="0"/>
    <w:pPr>
      <w:widowControl w:val="0"/>
      <w:spacing w:line="360" w:lineRule="auto"/>
      <w:ind w:firstLine="200" w:firstLineChars="200"/>
      <w:jc w:val="both"/>
    </w:pPr>
    <w:rPr>
      <w:kern w:val="2"/>
      <w:sz w:val="21"/>
      <w:szCs w:val="20"/>
    </w:rPr>
  </w:style>
  <w:style w:type="paragraph" w:customStyle="1" w:styleId="194">
    <w:name w:val="Style8"/>
    <w:basedOn w:val="1"/>
    <w:qFormat/>
    <w:uiPriority w:val="0"/>
    <w:pPr>
      <w:widowControl w:val="0"/>
      <w:tabs>
        <w:tab w:val="left" w:pos="1304"/>
      </w:tabs>
      <w:spacing w:beforeLines="50" w:afterLines="50" w:line="276" w:lineRule="auto"/>
      <w:ind w:left="1304" w:hanging="397"/>
      <w:jc w:val="both"/>
    </w:pPr>
    <w:rPr>
      <w:rFonts w:ascii="Arial" w:hAnsi="Arial"/>
      <w:kern w:val="2"/>
      <w:szCs w:val="20"/>
    </w:rPr>
  </w:style>
  <w:style w:type="paragraph" w:customStyle="1" w:styleId="195">
    <w:name w:val="Char Char Char Char Char Char Char Char Char Char Char Char Char"/>
    <w:basedOn w:val="16"/>
    <w:qFormat/>
    <w:uiPriority w:val="0"/>
    <w:pPr>
      <w:widowControl w:val="0"/>
      <w:shd w:val="clear" w:color="auto" w:fill="000080"/>
      <w:jc w:val="both"/>
    </w:pPr>
    <w:rPr>
      <w:rFonts w:ascii="Tahoma" w:hAnsi="Tahoma"/>
      <w:sz w:val="24"/>
      <w:szCs w:val="20"/>
    </w:rPr>
  </w:style>
  <w:style w:type="paragraph" w:customStyle="1" w:styleId="196">
    <w:name w:val="大纲正文"/>
    <w:basedOn w:val="1"/>
    <w:qFormat/>
    <w:uiPriority w:val="0"/>
    <w:pPr>
      <w:widowControl w:val="0"/>
      <w:spacing w:line="360" w:lineRule="auto"/>
      <w:ind w:firstLine="480" w:firstLineChars="200"/>
      <w:jc w:val="both"/>
    </w:pPr>
    <w:rPr>
      <w:kern w:val="2"/>
      <w:szCs w:val="20"/>
    </w:rPr>
  </w:style>
  <w:style w:type="paragraph" w:customStyle="1" w:styleId="197">
    <w:name w:val="正文序号 1"/>
    <w:basedOn w:val="1"/>
    <w:qFormat/>
    <w:uiPriority w:val="0"/>
    <w:pPr>
      <w:widowControl w:val="0"/>
      <w:tabs>
        <w:tab w:val="left" w:pos="839"/>
      </w:tabs>
      <w:spacing w:before="60"/>
      <w:ind w:left="431" w:hanging="431"/>
      <w:jc w:val="both"/>
    </w:pPr>
    <w:rPr>
      <w:kern w:val="2"/>
      <w:sz w:val="21"/>
      <w:szCs w:val="20"/>
    </w:rPr>
  </w:style>
  <w:style w:type="paragraph" w:customStyle="1" w:styleId="198">
    <w:name w:val="Char2"/>
    <w:basedOn w:val="1"/>
    <w:next w:val="1"/>
    <w:qFormat/>
    <w:uiPriority w:val="0"/>
    <w:pPr>
      <w:widowControl w:val="0"/>
      <w:spacing w:line="240" w:lineRule="atLeast"/>
      <w:ind w:left="420" w:firstLine="420"/>
    </w:pPr>
    <w:rPr>
      <w:kern w:val="2"/>
      <w:szCs w:val="20"/>
    </w:rPr>
  </w:style>
  <w:style w:type="paragraph" w:customStyle="1" w:styleId="199">
    <w:name w:val="MM Title"/>
    <w:basedOn w:val="1"/>
    <w:qFormat/>
    <w:uiPriority w:val="0"/>
    <w:pPr>
      <w:widowControl w:val="0"/>
      <w:spacing w:before="240" w:after="60"/>
      <w:jc w:val="center"/>
      <w:outlineLvl w:val="0"/>
    </w:pPr>
    <w:rPr>
      <w:rFonts w:ascii="Arial" w:hAnsi="Arial"/>
      <w:b/>
      <w:kern w:val="2"/>
      <w:sz w:val="32"/>
      <w:szCs w:val="20"/>
    </w:rPr>
  </w:style>
  <w:style w:type="paragraph" w:customStyle="1" w:styleId="200">
    <w:name w:val="Char2 Char Char Char"/>
    <w:basedOn w:val="1"/>
    <w:qFormat/>
    <w:uiPriority w:val="0"/>
    <w:pPr>
      <w:widowControl w:val="0"/>
      <w:jc w:val="both"/>
    </w:pPr>
    <w:rPr>
      <w:rFonts w:ascii="仿宋_GB2312"/>
      <w:b/>
      <w:kern w:val="2"/>
      <w:sz w:val="30"/>
      <w:szCs w:val="20"/>
    </w:rPr>
  </w:style>
  <w:style w:type="paragraph" w:customStyle="1" w:styleId="201">
    <w:name w:val="MM Topic 2"/>
    <w:basedOn w:val="5"/>
    <w:qFormat/>
    <w:uiPriority w:val="0"/>
    <w:pPr>
      <w:numPr>
        <w:ilvl w:val="0"/>
        <w:numId w:val="0"/>
      </w:numPr>
      <w:tabs>
        <w:tab w:val="left" w:pos="992"/>
      </w:tabs>
    </w:pPr>
    <w:rPr>
      <w:rFonts w:ascii="Arial"/>
      <w:bCs w:val="0"/>
      <w:iCs w:val="0"/>
      <w:color w:val="000000"/>
      <w:kern w:val="2"/>
      <w:szCs w:val="20"/>
    </w:rPr>
  </w:style>
  <w:style w:type="paragraph" w:customStyle="1" w:styleId="202">
    <w:name w:val="Char Char1"/>
    <w:basedOn w:val="1"/>
    <w:next w:val="1"/>
    <w:qFormat/>
    <w:uiPriority w:val="0"/>
    <w:pPr>
      <w:widowControl w:val="0"/>
      <w:spacing w:line="240" w:lineRule="atLeast"/>
      <w:ind w:left="420" w:firstLine="420"/>
    </w:pPr>
    <w:rPr>
      <w:rFonts w:ascii="楷体_GB2312" w:hAnsi="宋体" w:eastAsia="楷体_GB2312"/>
      <w:color w:val="000000"/>
      <w:sz w:val="28"/>
      <w:szCs w:val="20"/>
    </w:rPr>
  </w:style>
  <w:style w:type="paragraph" w:customStyle="1" w:styleId="203">
    <w:name w:val="我的正文"/>
    <w:basedOn w:val="1"/>
    <w:qFormat/>
    <w:uiPriority w:val="0"/>
    <w:pPr>
      <w:widowControl w:val="0"/>
      <w:spacing w:line="360" w:lineRule="auto"/>
      <w:ind w:firstLine="420" w:firstLineChars="200"/>
      <w:jc w:val="both"/>
    </w:pPr>
    <w:rPr>
      <w:rFonts w:ascii="宋体" w:hAnsi="宋体"/>
      <w:kern w:val="2"/>
      <w:sz w:val="21"/>
      <w:szCs w:val="20"/>
    </w:rPr>
  </w:style>
  <w:style w:type="paragraph" w:customStyle="1" w:styleId="204">
    <w:name w:val="列出段落2"/>
    <w:basedOn w:val="1"/>
    <w:qFormat/>
    <w:uiPriority w:val="34"/>
    <w:pPr>
      <w:widowControl w:val="0"/>
      <w:ind w:firstLine="420" w:firstLineChars="200"/>
      <w:jc w:val="both"/>
    </w:pPr>
    <w:rPr>
      <w:rFonts w:eastAsia="方正仿宋"/>
      <w:kern w:val="2"/>
      <w:sz w:val="32"/>
    </w:rPr>
  </w:style>
  <w:style w:type="paragraph" w:customStyle="1" w:styleId="205">
    <w:name w:val="文字"/>
    <w:basedOn w:val="1"/>
    <w:qFormat/>
    <w:uiPriority w:val="0"/>
    <w:pPr>
      <w:widowControl w:val="0"/>
      <w:tabs>
        <w:tab w:val="left" w:pos="8520"/>
      </w:tabs>
      <w:spacing w:line="312" w:lineRule="auto"/>
      <w:ind w:right="-210" w:firstLine="556"/>
      <w:jc w:val="both"/>
    </w:pPr>
    <w:rPr>
      <w:rFonts w:ascii="楷体_GB2312" w:eastAsia="楷体_GB2312"/>
      <w:kern w:val="2"/>
      <w:sz w:val="28"/>
      <w:szCs w:val="20"/>
    </w:rPr>
  </w:style>
  <w:style w:type="character" w:customStyle="1" w:styleId="206">
    <w:name w:val="彩色列表 - 强调文字颜色 1 Char"/>
    <w:link w:val="207"/>
    <w:qFormat/>
    <w:uiPriority w:val="0"/>
    <w:rPr>
      <w:rFonts w:ascii="Calibri" w:hAnsi="Calibri"/>
    </w:rPr>
  </w:style>
  <w:style w:type="paragraph" w:customStyle="1" w:styleId="207">
    <w:name w:val="彩色列表 - 强调文字颜色 11"/>
    <w:basedOn w:val="1"/>
    <w:link w:val="206"/>
    <w:qFormat/>
    <w:uiPriority w:val="0"/>
    <w:pPr>
      <w:widowControl w:val="0"/>
      <w:ind w:firstLine="420" w:firstLineChars="200"/>
      <w:jc w:val="both"/>
    </w:pPr>
    <w:rPr>
      <w:rFonts w:ascii="Calibri" w:hAnsi="Calibri" w:eastAsiaTheme="minorEastAsia" w:cstheme="minorBidi"/>
      <w:kern w:val="2"/>
      <w:sz w:val="21"/>
      <w:szCs w:val="22"/>
    </w:rPr>
  </w:style>
  <w:style w:type="paragraph" w:customStyle="1" w:styleId="208">
    <w:name w:val="修订1"/>
    <w:hidden/>
    <w:unhideWhenUsed/>
    <w:qFormat/>
    <w:uiPriority w:val="0"/>
    <w:rPr>
      <w:rFonts w:ascii="Times New Roman" w:hAnsi="Times New Roman" w:eastAsia="宋体" w:cs="Times New Roman"/>
      <w:sz w:val="24"/>
      <w:szCs w:val="24"/>
      <w:lang w:val="en-US" w:eastAsia="zh-CN" w:bidi="ar-SA"/>
    </w:rPr>
  </w:style>
  <w:style w:type="paragraph" w:customStyle="1" w:styleId="209">
    <w:name w:val="彩色列表 - 强调文字颜色 12"/>
    <w:basedOn w:val="1"/>
    <w:qFormat/>
    <w:uiPriority w:val="0"/>
    <w:pPr>
      <w:widowControl w:val="0"/>
      <w:ind w:firstLine="420" w:firstLineChars="200"/>
      <w:jc w:val="both"/>
    </w:pPr>
    <w:rPr>
      <w:rFonts w:ascii="Calibri" w:hAnsi="Calibri"/>
      <w:kern w:val="2"/>
      <w:sz w:val="21"/>
      <w:szCs w:val="22"/>
    </w:rPr>
  </w:style>
  <w:style w:type="character" w:customStyle="1" w:styleId="210">
    <w:name w:val="Char Char2"/>
    <w:qFormat/>
    <w:uiPriority w:val="0"/>
    <w:rPr>
      <w:kern w:val="2"/>
      <w:sz w:val="18"/>
      <w:szCs w:val="18"/>
    </w:rPr>
  </w:style>
  <w:style w:type="character" w:customStyle="1" w:styleId="211">
    <w:name w:val="脚注文本 字符"/>
    <w:link w:val="35"/>
    <w:qFormat/>
    <w:uiPriority w:val="0"/>
    <w:rPr>
      <w:rFonts w:ascii="Calibri" w:hAnsi="Calibri"/>
      <w:sz w:val="18"/>
      <w:szCs w:val="18"/>
    </w:rPr>
  </w:style>
  <w:style w:type="character" w:customStyle="1" w:styleId="212">
    <w:name w:val="文章正文 Char Char"/>
    <w:qFormat/>
    <w:uiPriority w:val="0"/>
    <w:rPr>
      <w:rFonts w:hint="eastAsia" w:ascii="宋体" w:hAnsi="宋体" w:eastAsia="宋体"/>
      <w:kern w:val="2"/>
      <w:sz w:val="24"/>
      <w:szCs w:val="24"/>
      <w:lang w:val="en-US" w:eastAsia="zh-CN" w:bidi="ar-SA"/>
    </w:rPr>
  </w:style>
  <w:style w:type="character" w:customStyle="1" w:styleId="213">
    <w:name w:val="Char Char5"/>
    <w:qFormat/>
    <w:uiPriority w:val="0"/>
    <w:rPr>
      <w:kern w:val="2"/>
      <w:sz w:val="21"/>
      <w:szCs w:val="24"/>
    </w:rPr>
  </w:style>
  <w:style w:type="character" w:customStyle="1" w:styleId="214">
    <w:name w:val="CD正文 Char Char"/>
    <w:qFormat/>
    <w:uiPriority w:val="0"/>
    <w:rPr>
      <w:rFonts w:hint="eastAsia" w:ascii="宋体" w:hAnsi="宋体" w:eastAsia="宋体"/>
      <w:kern w:val="2"/>
      <w:sz w:val="30"/>
      <w:szCs w:val="28"/>
      <w:lang w:val="en-US" w:eastAsia="zh-CN" w:bidi="ar-SA"/>
    </w:rPr>
  </w:style>
  <w:style w:type="character" w:customStyle="1" w:styleId="215">
    <w:name w:val="表正文 Char1"/>
    <w:qFormat/>
    <w:uiPriority w:val="0"/>
    <w:rPr>
      <w:rFonts w:hint="eastAsia" w:ascii="宋体" w:hAnsi="宋体" w:eastAsia="宋体"/>
      <w:kern w:val="2"/>
      <w:sz w:val="21"/>
      <w:lang w:val="en-US" w:eastAsia="zh-CN" w:bidi="ar-SA"/>
    </w:rPr>
  </w:style>
  <w:style w:type="character" w:customStyle="1" w:styleId="216">
    <w:name w:val="列出段落 Char Char"/>
    <w:qFormat/>
    <w:uiPriority w:val="0"/>
    <w:rPr>
      <w:rFonts w:hint="default" w:ascii="Calibri" w:hAnsi="Calibri" w:cs="Calibri"/>
      <w:kern w:val="2"/>
      <w:sz w:val="21"/>
      <w:szCs w:val="22"/>
    </w:rPr>
  </w:style>
  <w:style w:type="character" w:customStyle="1" w:styleId="217">
    <w:name w:val="font11"/>
    <w:qFormat/>
    <w:uiPriority w:val="0"/>
    <w:rPr>
      <w:rFonts w:hint="eastAsia" w:ascii="宋体" w:hAnsi="宋体" w:eastAsia="宋体" w:cs="宋体"/>
      <w:b/>
      <w:color w:val="000000"/>
      <w:sz w:val="22"/>
      <w:szCs w:val="22"/>
      <w:u w:val="none"/>
    </w:rPr>
  </w:style>
  <w:style w:type="character" w:customStyle="1" w:styleId="218">
    <w:name w:val="Char Char9"/>
    <w:qFormat/>
    <w:uiPriority w:val="0"/>
    <w:rPr>
      <w:kern w:val="2"/>
      <w:sz w:val="18"/>
      <w:szCs w:val="18"/>
    </w:rPr>
  </w:style>
  <w:style w:type="character" w:customStyle="1" w:styleId="219">
    <w:name w:val="Legal Level 1.1.1. Char"/>
    <w:qFormat/>
    <w:uiPriority w:val="0"/>
    <w:rPr>
      <w:rFonts w:hint="default" w:ascii="Arial" w:hAnsi="Arial" w:eastAsia="黑体" w:cs="Arial"/>
      <w:kern w:val="2"/>
      <w:sz w:val="24"/>
      <w:szCs w:val="24"/>
    </w:rPr>
  </w:style>
  <w:style w:type="character" w:customStyle="1" w:styleId="220">
    <w:name w:val="font01"/>
    <w:qFormat/>
    <w:uiPriority w:val="0"/>
    <w:rPr>
      <w:rFonts w:hint="eastAsia" w:ascii="宋体" w:hAnsi="宋体" w:eastAsia="宋体" w:cs="宋体"/>
      <w:color w:val="000000"/>
      <w:sz w:val="22"/>
      <w:szCs w:val="22"/>
      <w:u w:val="none"/>
    </w:rPr>
  </w:style>
  <w:style w:type="character" w:customStyle="1" w:styleId="221">
    <w:name w:val="Char Char3"/>
    <w:qFormat/>
    <w:uiPriority w:val="0"/>
    <w:rPr>
      <w:b/>
      <w:bCs/>
      <w:kern w:val="2"/>
      <w:sz w:val="18"/>
      <w:szCs w:val="18"/>
    </w:rPr>
  </w:style>
  <w:style w:type="character" w:customStyle="1" w:styleId="222">
    <w:name w:val="MM Topic 3 Char Char"/>
    <w:qFormat/>
    <w:uiPriority w:val="0"/>
    <w:rPr>
      <w:rFonts w:hint="eastAsia" w:ascii="宋体" w:hAnsi="宋体" w:eastAsia="宋体"/>
      <w:b/>
      <w:bCs/>
      <w:color w:val="000000"/>
      <w:kern w:val="2"/>
      <w:sz w:val="28"/>
      <w:szCs w:val="28"/>
    </w:rPr>
  </w:style>
  <w:style w:type="character" w:customStyle="1" w:styleId="223">
    <w:name w:val="标题 3 Char Char Char"/>
    <w:qFormat/>
    <w:uiPriority w:val="0"/>
    <w:rPr>
      <w:rFonts w:hint="eastAsia" w:ascii="宋体" w:hAnsi="宋体" w:eastAsia="宋体"/>
      <w:b/>
      <w:kern w:val="2"/>
      <w:sz w:val="32"/>
      <w:lang w:val="en-US" w:eastAsia="zh-CN" w:bidi="ar-SA"/>
    </w:rPr>
  </w:style>
  <w:style w:type="character" w:customStyle="1" w:styleId="224">
    <w:name w:val="line2"/>
    <w:basedOn w:val="48"/>
    <w:qFormat/>
    <w:uiPriority w:val="0"/>
  </w:style>
  <w:style w:type="character" w:customStyle="1" w:styleId="225">
    <w:name w:val="正文文本 Char"/>
    <w:qFormat/>
    <w:uiPriority w:val="0"/>
    <w:rPr>
      <w:rFonts w:ascii="Calibri" w:hAnsi="Calibri" w:eastAsia="宋体" w:cs="Times New Roman"/>
    </w:rPr>
  </w:style>
  <w:style w:type="character" w:customStyle="1" w:styleId="226">
    <w:name w:val="apple-converted-space"/>
    <w:basedOn w:val="48"/>
    <w:qFormat/>
    <w:uiPriority w:val="0"/>
  </w:style>
  <w:style w:type="character" w:customStyle="1" w:styleId="227">
    <w:name w:val="样式 小四2 Char Char"/>
    <w:qFormat/>
    <w:uiPriority w:val="0"/>
    <w:rPr>
      <w:rFonts w:hint="eastAsia" w:ascii="宋体" w:hAnsi="宋体" w:eastAsia="宋体"/>
      <w:kern w:val="2"/>
      <w:sz w:val="24"/>
      <w:szCs w:val="24"/>
    </w:rPr>
  </w:style>
  <w:style w:type="character" w:customStyle="1" w:styleId="228">
    <w:name w:val="apple-style-span"/>
    <w:basedOn w:val="48"/>
    <w:qFormat/>
    <w:uiPriority w:val="0"/>
  </w:style>
  <w:style w:type="character" w:customStyle="1" w:styleId="229">
    <w:name w:val="tt Char"/>
    <w:qFormat/>
    <w:uiPriority w:val="0"/>
    <w:rPr>
      <w:rFonts w:hint="default" w:ascii="Arial" w:hAnsi="Arial" w:eastAsia="黑体" w:cs="Arial"/>
      <w:kern w:val="2"/>
      <w:sz w:val="21"/>
      <w:szCs w:val="21"/>
    </w:rPr>
  </w:style>
  <w:style w:type="character" w:customStyle="1" w:styleId="230">
    <w:name w:val="副标题 Char2"/>
    <w:qFormat/>
    <w:uiPriority w:val="0"/>
    <w:rPr>
      <w:rFonts w:ascii="Cambria" w:hAnsi="Cambria" w:eastAsia="宋体" w:cs="Times New Roman"/>
      <w:b/>
      <w:bCs/>
      <w:kern w:val="28"/>
      <w:sz w:val="32"/>
      <w:szCs w:val="32"/>
    </w:rPr>
  </w:style>
  <w:style w:type="character" w:customStyle="1" w:styleId="231">
    <w:name w:val="标书正文:  0.74 厘米 Char Char"/>
    <w:qFormat/>
    <w:uiPriority w:val="0"/>
    <w:rPr>
      <w:kern w:val="2"/>
      <w:sz w:val="24"/>
    </w:rPr>
  </w:style>
  <w:style w:type="character" w:customStyle="1" w:styleId="232">
    <w:name w:val="批注文字 Char2"/>
    <w:qFormat/>
    <w:uiPriority w:val="0"/>
    <w:rPr>
      <w:rFonts w:hint="eastAsia" w:ascii="宋体" w:hAnsi="宋体" w:eastAsia="宋体"/>
      <w:sz w:val="18"/>
      <w:szCs w:val="18"/>
    </w:rPr>
  </w:style>
  <w:style w:type="character" w:customStyle="1" w:styleId="233">
    <w:name w:val="img"/>
    <w:basedOn w:val="48"/>
    <w:qFormat/>
    <w:uiPriority w:val="0"/>
  </w:style>
  <w:style w:type="character" w:customStyle="1" w:styleId="234">
    <w:name w:val="批注文字 Char"/>
    <w:qFormat/>
    <w:uiPriority w:val="99"/>
    <w:rPr>
      <w:rFonts w:ascii="Times New Roman" w:hAnsi="Times New Roman" w:eastAsia="宋体" w:cs="Times New Roman"/>
      <w:kern w:val="0"/>
      <w:sz w:val="18"/>
      <w:szCs w:val="18"/>
    </w:rPr>
  </w:style>
  <w:style w:type="character" w:customStyle="1" w:styleId="235">
    <w:name w:val="Char Char Char"/>
    <w:qFormat/>
    <w:uiPriority w:val="0"/>
    <w:rPr>
      <w:rFonts w:hint="eastAsia" w:ascii="宋体" w:hAnsi="宋体" w:eastAsia="宋体"/>
      <w:kern w:val="2"/>
      <w:sz w:val="18"/>
      <w:szCs w:val="18"/>
      <w:lang w:val="en-US" w:eastAsia="zh-CN" w:bidi="ar-SA"/>
    </w:rPr>
  </w:style>
  <w:style w:type="character" w:customStyle="1" w:styleId="236">
    <w:name w:val="正文文本 Char Char"/>
    <w:qFormat/>
    <w:uiPriority w:val="0"/>
    <w:rPr>
      <w:kern w:val="2"/>
      <w:sz w:val="21"/>
      <w:szCs w:val="24"/>
    </w:rPr>
  </w:style>
  <w:style w:type="character" w:customStyle="1" w:styleId="237">
    <w:name w:val="Char Char10"/>
    <w:qFormat/>
    <w:uiPriority w:val="0"/>
    <w:rPr>
      <w:kern w:val="2"/>
      <w:sz w:val="24"/>
      <w:szCs w:val="24"/>
    </w:rPr>
  </w:style>
  <w:style w:type="character" w:customStyle="1" w:styleId="238">
    <w:name w:val="0-CD Char"/>
    <w:link w:val="239"/>
    <w:qFormat/>
    <w:locked/>
    <w:uiPriority w:val="0"/>
    <w:rPr>
      <w:rFonts w:ascii="宋体" w:hAnsi="宋体"/>
      <w:sz w:val="28"/>
      <w:szCs w:val="24"/>
    </w:rPr>
  </w:style>
  <w:style w:type="paragraph" w:customStyle="1" w:styleId="239">
    <w:name w:val="0-CD"/>
    <w:basedOn w:val="1"/>
    <w:link w:val="238"/>
    <w:qFormat/>
    <w:uiPriority w:val="0"/>
    <w:pPr>
      <w:widowControl w:val="0"/>
      <w:spacing w:line="360" w:lineRule="auto"/>
      <w:ind w:firstLine="708" w:firstLineChars="253"/>
    </w:pPr>
    <w:rPr>
      <w:rFonts w:ascii="宋体" w:hAnsi="宋体" w:eastAsiaTheme="minorEastAsia" w:cstheme="minorBidi"/>
      <w:kern w:val="2"/>
      <w:sz w:val="28"/>
    </w:rPr>
  </w:style>
  <w:style w:type="character" w:customStyle="1" w:styleId="240">
    <w:name w:val="Char Char8"/>
    <w:qFormat/>
    <w:uiPriority w:val="0"/>
    <w:rPr>
      <w:rFonts w:hint="eastAsia" w:ascii="宋体" w:hAnsi="宋体" w:eastAsia="宋体"/>
      <w:kern w:val="2"/>
      <w:sz w:val="28"/>
      <w:szCs w:val="28"/>
    </w:rPr>
  </w:style>
  <w:style w:type="character" w:customStyle="1" w:styleId="241">
    <w:name w:val="正文缩进 Char"/>
    <w:qFormat/>
    <w:uiPriority w:val="0"/>
    <w:rPr>
      <w:kern w:val="2"/>
      <w:sz w:val="21"/>
      <w:lang w:val="zh-CN" w:eastAsia="zh-CN"/>
    </w:rPr>
  </w:style>
  <w:style w:type="character" w:customStyle="1" w:styleId="242">
    <w:name w:val="正文文本 Char2"/>
    <w:qFormat/>
    <w:locked/>
    <w:uiPriority w:val="99"/>
    <w:rPr>
      <w:rFonts w:ascii="Calibri" w:hAnsi="Calibri" w:eastAsia="宋体" w:cs="Times New Roman"/>
    </w:rPr>
  </w:style>
  <w:style w:type="character" w:customStyle="1" w:styleId="243">
    <w:name w:val="Char Char7"/>
    <w:qFormat/>
    <w:uiPriority w:val="0"/>
    <w:rPr>
      <w:kern w:val="2"/>
      <w:sz w:val="18"/>
      <w:szCs w:val="18"/>
    </w:rPr>
  </w:style>
  <w:style w:type="character" w:customStyle="1" w:styleId="244">
    <w:name w:val="纯文本 Char"/>
    <w:qFormat/>
    <w:uiPriority w:val="99"/>
    <w:rPr>
      <w:rFonts w:ascii="宋体" w:hAnsi="Courier New" w:eastAsia="宋体" w:cs="Courier New"/>
      <w:szCs w:val="21"/>
    </w:rPr>
  </w:style>
  <w:style w:type="character" w:customStyle="1" w:styleId="245">
    <w:name w:val="Char Char6"/>
    <w:qFormat/>
    <w:uiPriority w:val="0"/>
    <w:rPr>
      <w:kern w:val="2"/>
      <w:sz w:val="21"/>
      <w:szCs w:val="24"/>
    </w:rPr>
  </w:style>
  <w:style w:type="character" w:customStyle="1" w:styleId="246">
    <w:name w:val="副标题 Char1"/>
    <w:qFormat/>
    <w:uiPriority w:val="11"/>
    <w:rPr>
      <w:rFonts w:hint="default" w:ascii="Cambria" w:hAnsi="Cambria" w:cs="Times New Roman"/>
      <w:b/>
      <w:bCs/>
      <w:kern w:val="28"/>
      <w:sz w:val="32"/>
      <w:szCs w:val="32"/>
    </w:rPr>
  </w:style>
  <w:style w:type="character" w:customStyle="1" w:styleId="247">
    <w:name w:val="标题 1 Char1"/>
    <w:qFormat/>
    <w:uiPriority w:val="0"/>
    <w:rPr>
      <w:b/>
      <w:bCs/>
      <w:kern w:val="44"/>
      <w:sz w:val="44"/>
      <w:szCs w:val="44"/>
    </w:rPr>
  </w:style>
  <w:style w:type="character" w:customStyle="1" w:styleId="248">
    <w:name w:val="（符号）邀请函中一、"/>
    <w:qFormat/>
    <w:uiPriority w:val="0"/>
    <w:rPr>
      <w:rFonts w:hint="eastAsia" w:ascii="黑体" w:hAnsi="黑体" w:eastAsia="黑体"/>
      <w:b/>
      <w:bCs/>
      <w:sz w:val="24"/>
    </w:rPr>
  </w:style>
  <w:style w:type="character" w:customStyle="1" w:styleId="249">
    <w:name w:val="副标题 字符"/>
    <w:link w:val="34"/>
    <w:qFormat/>
    <w:uiPriority w:val="0"/>
    <w:rPr>
      <w:rFonts w:ascii="Cambria" w:hAnsi="Cambria"/>
      <w:b/>
      <w:bCs/>
      <w:kern w:val="28"/>
      <w:sz w:val="32"/>
      <w:szCs w:val="32"/>
    </w:rPr>
  </w:style>
  <w:style w:type="character" w:customStyle="1" w:styleId="250">
    <w:name w:val="标书（正文） Char Char"/>
    <w:qFormat/>
    <w:uiPriority w:val="0"/>
    <w:rPr>
      <w:rFonts w:hint="eastAsia" w:ascii="宋体" w:hAnsi="宋体" w:eastAsia="宋体"/>
      <w:b/>
      <w:kern w:val="10"/>
      <w:sz w:val="21"/>
      <w:szCs w:val="21"/>
      <w:lang w:val="en-US" w:eastAsia="zh-CN" w:bidi="ar-SA"/>
    </w:rPr>
  </w:style>
  <w:style w:type="character" w:customStyle="1" w:styleId="251">
    <w:name w:val="MM Topic 4 Char Char"/>
    <w:qFormat/>
    <w:uiPriority w:val="0"/>
    <w:rPr>
      <w:rFonts w:hint="default" w:ascii="Arial" w:hAnsi="Arial" w:cs="Arial"/>
      <w:b/>
      <w:bCs/>
      <w:kern w:val="2"/>
      <w:sz w:val="28"/>
      <w:szCs w:val="28"/>
    </w:rPr>
  </w:style>
  <w:style w:type="character" w:customStyle="1" w:styleId="252">
    <w:name w:val="列出段落 Char1"/>
    <w:qFormat/>
    <w:uiPriority w:val="34"/>
    <w:rPr>
      <w:rFonts w:hint="default" w:ascii="Calibri" w:hAnsi="Calibri"/>
      <w:kern w:val="2"/>
      <w:sz w:val="21"/>
      <w:szCs w:val="22"/>
    </w:rPr>
  </w:style>
  <w:style w:type="character" w:customStyle="1" w:styleId="253">
    <w:name w:val="Char Char11"/>
    <w:qFormat/>
    <w:uiPriority w:val="0"/>
    <w:rPr>
      <w:rFonts w:hint="default" w:ascii="Arial Narrow" w:hAnsi="Arial Narrow"/>
      <w:b/>
      <w:bCs/>
      <w:iCs/>
      <w:szCs w:val="24"/>
      <w:lang w:eastAsia="en-US"/>
    </w:rPr>
  </w:style>
  <w:style w:type="character" w:customStyle="1" w:styleId="254">
    <w:name w:val="脚注文本 Char1"/>
    <w:qFormat/>
    <w:uiPriority w:val="0"/>
    <w:rPr>
      <w:rFonts w:ascii="Calibri" w:hAnsi="Calibri" w:eastAsia="宋体" w:cs="Times New Roman"/>
      <w:sz w:val="18"/>
      <w:szCs w:val="18"/>
    </w:rPr>
  </w:style>
  <w:style w:type="paragraph" w:customStyle="1" w:styleId="255">
    <w:name w:val="样式1"/>
    <w:basedOn w:val="1"/>
    <w:qFormat/>
    <w:uiPriority w:val="0"/>
    <w:pPr>
      <w:widowControl w:val="0"/>
      <w:jc w:val="both"/>
    </w:pPr>
    <w:rPr>
      <w:rFonts w:eastAsia="隶书"/>
      <w:i/>
      <w:dstrike/>
      <w:kern w:val="2"/>
      <w:sz w:val="28"/>
      <w:szCs w:val="18"/>
    </w:rPr>
  </w:style>
  <w:style w:type="paragraph" w:customStyle="1" w:styleId="256">
    <w:name w:val="列出段落3"/>
    <w:basedOn w:val="1"/>
    <w:qFormat/>
    <w:uiPriority w:val="0"/>
    <w:pPr>
      <w:ind w:firstLine="420" w:firstLineChars="200"/>
    </w:pPr>
  </w:style>
  <w:style w:type="paragraph" w:customStyle="1" w:styleId="257">
    <w:name w:val="15、“一、”二级标题"/>
    <w:basedOn w:val="1"/>
    <w:qFormat/>
    <w:uiPriority w:val="0"/>
    <w:pPr>
      <w:widowControl w:val="0"/>
      <w:tabs>
        <w:tab w:val="left" w:pos="0"/>
        <w:tab w:val="left" w:pos="760"/>
      </w:tabs>
      <w:wordWrap w:val="0"/>
      <w:topLinePunct/>
      <w:ind w:left="1264" w:firstLine="803" w:firstLineChars="200"/>
      <w:jc w:val="both"/>
      <w:outlineLvl w:val="1"/>
    </w:pPr>
    <w:rPr>
      <w:rFonts w:ascii="宋体" w:hAnsi="宋体"/>
      <w:b/>
      <w:kern w:val="2"/>
      <w:sz w:val="21"/>
      <w:szCs w:val="22"/>
    </w:rPr>
  </w:style>
  <w:style w:type="character" w:customStyle="1" w:styleId="258">
    <w:name w:val="副标题 字符1"/>
    <w:basedOn w:val="48"/>
    <w:qFormat/>
    <w:uiPriority w:val="11"/>
    <w:rPr>
      <w:b/>
      <w:bCs/>
      <w:kern w:val="28"/>
      <w:sz w:val="32"/>
      <w:szCs w:val="32"/>
    </w:rPr>
  </w:style>
  <w:style w:type="paragraph" w:customStyle="1" w:styleId="259">
    <w:name w:val="列项——（一级）"/>
    <w:qFormat/>
    <w:uiPriority w:val="0"/>
    <w:pPr>
      <w:widowControl w:val="0"/>
      <w:ind w:left="3540" w:hanging="420"/>
      <w:jc w:val="both"/>
    </w:pPr>
    <w:rPr>
      <w:rFonts w:ascii="宋体" w:hAnsi="Times New Roman" w:eastAsia="宋体" w:cs="Times New Roman"/>
      <w:sz w:val="21"/>
      <w:lang w:val="en-US" w:eastAsia="zh-CN" w:bidi="ar-SA"/>
    </w:rPr>
  </w:style>
  <w:style w:type="character" w:customStyle="1" w:styleId="260">
    <w:name w:val="正文文本缩进 2 字符1"/>
    <w:basedOn w:val="48"/>
    <w:semiHidden/>
    <w:qFormat/>
    <w:uiPriority w:val="99"/>
    <w:rPr>
      <w:rFonts w:ascii="Calibri" w:hAnsi="Calibri" w:eastAsia="宋体" w:cs="Times New Roman"/>
    </w:rPr>
  </w:style>
  <w:style w:type="paragraph" w:customStyle="1" w:styleId="261">
    <w:name w:val="6、“1.”表格内一级标题"/>
    <w:basedOn w:val="1"/>
    <w:qFormat/>
    <w:uiPriority w:val="0"/>
    <w:pPr>
      <w:widowControl w:val="0"/>
      <w:tabs>
        <w:tab w:val="left" w:pos="845"/>
        <w:tab w:val="left" w:pos="2630"/>
      </w:tabs>
      <w:wordWrap w:val="0"/>
      <w:topLinePunct/>
      <w:spacing w:line="360" w:lineRule="exact"/>
      <w:ind w:left="48" w:leftChars="20" w:hanging="425"/>
      <w:jc w:val="both"/>
    </w:pPr>
    <w:rPr>
      <w:snapToGrid w:val="0"/>
      <w:kern w:val="2"/>
      <w:sz w:val="21"/>
      <w:szCs w:val="22"/>
    </w:rPr>
  </w:style>
  <w:style w:type="paragraph" w:customStyle="1" w:styleId="262">
    <w:name w:val="2、“(一)”正文二级标题"/>
    <w:basedOn w:val="1"/>
    <w:qFormat/>
    <w:uiPriority w:val="0"/>
    <w:pPr>
      <w:widowControl w:val="0"/>
      <w:tabs>
        <w:tab w:val="left" w:pos="0"/>
        <w:tab w:val="left" w:pos="704"/>
      </w:tabs>
      <w:wordWrap w:val="0"/>
      <w:topLinePunct/>
      <w:ind w:left="704" w:firstLine="803"/>
      <w:jc w:val="both"/>
    </w:pPr>
    <w:rPr>
      <w:kern w:val="2"/>
      <w:sz w:val="21"/>
      <w:szCs w:val="22"/>
    </w:rPr>
  </w:style>
  <w:style w:type="character" w:customStyle="1" w:styleId="263">
    <w:name w:val="正文文本缩进 3 字符1"/>
    <w:basedOn w:val="48"/>
    <w:semiHidden/>
    <w:qFormat/>
    <w:uiPriority w:val="99"/>
    <w:rPr>
      <w:rFonts w:ascii="Calibri" w:hAnsi="Calibri" w:eastAsia="宋体" w:cs="Times New Roman"/>
      <w:sz w:val="16"/>
      <w:szCs w:val="16"/>
    </w:rPr>
  </w:style>
  <w:style w:type="character" w:customStyle="1" w:styleId="264">
    <w:name w:val="批注文字 字符1"/>
    <w:basedOn w:val="48"/>
    <w:semiHidden/>
    <w:qFormat/>
    <w:uiPriority w:val="99"/>
    <w:rPr>
      <w:rFonts w:ascii="Calibri" w:hAnsi="Calibri" w:eastAsia="宋体" w:cs="Times New Roman"/>
    </w:rPr>
  </w:style>
  <w:style w:type="character" w:customStyle="1" w:styleId="265">
    <w:name w:val="正文文本 2 字符1"/>
    <w:basedOn w:val="48"/>
    <w:semiHidden/>
    <w:qFormat/>
    <w:uiPriority w:val="99"/>
    <w:rPr>
      <w:rFonts w:ascii="Calibri" w:hAnsi="Calibri" w:eastAsia="宋体" w:cs="Times New Roman"/>
    </w:rPr>
  </w:style>
  <w:style w:type="character" w:customStyle="1" w:styleId="266">
    <w:name w:val="正文文本缩进 字符1"/>
    <w:basedOn w:val="48"/>
    <w:semiHidden/>
    <w:qFormat/>
    <w:uiPriority w:val="99"/>
    <w:rPr>
      <w:rFonts w:ascii="Calibri" w:hAnsi="Calibri" w:eastAsia="宋体" w:cs="Times New Roman"/>
    </w:rPr>
  </w:style>
  <w:style w:type="character" w:customStyle="1" w:styleId="267">
    <w:name w:val="批注框文本 字符1"/>
    <w:basedOn w:val="48"/>
    <w:semiHidden/>
    <w:qFormat/>
    <w:uiPriority w:val="99"/>
    <w:rPr>
      <w:rFonts w:ascii="Calibri" w:hAnsi="Calibri" w:eastAsia="宋体" w:cs="Times New Roman"/>
      <w:sz w:val="18"/>
      <w:szCs w:val="18"/>
    </w:rPr>
  </w:style>
  <w:style w:type="paragraph" w:customStyle="1" w:styleId="268">
    <w:name w:val="无间隔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269">
    <w:name w:val="修订11"/>
    <w:qFormat/>
    <w:uiPriority w:val="99"/>
    <w:rPr>
      <w:rFonts w:ascii="Times New Roman" w:hAnsi="Times New Roman" w:eastAsia="宋体" w:cs="Times New Roman"/>
      <w:kern w:val="2"/>
      <w:sz w:val="21"/>
      <w:szCs w:val="22"/>
      <w:lang w:val="en-US" w:eastAsia="zh-CN" w:bidi="ar-SA"/>
    </w:rPr>
  </w:style>
  <w:style w:type="character" w:customStyle="1" w:styleId="270">
    <w:name w:val="脚注文本 字符1"/>
    <w:basedOn w:val="48"/>
    <w:semiHidden/>
    <w:qFormat/>
    <w:uiPriority w:val="99"/>
    <w:rPr>
      <w:rFonts w:ascii="Times New Roman" w:hAnsi="Times New Roman" w:eastAsia="宋体" w:cs="Times New Roman"/>
      <w:kern w:val="0"/>
      <w:sz w:val="18"/>
      <w:szCs w:val="18"/>
    </w:rPr>
  </w:style>
  <w:style w:type="paragraph" w:customStyle="1" w:styleId="271">
    <w:name w:val="标题2-1"/>
    <w:basedOn w:val="1"/>
    <w:qFormat/>
    <w:uiPriority w:val="0"/>
    <w:pPr>
      <w:widowControl w:val="0"/>
      <w:tabs>
        <w:tab w:val="left" w:pos="0"/>
      </w:tabs>
      <w:autoSpaceDE w:val="0"/>
      <w:autoSpaceDN w:val="0"/>
      <w:adjustRightInd w:val="0"/>
      <w:spacing w:beforeLines="50"/>
      <w:outlineLvl w:val="1"/>
    </w:pPr>
    <w:rPr>
      <w:rFonts w:ascii="Arial" w:hAnsi="宋体" w:cs="Arial"/>
      <w:b/>
      <w:bCs/>
      <w:color w:val="292929"/>
      <w:sz w:val="28"/>
      <w:szCs w:val="28"/>
    </w:rPr>
  </w:style>
  <w:style w:type="character" w:customStyle="1" w:styleId="272">
    <w:name w:val="正文文本 字符1"/>
    <w:basedOn w:val="48"/>
    <w:semiHidden/>
    <w:qFormat/>
    <w:uiPriority w:val="99"/>
    <w:rPr>
      <w:rFonts w:ascii="Calibri" w:hAnsi="Calibri" w:eastAsia="宋体" w:cs="Times New Roman"/>
    </w:rPr>
  </w:style>
  <w:style w:type="paragraph" w:customStyle="1" w:styleId="273">
    <w:name w:val="列出段落5"/>
    <w:basedOn w:val="1"/>
    <w:unhideWhenUsed/>
    <w:qFormat/>
    <w:uiPriority w:val="99"/>
    <w:pPr>
      <w:widowControl w:val="0"/>
      <w:ind w:firstLine="420" w:firstLineChars="200"/>
      <w:jc w:val="both"/>
    </w:pPr>
    <w:rPr>
      <w:kern w:val="2"/>
      <w:sz w:val="21"/>
    </w:rPr>
  </w:style>
  <w:style w:type="character" w:customStyle="1" w:styleId="274">
    <w:name w:val="批注主题 字符1"/>
    <w:basedOn w:val="264"/>
    <w:semiHidden/>
    <w:qFormat/>
    <w:uiPriority w:val="99"/>
    <w:rPr>
      <w:rFonts w:ascii="Calibri" w:hAnsi="Calibri" w:eastAsia="宋体" w:cs="Times New Roman"/>
      <w:b/>
      <w:bCs/>
    </w:rPr>
  </w:style>
  <w:style w:type="paragraph" w:customStyle="1" w:styleId="275">
    <w:name w:val="Normal_59"/>
    <w:qFormat/>
    <w:uiPriority w:val="0"/>
    <w:pPr>
      <w:spacing w:before="120" w:after="240"/>
      <w:jc w:val="both"/>
    </w:pPr>
    <w:rPr>
      <w:rFonts w:ascii="Times New Roman" w:hAnsi="Times New Roman" w:eastAsia="Calibri" w:cs="Times New Roman"/>
      <w:sz w:val="22"/>
      <w:szCs w:val="22"/>
      <w:lang w:val="ru-RU" w:eastAsia="en-US" w:bidi="ar-SA"/>
    </w:rPr>
  </w:style>
  <w:style w:type="character" w:customStyle="1" w:styleId="276">
    <w:name w:val="日期 字符1"/>
    <w:basedOn w:val="48"/>
    <w:semiHidden/>
    <w:qFormat/>
    <w:uiPriority w:val="99"/>
    <w:rPr>
      <w:rFonts w:ascii="Calibri" w:hAnsi="Calibri" w:eastAsia="宋体" w:cs="Times New Roman"/>
    </w:rPr>
  </w:style>
  <w:style w:type="character" w:customStyle="1" w:styleId="277">
    <w:name w:val="正文文本 3 字符1"/>
    <w:basedOn w:val="48"/>
    <w:semiHidden/>
    <w:qFormat/>
    <w:uiPriority w:val="99"/>
    <w:rPr>
      <w:rFonts w:ascii="Calibri" w:hAnsi="Calibri" w:eastAsia="宋体" w:cs="Times New Roman"/>
      <w:sz w:val="16"/>
      <w:szCs w:val="16"/>
    </w:rPr>
  </w:style>
  <w:style w:type="character" w:customStyle="1" w:styleId="278">
    <w:name w:val="文档结构图 字符1"/>
    <w:basedOn w:val="48"/>
    <w:semiHidden/>
    <w:qFormat/>
    <w:uiPriority w:val="99"/>
    <w:rPr>
      <w:rFonts w:ascii="Microsoft YaHei UI" w:hAnsi="Calibri" w:eastAsia="Microsoft YaHei UI" w:cs="Times New Roman"/>
      <w:sz w:val="18"/>
      <w:szCs w:val="18"/>
    </w:rPr>
  </w:style>
  <w:style w:type="paragraph" w:customStyle="1" w:styleId="279">
    <w:name w:val="02、首行缩进2字符正文"/>
    <w:basedOn w:val="1"/>
    <w:qFormat/>
    <w:uiPriority w:val="0"/>
    <w:pPr>
      <w:widowControl w:val="0"/>
      <w:tabs>
        <w:tab w:val="left" w:pos="0"/>
      </w:tabs>
      <w:wordWrap w:val="0"/>
      <w:topLinePunct/>
      <w:ind w:firstLine="480" w:firstLineChars="200"/>
      <w:jc w:val="both"/>
    </w:pPr>
    <w:rPr>
      <w:rFonts w:ascii="宋体" w:hAnsi="宋体"/>
      <w:kern w:val="2"/>
      <w:sz w:val="21"/>
      <w:szCs w:val="22"/>
    </w:rPr>
  </w:style>
  <w:style w:type="paragraph" w:customStyle="1" w:styleId="280">
    <w:name w:val="标书正文:  0.74 厘米"/>
    <w:basedOn w:val="1"/>
    <w:qFormat/>
    <w:uiPriority w:val="0"/>
    <w:pPr>
      <w:widowControl w:val="0"/>
      <w:snapToGrid w:val="0"/>
      <w:spacing w:line="360" w:lineRule="auto"/>
      <w:ind w:firstLine="420"/>
      <w:jc w:val="both"/>
    </w:pPr>
    <w:rPr>
      <w:kern w:val="2"/>
      <w:szCs w:val="18"/>
    </w:rPr>
  </w:style>
  <w:style w:type="paragraph" w:customStyle="1" w:styleId="281">
    <w:name w:val="(符号)五标题1.1.1"/>
    <w:basedOn w:val="1"/>
    <w:qFormat/>
    <w:uiPriority w:val="0"/>
    <w:pPr>
      <w:widowControl w:val="0"/>
      <w:tabs>
        <w:tab w:val="left" w:pos="1000"/>
        <w:tab w:val="left" w:pos="1260"/>
      </w:tabs>
      <w:spacing w:line="500" w:lineRule="exact"/>
      <w:ind w:left="1260" w:hanging="420"/>
      <w:jc w:val="both"/>
    </w:pPr>
    <w:rPr>
      <w:rFonts w:ascii="宋体" w:hAnsi="宋体" w:cs="宋体"/>
      <w:color w:val="000000"/>
      <w:kern w:val="2"/>
      <w:szCs w:val="20"/>
    </w:rPr>
  </w:style>
  <w:style w:type="character" w:customStyle="1" w:styleId="282">
    <w:name w:val="页脚 字符1"/>
    <w:basedOn w:val="48"/>
    <w:semiHidden/>
    <w:qFormat/>
    <w:uiPriority w:val="99"/>
    <w:rPr>
      <w:rFonts w:ascii="Calibri" w:hAnsi="Calibri" w:eastAsia="宋体" w:cs="Times New Roman"/>
      <w:sz w:val="18"/>
      <w:szCs w:val="18"/>
    </w:rPr>
  </w:style>
  <w:style w:type="paragraph" w:customStyle="1" w:styleId="283">
    <w:name w:val="图"/>
    <w:basedOn w:val="1"/>
    <w:qFormat/>
    <w:uiPriority w:val="0"/>
    <w:pPr>
      <w:adjustRightInd w:val="0"/>
      <w:snapToGrid w:val="0"/>
      <w:jc w:val="center"/>
    </w:pPr>
    <w:rPr>
      <w:rFonts w:ascii="宋体" w:hAnsi="宋体"/>
      <w:bCs/>
      <w:kern w:val="2"/>
      <w:sz w:val="21"/>
    </w:rPr>
  </w:style>
  <w:style w:type="character" w:customStyle="1" w:styleId="284">
    <w:name w:val="纯文本 字符1"/>
    <w:basedOn w:val="48"/>
    <w:semiHidden/>
    <w:qFormat/>
    <w:uiPriority w:val="99"/>
    <w:rPr>
      <w:rFonts w:hAnsi="Courier New" w:cs="Courier New" w:asciiTheme="minorEastAsia"/>
    </w:rPr>
  </w:style>
  <w:style w:type="paragraph" w:customStyle="1" w:styleId="285">
    <w:name w:val="无间隔1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286">
    <w:name w:val="TOC 标题1"/>
    <w:basedOn w:val="4"/>
    <w:next w:val="1"/>
    <w:qFormat/>
    <w:uiPriority w:val="39"/>
    <w:pPr>
      <w:spacing w:before="480" w:after="0" w:line="276" w:lineRule="auto"/>
      <w:jc w:val="left"/>
      <w:outlineLvl w:val="9"/>
    </w:pPr>
    <w:rPr>
      <w:rFonts w:ascii="Cambria" w:hAnsi="Cambria"/>
      <w:color w:val="365F91"/>
      <w:kern w:val="0"/>
      <w:sz w:val="28"/>
      <w:szCs w:val="28"/>
    </w:rPr>
  </w:style>
  <w:style w:type="paragraph" w:customStyle="1" w:styleId="287">
    <w:name w:val="3、“1.”正文三级标题"/>
    <w:basedOn w:val="1"/>
    <w:qFormat/>
    <w:uiPriority w:val="0"/>
    <w:pPr>
      <w:widowControl w:val="0"/>
      <w:tabs>
        <w:tab w:val="left" w:pos="0"/>
        <w:tab w:val="left" w:pos="1124"/>
      </w:tabs>
      <w:wordWrap w:val="0"/>
      <w:topLinePunct/>
      <w:ind w:left="1124" w:firstLine="803"/>
      <w:jc w:val="both"/>
    </w:pPr>
    <w:rPr>
      <w:snapToGrid w:val="0"/>
      <w:kern w:val="2"/>
      <w:sz w:val="21"/>
      <w:szCs w:val="22"/>
    </w:rPr>
  </w:style>
  <w:style w:type="paragraph" w:customStyle="1" w:styleId="288">
    <w:name w:val="zw1"/>
    <w:basedOn w:val="1"/>
    <w:qFormat/>
    <w:uiPriority w:val="0"/>
    <w:pPr>
      <w:spacing w:line="360" w:lineRule="auto"/>
      <w:ind w:firstLine="480" w:firstLineChars="200"/>
      <w:jc w:val="both"/>
    </w:pPr>
    <w:rPr>
      <w:szCs w:val="20"/>
    </w:rPr>
  </w:style>
  <w:style w:type="character" w:customStyle="1" w:styleId="289">
    <w:name w:val="页眉 字符1"/>
    <w:basedOn w:val="48"/>
    <w:semiHidden/>
    <w:qFormat/>
    <w:uiPriority w:val="99"/>
    <w:rPr>
      <w:rFonts w:ascii="Calibri" w:hAnsi="Calibri" w:eastAsia="宋体" w:cs="Times New Roman"/>
      <w:sz w:val="18"/>
      <w:szCs w:val="18"/>
    </w:rPr>
  </w:style>
  <w:style w:type="character" w:customStyle="1" w:styleId="290">
    <w:name w:val="正文文本首行缩进 字符1"/>
    <w:basedOn w:val="272"/>
    <w:semiHidden/>
    <w:qFormat/>
    <w:uiPriority w:val="99"/>
    <w:rPr>
      <w:rFonts w:ascii="Calibri" w:hAnsi="Calibri" w:eastAsia="宋体" w:cs="Times New Roman"/>
    </w:rPr>
  </w:style>
  <w:style w:type="paragraph" w:customStyle="1" w:styleId="291">
    <w:name w:val="_Style 3"/>
    <w:basedOn w:val="1"/>
    <w:qFormat/>
    <w:uiPriority w:val="34"/>
    <w:pPr>
      <w:ind w:firstLine="420" w:firstLineChars="200"/>
    </w:pPr>
  </w:style>
  <w:style w:type="paragraph" w:customStyle="1" w:styleId="292">
    <w:name w:val="1、“一、”一级标题"/>
    <w:basedOn w:val="1"/>
    <w:qFormat/>
    <w:uiPriority w:val="0"/>
    <w:pPr>
      <w:widowControl w:val="0"/>
      <w:tabs>
        <w:tab w:val="left" w:pos="0"/>
      </w:tabs>
      <w:ind w:left="972" w:hanging="420"/>
      <w:jc w:val="both"/>
      <w:outlineLvl w:val="0"/>
    </w:pPr>
    <w:rPr>
      <w:b/>
      <w:kern w:val="2"/>
      <w:sz w:val="21"/>
      <w:szCs w:val="22"/>
    </w:rPr>
  </w:style>
  <w:style w:type="paragraph" w:customStyle="1" w:styleId="293">
    <w:name w:val="样式 宋体 小四 行距: 1.5 倍行距"/>
    <w:basedOn w:val="1"/>
    <w:qFormat/>
    <w:uiPriority w:val="0"/>
    <w:pPr>
      <w:widowControl w:val="0"/>
      <w:tabs>
        <w:tab w:val="left" w:pos="5190"/>
      </w:tabs>
      <w:spacing w:before="100" w:beforeAutospacing="1" w:after="100" w:afterAutospacing="1" w:line="288" w:lineRule="auto"/>
      <w:ind w:firstLine="480"/>
      <w:jc w:val="both"/>
    </w:pPr>
    <w:rPr>
      <w:rFonts w:ascii="宋体" w:hAnsi="宋体"/>
      <w:bCs/>
      <w:kern w:val="2"/>
    </w:rPr>
  </w:style>
  <w:style w:type="paragraph" w:customStyle="1" w:styleId="294">
    <w:name w:val="样式 样式 样式 标题 2 + 宋体 五号 非加粗 黑色 + 段前: 6 磅 段后: 0 磅 行距: 单倍行距 + 段前: 12..."/>
    <w:basedOn w:val="1"/>
    <w:qFormat/>
    <w:uiPriority w:val="0"/>
    <w:pPr>
      <w:keepNext/>
      <w:keepLines/>
      <w:widowControl w:val="0"/>
      <w:tabs>
        <w:tab w:val="left" w:pos="1124"/>
      </w:tabs>
      <w:adjustRightInd w:val="0"/>
      <w:spacing w:before="240"/>
      <w:ind w:left="1266" w:hanging="420"/>
      <w:outlineLvl w:val="1"/>
    </w:pPr>
    <w:rPr>
      <w:rFonts w:ascii="宋体" w:hAnsi="宋体" w:cs="宋体"/>
      <w:color w:val="000000"/>
      <w:sz w:val="21"/>
      <w:szCs w:val="20"/>
    </w:rPr>
  </w:style>
  <w:style w:type="paragraph" w:customStyle="1" w:styleId="295">
    <w:name w:val="Char1 Char Char Char Char Char Char_0"/>
    <w:basedOn w:val="1"/>
    <w:qFormat/>
    <w:uiPriority w:val="0"/>
    <w:pPr>
      <w:widowControl w:val="0"/>
      <w:jc w:val="both"/>
    </w:pPr>
    <w:rPr>
      <w:rFonts w:ascii="Tahoma" w:hAnsi="Tahoma"/>
      <w:kern w:val="2"/>
      <w:szCs w:val="20"/>
    </w:rPr>
  </w:style>
  <w:style w:type="paragraph" w:customStyle="1" w:styleId="296">
    <w:name w:val="RFI Heading 3rd Level"/>
    <w:basedOn w:val="1"/>
    <w:qFormat/>
    <w:uiPriority w:val="0"/>
    <w:pPr>
      <w:tabs>
        <w:tab w:val="left" w:pos="720"/>
      </w:tabs>
      <w:ind w:left="720" w:hanging="720"/>
    </w:pPr>
    <w:rPr>
      <w:rFonts w:ascii="Arial (W1)" w:hAnsi="Arial (W1)"/>
      <w:color w:val="000000"/>
      <w:lang w:val="en-GB" w:eastAsia="en-US"/>
    </w:rPr>
  </w:style>
  <w:style w:type="paragraph" w:styleId="297">
    <w:name w:val="No Spacing"/>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98">
    <w:name w:val="彩色底纹 - 强调文字颜色 11"/>
    <w:qFormat/>
    <w:uiPriority w:val="0"/>
    <w:rPr>
      <w:rFonts w:ascii="Times New Roman" w:hAnsi="Times New Roman" w:eastAsia="宋体" w:cs="Times New Roman"/>
      <w:kern w:val="2"/>
      <w:sz w:val="21"/>
      <w:szCs w:val="22"/>
      <w:lang w:val="en-US" w:eastAsia="zh-CN" w:bidi="ar-SA"/>
    </w:rPr>
  </w:style>
  <w:style w:type="paragraph" w:customStyle="1" w:styleId="299">
    <w:name w:val="Char1 Char Char Char Char Char Char1"/>
    <w:basedOn w:val="1"/>
    <w:qFormat/>
    <w:uiPriority w:val="0"/>
    <w:pPr>
      <w:widowControl w:val="0"/>
      <w:jc w:val="both"/>
    </w:pPr>
    <w:rPr>
      <w:rFonts w:ascii="Tahoma" w:hAnsi="Tahoma"/>
      <w:kern w:val="2"/>
      <w:szCs w:val="20"/>
    </w:rPr>
  </w:style>
  <w:style w:type="paragraph" w:customStyle="1" w:styleId="300">
    <w:name w:val="默认段落字体 Para Char"/>
    <w:basedOn w:val="1"/>
    <w:qFormat/>
    <w:uiPriority w:val="0"/>
    <w:pPr>
      <w:widowControl w:val="0"/>
      <w:jc w:val="both"/>
    </w:pPr>
    <w:rPr>
      <w:rFonts w:ascii="Tahoma" w:hAnsi="Tahoma"/>
      <w:kern w:val="2"/>
      <w:szCs w:val="20"/>
    </w:rPr>
  </w:style>
  <w:style w:type="paragraph" w:customStyle="1" w:styleId="301">
    <w:name w:val="样式 标题 2H2第一章 标题 2Heading 2 HiddenHeading 2 CCBSheading 2h2..."/>
    <w:basedOn w:val="5"/>
    <w:qFormat/>
    <w:uiPriority w:val="0"/>
    <w:pPr>
      <w:numPr>
        <w:ilvl w:val="0"/>
        <w:numId w:val="0"/>
      </w:numPr>
      <w:tabs>
        <w:tab w:val="left" w:pos="-2493"/>
        <w:tab w:val="clear" w:pos="426"/>
        <w:tab w:val="clear" w:pos="567"/>
      </w:tabs>
      <w:spacing w:before="260" w:after="260"/>
      <w:ind w:left="567" w:hanging="567"/>
      <w:jc w:val="left"/>
    </w:pPr>
    <w:rPr>
      <w:iCs w:val="0"/>
      <w:szCs w:val="20"/>
    </w:rPr>
  </w:style>
  <w:style w:type="paragraph" w:customStyle="1" w:styleId="302">
    <w:name w:val="列出段落11"/>
    <w:basedOn w:val="1"/>
    <w:qFormat/>
    <w:uiPriority w:val="99"/>
    <w:pPr>
      <w:widowControl w:val="0"/>
      <w:ind w:firstLine="420" w:firstLineChars="200"/>
      <w:jc w:val="both"/>
    </w:pPr>
    <w:rPr>
      <w:kern w:val="2"/>
      <w:sz w:val="21"/>
      <w:szCs w:val="22"/>
    </w:rPr>
  </w:style>
  <w:style w:type="paragraph" w:customStyle="1" w:styleId="303">
    <w:name w:val="修订2"/>
    <w:unhideWhenUsed/>
    <w:qFormat/>
    <w:uiPriority w:val="99"/>
    <w:rPr>
      <w:rFonts w:ascii="Times New Roman" w:hAnsi="Times New Roman" w:eastAsia="宋体" w:cs="Times New Roman"/>
      <w:kern w:val="2"/>
      <w:sz w:val="21"/>
      <w:szCs w:val="24"/>
      <w:lang w:val="en-US" w:eastAsia="zh-CN" w:bidi="ar-SA"/>
    </w:rPr>
  </w:style>
  <w:style w:type="paragraph" w:customStyle="1" w:styleId="304">
    <w:name w:val="样式 标题 3 + (西文) 仿宋_GB2312 (中文) 仿宋_GB2312 四号"/>
    <w:basedOn w:val="6"/>
    <w:qFormat/>
    <w:uiPriority w:val="0"/>
    <w:pPr>
      <w:numPr>
        <w:ilvl w:val="0"/>
        <w:numId w:val="0"/>
      </w:numPr>
      <w:tabs>
        <w:tab w:val="left" w:pos="-1991"/>
      </w:tabs>
      <w:snapToGrid w:val="0"/>
      <w:spacing w:beforeLines="50" w:line="410" w:lineRule="auto"/>
      <w:ind w:right="180" w:rightChars="100"/>
    </w:pPr>
    <w:rPr>
      <w:rFonts w:ascii="仿宋_GB2312" w:hAnsi="仿宋_GB2312" w:eastAsia="仿宋_GB2312"/>
      <w:color w:val="auto"/>
      <w:kern w:val="0"/>
    </w:rPr>
  </w:style>
  <w:style w:type="paragraph" w:customStyle="1" w:styleId="305">
    <w:name w:val="样式 小四2"/>
    <w:basedOn w:val="1"/>
    <w:qFormat/>
    <w:uiPriority w:val="0"/>
    <w:pPr>
      <w:widowControl w:val="0"/>
      <w:jc w:val="both"/>
    </w:pPr>
    <w:rPr>
      <w:rFonts w:ascii="宋体" w:hAnsi="宋体"/>
      <w:kern w:val="2"/>
    </w:rPr>
  </w:style>
  <w:style w:type="paragraph" w:customStyle="1" w:styleId="306">
    <w:name w:val="0、正文"/>
    <w:basedOn w:val="1"/>
    <w:qFormat/>
    <w:uiPriority w:val="0"/>
    <w:pPr>
      <w:widowControl w:val="0"/>
      <w:tabs>
        <w:tab w:val="left" w:pos="0"/>
      </w:tabs>
      <w:wordWrap w:val="0"/>
      <w:topLinePunct/>
      <w:jc w:val="both"/>
    </w:pPr>
    <w:rPr>
      <w:snapToGrid w:val="0"/>
      <w:kern w:val="2"/>
      <w:sz w:val="21"/>
      <w:szCs w:val="22"/>
    </w:rPr>
  </w:style>
  <w:style w:type="paragraph" w:customStyle="1" w:styleId="307">
    <w:name w:val="样式 小四 首行缩进:  0.74 厘米"/>
    <w:basedOn w:val="1"/>
    <w:qFormat/>
    <w:uiPriority w:val="0"/>
    <w:pPr>
      <w:widowControl w:val="0"/>
      <w:spacing w:before="100" w:beforeAutospacing="1" w:after="100" w:afterAutospacing="1" w:line="300" w:lineRule="auto"/>
      <w:ind w:firstLine="420" w:firstLineChars="175"/>
      <w:jc w:val="both"/>
    </w:pPr>
    <w:rPr>
      <w:rFonts w:ascii="宋体" w:hAnsi="宋体"/>
      <w:kern w:val="2"/>
    </w:rPr>
  </w:style>
  <w:style w:type="paragraph" w:customStyle="1" w:styleId="308">
    <w:name w:val="正文2"/>
    <w:qFormat/>
    <w:uiPriority w:val="0"/>
    <w:pPr>
      <w:widowControl w:val="0"/>
      <w:adjustRightInd w:val="0"/>
      <w:spacing w:line="312" w:lineRule="atLeast"/>
      <w:jc w:val="both"/>
      <w:textAlignment w:val="baseline"/>
    </w:pPr>
    <w:rPr>
      <w:rFonts w:ascii="宋体" w:hAnsi="Times New Roman" w:eastAsia="宋体" w:cs="Times New Roman"/>
      <w:sz w:val="34"/>
      <w:szCs w:val="22"/>
      <w:lang w:val="en-US" w:eastAsia="zh-CN" w:bidi="ar-SA"/>
    </w:rPr>
  </w:style>
  <w:style w:type="paragraph" w:customStyle="1" w:styleId="309">
    <w:name w:val="样式 行距: 1.5 倍行距 左  3.42 字符"/>
    <w:basedOn w:val="1"/>
    <w:qFormat/>
    <w:uiPriority w:val="0"/>
    <w:pPr>
      <w:widowControl w:val="0"/>
      <w:spacing w:line="360" w:lineRule="auto"/>
      <w:ind w:left="200" w:leftChars="200" w:firstLine="200" w:firstLineChars="200"/>
      <w:jc w:val="both"/>
    </w:pPr>
    <w:rPr>
      <w:rFonts w:cs="宋体"/>
      <w:kern w:val="2"/>
      <w:sz w:val="21"/>
      <w:szCs w:val="20"/>
    </w:rPr>
  </w:style>
  <w:style w:type="paragraph" w:customStyle="1" w:styleId="310">
    <w:name w:val="表格"/>
    <w:basedOn w:val="1"/>
    <w:qFormat/>
    <w:uiPriority w:val="0"/>
    <w:pPr>
      <w:widowControl w:val="0"/>
      <w:spacing w:line="400" w:lineRule="exact"/>
      <w:jc w:val="both"/>
    </w:pPr>
    <w:rPr>
      <w:kern w:val="2"/>
    </w:rPr>
  </w:style>
  <w:style w:type="paragraph" w:customStyle="1" w:styleId="311">
    <w:name w:val="00、封面正文(与其他内容无关的格式)"/>
    <w:basedOn w:val="1"/>
    <w:qFormat/>
    <w:uiPriority w:val="0"/>
    <w:pPr>
      <w:widowControl w:val="0"/>
      <w:tabs>
        <w:tab w:val="left" w:pos="0"/>
      </w:tabs>
      <w:jc w:val="both"/>
    </w:pPr>
    <w:rPr>
      <w:rFonts w:ascii="宋体" w:hAnsi="宋体"/>
      <w:kern w:val="2"/>
      <w:sz w:val="21"/>
      <w:szCs w:val="22"/>
    </w:rPr>
  </w:style>
  <w:style w:type="paragraph" w:customStyle="1" w:styleId="312">
    <w:name w:val="9、表格内正文"/>
    <w:basedOn w:val="1"/>
    <w:qFormat/>
    <w:uiPriority w:val="0"/>
    <w:pPr>
      <w:widowControl w:val="0"/>
      <w:tabs>
        <w:tab w:val="left" w:pos="0"/>
      </w:tabs>
      <w:wordWrap w:val="0"/>
      <w:topLinePunct/>
      <w:spacing w:line="360" w:lineRule="exact"/>
      <w:jc w:val="both"/>
    </w:pPr>
    <w:rPr>
      <w:snapToGrid w:val="0"/>
      <w:kern w:val="2"/>
      <w:sz w:val="21"/>
      <w:szCs w:val="22"/>
    </w:rPr>
  </w:style>
  <w:style w:type="paragraph" w:customStyle="1" w:styleId="313">
    <w:name w:val="样式 标题 5 + 倾斜"/>
    <w:basedOn w:val="8"/>
    <w:qFormat/>
    <w:uiPriority w:val="0"/>
    <w:pPr>
      <w:keepNext w:val="0"/>
      <w:keepLines w:val="0"/>
      <w:widowControl/>
      <w:tabs>
        <w:tab w:val="left" w:pos="992"/>
        <w:tab w:val="left" w:pos="1560"/>
        <w:tab w:val="clear" w:pos="709"/>
      </w:tabs>
      <w:overflowPunct w:val="0"/>
      <w:snapToGrid w:val="0"/>
      <w:spacing w:before="100" w:beforeAutospacing="1" w:after="100" w:afterAutospacing="1" w:line="288" w:lineRule="auto"/>
      <w:jc w:val="left"/>
    </w:pPr>
    <w:rPr>
      <w:rFonts w:ascii="Arial" w:hAnsi="Arial"/>
      <w:bCs w:val="0"/>
      <w:iCs/>
      <w:color w:val="000000"/>
    </w:rPr>
  </w:style>
  <w:style w:type="paragraph" w:customStyle="1" w:styleId="314">
    <w:name w:val="列出段落4"/>
    <w:basedOn w:val="1"/>
    <w:qFormat/>
    <w:uiPriority w:val="0"/>
    <w:pPr>
      <w:widowControl w:val="0"/>
      <w:spacing w:after="200" w:line="276" w:lineRule="auto"/>
      <w:ind w:firstLine="420" w:firstLineChars="200"/>
      <w:jc w:val="both"/>
    </w:pPr>
    <w:rPr>
      <w:kern w:val="2"/>
      <w:sz w:val="21"/>
    </w:rPr>
  </w:style>
  <w:style w:type="paragraph" w:customStyle="1" w:styleId="315">
    <w:name w:val="4、“1.1”正文四级标题"/>
    <w:basedOn w:val="1"/>
    <w:qFormat/>
    <w:uiPriority w:val="0"/>
    <w:pPr>
      <w:widowControl w:val="0"/>
      <w:tabs>
        <w:tab w:val="left" w:pos="0"/>
        <w:tab w:val="left" w:pos="1544"/>
      </w:tabs>
      <w:ind w:left="1544" w:firstLine="803"/>
      <w:jc w:val="both"/>
    </w:pPr>
    <w:rPr>
      <w:kern w:val="2"/>
      <w:sz w:val="21"/>
      <w:szCs w:val="22"/>
    </w:rPr>
  </w:style>
  <w:style w:type="paragraph" w:customStyle="1" w:styleId="316">
    <w:name w:val="正文-缩进"/>
    <w:basedOn w:val="1"/>
    <w:qFormat/>
    <w:uiPriority w:val="0"/>
    <w:pPr>
      <w:widowControl w:val="0"/>
      <w:spacing w:after="200" w:line="480" w:lineRule="auto"/>
      <w:ind w:firstLine="200" w:firstLineChars="200"/>
      <w:jc w:val="both"/>
    </w:pPr>
    <w:rPr>
      <w:rFonts w:ascii="宋体" w:hAnsi="宋体"/>
      <w:kern w:val="2"/>
      <w:sz w:val="21"/>
      <w:szCs w:val="22"/>
    </w:rPr>
  </w:style>
  <w:style w:type="paragraph" w:customStyle="1" w:styleId="317">
    <w:name w:val="01、普通正文"/>
    <w:basedOn w:val="1"/>
    <w:qFormat/>
    <w:uiPriority w:val="0"/>
    <w:pPr>
      <w:widowControl w:val="0"/>
      <w:tabs>
        <w:tab w:val="left" w:pos="0"/>
      </w:tabs>
      <w:wordWrap w:val="0"/>
      <w:topLinePunct/>
      <w:spacing w:line="440" w:lineRule="exact"/>
      <w:ind w:firstLine="723" w:firstLineChars="200"/>
      <w:jc w:val="both"/>
    </w:pPr>
    <w:rPr>
      <w:rFonts w:ascii="宋体" w:hAnsi="宋体"/>
      <w:snapToGrid w:val="0"/>
      <w:kern w:val="2"/>
      <w:szCs w:val="22"/>
    </w:rPr>
  </w:style>
  <w:style w:type="paragraph" w:customStyle="1" w:styleId="318">
    <w:name w:val="05、“(一)”正文三级标题"/>
    <w:basedOn w:val="1"/>
    <w:qFormat/>
    <w:uiPriority w:val="0"/>
    <w:pPr>
      <w:widowControl w:val="0"/>
      <w:tabs>
        <w:tab w:val="left" w:pos="0"/>
      </w:tabs>
      <w:wordWrap w:val="0"/>
      <w:topLinePunct/>
      <w:ind w:left="1693" w:firstLine="803" w:firstLineChars="200"/>
      <w:jc w:val="both"/>
    </w:pPr>
    <w:rPr>
      <w:rFonts w:ascii="宋体" w:hAnsi="宋体"/>
      <w:kern w:val="2"/>
      <w:sz w:val="21"/>
      <w:szCs w:val="22"/>
    </w:rPr>
  </w:style>
  <w:style w:type="paragraph" w:customStyle="1" w:styleId="319">
    <w:name w:val="列表段落1"/>
    <w:basedOn w:val="1"/>
    <w:qFormat/>
    <w:uiPriority w:val="34"/>
    <w:pPr>
      <w:widowControl w:val="0"/>
      <w:tabs>
        <w:tab w:val="left" w:pos="0"/>
      </w:tabs>
      <w:ind w:firstLine="420"/>
      <w:jc w:val="both"/>
    </w:pPr>
    <w:rPr>
      <w:kern w:val="2"/>
      <w:sz w:val="21"/>
      <w:szCs w:val="22"/>
    </w:rPr>
  </w:style>
  <w:style w:type="table" w:customStyle="1" w:styleId="320">
    <w:name w:val="网格型1"/>
    <w:basedOn w:val="45"/>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21">
    <w:name w:val="标题 5 + 首行缩进:"/>
    <w:basedOn w:val="8"/>
    <w:next w:val="20"/>
    <w:qFormat/>
    <w:uiPriority w:val="0"/>
    <w:pPr>
      <w:keepNext w:val="0"/>
      <w:keepLines w:val="0"/>
      <w:tabs>
        <w:tab w:val="left" w:pos="992"/>
        <w:tab w:val="left" w:pos="1560"/>
      </w:tabs>
      <w:autoSpaceDE/>
      <w:autoSpaceDN/>
      <w:adjustRightInd/>
      <w:snapToGrid w:val="0"/>
      <w:spacing w:beforeLines="50" w:afterLines="50" w:line="360" w:lineRule="auto"/>
      <w:ind w:left="3570" w:firstLine="482" w:firstLineChars="200"/>
    </w:pPr>
    <w:rPr>
      <w:rFonts w:ascii="Calibri" w:hAnsi="Calibri"/>
      <w:color w:val="000000"/>
      <w:szCs w:val="20"/>
    </w:rPr>
  </w:style>
  <w:style w:type="paragraph" w:customStyle="1" w:styleId="322">
    <w:name w:val="样式 首行缩进:"/>
    <w:basedOn w:val="1"/>
    <w:qFormat/>
    <w:uiPriority w:val="0"/>
    <w:pPr>
      <w:widowControl w:val="0"/>
      <w:ind w:firstLine="420" w:firstLineChars="200"/>
      <w:jc w:val="both"/>
    </w:pPr>
    <w:rPr>
      <w:rFonts w:cs="宋体"/>
      <w:kern w:val="2"/>
      <w:sz w:val="21"/>
      <w:szCs w:val="20"/>
    </w:rPr>
  </w:style>
  <w:style w:type="paragraph" w:customStyle="1" w:styleId="323">
    <w:name w:val="样式 仿宋_GB2312 小四 左侧:  0.63"/>
    <w:basedOn w:val="1"/>
    <w:qFormat/>
    <w:uiPriority w:val="0"/>
    <w:pPr>
      <w:widowControl w:val="0"/>
      <w:spacing w:before="120" w:after="120" w:line="360" w:lineRule="auto"/>
      <w:ind w:left="357" w:firstLine="200" w:firstLineChars="200"/>
      <w:jc w:val="both"/>
    </w:pPr>
    <w:rPr>
      <w:rFonts w:ascii="仿宋_GB2312" w:hAnsi="仿宋_GB2312" w:eastAsia="仿宋_GB2312"/>
      <w:kern w:val="2"/>
      <w:szCs w:val="20"/>
    </w:rPr>
  </w:style>
  <w:style w:type="paragraph" w:customStyle="1" w:styleId="324">
    <w:name w:val="彩色列表 - 强调文字颜色"/>
    <w:basedOn w:val="1"/>
    <w:qFormat/>
    <w:uiPriority w:val="99"/>
    <w:pPr>
      <w:widowControl w:val="0"/>
      <w:ind w:firstLine="420" w:firstLineChars="200"/>
      <w:jc w:val="both"/>
    </w:pPr>
    <w:rPr>
      <w:rFonts w:ascii="Calibri" w:hAnsi="Calibri"/>
      <w:kern w:val="2"/>
      <w:sz w:val="21"/>
      <w:szCs w:val="22"/>
    </w:rPr>
  </w:style>
  <w:style w:type="character" w:customStyle="1" w:styleId="325">
    <w:name w:val="qowt-font2"/>
    <w:basedOn w:val="48"/>
    <w:qFormat/>
    <w:uiPriority w:val="0"/>
  </w:style>
  <w:style w:type="paragraph" w:customStyle="1" w:styleId="326">
    <w:name w:val="Plain Text1"/>
    <w:basedOn w:val="1"/>
    <w:qFormat/>
    <w:uiPriority w:val="99"/>
    <w:pPr>
      <w:widowControl w:val="0"/>
      <w:adjustRightInd w:val="0"/>
      <w:textAlignment w:val="baseline"/>
    </w:pPr>
    <w:rPr>
      <w:rFonts w:ascii="宋体" w:hAnsi="Courier New"/>
      <w:kern w:val="2"/>
      <w:szCs w:val="20"/>
    </w:rPr>
  </w:style>
  <w:style w:type="paragraph" w:customStyle="1" w:styleId="327">
    <w:name w:val="GW-正文"/>
    <w:basedOn w:val="1"/>
    <w:link w:val="328"/>
    <w:qFormat/>
    <w:uiPriority w:val="0"/>
    <w:pPr>
      <w:widowControl w:val="0"/>
      <w:spacing w:line="360" w:lineRule="auto"/>
      <w:ind w:firstLine="200" w:firstLineChars="200"/>
      <w:jc w:val="both"/>
    </w:pPr>
    <w:rPr>
      <w:rFonts w:eastAsia="仿宋_GB2312"/>
      <w:kern w:val="2"/>
    </w:rPr>
  </w:style>
  <w:style w:type="character" w:customStyle="1" w:styleId="328">
    <w:name w:val="GW-正文 Char"/>
    <w:link w:val="327"/>
    <w:qFormat/>
    <w:uiPriority w:val="0"/>
    <w:rPr>
      <w:rFonts w:ascii="Times New Roman" w:hAnsi="Times New Roman" w:eastAsia="仿宋_GB2312" w:cs="Times New Roman"/>
      <w:sz w:val="24"/>
      <w:szCs w:val="24"/>
    </w:rPr>
  </w:style>
  <w:style w:type="paragraph" w:customStyle="1" w:styleId="329">
    <w:name w:val="Char Char Char Char Char Char Char Char Char Char Char Char Char Char1 Char Char Char Char"/>
    <w:basedOn w:val="1"/>
    <w:qFormat/>
    <w:uiPriority w:val="0"/>
    <w:pPr>
      <w:widowControl w:val="0"/>
      <w:jc w:val="both"/>
    </w:pPr>
    <w:rPr>
      <w:kern w:val="2"/>
      <w:sz w:val="21"/>
      <w:szCs w:val="21"/>
    </w:rPr>
  </w:style>
  <w:style w:type="character" w:customStyle="1" w:styleId="330">
    <w:name w:val="font31"/>
    <w:basedOn w:val="48"/>
    <w:qFormat/>
    <w:uiPriority w:val="0"/>
    <w:rPr>
      <w:rFonts w:hint="eastAsia" w:ascii="宋体" w:hAnsi="宋体" w:eastAsia="宋体" w:cs="宋体"/>
      <w:color w:val="000000"/>
      <w:sz w:val="21"/>
      <w:szCs w:val="21"/>
      <w:u w:val="none"/>
    </w:rPr>
  </w:style>
  <w:style w:type="character" w:customStyle="1" w:styleId="331">
    <w:name w:val="无间距字符"/>
    <w:link w:val="332"/>
    <w:qFormat/>
    <w:uiPriority w:val="0"/>
    <w:rPr>
      <w:rFonts w:ascii="Calibri" w:hAnsi="Calibri"/>
      <w:sz w:val="22"/>
    </w:rPr>
  </w:style>
  <w:style w:type="paragraph" w:customStyle="1" w:styleId="332">
    <w:name w:val="无间距"/>
    <w:link w:val="331"/>
    <w:qFormat/>
    <w:uiPriority w:val="0"/>
    <w:rPr>
      <w:rFonts w:ascii="Calibri" w:hAnsi="Calibri" w:eastAsiaTheme="minorEastAsia" w:cstheme="minorBidi"/>
      <w:kern w:val="2"/>
      <w:sz w:val="22"/>
      <w:szCs w:val="22"/>
      <w:lang w:val="en-US" w:eastAsia="zh-CN" w:bidi="ar-SA"/>
    </w:rPr>
  </w:style>
  <w:style w:type="character" w:customStyle="1" w:styleId="333">
    <w:name w:val="tdrownotice1"/>
    <w:qFormat/>
    <w:uiPriority w:val="0"/>
    <w:rPr>
      <w:sz w:val="22"/>
    </w:rPr>
  </w:style>
  <w:style w:type="paragraph" w:customStyle="1" w:styleId="334">
    <w:name w:val="样式 标题 2 + Times New Roman 四号 非加粗 段前: 5 磅 段后: 0 磅 行距: 固定值 20..."/>
    <w:basedOn w:val="5"/>
    <w:qFormat/>
    <w:uiPriority w:val="0"/>
    <w:pPr>
      <w:numPr>
        <w:ilvl w:val="0"/>
        <w:numId w:val="0"/>
      </w:numPr>
      <w:tabs>
        <w:tab w:val="clear" w:pos="426"/>
        <w:tab w:val="clear" w:pos="567"/>
      </w:tabs>
      <w:spacing w:before="100" w:line="400" w:lineRule="exact"/>
    </w:pPr>
    <w:rPr>
      <w:rFonts w:ascii="Times New Roman" w:hAnsi="Times New Roman" w:eastAsia="黑体"/>
      <w:b w:val="0"/>
      <w:bCs w:val="0"/>
      <w:iCs w:val="0"/>
      <w:kern w:val="2"/>
      <w:szCs w:val="20"/>
    </w:rPr>
  </w:style>
  <w:style w:type="paragraph" w:customStyle="1" w:styleId="335">
    <w:name w:val="样式 首行缩进:  2 字符1"/>
    <w:basedOn w:val="1"/>
    <w:qFormat/>
    <w:uiPriority w:val="0"/>
    <w:pPr>
      <w:widowControl w:val="0"/>
      <w:spacing w:line="400" w:lineRule="exact"/>
      <w:ind w:firstLine="200" w:firstLineChars="200"/>
      <w:jc w:val="both"/>
    </w:pPr>
    <w:rPr>
      <w:kern w:val="2"/>
      <w:szCs w:val="20"/>
    </w:rPr>
  </w:style>
  <w:style w:type="paragraph" w:customStyle="1" w:styleId="336">
    <w:name w:val="bf.1"/>
    <w:basedOn w:val="14"/>
    <w:qFormat/>
    <w:uiPriority w:val="0"/>
    <w:pPr>
      <w:autoSpaceDE w:val="0"/>
      <w:autoSpaceDN w:val="0"/>
      <w:adjustRightInd w:val="0"/>
      <w:spacing w:before="50" w:after="100" w:line="500" w:lineRule="exact"/>
      <w:ind w:firstLine="0" w:firstLineChars="0"/>
    </w:pPr>
    <w:rPr>
      <w:rFonts w:ascii="仿宋_GB2312" w:hAnsi="宋体" w:eastAsia="仿宋_GB2312" w:cs="Times New Roman"/>
      <w:color w:val="000000"/>
      <w:sz w:val="24"/>
      <w:szCs w:val="20"/>
    </w:rPr>
  </w:style>
  <w:style w:type="paragraph" w:customStyle="1" w:styleId="337">
    <w:name w:val="第一章"/>
    <w:basedOn w:val="1"/>
    <w:next w:val="1"/>
    <w:qFormat/>
    <w:uiPriority w:val="0"/>
    <w:pPr>
      <w:widowControl w:val="0"/>
      <w:tabs>
        <w:tab w:val="left" w:pos="0"/>
      </w:tabs>
      <w:spacing w:line="360" w:lineRule="auto"/>
      <w:ind w:hanging="500" w:hangingChars="500"/>
      <w:jc w:val="both"/>
    </w:pPr>
    <w:rPr>
      <w:rFonts w:eastAsia="黑体"/>
      <w:kern w:val="2"/>
      <w:sz w:val="44"/>
      <w:szCs w:val="20"/>
    </w:rPr>
  </w:style>
  <w:style w:type="paragraph" w:customStyle="1" w:styleId="338">
    <w:name w:val="blockquote"/>
    <w:basedOn w:val="1"/>
    <w:qFormat/>
    <w:uiPriority w:val="99"/>
    <w:pPr>
      <w:spacing w:before="100" w:beforeAutospacing="1" w:after="100" w:afterAutospacing="1"/>
      <w:jc w:val="both"/>
    </w:pPr>
    <w:rPr>
      <w:rFonts w:ascii="宋体" w:hAnsi="宋体"/>
      <w:szCs w:val="20"/>
    </w:rPr>
  </w:style>
  <w:style w:type="paragraph" w:customStyle="1" w:styleId="339">
    <w:name w:val="Char Char1 Char"/>
    <w:basedOn w:val="1"/>
    <w:qFormat/>
    <w:uiPriority w:val="0"/>
    <w:pPr>
      <w:widowControl w:val="0"/>
      <w:jc w:val="both"/>
    </w:pPr>
    <w:rPr>
      <w:kern w:val="2"/>
      <w:sz w:val="21"/>
      <w:szCs w:val="20"/>
    </w:rPr>
  </w:style>
  <w:style w:type="paragraph" w:customStyle="1" w:styleId="340">
    <w:name w:val="Blockquote"/>
    <w:basedOn w:val="1"/>
    <w:qFormat/>
    <w:uiPriority w:val="0"/>
    <w:pPr>
      <w:widowControl w:val="0"/>
      <w:autoSpaceDE w:val="0"/>
      <w:autoSpaceDN w:val="0"/>
      <w:adjustRightInd w:val="0"/>
      <w:spacing w:before="100" w:after="100"/>
      <w:ind w:left="360"/>
      <w:jc w:val="both"/>
    </w:pPr>
    <w:rPr>
      <w:szCs w:val="20"/>
    </w:rPr>
  </w:style>
  <w:style w:type="character" w:customStyle="1" w:styleId="341">
    <w:name w:val="明显引用 字符"/>
    <w:link w:val="342"/>
    <w:qFormat/>
    <w:uiPriority w:val="0"/>
    <w:rPr>
      <w:b/>
      <w:bCs/>
      <w:i/>
      <w:iCs/>
      <w:color w:val="4F81BD"/>
    </w:rPr>
  </w:style>
  <w:style w:type="paragraph" w:styleId="342">
    <w:name w:val="Intense Quote"/>
    <w:basedOn w:val="1"/>
    <w:next w:val="1"/>
    <w:link w:val="341"/>
    <w:qFormat/>
    <w:uiPriority w:val="0"/>
    <w:pPr>
      <w:widowControl w:val="0"/>
      <w:pBdr>
        <w:bottom w:val="single" w:color="4F81BD" w:sz="4" w:space="4"/>
      </w:pBdr>
      <w:spacing w:before="200" w:after="280"/>
      <w:ind w:left="936" w:right="936"/>
      <w:jc w:val="both"/>
    </w:pPr>
    <w:rPr>
      <w:rFonts w:asciiTheme="minorHAnsi" w:hAnsiTheme="minorHAnsi" w:eastAsiaTheme="minorEastAsia" w:cstheme="minorBidi"/>
      <w:b/>
      <w:bCs/>
      <w:i/>
      <w:iCs/>
      <w:color w:val="4F81BD"/>
      <w:kern w:val="2"/>
      <w:sz w:val="21"/>
      <w:szCs w:val="22"/>
    </w:rPr>
  </w:style>
  <w:style w:type="character" w:customStyle="1" w:styleId="343">
    <w:name w:val="不明显强调1"/>
    <w:qFormat/>
    <w:uiPriority w:val="0"/>
    <w:rPr>
      <w:i/>
      <w:iCs/>
      <w:color w:val="808080"/>
    </w:rPr>
  </w:style>
  <w:style w:type="character" w:customStyle="1" w:styleId="344">
    <w:name w:val="标题4 Char Char"/>
    <w:qFormat/>
    <w:uiPriority w:val="0"/>
    <w:rPr>
      <w:rFonts w:ascii="Arial" w:hAnsi="Arial"/>
      <w:b/>
      <w:bCs/>
      <w:sz w:val="24"/>
      <w:szCs w:val="32"/>
    </w:rPr>
  </w:style>
  <w:style w:type="character" w:customStyle="1" w:styleId="345">
    <w:name w:val="标题5 Char Char"/>
    <w:link w:val="346"/>
    <w:qFormat/>
    <w:uiPriority w:val="0"/>
    <w:rPr>
      <w:rFonts w:ascii="Arial" w:hAnsi="Arial"/>
      <w:b/>
      <w:bCs/>
      <w:sz w:val="24"/>
      <w:szCs w:val="32"/>
    </w:rPr>
  </w:style>
  <w:style w:type="paragraph" w:customStyle="1" w:styleId="346">
    <w:name w:val="标题5"/>
    <w:basedOn w:val="6"/>
    <w:link w:val="345"/>
    <w:qFormat/>
    <w:uiPriority w:val="0"/>
    <w:pPr>
      <w:numPr>
        <w:ilvl w:val="0"/>
        <w:numId w:val="0"/>
      </w:numPr>
      <w:spacing w:before="260" w:after="260" w:line="413" w:lineRule="auto"/>
    </w:pPr>
    <w:rPr>
      <w:rFonts w:ascii="Arial" w:hAnsi="Arial" w:eastAsiaTheme="minorEastAsia" w:cstheme="minorBidi"/>
      <w:color w:val="auto"/>
      <w:sz w:val="24"/>
      <w:szCs w:val="32"/>
    </w:rPr>
  </w:style>
  <w:style w:type="character" w:customStyle="1" w:styleId="347">
    <w:name w:val="明显参考1"/>
    <w:qFormat/>
    <w:uiPriority w:val="0"/>
    <w:rPr>
      <w:b/>
      <w:bCs/>
      <w:smallCaps/>
      <w:color w:val="C0504D"/>
      <w:spacing w:val="5"/>
      <w:u w:val="single"/>
    </w:rPr>
  </w:style>
  <w:style w:type="character" w:customStyle="1" w:styleId="348">
    <w:name w:val="书籍标题1"/>
    <w:qFormat/>
    <w:uiPriority w:val="0"/>
    <w:rPr>
      <w:b/>
      <w:bCs/>
      <w:smallCaps/>
      <w:spacing w:val="5"/>
    </w:rPr>
  </w:style>
  <w:style w:type="character" w:customStyle="1" w:styleId="349">
    <w:name w:val="引用 字符"/>
    <w:link w:val="350"/>
    <w:qFormat/>
    <w:uiPriority w:val="0"/>
    <w:rPr>
      <w:i/>
      <w:iCs/>
      <w:color w:val="000000"/>
    </w:rPr>
  </w:style>
  <w:style w:type="paragraph" w:styleId="350">
    <w:name w:val="Quote"/>
    <w:basedOn w:val="1"/>
    <w:next w:val="1"/>
    <w:link w:val="349"/>
    <w:qFormat/>
    <w:uiPriority w:val="0"/>
    <w:pPr>
      <w:widowControl w:val="0"/>
      <w:jc w:val="both"/>
    </w:pPr>
    <w:rPr>
      <w:rFonts w:asciiTheme="minorHAnsi" w:hAnsiTheme="minorHAnsi" w:eastAsiaTheme="minorEastAsia" w:cstheme="minorBidi"/>
      <w:i/>
      <w:iCs/>
      <w:color w:val="000000"/>
      <w:kern w:val="2"/>
      <w:sz w:val="21"/>
      <w:szCs w:val="22"/>
    </w:rPr>
  </w:style>
  <w:style w:type="character" w:customStyle="1" w:styleId="351">
    <w:name w:val="明显强调1"/>
    <w:qFormat/>
    <w:uiPriority w:val="0"/>
    <w:rPr>
      <w:b/>
      <w:bCs/>
      <w:i/>
      <w:iCs/>
      <w:color w:val="4F81BD"/>
    </w:rPr>
  </w:style>
  <w:style w:type="character" w:customStyle="1" w:styleId="352">
    <w:name w:val="textcontents"/>
    <w:qFormat/>
    <w:uiPriority w:val="0"/>
    <w:rPr>
      <w:rFonts w:cs="Times New Roman"/>
    </w:rPr>
  </w:style>
  <w:style w:type="character" w:customStyle="1" w:styleId="353">
    <w:name w:val="不明显参考1"/>
    <w:qFormat/>
    <w:uiPriority w:val="0"/>
    <w:rPr>
      <w:smallCaps/>
      <w:color w:val="C0504D"/>
      <w:u w:val="single"/>
    </w:rPr>
  </w:style>
  <w:style w:type="character" w:customStyle="1" w:styleId="354">
    <w:name w:val="批注文字 Char Char"/>
    <w:qFormat/>
    <w:uiPriority w:val="0"/>
    <w:rPr>
      <w:rFonts w:ascii="宋体" w:hAnsi="Times New Roman" w:eastAsia="宋体" w:cs="Times New Roman"/>
      <w:sz w:val="28"/>
      <w:szCs w:val="20"/>
    </w:rPr>
  </w:style>
  <w:style w:type="character" w:customStyle="1" w:styleId="355">
    <w:name w:val="批注框文本 Char2"/>
    <w:semiHidden/>
    <w:qFormat/>
    <w:uiPriority w:val="99"/>
    <w:rPr>
      <w:kern w:val="2"/>
      <w:sz w:val="18"/>
      <w:szCs w:val="18"/>
    </w:rPr>
  </w:style>
  <w:style w:type="character" w:customStyle="1" w:styleId="356">
    <w:name w:val="批注主题 Char2"/>
    <w:semiHidden/>
    <w:qFormat/>
    <w:uiPriority w:val="99"/>
    <w:rPr>
      <w:b/>
      <w:bCs/>
      <w:kern w:val="2"/>
      <w:sz w:val="21"/>
      <w:szCs w:val="22"/>
    </w:rPr>
  </w:style>
  <w:style w:type="character" w:customStyle="1" w:styleId="357">
    <w:name w:val="文档结构图 Char2"/>
    <w:semiHidden/>
    <w:qFormat/>
    <w:uiPriority w:val="99"/>
    <w:rPr>
      <w:rFonts w:ascii="宋体"/>
      <w:kern w:val="2"/>
      <w:sz w:val="18"/>
      <w:szCs w:val="18"/>
    </w:rPr>
  </w:style>
  <w:style w:type="character" w:customStyle="1" w:styleId="358">
    <w:name w:val="日期 Char2"/>
    <w:semiHidden/>
    <w:qFormat/>
    <w:uiPriority w:val="99"/>
    <w:rPr>
      <w:kern w:val="2"/>
      <w:sz w:val="21"/>
      <w:szCs w:val="22"/>
    </w:rPr>
  </w:style>
  <w:style w:type="paragraph" w:customStyle="1" w:styleId="359">
    <w:name w:val="TOC 标题2"/>
    <w:basedOn w:val="4"/>
    <w:next w:val="1"/>
    <w:qFormat/>
    <w:uiPriority w:val="0"/>
    <w:pPr>
      <w:widowControl w:val="0"/>
      <w:spacing w:line="576" w:lineRule="auto"/>
      <w:jc w:val="both"/>
      <w:outlineLvl w:val="9"/>
    </w:pPr>
    <w:rPr>
      <w:rFonts w:ascii="Calibri" w:hAnsi="Calibri"/>
      <w:sz w:val="44"/>
      <w:szCs w:val="44"/>
    </w:rPr>
  </w:style>
  <w:style w:type="character" w:customStyle="1" w:styleId="360">
    <w:name w:val="明显引用 字符1"/>
    <w:basedOn w:val="48"/>
    <w:qFormat/>
    <w:uiPriority w:val="30"/>
    <w:rPr>
      <w:rFonts w:ascii="Times New Roman" w:hAnsi="Times New Roman" w:eastAsia="宋体" w:cs="Times New Roman"/>
      <w:i/>
      <w:iCs/>
      <w:color w:val="4F81BD" w:themeColor="accent1"/>
      <w:kern w:val="0"/>
      <w:sz w:val="24"/>
      <w:szCs w:val="24"/>
      <w14:textFill>
        <w14:solidFill>
          <w14:schemeClr w14:val="accent1"/>
        </w14:solidFill>
      </w14:textFill>
    </w:rPr>
  </w:style>
  <w:style w:type="character" w:customStyle="1" w:styleId="361">
    <w:name w:val="明显引用 Char1"/>
    <w:basedOn w:val="48"/>
    <w:qFormat/>
    <w:uiPriority w:val="30"/>
    <w:rPr>
      <w:rFonts w:ascii="Times New Roman" w:hAnsi="Times New Roman" w:eastAsia="宋体" w:cs="Times New Roman"/>
      <w:b/>
      <w:bCs/>
      <w:i/>
      <w:iCs/>
      <w:color w:val="4F81BD" w:themeColor="accent1"/>
      <w:kern w:val="2"/>
      <w:sz w:val="21"/>
      <w:szCs w:val="24"/>
      <w14:textFill>
        <w14:solidFill>
          <w14:schemeClr w14:val="accent1"/>
        </w14:solidFill>
      </w14:textFill>
    </w:rPr>
  </w:style>
  <w:style w:type="paragraph" w:customStyle="1" w:styleId="362">
    <w:name w:val="样式 标题 3 + (中文) 黑体 小四 非加粗 段前: 7.8 磅 段后: 0 磅 行距: 固定值 20 磅"/>
    <w:basedOn w:val="6"/>
    <w:qFormat/>
    <w:uiPriority w:val="0"/>
    <w:pPr>
      <w:numPr>
        <w:ilvl w:val="0"/>
        <w:numId w:val="0"/>
      </w:numPr>
      <w:spacing w:line="400" w:lineRule="exact"/>
    </w:pPr>
    <w:rPr>
      <w:rFonts w:ascii="Times New Roman" w:hAnsi="Times New Roman" w:eastAsia="黑体" w:cs="宋体"/>
      <w:b w:val="0"/>
      <w:bCs w:val="0"/>
      <w:color w:val="auto"/>
      <w:sz w:val="24"/>
      <w:szCs w:val="20"/>
    </w:rPr>
  </w:style>
  <w:style w:type="paragraph" w:customStyle="1" w:styleId="363">
    <w:name w:val="空半行"/>
    <w:basedOn w:val="1"/>
    <w:qFormat/>
    <w:uiPriority w:val="0"/>
    <w:pPr>
      <w:widowControl w:val="0"/>
      <w:adjustRightInd w:val="0"/>
      <w:spacing w:line="120" w:lineRule="exact"/>
      <w:jc w:val="both"/>
      <w:textAlignment w:val="baseline"/>
    </w:pPr>
    <w:rPr>
      <w:rFonts w:eastAsia="仿宋_GB2312"/>
      <w:color w:val="FFFFFF"/>
      <w:sz w:val="30"/>
      <w:szCs w:val="20"/>
    </w:rPr>
  </w:style>
  <w:style w:type="character" w:customStyle="1" w:styleId="364">
    <w:name w:val="引用 字符1"/>
    <w:basedOn w:val="48"/>
    <w:qFormat/>
    <w:uiPriority w:val="29"/>
    <w:rPr>
      <w:rFonts w:ascii="Times New Roman" w:hAnsi="Times New Roman" w:eastAsia="宋体" w:cs="Times New Roman"/>
      <w:i/>
      <w:iCs/>
      <w:color w:val="404040" w:themeColor="text1" w:themeTint="BF"/>
      <w:kern w:val="0"/>
      <w:sz w:val="24"/>
      <w:szCs w:val="24"/>
      <w14:textFill>
        <w14:solidFill>
          <w14:schemeClr w14:val="tx1">
            <w14:lumMod w14:val="75000"/>
            <w14:lumOff w14:val="25000"/>
          </w14:schemeClr>
        </w14:solidFill>
      </w14:textFill>
    </w:rPr>
  </w:style>
  <w:style w:type="character" w:customStyle="1" w:styleId="365">
    <w:name w:val="引用 Char1"/>
    <w:basedOn w:val="48"/>
    <w:qFormat/>
    <w:uiPriority w:val="29"/>
    <w:rPr>
      <w:rFonts w:ascii="Times New Roman" w:hAnsi="Times New Roman" w:eastAsia="宋体" w:cs="Times New Roman"/>
      <w:i/>
      <w:iCs/>
      <w:color w:val="000000" w:themeColor="text1"/>
      <w:kern w:val="2"/>
      <w:sz w:val="21"/>
      <w:szCs w:val="24"/>
      <w14:textFill>
        <w14:solidFill>
          <w14:schemeClr w14:val="tx1"/>
        </w14:solidFill>
      </w14:textFill>
    </w:rPr>
  </w:style>
  <w:style w:type="paragraph" w:customStyle="1" w:styleId="366">
    <w:name w:val="flNote"/>
    <w:basedOn w:val="1"/>
    <w:qFormat/>
    <w:uiPriority w:val="0"/>
    <w:pPr>
      <w:widowControl w:val="0"/>
      <w:adjustRightInd w:val="0"/>
      <w:spacing w:before="320" w:after="160" w:line="360" w:lineRule="atLeast"/>
      <w:jc w:val="center"/>
      <w:textAlignment w:val="baseline"/>
    </w:pPr>
    <w:rPr>
      <w:rFonts w:ascii="Arial" w:eastAsia="黑体"/>
      <w:sz w:val="30"/>
      <w:szCs w:val="20"/>
    </w:rPr>
  </w:style>
  <w:style w:type="character" w:customStyle="1" w:styleId="367">
    <w:name w:val="Title Char"/>
    <w:qFormat/>
    <w:locked/>
    <w:uiPriority w:val="99"/>
    <w:rPr>
      <w:rFonts w:ascii="Cambria" w:hAnsi="Cambria" w:cs="Cambria"/>
      <w:b/>
      <w:bCs/>
      <w:kern w:val="2"/>
      <w:sz w:val="32"/>
      <w:szCs w:val="32"/>
    </w:rPr>
  </w:style>
  <w:style w:type="paragraph" w:customStyle="1" w:styleId="368">
    <w:name w:val="纯文本1"/>
    <w:basedOn w:val="1"/>
    <w:qFormat/>
    <w:uiPriority w:val="0"/>
    <w:pPr>
      <w:widowControl w:val="0"/>
      <w:spacing w:line="480" w:lineRule="exact"/>
      <w:ind w:firstLine="200" w:firstLineChars="200"/>
    </w:pPr>
    <w:rPr>
      <w:rFonts w:ascii="宋体" w:hAnsi="宋体" w:eastAsia="等线" w:cs="Arial"/>
      <w:color w:val="000000"/>
      <w:kern w:val="2"/>
    </w:rPr>
  </w:style>
  <w:style w:type="paragraph" w:customStyle="1" w:styleId="369">
    <w:name w:val="彩色列表1"/>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header" Target="header2.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6" Type="http://schemas.openxmlformats.org/officeDocument/2006/relationships/fontTable" Target="fontTable.xml"/><Relationship Id="rId35" Type="http://schemas.openxmlformats.org/officeDocument/2006/relationships/customXml" Target="../customXml/item2.xml"/><Relationship Id="rId34" Type="http://schemas.openxmlformats.org/officeDocument/2006/relationships/numbering" Target="numbering.xml"/><Relationship Id="rId33" Type="http://schemas.openxmlformats.org/officeDocument/2006/relationships/customXml" Target="../customXml/item1.xml"/><Relationship Id="rId32" Type="http://schemas.openxmlformats.org/officeDocument/2006/relationships/image" Target="media/image21.emf"/><Relationship Id="rId31" Type="http://schemas.openxmlformats.org/officeDocument/2006/relationships/image" Target="media/image20.emf"/><Relationship Id="rId30" Type="http://schemas.openxmlformats.org/officeDocument/2006/relationships/image" Target="media/image19.emf"/><Relationship Id="rId3" Type="http://schemas.openxmlformats.org/officeDocument/2006/relationships/header" Target="header1.xml"/><Relationship Id="rId29" Type="http://schemas.openxmlformats.org/officeDocument/2006/relationships/image" Target="media/image18.emf"/><Relationship Id="rId28" Type="http://schemas.openxmlformats.org/officeDocument/2006/relationships/image" Target="media/image17.emf"/><Relationship Id="rId27" Type="http://schemas.openxmlformats.org/officeDocument/2006/relationships/image" Target="media/image16.emf"/><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B1C2B6D-CC9B-4475-989C-C537F945F98C}">
  <ds:schemaRefs/>
</ds:datastoreItem>
</file>

<file path=docProps/app.xml><?xml version="1.0" encoding="utf-8"?>
<Properties xmlns="http://schemas.openxmlformats.org/officeDocument/2006/extended-properties" xmlns:vt="http://schemas.openxmlformats.org/officeDocument/2006/docPropsVTypes">
  <Template>Normal</Template>
  <Company>Lenovo</Company>
  <Pages>111</Pages>
  <Words>7805</Words>
  <Characters>44493</Characters>
  <Lines>370</Lines>
  <Paragraphs>104</Paragraphs>
  <TotalTime>105</TotalTime>
  <ScaleCrop>false</ScaleCrop>
  <LinksUpToDate>false</LinksUpToDate>
  <CharactersWithSpaces>52194</CharactersWithSpaces>
  <Application>WPS Office_11.1.0.11045_F1E327BC-269C-435d-A152-05C5408002CA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2021-05-28T08:12:00Z</dcterms:created>
  <dc:creator>罗川</dc:creator>
  <cp:lastModifiedBy>罗罗敷</cp:lastModifiedBy>
  <cp:lastPrinted>2021-05-29T03:36:00Z</cp:lastPrinted>
  <dcterms:modified xsi:type="dcterms:W3CDTF">2021-09-30T06:33:43Z</dcterms:modified>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2052-11.1.0.11045</vt:lpwstr>
  </property>
  <property fmtid="{D5CDD505-2E9C-101B-9397-08002B2CF9AE}" pid="3" name="ICV">
    <vt:lpwstr>A2B81F470876457A82D0DB07B5BA18F9</vt:lpwstr>
  </property>
</Properties>
</file>