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auto"/>
          <w:sz w:val="28"/>
          <w:szCs w:val="18"/>
          <w:highlight w:val="none"/>
        </w:rPr>
      </w:pPr>
    </w:p>
    <w:p>
      <w:pPr>
        <w:spacing w:line="360" w:lineRule="auto"/>
        <w:jc w:val="center"/>
        <w:rPr>
          <w:rFonts w:ascii="华文中宋" w:hAnsi="华文中宋" w:eastAsia="华文中宋"/>
          <w:color w:val="auto"/>
          <w:spacing w:val="42"/>
          <w:sz w:val="130"/>
          <w:szCs w:val="130"/>
          <w:highlight w:val="none"/>
        </w:rPr>
      </w:pPr>
      <w:r>
        <w:rPr>
          <w:rFonts w:hint="eastAsia" w:ascii="华文中宋" w:hAnsi="华文中宋" w:eastAsia="华文中宋"/>
          <w:color w:val="auto"/>
          <w:spacing w:val="42"/>
          <w:sz w:val="130"/>
          <w:szCs w:val="130"/>
          <w:highlight w:val="none"/>
        </w:rPr>
        <w:t>招 标 文 件</w:t>
      </w:r>
    </w:p>
    <w:p>
      <w:pPr>
        <w:tabs>
          <w:tab w:val="left" w:pos="2552"/>
        </w:tabs>
        <w:spacing w:line="360" w:lineRule="auto"/>
        <w:ind w:left="1733" w:leftChars="269" w:hanging="1168" w:hangingChars="487"/>
        <w:rPr>
          <w:rFonts w:ascii="华文中宋" w:hAnsi="华文中宋" w:eastAsia="华文中宋"/>
          <w:color w:val="auto"/>
          <w:sz w:val="24"/>
          <w:highlight w:val="none"/>
        </w:rPr>
      </w:pPr>
    </w:p>
    <w:p>
      <w:pPr>
        <w:tabs>
          <w:tab w:val="left" w:pos="2552"/>
        </w:tabs>
        <w:spacing w:line="360" w:lineRule="auto"/>
        <w:ind w:left="1733" w:leftChars="269" w:hanging="1168" w:hangingChars="487"/>
        <w:rPr>
          <w:rFonts w:ascii="华文中宋" w:hAnsi="华文中宋" w:eastAsia="华文中宋"/>
          <w:color w:val="auto"/>
          <w:sz w:val="24"/>
          <w:highlight w:val="none"/>
        </w:rPr>
      </w:pPr>
    </w:p>
    <w:p>
      <w:pPr>
        <w:tabs>
          <w:tab w:val="left" w:pos="2552"/>
        </w:tabs>
        <w:spacing w:line="360" w:lineRule="auto"/>
        <w:ind w:left="1733" w:leftChars="269" w:hanging="1168" w:hangingChars="487"/>
        <w:rPr>
          <w:rFonts w:ascii="华文中宋" w:hAnsi="华文中宋" w:eastAsia="华文中宋"/>
          <w:color w:val="auto"/>
          <w:sz w:val="24"/>
          <w:highlight w:val="none"/>
        </w:rPr>
      </w:pPr>
    </w:p>
    <w:p>
      <w:pPr>
        <w:tabs>
          <w:tab w:val="left" w:pos="2552"/>
        </w:tabs>
        <w:spacing w:line="360" w:lineRule="auto"/>
        <w:rPr>
          <w:rFonts w:ascii="华文中宋" w:hAnsi="华文中宋" w:eastAsia="华文中宋"/>
          <w:color w:val="auto"/>
          <w:sz w:val="24"/>
          <w:highlight w:val="none"/>
        </w:rPr>
      </w:pPr>
    </w:p>
    <w:p>
      <w:pPr>
        <w:spacing w:line="360" w:lineRule="auto"/>
        <w:rPr>
          <w:rFonts w:ascii="宋体" w:hAnsi="宋体"/>
          <w:color w:val="auto"/>
          <w:highlight w:val="none"/>
        </w:rPr>
      </w:pPr>
    </w:p>
    <w:p>
      <w:pPr>
        <w:spacing w:line="360" w:lineRule="auto"/>
        <w:ind w:left="2238" w:leftChars="304" w:hanging="1600" w:hangingChars="500"/>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项目名称：成都高新区政务服务和网络理政办公室新政务服务中心特约物业管理服务采购项目</w:t>
      </w:r>
    </w:p>
    <w:p>
      <w:pPr>
        <w:spacing w:line="360" w:lineRule="auto"/>
        <w:ind w:left="2409" w:leftChars="338" w:hanging="1699" w:hangingChars="531"/>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项目编号：成都高新技术产业开发政采（2021）A0018号</w:t>
      </w:r>
    </w:p>
    <w:p>
      <w:pPr>
        <w:spacing w:line="360" w:lineRule="auto"/>
        <w:rPr>
          <w:rFonts w:ascii="华文中宋" w:hAnsi="华文中宋" w:eastAsia="华文中宋"/>
          <w:color w:val="auto"/>
          <w:kern w:val="24"/>
          <w:sz w:val="32"/>
          <w:szCs w:val="32"/>
          <w:highlight w:val="none"/>
        </w:rPr>
      </w:pPr>
    </w:p>
    <w:p>
      <w:pPr>
        <w:pStyle w:val="19"/>
        <w:rPr>
          <w:rFonts w:ascii="华文中宋" w:hAnsi="华文中宋" w:eastAsia="华文中宋"/>
          <w:color w:val="auto"/>
          <w:kern w:val="24"/>
          <w:sz w:val="32"/>
          <w:szCs w:val="32"/>
          <w:highlight w:val="none"/>
        </w:rPr>
      </w:pPr>
    </w:p>
    <w:p>
      <w:pPr>
        <w:pStyle w:val="19"/>
        <w:rPr>
          <w:rFonts w:ascii="华文中宋" w:hAnsi="华文中宋" w:eastAsia="华文中宋"/>
          <w:color w:val="auto"/>
          <w:kern w:val="24"/>
          <w:sz w:val="32"/>
          <w:szCs w:val="32"/>
          <w:highlight w:val="none"/>
        </w:rPr>
      </w:pPr>
    </w:p>
    <w:p>
      <w:pPr>
        <w:pStyle w:val="19"/>
        <w:rPr>
          <w:rFonts w:ascii="华文中宋" w:hAnsi="华文中宋" w:eastAsia="华文中宋"/>
          <w:color w:val="auto"/>
          <w:kern w:val="24"/>
          <w:sz w:val="32"/>
          <w:szCs w:val="32"/>
          <w:highlight w:val="none"/>
        </w:rPr>
      </w:pP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成都高新区政务服务和网络理政办公室</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成都高新区政府采购服务中心</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共同编制</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二〇二一年八月</w:t>
      </w:r>
    </w:p>
    <w:p>
      <w:pPr>
        <w:spacing w:line="360" w:lineRule="auto"/>
        <w:jc w:val="center"/>
        <w:rPr>
          <w:rFonts w:ascii="宋体" w:hAnsi="宋体"/>
          <w:b/>
          <w:color w:val="auto"/>
          <w:sz w:val="32"/>
          <w:highlight w:val="none"/>
        </w:rPr>
      </w:pPr>
      <w:r>
        <w:rPr>
          <w:rFonts w:hint="eastAsia" w:ascii="宋体" w:hAnsi="宋体"/>
          <w:color w:val="auto"/>
          <w:kern w:val="0"/>
          <w:highlight w:val="none"/>
        </w:rPr>
        <w:br w:type="page"/>
      </w:r>
      <w:bookmarkStart w:id="0" w:name="_Toc101234248"/>
      <w:bookmarkStart w:id="1" w:name="_Toc148505181"/>
      <w:bookmarkStart w:id="2" w:name="_Toc101247312"/>
      <w:bookmarkStart w:id="3" w:name="_Toc101328520"/>
      <w:r>
        <w:rPr>
          <w:rFonts w:hint="eastAsia" w:ascii="宋体" w:hAnsi="宋体"/>
          <w:b/>
          <w:color w:val="auto"/>
          <w:sz w:val="28"/>
          <w:szCs w:val="32"/>
          <w:highlight w:val="none"/>
        </w:rPr>
        <w:t>目 录</w:t>
      </w:r>
    </w:p>
    <w:sdt>
      <w:sdtPr>
        <w:rPr>
          <w:rFonts w:ascii="宋体" w:hAnsi="宋体" w:eastAsia="华文中宋"/>
          <w:smallCaps/>
          <w:color w:val="auto"/>
          <w:sz w:val="20"/>
          <w:szCs w:val="20"/>
          <w:highlight w:val="none"/>
        </w:rPr>
        <w:id w:val="147456339"/>
        <w:docPartObj>
          <w:docPartGallery w:val="Table of Contents"/>
          <w:docPartUnique/>
        </w:docPartObj>
      </w:sdtPr>
      <w:sdtEndPr>
        <w:rPr>
          <w:rFonts w:ascii="宋体" w:hAnsi="宋体" w:eastAsia="华文中宋"/>
          <w:smallCaps/>
          <w:color w:val="auto"/>
          <w:sz w:val="20"/>
          <w:szCs w:val="20"/>
          <w:highlight w:val="none"/>
        </w:rPr>
      </w:sdtEndPr>
      <w:sdtContent>
        <w:p>
          <w:pPr>
            <w:rPr>
              <w:color w:val="auto"/>
              <w:highlight w:val="none"/>
            </w:rPr>
          </w:pPr>
        </w:p>
        <w:p>
          <w:pPr>
            <w:pStyle w:val="32"/>
            <w:tabs>
              <w:tab w:val="right" w:leader="dot" w:pos="8306"/>
              <w:tab w:val="clear" w:pos="709"/>
              <w:tab w:val="clear" w:pos="8364"/>
            </w:tabs>
            <w:rPr>
              <w:color w:val="auto"/>
              <w:highlight w:val="none"/>
            </w:rPr>
          </w:pPr>
          <w:r>
            <w:rPr>
              <w:rFonts w:hint="eastAsia"/>
              <w:color w:val="auto"/>
              <w:highlight w:val="none"/>
            </w:rPr>
            <w:fldChar w:fldCharType="begin"/>
          </w:r>
          <w:r>
            <w:rPr>
              <w:rFonts w:hint="eastAsia"/>
              <w:color w:val="auto"/>
              <w:highlight w:val="none"/>
            </w:rPr>
            <w:instrText xml:space="preserve">TOC \o "1-2" \h \u </w:instrText>
          </w:r>
          <w:r>
            <w:rPr>
              <w:rFonts w:hint="eastAsia"/>
              <w:color w:val="auto"/>
              <w:highlight w:val="none"/>
            </w:rPr>
            <w:fldChar w:fldCharType="separate"/>
          </w:r>
          <w:r>
            <w:rPr>
              <w:color w:val="auto"/>
              <w:highlight w:val="none"/>
            </w:rPr>
            <w:fldChar w:fldCharType="begin"/>
          </w:r>
          <w:r>
            <w:rPr>
              <w:color w:val="auto"/>
              <w:highlight w:val="none"/>
            </w:rPr>
            <w:instrText xml:space="preserve"> HYPERLINK \l "_Toc24805" </w:instrText>
          </w:r>
          <w:r>
            <w:rPr>
              <w:color w:val="auto"/>
              <w:highlight w:val="none"/>
            </w:rPr>
            <w:fldChar w:fldCharType="separate"/>
          </w:r>
          <w:r>
            <w:rPr>
              <w:rFonts w:ascii="Times New Roman" w:hAnsi="Times New Roman" w:eastAsia="宋体"/>
              <w:color w:val="auto"/>
              <w:szCs w:val="32"/>
              <w:highlight w:val="none"/>
            </w:rPr>
            <w:t xml:space="preserve">第1章 </w:t>
          </w:r>
          <w:r>
            <w:rPr>
              <w:rFonts w:hint="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_Toc24805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32"/>
            <w:tabs>
              <w:tab w:val="right" w:leader="dot" w:pos="8306"/>
              <w:tab w:val="clear" w:pos="709"/>
              <w:tab w:val="clear" w:pos="8364"/>
            </w:tabs>
            <w:rPr>
              <w:color w:val="auto"/>
              <w:highlight w:val="none"/>
            </w:rPr>
          </w:pPr>
          <w:r>
            <w:rPr>
              <w:color w:val="auto"/>
              <w:highlight w:val="none"/>
            </w:rPr>
            <w:fldChar w:fldCharType="begin"/>
          </w:r>
          <w:r>
            <w:rPr>
              <w:color w:val="auto"/>
              <w:highlight w:val="none"/>
            </w:rPr>
            <w:instrText xml:space="preserve"> HYPERLINK \l "_Toc7147" </w:instrText>
          </w:r>
          <w:r>
            <w:rPr>
              <w:color w:val="auto"/>
              <w:highlight w:val="none"/>
            </w:rPr>
            <w:fldChar w:fldCharType="separate"/>
          </w:r>
          <w:r>
            <w:rPr>
              <w:rFonts w:ascii="Times New Roman" w:hAnsi="Times New Roman" w:eastAsia="宋体"/>
              <w:color w:val="auto"/>
              <w:szCs w:val="32"/>
              <w:highlight w:val="none"/>
            </w:rPr>
            <w:t xml:space="preserve">第2章 </w:t>
          </w:r>
          <w:r>
            <w:rPr>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_Toc7147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"_Toc11095" </w:instrText>
          </w:r>
          <w:r>
            <w:rPr>
              <w:color w:val="auto"/>
              <w:highlight w:val="none"/>
            </w:rPr>
            <w:fldChar w:fldCharType="separate"/>
          </w:r>
          <w:r>
            <w:rPr>
              <w:rFonts w:ascii="Times New Roman" w:hAnsi="Times New Roman" w:eastAsia="宋体"/>
              <w:color w:val="auto"/>
              <w:szCs w:val="28"/>
              <w:highlight w:val="none"/>
            </w:rPr>
            <w:t xml:space="preserve">2.1 </w:t>
          </w:r>
          <w:r>
            <w:rPr>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_Toc11095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"_Toc13895" </w:instrText>
          </w:r>
          <w:r>
            <w:rPr>
              <w:color w:val="auto"/>
              <w:highlight w:val="none"/>
            </w:rPr>
            <w:fldChar w:fldCharType="separate"/>
          </w:r>
          <w:r>
            <w:rPr>
              <w:rFonts w:ascii="Times New Roman" w:hAnsi="Times New Roman" w:eastAsia="宋体"/>
              <w:color w:val="auto"/>
              <w:szCs w:val="28"/>
              <w:highlight w:val="none"/>
            </w:rPr>
            <w:t xml:space="preserve">2.2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_Toc13895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"_Toc14798" </w:instrText>
          </w:r>
          <w:r>
            <w:rPr>
              <w:color w:val="auto"/>
              <w:highlight w:val="none"/>
            </w:rPr>
            <w:fldChar w:fldCharType="separate"/>
          </w:r>
          <w:r>
            <w:rPr>
              <w:rFonts w:ascii="Times New Roman" w:hAnsi="Times New Roman" w:eastAsia="宋体"/>
              <w:color w:val="auto"/>
              <w:szCs w:val="28"/>
              <w:highlight w:val="none"/>
            </w:rPr>
            <w:t xml:space="preserve">2.3 </w:t>
          </w:r>
          <w:r>
            <w:rPr>
              <w:rFonts w:hint="eastAsia"/>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_Toc14798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"_Toc4709" </w:instrText>
          </w:r>
          <w:r>
            <w:rPr>
              <w:color w:val="auto"/>
              <w:highlight w:val="none"/>
            </w:rPr>
            <w:fldChar w:fldCharType="separate"/>
          </w:r>
          <w:r>
            <w:rPr>
              <w:rFonts w:ascii="Times New Roman" w:hAnsi="Times New Roman" w:eastAsia="宋体"/>
              <w:color w:val="auto"/>
              <w:szCs w:val="28"/>
              <w:highlight w:val="none"/>
            </w:rPr>
            <w:t xml:space="preserve">2.4 </w:t>
          </w:r>
          <w:r>
            <w:rPr>
              <w:rFonts w:hint="eastAsia"/>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_Toc4709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"_Toc11912" </w:instrText>
          </w:r>
          <w:r>
            <w:rPr>
              <w:color w:val="auto"/>
              <w:highlight w:val="none"/>
            </w:rPr>
            <w:fldChar w:fldCharType="separate"/>
          </w:r>
          <w:r>
            <w:rPr>
              <w:rFonts w:ascii="Times New Roman" w:hAnsi="Times New Roman" w:eastAsia="宋体"/>
              <w:color w:val="auto"/>
              <w:szCs w:val="28"/>
              <w:highlight w:val="none"/>
            </w:rPr>
            <w:t xml:space="preserve">2.5 </w:t>
          </w:r>
          <w:r>
            <w:rPr>
              <w:rFonts w:hint="eastAsia"/>
              <w:color w:val="auto"/>
              <w:highlight w:val="none"/>
            </w:rPr>
            <w:t>开标、资格审查、评标和中标</w:t>
          </w:r>
          <w:r>
            <w:rPr>
              <w:color w:val="auto"/>
              <w:highlight w:val="none"/>
            </w:rPr>
            <w:tab/>
          </w:r>
          <w:r>
            <w:rPr>
              <w:color w:val="auto"/>
              <w:highlight w:val="none"/>
            </w:rPr>
            <w:fldChar w:fldCharType="begin"/>
          </w:r>
          <w:r>
            <w:rPr>
              <w:color w:val="auto"/>
              <w:highlight w:val="none"/>
            </w:rPr>
            <w:instrText xml:space="preserve"> PAGEREF _Toc11912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"_Toc14869" </w:instrText>
          </w:r>
          <w:r>
            <w:rPr>
              <w:color w:val="auto"/>
              <w:highlight w:val="none"/>
            </w:rPr>
            <w:fldChar w:fldCharType="separate"/>
          </w:r>
          <w:r>
            <w:rPr>
              <w:rFonts w:ascii="Times New Roman" w:hAnsi="Times New Roman" w:eastAsia="宋体"/>
              <w:color w:val="auto"/>
              <w:szCs w:val="28"/>
              <w:highlight w:val="none"/>
            </w:rPr>
            <w:t xml:space="preserve">2.6 </w:t>
          </w:r>
          <w:r>
            <w:rPr>
              <w:rFonts w:hint="eastAsia"/>
              <w:color w:val="auto"/>
              <w:highlight w:val="none"/>
            </w:rPr>
            <w:t>签订及履行合同和验收</w:t>
          </w:r>
          <w:r>
            <w:rPr>
              <w:color w:val="auto"/>
              <w:highlight w:val="none"/>
            </w:rPr>
            <w:tab/>
          </w:r>
          <w:r>
            <w:rPr>
              <w:color w:val="auto"/>
              <w:highlight w:val="none"/>
            </w:rPr>
            <w:fldChar w:fldCharType="begin"/>
          </w:r>
          <w:r>
            <w:rPr>
              <w:color w:val="auto"/>
              <w:highlight w:val="none"/>
            </w:rPr>
            <w:instrText xml:space="preserve"> PAGEREF _Toc14869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"_Toc17022" </w:instrText>
          </w:r>
          <w:r>
            <w:rPr>
              <w:color w:val="auto"/>
              <w:highlight w:val="none"/>
            </w:rPr>
            <w:fldChar w:fldCharType="separate"/>
          </w:r>
          <w:r>
            <w:rPr>
              <w:rFonts w:ascii="Times New Roman" w:hAnsi="Times New Roman" w:eastAsia="宋体"/>
              <w:color w:val="auto"/>
              <w:szCs w:val="28"/>
              <w:highlight w:val="none"/>
            </w:rPr>
            <w:t xml:space="preserve">2.7 </w:t>
          </w:r>
          <w:r>
            <w:rPr>
              <w:rFonts w:hint="eastAsia"/>
              <w:color w:val="auto"/>
              <w:highlight w:val="none"/>
            </w:rPr>
            <w:t>投标纪律要求</w:t>
          </w:r>
          <w:r>
            <w:rPr>
              <w:color w:val="auto"/>
              <w:highlight w:val="none"/>
            </w:rPr>
            <w:tab/>
          </w:r>
          <w:r>
            <w:rPr>
              <w:color w:val="auto"/>
              <w:highlight w:val="none"/>
            </w:rPr>
            <w:fldChar w:fldCharType="begin"/>
          </w:r>
          <w:r>
            <w:rPr>
              <w:color w:val="auto"/>
              <w:highlight w:val="none"/>
            </w:rPr>
            <w:instrText xml:space="preserve"> PAGEREF _Toc17022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"_Toc1865" </w:instrText>
          </w:r>
          <w:r>
            <w:rPr>
              <w:color w:val="auto"/>
              <w:highlight w:val="none"/>
            </w:rPr>
            <w:fldChar w:fldCharType="separate"/>
          </w:r>
          <w:r>
            <w:rPr>
              <w:rFonts w:ascii="Times New Roman" w:hAnsi="Times New Roman" w:eastAsia="宋体"/>
              <w:color w:val="auto"/>
              <w:szCs w:val="28"/>
              <w:highlight w:val="none"/>
            </w:rPr>
            <w:t xml:space="preserve">2.8 </w:t>
          </w:r>
          <w:r>
            <w:rPr>
              <w:rFonts w:hint="eastAsia"/>
              <w:color w:val="auto"/>
              <w:highlight w:val="none"/>
            </w:rPr>
            <w:t>询问、质疑和投诉</w:t>
          </w:r>
          <w:r>
            <w:rPr>
              <w:color w:val="auto"/>
              <w:highlight w:val="none"/>
            </w:rPr>
            <w:tab/>
          </w:r>
          <w:r>
            <w:rPr>
              <w:color w:val="auto"/>
              <w:highlight w:val="none"/>
            </w:rPr>
            <w:fldChar w:fldCharType="begin"/>
          </w:r>
          <w:r>
            <w:rPr>
              <w:color w:val="auto"/>
              <w:highlight w:val="none"/>
            </w:rPr>
            <w:instrText xml:space="preserve"> PAGEREF _Toc1865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"_Toc16708" </w:instrText>
          </w:r>
          <w:r>
            <w:rPr>
              <w:color w:val="auto"/>
              <w:highlight w:val="none"/>
            </w:rPr>
            <w:fldChar w:fldCharType="separate"/>
          </w:r>
          <w:r>
            <w:rPr>
              <w:rFonts w:ascii="Times New Roman" w:hAnsi="Times New Roman" w:eastAsia="宋体"/>
              <w:color w:val="auto"/>
              <w:szCs w:val="28"/>
              <w:highlight w:val="none"/>
            </w:rPr>
            <w:t xml:space="preserve">2.9 </w:t>
          </w:r>
          <w:r>
            <w:rPr>
              <w:rFonts w:hint="eastAsia"/>
              <w:color w:val="auto"/>
              <w:highlight w:val="none"/>
            </w:rPr>
            <w:t>中小企业政府采购信用融资</w:t>
          </w:r>
          <w:r>
            <w:rPr>
              <w:color w:val="auto"/>
              <w:highlight w:val="none"/>
            </w:rPr>
            <w:tab/>
          </w:r>
          <w:r>
            <w:rPr>
              <w:color w:val="auto"/>
              <w:highlight w:val="none"/>
            </w:rPr>
            <w:fldChar w:fldCharType="begin"/>
          </w:r>
          <w:r>
            <w:rPr>
              <w:color w:val="auto"/>
              <w:highlight w:val="none"/>
            </w:rPr>
            <w:instrText xml:space="preserve"> PAGEREF _Toc16708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32"/>
            <w:tabs>
              <w:tab w:val="right" w:leader="dot" w:pos="8306"/>
              <w:tab w:val="clear" w:pos="709"/>
              <w:tab w:val="clear" w:pos="8364"/>
            </w:tabs>
            <w:rPr>
              <w:color w:val="auto"/>
              <w:highlight w:val="none"/>
            </w:rPr>
          </w:pPr>
          <w:r>
            <w:rPr>
              <w:color w:val="auto"/>
              <w:highlight w:val="none"/>
            </w:rPr>
            <w:fldChar w:fldCharType="begin"/>
          </w:r>
          <w:r>
            <w:rPr>
              <w:color w:val="auto"/>
              <w:highlight w:val="none"/>
            </w:rPr>
            <w:instrText xml:space="preserve"> HYPERLINK \l "_Toc21224" </w:instrText>
          </w:r>
          <w:r>
            <w:rPr>
              <w:color w:val="auto"/>
              <w:highlight w:val="none"/>
            </w:rPr>
            <w:fldChar w:fldCharType="separate"/>
          </w:r>
          <w:r>
            <w:rPr>
              <w:rFonts w:ascii="Times New Roman" w:hAnsi="Times New Roman" w:eastAsia="宋体"/>
              <w:color w:val="auto"/>
              <w:szCs w:val="32"/>
              <w:highlight w:val="none"/>
            </w:rPr>
            <w:t xml:space="preserve">第3章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_Toc21224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"_Toc5423" </w:instrText>
          </w:r>
          <w:r>
            <w:rPr>
              <w:color w:val="auto"/>
              <w:highlight w:val="none"/>
            </w:rPr>
            <w:fldChar w:fldCharType="separate"/>
          </w:r>
          <w:r>
            <w:rPr>
              <w:rFonts w:ascii="Times New Roman" w:hAnsi="Times New Roman" w:eastAsia="宋体"/>
              <w:color w:val="auto"/>
              <w:szCs w:val="28"/>
              <w:highlight w:val="none"/>
            </w:rPr>
            <w:t xml:space="preserve">3.1 </w:t>
          </w:r>
          <w:r>
            <w:rPr>
              <w:rFonts w:hint="eastAsia"/>
              <w:color w:val="auto"/>
              <w:highlight w:val="none"/>
            </w:rPr>
            <w:t>投标文件封面格式</w:t>
          </w:r>
          <w:r>
            <w:rPr>
              <w:color w:val="auto"/>
              <w:highlight w:val="none"/>
            </w:rPr>
            <w:tab/>
          </w:r>
          <w:r>
            <w:rPr>
              <w:color w:val="auto"/>
              <w:highlight w:val="none"/>
            </w:rPr>
            <w:fldChar w:fldCharType="begin"/>
          </w:r>
          <w:r>
            <w:rPr>
              <w:color w:val="auto"/>
              <w:highlight w:val="none"/>
            </w:rPr>
            <w:instrText xml:space="preserve"> PAGEREF _Toc5423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"_Toc1781" </w:instrText>
          </w:r>
          <w:r>
            <w:rPr>
              <w:color w:val="auto"/>
              <w:highlight w:val="none"/>
            </w:rPr>
            <w:fldChar w:fldCharType="separate"/>
          </w:r>
          <w:r>
            <w:rPr>
              <w:rFonts w:ascii="Times New Roman" w:hAnsi="Times New Roman" w:eastAsia="宋体"/>
              <w:color w:val="auto"/>
              <w:szCs w:val="28"/>
              <w:highlight w:val="none"/>
            </w:rPr>
            <w:t xml:space="preserve">3.2 </w:t>
          </w:r>
          <w:r>
            <w:rPr>
              <w:rFonts w:hint="eastAsia"/>
              <w:color w:val="auto"/>
              <w:highlight w:val="none"/>
            </w:rPr>
            <w:t>资格响应文件</w:t>
          </w:r>
          <w:r>
            <w:rPr>
              <w:color w:val="auto"/>
              <w:highlight w:val="none"/>
            </w:rPr>
            <w:tab/>
          </w:r>
          <w:r>
            <w:rPr>
              <w:color w:val="auto"/>
              <w:highlight w:val="none"/>
            </w:rPr>
            <w:fldChar w:fldCharType="begin"/>
          </w:r>
          <w:r>
            <w:rPr>
              <w:color w:val="auto"/>
              <w:highlight w:val="none"/>
            </w:rPr>
            <w:instrText xml:space="preserve"> PAGEREF _Toc1781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"_Toc27971" </w:instrText>
          </w:r>
          <w:r>
            <w:rPr>
              <w:color w:val="auto"/>
              <w:highlight w:val="none"/>
            </w:rPr>
            <w:fldChar w:fldCharType="separate"/>
          </w:r>
          <w:r>
            <w:rPr>
              <w:rFonts w:ascii="Times New Roman" w:hAnsi="Times New Roman" w:eastAsia="宋体"/>
              <w:color w:val="auto"/>
              <w:szCs w:val="28"/>
              <w:highlight w:val="none"/>
            </w:rPr>
            <w:t xml:space="preserve">3.3 </w:t>
          </w:r>
          <w:r>
            <w:rPr>
              <w:rFonts w:hint="eastAsia"/>
              <w:color w:val="auto"/>
              <w:highlight w:val="none"/>
            </w:rPr>
            <w:t>商务技术</w:t>
          </w:r>
          <w:r>
            <w:rPr>
              <w:color w:val="auto"/>
              <w:highlight w:val="none"/>
            </w:rPr>
            <w:t>响应文件</w:t>
          </w:r>
          <w:r>
            <w:rPr>
              <w:color w:val="auto"/>
              <w:highlight w:val="none"/>
            </w:rPr>
            <w:tab/>
          </w:r>
          <w:r>
            <w:rPr>
              <w:color w:val="auto"/>
              <w:highlight w:val="none"/>
            </w:rPr>
            <w:fldChar w:fldCharType="begin"/>
          </w:r>
          <w:r>
            <w:rPr>
              <w:color w:val="auto"/>
              <w:highlight w:val="none"/>
            </w:rPr>
            <w:instrText xml:space="preserve"> PAGEREF _Toc27971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"_Toc5929" </w:instrText>
          </w:r>
          <w:r>
            <w:rPr>
              <w:color w:val="auto"/>
              <w:highlight w:val="none"/>
            </w:rPr>
            <w:fldChar w:fldCharType="separate"/>
          </w:r>
          <w:r>
            <w:rPr>
              <w:rFonts w:ascii="Times New Roman" w:hAnsi="Times New Roman" w:eastAsia="宋体"/>
              <w:color w:val="auto"/>
              <w:szCs w:val="28"/>
              <w:highlight w:val="none"/>
            </w:rPr>
            <w:t xml:space="preserve">3.4 </w:t>
          </w:r>
          <w:r>
            <w:rPr>
              <w:rFonts w:hint="eastAsia" w:ascii="宋体" w:hAnsi="宋体"/>
              <w:color w:val="auto"/>
              <w:highlight w:val="none"/>
            </w:rPr>
            <w:t>报价</w:t>
          </w:r>
          <w:r>
            <w:rPr>
              <w:rFonts w:hint="eastAsia" w:ascii="宋体" w:hAnsi="宋体"/>
              <w:bCs/>
              <w:color w:val="auto"/>
              <w:szCs w:val="28"/>
              <w:highlight w:val="none"/>
            </w:rPr>
            <w:t>要求</w:t>
          </w:r>
          <w:r>
            <w:rPr>
              <w:rFonts w:hint="eastAsia" w:ascii="宋体" w:hAnsi="宋体"/>
              <w:color w:val="auto"/>
              <w:highlight w:val="none"/>
            </w:rPr>
            <w:t>响应文件</w:t>
          </w:r>
          <w:r>
            <w:rPr>
              <w:color w:val="auto"/>
              <w:highlight w:val="none"/>
            </w:rPr>
            <w:tab/>
          </w:r>
          <w:r>
            <w:rPr>
              <w:color w:val="auto"/>
              <w:highlight w:val="none"/>
            </w:rPr>
            <w:fldChar w:fldCharType="begin"/>
          </w:r>
          <w:r>
            <w:rPr>
              <w:color w:val="auto"/>
              <w:highlight w:val="none"/>
            </w:rPr>
            <w:instrText xml:space="preserve"> PAGEREF _Toc5929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32"/>
            <w:tabs>
              <w:tab w:val="right" w:leader="dot" w:pos="8306"/>
              <w:tab w:val="clear" w:pos="709"/>
              <w:tab w:val="clear" w:pos="8364"/>
            </w:tabs>
            <w:rPr>
              <w:color w:val="auto"/>
              <w:highlight w:val="none"/>
            </w:rPr>
          </w:pPr>
          <w:r>
            <w:rPr>
              <w:color w:val="auto"/>
              <w:highlight w:val="none"/>
            </w:rPr>
            <w:fldChar w:fldCharType="begin"/>
          </w:r>
          <w:r>
            <w:rPr>
              <w:color w:val="auto"/>
              <w:highlight w:val="none"/>
            </w:rPr>
            <w:instrText xml:space="preserve"> HYPERLINK \l "_Toc5111" </w:instrText>
          </w:r>
          <w:r>
            <w:rPr>
              <w:color w:val="auto"/>
              <w:highlight w:val="none"/>
            </w:rPr>
            <w:fldChar w:fldCharType="separate"/>
          </w:r>
          <w:r>
            <w:rPr>
              <w:rFonts w:ascii="Times New Roman" w:hAnsi="Times New Roman" w:eastAsia="宋体"/>
              <w:color w:val="auto"/>
              <w:szCs w:val="32"/>
              <w:highlight w:val="none"/>
            </w:rPr>
            <w:t xml:space="preserve">第4章 </w:t>
          </w:r>
          <w:r>
            <w:rPr>
              <w:rFonts w:hint="eastAsia"/>
              <w:color w:val="auto"/>
              <w:highlight w:val="none"/>
            </w:rPr>
            <w:t>招标项目服务、商务及其他要求</w:t>
          </w:r>
          <w:r>
            <w:rPr>
              <w:color w:val="auto"/>
              <w:highlight w:val="none"/>
            </w:rPr>
            <w:tab/>
          </w:r>
          <w:r>
            <w:rPr>
              <w:color w:val="auto"/>
              <w:highlight w:val="none"/>
            </w:rPr>
            <w:fldChar w:fldCharType="begin"/>
          </w:r>
          <w:r>
            <w:rPr>
              <w:color w:val="auto"/>
              <w:highlight w:val="none"/>
            </w:rPr>
            <w:instrText xml:space="preserve"> PAGEREF _Toc5111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32"/>
            <w:tabs>
              <w:tab w:val="right" w:leader="dot" w:pos="8306"/>
              <w:tab w:val="clear" w:pos="709"/>
              <w:tab w:val="clear" w:pos="8364"/>
            </w:tabs>
            <w:rPr>
              <w:color w:val="auto"/>
              <w:highlight w:val="none"/>
            </w:rPr>
          </w:pPr>
          <w:r>
            <w:rPr>
              <w:color w:val="auto"/>
              <w:highlight w:val="none"/>
            </w:rPr>
            <w:fldChar w:fldCharType="begin"/>
          </w:r>
          <w:r>
            <w:rPr>
              <w:color w:val="auto"/>
              <w:highlight w:val="none"/>
            </w:rPr>
            <w:instrText xml:space="preserve"> HYPERLINK \l "_Toc30449" </w:instrText>
          </w:r>
          <w:r>
            <w:rPr>
              <w:color w:val="auto"/>
              <w:highlight w:val="none"/>
            </w:rPr>
            <w:fldChar w:fldCharType="separate"/>
          </w:r>
          <w:r>
            <w:rPr>
              <w:rFonts w:ascii="Times New Roman" w:hAnsi="Times New Roman" w:eastAsia="宋体"/>
              <w:color w:val="auto"/>
              <w:szCs w:val="32"/>
              <w:highlight w:val="none"/>
            </w:rPr>
            <w:t xml:space="preserve">第5章 </w:t>
          </w:r>
          <w:r>
            <w:rPr>
              <w:rFonts w:hint="eastAsia"/>
              <w:color w:val="auto"/>
              <w:highlight w:val="none"/>
            </w:rPr>
            <w:t>资格性审查</w:t>
          </w:r>
          <w:r>
            <w:rPr>
              <w:color w:val="auto"/>
              <w:highlight w:val="none"/>
            </w:rPr>
            <w:tab/>
          </w:r>
          <w:r>
            <w:rPr>
              <w:color w:val="auto"/>
              <w:highlight w:val="none"/>
            </w:rPr>
            <w:fldChar w:fldCharType="begin"/>
          </w:r>
          <w:r>
            <w:rPr>
              <w:color w:val="auto"/>
              <w:highlight w:val="none"/>
            </w:rPr>
            <w:instrText xml:space="preserve"> PAGEREF _Toc30449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32"/>
            <w:tabs>
              <w:tab w:val="right" w:leader="dot" w:pos="8306"/>
              <w:tab w:val="clear" w:pos="709"/>
              <w:tab w:val="clear" w:pos="8364"/>
            </w:tabs>
            <w:rPr>
              <w:color w:val="auto"/>
              <w:highlight w:val="none"/>
            </w:rPr>
          </w:pPr>
          <w:r>
            <w:rPr>
              <w:color w:val="auto"/>
              <w:highlight w:val="none"/>
            </w:rPr>
            <w:fldChar w:fldCharType="begin"/>
          </w:r>
          <w:r>
            <w:rPr>
              <w:color w:val="auto"/>
              <w:highlight w:val="none"/>
            </w:rPr>
            <w:instrText xml:space="preserve"> HYPERLINK \l "_Toc16571" </w:instrText>
          </w:r>
          <w:r>
            <w:rPr>
              <w:color w:val="auto"/>
              <w:highlight w:val="none"/>
            </w:rPr>
            <w:fldChar w:fldCharType="separate"/>
          </w:r>
          <w:r>
            <w:rPr>
              <w:rFonts w:ascii="Times New Roman" w:hAnsi="Times New Roman" w:eastAsia="宋体"/>
              <w:color w:val="auto"/>
              <w:szCs w:val="32"/>
              <w:highlight w:val="none"/>
            </w:rPr>
            <w:t xml:space="preserve">第6章 </w:t>
          </w:r>
          <w:r>
            <w:rPr>
              <w:rFonts w:hint="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_Toc16571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"_Toc31927" </w:instrText>
          </w:r>
          <w:r>
            <w:rPr>
              <w:color w:val="auto"/>
              <w:highlight w:val="none"/>
            </w:rPr>
            <w:fldChar w:fldCharType="separate"/>
          </w:r>
          <w:r>
            <w:rPr>
              <w:rFonts w:ascii="Times New Roman" w:hAnsi="Times New Roman" w:eastAsia="宋体"/>
              <w:color w:val="auto"/>
              <w:szCs w:val="28"/>
              <w:highlight w:val="none"/>
            </w:rPr>
            <w:t xml:space="preserve">6.1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_Toc31927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"_Toc25767" </w:instrText>
          </w:r>
          <w:r>
            <w:rPr>
              <w:color w:val="auto"/>
              <w:highlight w:val="none"/>
            </w:rPr>
            <w:fldChar w:fldCharType="separate"/>
          </w:r>
          <w:r>
            <w:rPr>
              <w:rFonts w:ascii="Times New Roman" w:hAnsi="Times New Roman" w:eastAsia="宋体"/>
              <w:color w:val="auto"/>
              <w:szCs w:val="28"/>
              <w:highlight w:val="none"/>
            </w:rPr>
            <w:t xml:space="preserve">6.2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_Toc25767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"_Toc24923" </w:instrText>
          </w:r>
          <w:r>
            <w:rPr>
              <w:color w:val="auto"/>
              <w:highlight w:val="none"/>
            </w:rPr>
            <w:fldChar w:fldCharType="separate"/>
          </w:r>
          <w:r>
            <w:rPr>
              <w:rFonts w:ascii="Times New Roman" w:hAnsi="Times New Roman" w:eastAsia="宋体"/>
              <w:color w:val="auto"/>
              <w:szCs w:val="28"/>
              <w:highlight w:val="none"/>
            </w:rPr>
            <w:t xml:space="preserve">6.3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_Toc24923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"_Toc29990" </w:instrText>
          </w:r>
          <w:r>
            <w:rPr>
              <w:color w:val="auto"/>
              <w:highlight w:val="none"/>
            </w:rPr>
            <w:fldChar w:fldCharType="separate"/>
          </w:r>
          <w:r>
            <w:rPr>
              <w:rFonts w:ascii="Times New Roman" w:hAnsi="Times New Roman" w:eastAsia="宋体"/>
              <w:color w:val="auto"/>
              <w:szCs w:val="28"/>
              <w:highlight w:val="none"/>
            </w:rPr>
            <w:t xml:space="preserve">6.4 </w:t>
          </w:r>
          <w:r>
            <w:rPr>
              <w:rFonts w:hint="eastAsia"/>
              <w:color w:val="auto"/>
              <w:highlight w:val="none"/>
            </w:rPr>
            <w:t>评标争议处理规则</w:t>
          </w:r>
          <w:r>
            <w:rPr>
              <w:color w:val="auto"/>
              <w:highlight w:val="none"/>
            </w:rPr>
            <w:tab/>
          </w:r>
          <w:r>
            <w:rPr>
              <w:color w:val="auto"/>
              <w:highlight w:val="none"/>
            </w:rPr>
            <w:fldChar w:fldCharType="begin"/>
          </w:r>
          <w:r>
            <w:rPr>
              <w:color w:val="auto"/>
              <w:highlight w:val="none"/>
            </w:rPr>
            <w:instrText xml:space="preserve"> PAGEREF _Toc29990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"_Toc26050" </w:instrText>
          </w:r>
          <w:r>
            <w:rPr>
              <w:color w:val="auto"/>
              <w:highlight w:val="none"/>
            </w:rPr>
            <w:fldChar w:fldCharType="separate"/>
          </w:r>
          <w:r>
            <w:rPr>
              <w:rFonts w:ascii="Times New Roman" w:hAnsi="Times New Roman" w:eastAsia="宋体"/>
              <w:color w:val="auto"/>
              <w:szCs w:val="28"/>
              <w:highlight w:val="none"/>
            </w:rPr>
            <w:t xml:space="preserve">6.5 </w:t>
          </w:r>
          <w:r>
            <w:rPr>
              <w:rFonts w:hint="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_Toc26050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"_Toc14399" </w:instrText>
          </w:r>
          <w:r>
            <w:rPr>
              <w:color w:val="auto"/>
              <w:highlight w:val="none"/>
            </w:rPr>
            <w:fldChar w:fldCharType="separate"/>
          </w:r>
          <w:r>
            <w:rPr>
              <w:rFonts w:ascii="Times New Roman" w:hAnsi="Times New Roman" w:eastAsia="宋体"/>
              <w:color w:val="auto"/>
              <w:szCs w:val="28"/>
              <w:highlight w:val="none"/>
            </w:rPr>
            <w:t xml:space="preserve">6.6 </w:t>
          </w:r>
          <w:r>
            <w:rPr>
              <w:rFonts w:hint="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_Toc14399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"_Toc881" </w:instrText>
          </w:r>
          <w:r>
            <w:rPr>
              <w:color w:val="auto"/>
              <w:highlight w:val="none"/>
            </w:rPr>
            <w:fldChar w:fldCharType="separate"/>
          </w:r>
          <w:r>
            <w:rPr>
              <w:rFonts w:ascii="Times New Roman" w:hAnsi="Times New Roman" w:eastAsia="宋体"/>
              <w:color w:val="auto"/>
              <w:szCs w:val="28"/>
              <w:highlight w:val="none"/>
            </w:rPr>
            <w:t xml:space="preserve">6.7 </w:t>
          </w:r>
          <w:r>
            <w:rPr>
              <w:rFonts w:hint="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_Toc881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"_Toc29095" </w:instrText>
          </w:r>
          <w:r>
            <w:rPr>
              <w:color w:val="auto"/>
              <w:highlight w:val="none"/>
            </w:rPr>
            <w:fldChar w:fldCharType="separate"/>
          </w:r>
          <w:r>
            <w:rPr>
              <w:rFonts w:ascii="Times New Roman" w:hAnsi="Times New Roman" w:eastAsia="宋体"/>
              <w:color w:val="auto"/>
              <w:szCs w:val="28"/>
              <w:highlight w:val="none"/>
            </w:rPr>
            <w:t xml:space="preserve">6.8 </w:t>
          </w:r>
          <w:r>
            <w:rPr>
              <w:rFonts w:hint="eastAsia"/>
              <w:color w:val="auto"/>
              <w:highlight w:val="none"/>
            </w:rPr>
            <w:t>评标专家在政府采购活动中承担以下义务</w:t>
          </w:r>
          <w:r>
            <w:rPr>
              <w:color w:val="auto"/>
              <w:highlight w:val="none"/>
            </w:rPr>
            <w:tab/>
          </w:r>
          <w:r>
            <w:rPr>
              <w:color w:val="auto"/>
              <w:highlight w:val="none"/>
            </w:rPr>
            <w:fldChar w:fldCharType="begin"/>
          </w:r>
          <w:r>
            <w:rPr>
              <w:color w:val="auto"/>
              <w:highlight w:val="none"/>
            </w:rPr>
            <w:instrText xml:space="preserve"> PAGEREF _Toc29095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"_Toc7125" </w:instrText>
          </w:r>
          <w:r>
            <w:rPr>
              <w:color w:val="auto"/>
              <w:highlight w:val="none"/>
            </w:rPr>
            <w:fldChar w:fldCharType="separate"/>
          </w:r>
          <w:r>
            <w:rPr>
              <w:rFonts w:ascii="Times New Roman" w:hAnsi="Times New Roman" w:eastAsia="宋体"/>
              <w:color w:val="auto"/>
              <w:szCs w:val="28"/>
              <w:highlight w:val="none"/>
            </w:rPr>
            <w:t xml:space="preserve">6.9 </w:t>
          </w:r>
          <w:r>
            <w:rPr>
              <w:rFonts w:hint="eastAsia"/>
              <w:color w:val="auto"/>
              <w:highlight w:val="none"/>
            </w:rPr>
            <w:t>评标委员会及其成员不得有下列行为：</w:t>
          </w:r>
          <w:r>
            <w:rPr>
              <w:color w:val="auto"/>
              <w:highlight w:val="none"/>
            </w:rPr>
            <w:tab/>
          </w:r>
          <w:r>
            <w:rPr>
              <w:color w:val="auto"/>
              <w:highlight w:val="none"/>
            </w:rPr>
            <w:fldChar w:fldCharType="begin"/>
          </w:r>
          <w:r>
            <w:rPr>
              <w:color w:val="auto"/>
              <w:highlight w:val="none"/>
            </w:rPr>
            <w:instrText xml:space="preserve"> PAGEREF _Toc7125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r>
            <w:rPr>
              <w:color w:val="auto"/>
              <w:highlight w:val="none"/>
            </w:rPr>
            <w:fldChar w:fldCharType="begin"/>
          </w:r>
          <w:r>
            <w:rPr>
              <w:color w:val="auto"/>
              <w:highlight w:val="none"/>
            </w:rPr>
            <w:instrText xml:space="preserve"> HYPERLINK \l "_Toc21072" </w:instrText>
          </w:r>
          <w:r>
            <w:rPr>
              <w:color w:val="auto"/>
              <w:highlight w:val="none"/>
            </w:rPr>
            <w:fldChar w:fldCharType="separate"/>
          </w:r>
          <w:r>
            <w:rPr>
              <w:rFonts w:ascii="Times New Roman" w:hAnsi="Times New Roman" w:eastAsia="宋体"/>
              <w:color w:val="auto"/>
              <w:szCs w:val="28"/>
              <w:highlight w:val="none"/>
            </w:rPr>
            <w:t xml:space="preserve">6.10 </w:t>
          </w:r>
          <w:r>
            <w:rPr>
              <w:rFonts w:hint="eastAsia"/>
              <w:color w:val="auto"/>
              <w:highlight w:val="none"/>
            </w:rPr>
            <w:t>评审专家在政府采购活动中应当遵守以下工作纪律</w:t>
          </w:r>
          <w:r>
            <w:rPr>
              <w:color w:val="auto"/>
              <w:highlight w:val="none"/>
            </w:rPr>
            <w:tab/>
          </w:r>
          <w:r>
            <w:rPr>
              <w:color w:val="auto"/>
              <w:highlight w:val="none"/>
            </w:rPr>
            <w:fldChar w:fldCharType="begin"/>
          </w:r>
          <w:r>
            <w:rPr>
              <w:color w:val="auto"/>
              <w:highlight w:val="none"/>
            </w:rPr>
            <w:instrText xml:space="preserve"> PAGEREF _Toc21072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32"/>
            <w:tabs>
              <w:tab w:val="right" w:leader="dot" w:pos="8306"/>
              <w:tab w:val="clear" w:pos="709"/>
              <w:tab w:val="clear" w:pos="8364"/>
            </w:tabs>
            <w:rPr>
              <w:color w:val="auto"/>
              <w:highlight w:val="none"/>
            </w:rPr>
          </w:pPr>
          <w:r>
            <w:rPr>
              <w:color w:val="auto"/>
              <w:highlight w:val="none"/>
            </w:rPr>
            <w:fldChar w:fldCharType="begin"/>
          </w:r>
          <w:r>
            <w:rPr>
              <w:color w:val="auto"/>
              <w:highlight w:val="none"/>
            </w:rPr>
            <w:instrText xml:space="preserve"> HYPERLINK \l "_Toc5502" </w:instrText>
          </w:r>
          <w:r>
            <w:rPr>
              <w:color w:val="auto"/>
              <w:highlight w:val="none"/>
            </w:rPr>
            <w:fldChar w:fldCharType="separate"/>
          </w:r>
          <w:r>
            <w:rPr>
              <w:rFonts w:ascii="Times New Roman" w:hAnsi="Times New Roman" w:eastAsia="宋体"/>
              <w:color w:val="auto"/>
              <w:szCs w:val="32"/>
              <w:highlight w:val="none"/>
            </w:rPr>
            <w:t xml:space="preserve">第7章 </w:t>
          </w:r>
          <w:r>
            <w:rPr>
              <w:rFonts w:hint="eastAsia"/>
              <w:color w:val="auto"/>
              <w:highlight w:val="none"/>
            </w:rPr>
            <w:t>拟签订合同文本</w:t>
          </w:r>
          <w:r>
            <w:rPr>
              <w:color w:val="auto"/>
              <w:highlight w:val="none"/>
            </w:rPr>
            <w:tab/>
          </w:r>
          <w:r>
            <w:rPr>
              <w:color w:val="auto"/>
              <w:highlight w:val="none"/>
            </w:rPr>
            <w:fldChar w:fldCharType="begin"/>
          </w:r>
          <w:r>
            <w:rPr>
              <w:color w:val="auto"/>
              <w:highlight w:val="none"/>
            </w:rPr>
            <w:instrText xml:space="preserve"> PAGEREF _Toc5502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pPr>
            <w:pStyle w:val="38"/>
            <w:tabs>
              <w:tab w:val="right" w:leader="dot" w:pos="8306"/>
              <w:tab w:val="clear" w:pos="620"/>
              <w:tab w:val="clear" w:pos="8364"/>
            </w:tabs>
            <w:rPr>
              <w:color w:val="auto"/>
              <w:highlight w:val="none"/>
            </w:rPr>
          </w:pPr>
        </w:p>
        <w:p>
          <w:pPr>
            <w:pStyle w:val="38"/>
            <w:tabs>
              <w:tab w:val="right" w:leader="dot" w:pos="8647"/>
              <w:tab w:val="clear" w:pos="8364"/>
            </w:tabs>
            <w:ind w:left="0"/>
            <w:rPr>
              <w:color w:val="auto"/>
              <w:highlight w:val="none"/>
            </w:rPr>
          </w:pPr>
          <w:r>
            <w:rPr>
              <w:rFonts w:hint="eastAsia"/>
              <w:color w:val="auto"/>
              <w:highlight w:val="none"/>
            </w:rPr>
            <w:fldChar w:fldCharType="end"/>
          </w:r>
        </w:p>
      </w:sdtContent>
    </w:sdt>
    <w:p>
      <w:pPr>
        <w:rPr>
          <w:color w:val="auto"/>
          <w:highlight w:val="none"/>
        </w:rPr>
      </w:pPr>
    </w:p>
    <w:p>
      <w:pPr>
        <w:pStyle w:val="19"/>
        <w:rPr>
          <w:color w:val="auto"/>
          <w:highlight w:val="none"/>
        </w:rPr>
      </w:pPr>
    </w:p>
    <w:p>
      <w:pPr>
        <w:pStyle w:val="19"/>
        <w:rPr>
          <w:color w:val="auto"/>
          <w:highlight w:val="none"/>
        </w:rPr>
      </w:pPr>
    </w:p>
    <w:p>
      <w:pPr>
        <w:pStyle w:val="4"/>
        <w:numPr>
          <w:ilvl w:val="0"/>
          <w:numId w:val="5"/>
        </w:numPr>
        <w:spacing w:before="0" w:after="0" w:line="560" w:lineRule="exact"/>
        <w:ind w:left="0" w:firstLine="0"/>
        <w:rPr>
          <w:color w:val="auto"/>
          <w:highlight w:val="none"/>
        </w:rPr>
      </w:pPr>
      <w:bookmarkStart w:id="4" w:name="_Toc204575871"/>
      <w:bookmarkStart w:id="5" w:name="_Toc22017"/>
      <w:bookmarkStart w:id="6" w:name="_Toc26321"/>
      <w:bookmarkStart w:id="7" w:name="_Toc24805"/>
      <w:bookmarkStart w:id="8" w:name="_Toc181610856"/>
      <w:bookmarkStart w:id="9" w:name="_Toc25954"/>
      <w:bookmarkStart w:id="10" w:name="_Toc20241"/>
      <w:bookmarkStart w:id="11" w:name="_Toc181591102"/>
      <w:r>
        <w:rPr>
          <w:rFonts w:hint="eastAsia"/>
          <w:color w:val="auto"/>
          <w:highlight w:val="none"/>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auto"/>
          <w:sz w:val="28"/>
          <w:szCs w:val="28"/>
          <w:highlight w:val="none"/>
        </w:rPr>
      </w:pPr>
      <w:r>
        <w:rPr>
          <w:rFonts w:hint="eastAsia" w:ascii="宋体" w:hAnsi="宋体"/>
          <w:color w:val="auto"/>
          <w:sz w:val="28"/>
          <w:szCs w:val="28"/>
          <w:highlight w:val="none"/>
        </w:rPr>
        <w:t>成都高新区政府采购服务中心(以下简称“高新区采购中心”)</w:t>
      </w:r>
      <w:r>
        <w:rPr>
          <w:rFonts w:hint="eastAsia" w:asciiTheme="minorEastAsia" w:hAnsiTheme="minorEastAsia" w:eastAsiaTheme="minorEastAsia"/>
          <w:color w:val="auto"/>
          <w:sz w:val="28"/>
          <w:szCs w:val="28"/>
          <w:highlight w:val="none"/>
        </w:rPr>
        <w:t>受</w:t>
      </w:r>
      <w:r>
        <w:rPr>
          <w:rFonts w:hint="eastAsia" w:asciiTheme="minorEastAsia" w:hAnsiTheme="minorEastAsia" w:eastAsiaTheme="minorEastAsia"/>
          <w:b/>
          <w:color w:val="auto"/>
          <w:sz w:val="28"/>
          <w:szCs w:val="28"/>
          <w:highlight w:val="none"/>
        </w:rPr>
        <w:t>成都高新区政务服务和网络理政办公室</w:t>
      </w:r>
      <w:r>
        <w:rPr>
          <w:rFonts w:hint="eastAsia" w:asciiTheme="minorEastAsia" w:hAnsiTheme="minorEastAsia" w:eastAsiaTheme="minorEastAsia"/>
          <w:color w:val="auto"/>
          <w:sz w:val="28"/>
          <w:szCs w:val="28"/>
          <w:highlight w:val="none"/>
        </w:rPr>
        <w:t>委托</w:t>
      </w:r>
      <w:r>
        <w:rPr>
          <w:rFonts w:hint="eastAsia" w:ascii="宋体" w:hAnsi="宋体"/>
          <w:color w:val="auto"/>
          <w:sz w:val="28"/>
          <w:szCs w:val="28"/>
          <w:highlight w:val="none"/>
        </w:rPr>
        <w:t>拟对</w:t>
      </w:r>
      <w:r>
        <w:rPr>
          <w:rFonts w:hint="eastAsia" w:ascii="宋体" w:hAnsi="宋体"/>
          <w:b/>
          <w:color w:val="auto"/>
          <w:sz w:val="28"/>
          <w:szCs w:val="28"/>
          <w:highlight w:val="none"/>
          <w:u w:val="single"/>
        </w:rPr>
        <w:t>成都高新区政务服务和网络理政办公室新政务服务中心特约物业管理服务采购项目</w:t>
      </w:r>
      <w:r>
        <w:rPr>
          <w:rFonts w:hint="eastAsia" w:ascii="宋体" w:hAnsi="宋体"/>
          <w:color w:val="auto"/>
          <w:sz w:val="28"/>
          <w:szCs w:val="28"/>
          <w:highlight w:val="none"/>
        </w:rPr>
        <w:t>进行国内公开招标，兹邀请符合本次招标要求的供应商参加投标。</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项目编号：成都高新技术产业开发政采（2021）A0018号</w:t>
      </w:r>
    </w:p>
    <w:p>
      <w:pPr>
        <w:pStyle w:val="19"/>
        <w:ind w:firstLine="413" w:firstLineChars="147"/>
        <w:rPr>
          <w:color w:val="auto"/>
          <w:highlight w:val="none"/>
        </w:rPr>
      </w:pPr>
      <w:r>
        <w:rPr>
          <w:rFonts w:hint="eastAsia" w:ascii="宋体" w:hAnsi="宋体"/>
          <w:b/>
          <w:color w:val="auto"/>
          <w:sz w:val="28"/>
          <w:szCs w:val="28"/>
          <w:highlight w:val="none"/>
        </w:rPr>
        <w:t>（采购项目编号：510188202100165）</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项目名称：成都高新区政务服务和网络理政办公室新政务服务中心特约物业管理服务采购项目</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资金来源、预算金额及最高限价：</w:t>
      </w:r>
      <w:r>
        <w:rPr>
          <w:rFonts w:hint="eastAsia" w:ascii="宋体" w:hAnsi="宋体"/>
          <w:color w:val="auto"/>
          <w:sz w:val="28"/>
          <w:szCs w:val="28"/>
          <w:highlight w:val="none"/>
        </w:rPr>
        <w:t>财政性资金，政府采购实施计划备案表号：（2021）0976号。预算品目：C1204物业管理服务；预算金额：6436484.00元；最高限价：6436484.00元；采购标的：</w:t>
      </w:r>
      <w:r>
        <w:rPr>
          <w:rFonts w:ascii="宋体" w:hAnsi="宋体"/>
          <w:color w:val="auto"/>
          <w:sz w:val="28"/>
          <w:szCs w:val="28"/>
          <w:highlight w:val="none"/>
        </w:rPr>
        <w:t>物业管理服务</w:t>
      </w:r>
      <w:r>
        <w:rPr>
          <w:rFonts w:hint="eastAsia" w:ascii="宋体" w:hAnsi="宋体"/>
          <w:color w:val="auto"/>
          <w:sz w:val="28"/>
          <w:szCs w:val="28"/>
          <w:highlight w:val="none"/>
        </w:rPr>
        <w:t>；所属行业：</w:t>
      </w:r>
      <w:r>
        <w:rPr>
          <w:rFonts w:ascii="宋体" w:hAnsi="宋体"/>
          <w:color w:val="auto"/>
          <w:sz w:val="28"/>
          <w:szCs w:val="28"/>
          <w:highlight w:val="none"/>
        </w:rPr>
        <w:t>物业管理</w:t>
      </w:r>
      <w:r>
        <w:rPr>
          <w:rFonts w:hint="eastAsia" w:ascii="宋体" w:hAnsi="宋体"/>
          <w:color w:val="auto"/>
          <w:sz w:val="28"/>
          <w:szCs w:val="28"/>
          <w:highlight w:val="none"/>
        </w:rPr>
        <w:t>。</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招标项目简介</w:t>
      </w:r>
    </w:p>
    <w:p>
      <w:pPr>
        <w:spacing w:line="60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本次采购服务内容为成都高新区政务服务和网络理政办公室新政务服务中心特约物业管理服务，包括会议接待服务、秩序维护服务、保洁服务、设施设备维保及日常维修服务、植物租摆及养护服务、阶段性服务。</w:t>
      </w:r>
    </w:p>
    <w:p>
      <w:pPr>
        <w:pStyle w:val="19"/>
        <w:ind w:firstLine="560" w:firstLineChars="200"/>
        <w:rPr>
          <w:b/>
          <w:color w:val="auto"/>
          <w:highlight w:val="none"/>
        </w:rPr>
      </w:pPr>
      <w:r>
        <w:rPr>
          <w:rFonts w:hint="eastAsia" w:ascii="宋体" w:hAnsi="宋体"/>
          <w:color w:val="auto"/>
          <w:sz w:val="28"/>
          <w:szCs w:val="28"/>
          <w:highlight w:val="none"/>
        </w:rPr>
        <w:t>详细的服务、商务及其他要求见招标文件第4章。</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供应商参加本次政府采购活动应具备的条件</w:t>
      </w:r>
    </w:p>
    <w:p>
      <w:pPr>
        <w:numPr>
          <w:ilvl w:val="0"/>
          <w:numId w:val="7"/>
        </w:num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符合《政府采购法》第二十二条第一款规定的条件；</w:t>
      </w:r>
    </w:p>
    <w:p>
      <w:pPr>
        <w:numPr>
          <w:ilvl w:val="0"/>
          <w:numId w:val="7"/>
        </w:num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在中华人民共和国境内依法登记注册，并有效存续具有独立法人资格的供应商；</w:t>
      </w:r>
    </w:p>
    <w:p>
      <w:pPr>
        <w:numPr>
          <w:ilvl w:val="0"/>
          <w:numId w:val="7"/>
        </w:num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 xml:space="preserve">未被列入失信被执行人、重大税收违法案件当事人名单、政府采购严重违法失信行为记录名单； </w:t>
      </w:r>
    </w:p>
    <w:p>
      <w:pPr>
        <w:numPr>
          <w:ilvl w:val="0"/>
          <w:numId w:val="7"/>
        </w:num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在行贿犯罪信息查询期限内，投标人及其现任法定代表人、主要负责人没有行贿犯罪记录；</w:t>
      </w:r>
    </w:p>
    <w:p>
      <w:pPr>
        <w:numPr>
          <w:ilvl w:val="0"/>
          <w:numId w:val="7"/>
        </w:num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未处于被行政部门禁止参与政府采购活动的期限内；</w:t>
      </w:r>
    </w:p>
    <w:p>
      <w:pPr>
        <w:numPr>
          <w:ilvl w:val="0"/>
          <w:numId w:val="7"/>
        </w:num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不属于其他国家相关法律法规规定的禁止参加投标的供应商；</w:t>
      </w:r>
    </w:p>
    <w:p>
      <w:pPr>
        <w:numPr>
          <w:ilvl w:val="0"/>
          <w:numId w:val="7"/>
        </w:num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本项目不接受联合体投标。</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招标文件获取时间</w:t>
      </w:r>
    </w:p>
    <w:p>
      <w:pPr>
        <w:numPr>
          <w:ilvl w:val="0"/>
          <w:numId w:val="8"/>
        </w:numPr>
        <w:spacing w:line="360" w:lineRule="auto"/>
        <w:ind w:left="0" w:firstLine="567"/>
        <w:rPr>
          <w:rFonts w:ascii="宋体" w:hAnsi="宋体"/>
          <w:b/>
          <w:color w:val="auto"/>
          <w:sz w:val="28"/>
          <w:highlight w:val="none"/>
        </w:rPr>
      </w:pPr>
      <w:r>
        <w:rPr>
          <w:rFonts w:hint="eastAsia" w:ascii="宋体" w:hAnsi="宋体"/>
          <w:b/>
          <w:color w:val="auto"/>
          <w:sz w:val="28"/>
          <w:szCs w:val="28"/>
          <w:highlight w:val="none"/>
        </w:rPr>
        <w:t>招标文件获取时间：2021年</w:t>
      </w:r>
      <w:r>
        <w:rPr>
          <w:rFonts w:ascii="宋体" w:hAnsi="宋体"/>
          <w:b/>
          <w:color w:val="auto"/>
          <w:sz w:val="28"/>
          <w:szCs w:val="28"/>
          <w:highlight w:val="none"/>
        </w:rPr>
        <w:t>8</w:t>
      </w:r>
      <w:r>
        <w:rPr>
          <w:rFonts w:hint="eastAsia" w:ascii="宋体" w:hAnsi="宋体"/>
          <w:b/>
          <w:color w:val="auto"/>
          <w:sz w:val="28"/>
          <w:szCs w:val="28"/>
          <w:highlight w:val="none"/>
        </w:rPr>
        <w:t>月6日至</w:t>
      </w:r>
      <w:r>
        <w:rPr>
          <w:rFonts w:ascii="宋体" w:hAnsi="宋体"/>
          <w:b/>
          <w:color w:val="auto"/>
          <w:sz w:val="28"/>
          <w:szCs w:val="28"/>
          <w:highlight w:val="none"/>
        </w:rPr>
        <w:t>8</w:t>
      </w:r>
      <w:r>
        <w:rPr>
          <w:rFonts w:hint="eastAsia" w:ascii="宋体" w:hAnsi="宋体"/>
          <w:b/>
          <w:color w:val="auto"/>
          <w:sz w:val="28"/>
          <w:szCs w:val="28"/>
          <w:highlight w:val="none"/>
        </w:rPr>
        <w:t>月12日。</w:t>
      </w:r>
    </w:p>
    <w:p>
      <w:pPr>
        <w:numPr>
          <w:ilvl w:val="0"/>
          <w:numId w:val="8"/>
        </w:numPr>
        <w:spacing w:line="360" w:lineRule="auto"/>
        <w:ind w:left="0" w:firstLine="567"/>
        <w:rPr>
          <w:rFonts w:ascii="宋体" w:hAnsi="宋体"/>
          <w:b/>
          <w:color w:val="auto"/>
          <w:sz w:val="28"/>
          <w:highlight w:val="none"/>
        </w:rPr>
      </w:pPr>
      <w:r>
        <w:rPr>
          <w:rFonts w:hint="eastAsia" w:ascii="宋体" w:hAnsi="宋体"/>
          <w:b/>
          <w:color w:val="auto"/>
          <w:sz w:val="28"/>
          <w:szCs w:val="28"/>
          <w:highlight w:val="none"/>
        </w:rPr>
        <w:t>公告期限：2021年</w:t>
      </w:r>
      <w:r>
        <w:rPr>
          <w:rFonts w:ascii="宋体" w:hAnsi="宋体"/>
          <w:b/>
          <w:color w:val="auto"/>
          <w:sz w:val="28"/>
          <w:szCs w:val="28"/>
          <w:highlight w:val="none"/>
        </w:rPr>
        <w:t>8</w:t>
      </w:r>
      <w:r>
        <w:rPr>
          <w:rFonts w:hint="eastAsia" w:ascii="宋体" w:hAnsi="宋体"/>
          <w:b/>
          <w:color w:val="auto"/>
          <w:sz w:val="28"/>
          <w:szCs w:val="28"/>
          <w:highlight w:val="none"/>
        </w:rPr>
        <w:t>月6日至</w:t>
      </w:r>
      <w:r>
        <w:rPr>
          <w:rFonts w:ascii="宋体" w:hAnsi="宋体"/>
          <w:b/>
          <w:color w:val="auto"/>
          <w:sz w:val="28"/>
          <w:szCs w:val="28"/>
          <w:highlight w:val="none"/>
        </w:rPr>
        <w:t>8</w:t>
      </w:r>
      <w:r>
        <w:rPr>
          <w:rFonts w:hint="eastAsia" w:ascii="宋体" w:hAnsi="宋体"/>
          <w:b/>
          <w:color w:val="auto"/>
          <w:sz w:val="28"/>
          <w:szCs w:val="28"/>
          <w:highlight w:val="none"/>
        </w:rPr>
        <w:t>月12日。</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招标文件获取方式</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投标人要参加投标，应在成都市公共资源交易服务中心“政府采购云平台”获取采购文件。登录成都市公共资源交易服务中心门户网站（https://www.cdggzy.com/）—用户中心—政府采购云平台—高新区项目采购—获取采购文件—申请获取采购文件。</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提示：</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（1）本项目采购文件免费获取。</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（3）首次登录成都市公共资源交易服务中心门户网站的新用户应先点击“注册新用户”，注册成功后再登录。</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（4）本项目为电子招标投标项目，投标人参与本项目全过程中凡涉及系统操作请详见《成都市全流程电子化采购系统操作指南——供应商版》。</w:t>
      </w:r>
      <w:bookmarkStart w:id="12" w:name="_Toc180051012"/>
      <w:bookmarkStart w:id="13" w:name="_Toc184023104"/>
      <w:bookmarkStart w:id="14" w:name="_Toc186274101"/>
      <w:bookmarkStart w:id="15" w:name="_Toc184013605"/>
      <w:bookmarkStart w:id="16" w:name="_Toc174185149"/>
      <w:r>
        <w:rPr>
          <w:rFonts w:hint="eastAsia" w:ascii="宋体" w:hAnsi="宋体"/>
          <w:color w:val="auto"/>
          <w:sz w:val="28"/>
          <w:szCs w:val="28"/>
          <w:highlight w:val="none"/>
        </w:rPr>
        <w:t>（操作指南请登录政府采购云平台后，点击“前台大厅</w:t>
      </w:r>
      <w:r>
        <w:rPr>
          <w:rFonts w:ascii="宋体" w:hAnsi="宋体"/>
          <w:color w:val="auto"/>
          <w:sz w:val="28"/>
          <w:szCs w:val="28"/>
          <w:highlight w:val="none"/>
        </w:rPr>
        <w:t>—</w:t>
      </w:r>
      <w:r>
        <w:rPr>
          <w:rFonts w:hint="eastAsia" w:ascii="宋体" w:hAnsi="宋体"/>
          <w:color w:val="auto"/>
          <w:sz w:val="28"/>
          <w:szCs w:val="28"/>
          <w:highlight w:val="none"/>
        </w:rPr>
        <w:t>操作指南</w:t>
      </w:r>
      <w:r>
        <w:rPr>
          <w:rFonts w:ascii="宋体" w:hAnsi="宋体"/>
          <w:color w:val="auto"/>
          <w:sz w:val="28"/>
          <w:szCs w:val="28"/>
          <w:highlight w:val="none"/>
        </w:rPr>
        <w:t>—</w:t>
      </w:r>
      <w:r>
        <w:rPr>
          <w:rFonts w:hint="eastAsia" w:ascii="宋体" w:hAnsi="宋体"/>
          <w:color w:val="auto"/>
          <w:sz w:val="28"/>
          <w:szCs w:val="28"/>
          <w:highlight w:val="none"/>
        </w:rPr>
        <w:t>供应商”处下载查看）。</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招标文件获取地点</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登录成都市公共资源交易服务中心门户网站（https://www.cdggzy.com/）—用户中心—政府采购云平台获取</w:t>
      </w:r>
      <w:r>
        <w:rPr>
          <w:rFonts w:hint="eastAsia" w:ascii="宋体" w:hAnsi="宋体"/>
          <w:color w:val="auto"/>
          <w:sz w:val="28"/>
          <w:highlight w:val="none"/>
        </w:rPr>
        <w:t>。</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投标文件递交截止时间及开标时间</w:t>
      </w:r>
      <w:bookmarkEnd w:id="12"/>
      <w:bookmarkEnd w:id="13"/>
      <w:bookmarkEnd w:id="14"/>
      <w:bookmarkEnd w:id="15"/>
      <w:bookmarkEnd w:id="16"/>
      <w:r>
        <w:rPr>
          <w:rFonts w:hint="eastAsia" w:ascii="宋体" w:hAnsi="宋体"/>
          <w:b/>
          <w:color w:val="auto"/>
          <w:sz w:val="28"/>
          <w:szCs w:val="28"/>
          <w:highlight w:val="none"/>
        </w:rPr>
        <w:t>(北京时间)、地点、方式</w:t>
      </w:r>
    </w:p>
    <w:p>
      <w:pPr>
        <w:spacing w:line="560" w:lineRule="exact"/>
        <w:ind w:firstLine="560" w:firstLineChars="200"/>
        <w:rPr>
          <w:rFonts w:ascii="宋体" w:hAnsi="宋体"/>
          <w:b/>
          <w:color w:val="auto"/>
          <w:sz w:val="28"/>
          <w:szCs w:val="28"/>
          <w:highlight w:val="none"/>
        </w:rPr>
      </w:pPr>
      <w:r>
        <w:rPr>
          <w:rFonts w:hint="eastAsia" w:ascii="宋体" w:hAnsi="宋体"/>
          <w:color w:val="auto"/>
          <w:sz w:val="28"/>
          <w:szCs w:val="28"/>
          <w:highlight w:val="none"/>
        </w:rPr>
        <w:t>（一）投标文件递交截止时间及开标时间：</w:t>
      </w:r>
      <w:r>
        <w:rPr>
          <w:rFonts w:hint="eastAsia" w:ascii="宋体" w:hAnsi="宋体"/>
          <w:b/>
          <w:color w:val="auto"/>
          <w:sz w:val="28"/>
          <w:szCs w:val="28"/>
          <w:highlight w:val="none"/>
        </w:rPr>
        <w:t>2021年8月26日上午09:30。</w:t>
      </w:r>
    </w:p>
    <w:p>
      <w:pPr>
        <w:spacing w:line="560" w:lineRule="exact"/>
        <w:ind w:firstLine="560" w:firstLineChars="200"/>
        <w:rPr>
          <w:rFonts w:ascii="宋体" w:hAnsi="宋体"/>
          <w:b/>
          <w:color w:val="auto"/>
          <w:sz w:val="28"/>
          <w:szCs w:val="28"/>
          <w:highlight w:val="none"/>
        </w:rPr>
      </w:pPr>
      <w:r>
        <w:rPr>
          <w:rFonts w:hint="eastAsia" w:ascii="宋体" w:hAnsi="宋体"/>
          <w:color w:val="auto"/>
          <w:sz w:val="28"/>
          <w:szCs w:val="28"/>
          <w:highlight w:val="none"/>
        </w:rPr>
        <w:t>（二）投标文件递交方式、地点：投标截止时间前，投标人应将加密的电子投标文件递交至“政府采购云平台”对应项目（包件）。</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开标地点</w:t>
      </w:r>
    </w:p>
    <w:p>
      <w:pPr>
        <w:spacing w:line="360" w:lineRule="auto"/>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本项目为不见面开标项目。</w:t>
      </w:r>
    </w:p>
    <w:p>
      <w:pPr>
        <w:spacing w:line="360" w:lineRule="auto"/>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本项目只接受投标人加密并递交至“政府采购云平台”的投标文件。</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政采中小企业政府采购信用担保融资</w:t>
      </w:r>
    </w:p>
    <w:p>
      <w:p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成都高新区财政金融局关于印发&lt;成都高新区支持中小企业政府采购信用融资实施方案&gt;的通知》（成高财发[2019]141号）。</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本投标邀请在“四川政府采购网”和“成都市公共资源交易服务中心”网站上以公告形式发布</w:t>
      </w:r>
    </w:p>
    <w:p>
      <w:pPr>
        <w:numPr>
          <w:ilvl w:val="0"/>
          <w:numId w:val="6"/>
        </w:numPr>
        <w:spacing w:after="200" w:line="560" w:lineRule="exact"/>
        <w:ind w:left="0" w:firstLine="567"/>
        <w:rPr>
          <w:rFonts w:ascii="宋体" w:hAnsi="宋体"/>
          <w:b/>
          <w:color w:val="auto"/>
          <w:sz w:val="28"/>
          <w:szCs w:val="28"/>
          <w:highlight w:val="none"/>
        </w:rPr>
      </w:pPr>
      <w:r>
        <w:rPr>
          <w:rFonts w:hint="eastAsia" w:ascii="宋体" w:hAnsi="宋体"/>
          <w:b/>
          <w:color w:val="auto"/>
          <w:sz w:val="28"/>
          <w:szCs w:val="28"/>
          <w:highlight w:val="none"/>
        </w:rPr>
        <w:t>联系方式</w:t>
      </w:r>
    </w:p>
    <w:p>
      <w:pPr>
        <w:pStyle w:val="154"/>
        <w:spacing w:line="580" w:lineRule="exact"/>
        <w:ind w:firstLine="562"/>
        <w:rPr>
          <w:rFonts w:ascii="宋体" w:hAnsi="宋体"/>
          <w:b/>
          <w:color w:val="auto"/>
          <w:kern w:val="0"/>
          <w:sz w:val="28"/>
          <w:szCs w:val="22"/>
          <w:highlight w:val="none"/>
        </w:rPr>
      </w:pPr>
      <w:r>
        <w:rPr>
          <w:rFonts w:hint="eastAsia" w:ascii="宋体" w:hAnsi="宋体"/>
          <w:b/>
          <w:color w:val="auto"/>
          <w:kern w:val="0"/>
          <w:sz w:val="28"/>
          <w:szCs w:val="22"/>
          <w:highlight w:val="none"/>
        </w:rPr>
        <w:t>采购人：</w:t>
      </w:r>
      <w:r>
        <w:rPr>
          <w:rFonts w:hint="eastAsia" w:ascii="宋体" w:hAnsi="宋体"/>
          <w:b/>
          <w:color w:val="auto"/>
          <w:sz w:val="28"/>
          <w:szCs w:val="28"/>
          <w:highlight w:val="none"/>
        </w:rPr>
        <w:t>成都高新区政务服务和网络理政办公室</w:t>
      </w:r>
    </w:p>
    <w:p>
      <w:pPr>
        <w:ind w:firstLine="560" w:firstLineChars="200"/>
        <w:rPr>
          <w:rFonts w:ascii="宋体" w:hAnsi="宋体"/>
          <w:color w:val="auto"/>
          <w:kern w:val="0"/>
          <w:sz w:val="28"/>
          <w:highlight w:val="none"/>
        </w:rPr>
      </w:pPr>
      <w:r>
        <w:rPr>
          <w:rFonts w:hint="eastAsia" w:ascii="宋体" w:hAnsi="宋体"/>
          <w:color w:val="auto"/>
          <w:kern w:val="0"/>
          <w:sz w:val="28"/>
          <w:highlight w:val="none"/>
        </w:rPr>
        <w:t>地  址：成都市天府大道北段18号A座高新区管委会5楼</w:t>
      </w:r>
    </w:p>
    <w:p>
      <w:pPr>
        <w:pStyle w:val="154"/>
        <w:spacing w:line="480" w:lineRule="exact"/>
        <w:ind w:firstLine="560"/>
        <w:rPr>
          <w:rFonts w:ascii="宋体" w:hAnsi="宋体"/>
          <w:color w:val="auto"/>
          <w:kern w:val="0"/>
          <w:sz w:val="28"/>
          <w:szCs w:val="22"/>
          <w:highlight w:val="none"/>
        </w:rPr>
      </w:pPr>
      <w:r>
        <w:rPr>
          <w:rFonts w:hint="eastAsia" w:ascii="宋体" w:hAnsi="宋体"/>
          <w:color w:val="auto"/>
          <w:kern w:val="0"/>
          <w:sz w:val="28"/>
          <w:szCs w:val="22"/>
          <w:highlight w:val="none"/>
        </w:rPr>
        <w:t>邮  编：610041</w:t>
      </w:r>
    </w:p>
    <w:p>
      <w:pPr>
        <w:pStyle w:val="154"/>
        <w:spacing w:line="480" w:lineRule="exact"/>
        <w:ind w:firstLine="560"/>
        <w:rPr>
          <w:rFonts w:ascii="宋体" w:hAnsi="宋体"/>
          <w:color w:val="auto"/>
          <w:kern w:val="0"/>
          <w:sz w:val="28"/>
          <w:szCs w:val="22"/>
          <w:highlight w:val="none"/>
        </w:rPr>
      </w:pPr>
      <w:r>
        <w:rPr>
          <w:rFonts w:hint="eastAsia" w:ascii="宋体" w:hAnsi="宋体"/>
          <w:color w:val="auto"/>
          <w:kern w:val="0"/>
          <w:sz w:val="28"/>
          <w:szCs w:val="22"/>
          <w:highlight w:val="none"/>
        </w:rPr>
        <w:t xml:space="preserve">联系人：樊敏  </w:t>
      </w:r>
    </w:p>
    <w:p>
      <w:pPr>
        <w:spacing w:line="360" w:lineRule="auto"/>
        <w:ind w:firstLine="565" w:firstLineChars="202"/>
        <w:rPr>
          <w:rFonts w:ascii="宋体" w:hAnsi="宋体"/>
          <w:color w:val="auto"/>
          <w:kern w:val="0"/>
          <w:sz w:val="28"/>
          <w:highlight w:val="none"/>
        </w:rPr>
      </w:pPr>
      <w:r>
        <w:rPr>
          <w:rFonts w:hint="eastAsia" w:ascii="宋体" w:hAnsi="宋体"/>
          <w:color w:val="auto"/>
          <w:kern w:val="0"/>
          <w:sz w:val="28"/>
          <w:highlight w:val="none"/>
        </w:rPr>
        <w:t>联系电话：028-8</w:t>
      </w:r>
      <w:r>
        <w:rPr>
          <w:rFonts w:ascii="宋体" w:hAnsi="宋体"/>
          <w:color w:val="auto"/>
          <w:kern w:val="0"/>
          <w:sz w:val="28"/>
          <w:highlight w:val="none"/>
        </w:rPr>
        <w:t>60</w:t>
      </w:r>
      <w:r>
        <w:rPr>
          <w:rFonts w:hint="eastAsia" w:ascii="宋体" w:hAnsi="宋体"/>
          <w:color w:val="auto"/>
          <w:kern w:val="0"/>
          <w:sz w:val="28"/>
          <w:highlight w:val="none"/>
        </w:rPr>
        <w:t>5</w:t>
      </w:r>
      <w:r>
        <w:rPr>
          <w:rFonts w:ascii="宋体" w:hAnsi="宋体"/>
          <w:color w:val="auto"/>
          <w:kern w:val="0"/>
          <w:sz w:val="28"/>
          <w:highlight w:val="none"/>
        </w:rPr>
        <w:t>1956</w:t>
      </w:r>
    </w:p>
    <w:p>
      <w:pPr>
        <w:spacing w:line="360" w:lineRule="auto"/>
        <w:ind w:firstLine="568" w:firstLineChars="202"/>
        <w:rPr>
          <w:rFonts w:ascii="宋体" w:hAnsi="宋体"/>
          <w:b/>
          <w:color w:val="auto"/>
          <w:sz w:val="28"/>
          <w:highlight w:val="none"/>
        </w:rPr>
      </w:pPr>
      <w:r>
        <w:rPr>
          <w:rFonts w:hint="eastAsia" w:ascii="宋体" w:hAnsi="宋体"/>
          <w:b/>
          <w:color w:val="auto"/>
          <w:sz w:val="28"/>
          <w:highlight w:val="none"/>
        </w:rPr>
        <w:t>成都高新区政府采购服务中心</w:t>
      </w:r>
    </w:p>
    <w:p>
      <w:pPr>
        <w:pStyle w:val="154"/>
        <w:spacing w:line="560" w:lineRule="exact"/>
        <w:ind w:firstLine="560"/>
        <w:rPr>
          <w:rFonts w:ascii="宋体" w:hAnsi="宋体"/>
          <w:color w:val="auto"/>
          <w:kern w:val="0"/>
          <w:sz w:val="28"/>
          <w:szCs w:val="22"/>
          <w:highlight w:val="none"/>
        </w:rPr>
      </w:pPr>
      <w:r>
        <w:rPr>
          <w:rFonts w:hint="eastAsia" w:ascii="宋体" w:hAnsi="宋体"/>
          <w:color w:val="auto"/>
          <w:kern w:val="0"/>
          <w:sz w:val="28"/>
          <w:szCs w:val="22"/>
          <w:highlight w:val="none"/>
        </w:rPr>
        <w:t>地  址：成都市天府大道北段18号A座高新区管委会11楼</w:t>
      </w:r>
    </w:p>
    <w:p>
      <w:pPr>
        <w:pStyle w:val="154"/>
        <w:spacing w:line="560" w:lineRule="exact"/>
        <w:ind w:firstLine="560"/>
        <w:rPr>
          <w:rFonts w:ascii="宋体" w:hAnsi="宋体"/>
          <w:color w:val="auto"/>
          <w:kern w:val="0"/>
          <w:sz w:val="28"/>
          <w:szCs w:val="22"/>
          <w:highlight w:val="none"/>
        </w:rPr>
      </w:pPr>
      <w:r>
        <w:rPr>
          <w:rFonts w:hint="eastAsia" w:ascii="宋体" w:hAnsi="宋体"/>
          <w:color w:val="auto"/>
          <w:kern w:val="0"/>
          <w:sz w:val="28"/>
          <w:szCs w:val="22"/>
          <w:highlight w:val="none"/>
        </w:rPr>
        <w:t>联系人：陈莉玮</w:t>
      </w:r>
    </w:p>
    <w:p>
      <w:pPr>
        <w:pStyle w:val="154"/>
        <w:spacing w:line="560" w:lineRule="exact"/>
        <w:ind w:firstLine="560"/>
        <w:rPr>
          <w:rFonts w:ascii="宋体" w:hAnsi="宋体"/>
          <w:color w:val="auto"/>
          <w:kern w:val="0"/>
          <w:sz w:val="28"/>
          <w:szCs w:val="22"/>
          <w:highlight w:val="none"/>
        </w:rPr>
      </w:pPr>
      <w:r>
        <w:rPr>
          <w:rFonts w:hint="eastAsia" w:ascii="宋体" w:hAnsi="宋体"/>
          <w:color w:val="auto"/>
          <w:kern w:val="0"/>
          <w:sz w:val="28"/>
          <w:szCs w:val="22"/>
          <w:highlight w:val="none"/>
        </w:rPr>
        <w:t>邮编：610041</w:t>
      </w:r>
    </w:p>
    <w:p>
      <w:pPr>
        <w:pStyle w:val="154"/>
        <w:spacing w:line="560" w:lineRule="exact"/>
        <w:ind w:firstLine="560"/>
        <w:rPr>
          <w:rFonts w:ascii="宋体" w:hAnsi="宋体"/>
          <w:color w:val="auto"/>
          <w:kern w:val="0"/>
          <w:sz w:val="28"/>
          <w:highlight w:val="none"/>
        </w:rPr>
      </w:pPr>
      <w:r>
        <w:rPr>
          <w:rFonts w:hint="eastAsia" w:ascii="宋体" w:hAnsi="宋体"/>
          <w:color w:val="auto"/>
          <w:kern w:val="0"/>
          <w:sz w:val="28"/>
          <w:szCs w:val="22"/>
          <w:highlight w:val="none"/>
        </w:rPr>
        <w:t>联系电话：</w:t>
      </w:r>
      <w:r>
        <w:rPr>
          <w:rFonts w:hint="eastAsia" w:ascii="宋体" w:hAnsi="宋体"/>
          <w:color w:val="auto"/>
          <w:kern w:val="0"/>
          <w:sz w:val="28"/>
          <w:highlight w:val="none"/>
        </w:rPr>
        <w:t>028-85177566</w:t>
      </w:r>
    </w:p>
    <w:p>
      <w:pPr>
        <w:pStyle w:val="154"/>
        <w:spacing w:line="560" w:lineRule="exact"/>
        <w:ind w:firstLine="562"/>
        <w:rPr>
          <w:rFonts w:ascii="宋体" w:hAnsi="宋体"/>
          <w:b/>
          <w:bCs/>
          <w:color w:val="auto"/>
          <w:kern w:val="0"/>
          <w:sz w:val="28"/>
          <w:highlight w:val="none"/>
        </w:rPr>
      </w:pPr>
      <w:r>
        <w:rPr>
          <w:rFonts w:hint="eastAsia" w:ascii="宋体" w:hAnsi="宋体"/>
          <w:b/>
          <w:bCs/>
          <w:color w:val="auto"/>
          <w:kern w:val="0"/>
          <w:sz w:val="28"/>
          <w:highlight w:val="none"/>
        </w:rPr>
        <w:t>技术支持</w:t>
      </w:r>
      <w:r>
        <w:rPr>
          <w:rFonts w:ascii="宋体" w:hAnsi="宋体"/>
          <w:b/>
          <w:bCs/>
          <w:color w:val="auto"/>
          <w:kern w:val="0"/>
          <w:sz w:val="28"/>
          <w:highlight w:val="none"/>
        </w:rPr>
        <w:t>联系电话：</w:t>
      </w:r>
      <w:r>
        <w:rPr>
          <w:rFonts w:hint="eastAsia" w:ascii="宋体" w:hAnsi="宋体"/>
          <w:b/>
          <w:bCs/>
          <w:color w:val="auto"/>
          <w:sz w:val="28"/>
          <w:szCs w:val="28"/>
          <w:highlight w:val="none"/>
        </w:rPr>
        <w:t>400-881-7190</w:t>
      </w:r>
    </w:p>
    <w:p>
      <w:pPr>
        <w:pStyle w:val="131"/>
        <w:tabs>
          <w:tab w:val="left" w:pos="900"/>
        </w:tabs>
        <w:spacing w:line="560" w:lineRule="exact"/>
        <w:ind w:firstLine="562"/>
        <w:jc w:val="left"/>
        <w:rPr>
          <w:rFonts w:ascii="宋体" w:hAnsi="宋体" w:cs="Times New Roman"/>
          <w:b/>
          <w:color w:val="auto"/>
          <w:kern w:val="0"/>
          <w:sz w:val="28"/>
          <w:highlight w:val="none"/>
        </w:rPr>
      </w:pPr>
      <w:r>
        <w:rPr>
          <w:rFonts w:hint="eastAsia" w:ascii="宋体" w:hAnsi="宋体" w:cs="Times New Roman"/>
          <w:b/>
          <w:color w:val="auto"/>
          <w:sz w:val="28"/>
          <w:highlight w:val="none"/>
        </w:rPr>
        <w:t>集中采购监督机构：成都高新区财政金融局</w:t>
      </w:r>
    </w:p>
    <w:p>
      <w:pPr>
        <w:pStyle w:val="131"/>
        <w:tabs>
          <w:tab w:val="left" w:pos="900"/>
        </w:tabs>
        <w:spacing w:line="560" w:lineRule="exact"/>
        <w:ind w:firstLine="560"/>
        <w:jc w:val="left"/>
        <w:rPr>
          <w:rFonts w:ascii="宋体" w:hAnsi="宋体" w:cs="Times New Roman"/>
          <w:color w:val="auto"/>
          <w:sz w:val="28"/>
          <w:highlight w:val="none"/>
        </w:rPr>
      </w:pPr>
      <w:r>
        <w:rPr>
          <w:rFonts w:hint="eastAsia" w:ascii="宋体" w:hAnsi="宋体" w:cs="Times New Roman"/>
          <w:color w:val="auto"/>
          <w:sz w:val="28"/>
          <w:highlight w:val="none"/>
        </w:rPr>
        <w:t>地 址：成都市天府大道北段18号A座高新区管委会5楼</w:t>
      </w:r>
    </w:p>
    <w:p>
      <w:pPr>
        <w:pStyle w:val="131"/>
        <w:tabs>
          <w:tab w:val="left" w:pos="900"/>
        </w:tabs>
        <w:spacing w:line="560" w:lineRule="exact"/>
        <w:ind w:firstLine="560"/>
        <w:jc w:val="left"/>
        <w:rPr>
          <w:rFonts w:ascii="宋体" w:hAnsi="宋体"/>
          <w:color w:val="auto"/>
          <w:sz w:val="28"/>
          <w:szCs w:val="28"/>
          <w:highlight w:val="none"/>
        </w:rPr>
      </w:pPr>
      <w:r>
        <w:rPr>
          <w:rFonts w:hint="eastAsia" w:ascii="宋体" w:hAnsi="宋体" w:cs="Times New Roman"/>
          <w:color w:val="auto"/>
          <w:sz w:val="28"/>
          <w:highlight w:val="none"/>
        </w:rPr>
        <w:t>联系电话：028-82829642</w:t>
      </w:r>
      <w:r>
        <w:rPr>
          <w:rFonts w:ascii="宋体" w:hAnsi="宋体"/>
          <w:color w:val="auto"/>
          <w:sz w:val="28"/>
          <w:szCs w:val="28"/>
          <w:highlight w:val="none"/>
        </w:rPr>
        <w:br w:type="page"/>
      </w:r>
    </w:p>
    <w:p>
      <w:pPr>
        <w:pStyle w:val="131"/>
        <w:tabs>
          <w:tab w:val="left" w:pos="900"/>
        </w:tabs>
        <w:ind w:firstLine="560"/>
        <w:jc w:val="left"/>
        <w:rPr>
          <w:rFonts w:ascii="宋体" w:hAnsi="宋体"/>
          <w:color w:val="auto"/>
          <w:sz w:val="28"/>
          <w:szCs w:val="28"/>
          <w:highlight w:val="none"/>
        </w:rPr>
      </w:pPr>
    </w:p>
    <w:p>
      <w:pPr>
        <w:pStyle w:val="4"/>
        <w:numPr>
          <w:ilvl w:val="0"/>
          <w:numId w:val="5"/>
        </w:numPr>
        <w:spacing w:before="0" w:after="0" w:line="240" w:lineRule="auto"/>
        <w:ind w:left="0" w:firstLine="0"/>
        <w:rPr>
          <w:color w:val="auto"/>
          <w:highlight w:val="none"/>
        </w:rPr>
      </w:pPr>
      <w:bookmarkStart w:id="17" w:name="_Toc23978"/>
      <w:bookmarkStart w:id="18" w:name="_Toc11280"/>
      <w:bookmarkStart w:id="19" w:name="_Toc22501"/>
      <w:bookmarkStart w:id="20" w:name="_Toc7147"/>
      <w:bookmarkStart w:id="21" w:name="_Toc16071"/>
      <w:r>
        <w:rPr>
          <w:rFonts w:hint="eastAsia"/>
          <w:color w:val="auto"/>
          <w:highlight w:val="none"/>
        </w:rPr>
        <w:t>投标人须知</w:t>
      </w:r>
      <w:bookmarkEnd w:id="17"/>
      <w:bookmarkEnd w:id="18"/>
      <w:bookmarkEnd w:id="19"/>
      <w:bookmarkEnd w:id="20"/>
      <w:bookmarkEnd w:id="21"/>
    </w:p>
    <w:p>
      <w:pPr>
        <w:pStyle w:val="5"/>
        <w:numPr>
          <w:ilvl w:val="1"/>
          <w:numId w:val="5"/>
        </w:numPr>
        <w:spacing w:before="0" w:after="0" w:line="240" w:lineRule="auto"/>
        <w:ind w:left="2269" w:hanging="2127"/>
        <w:rPr>
          <w:color w:val="auto"/>
          <w:highlight w:val="none"/>
        </w:rPr>
      </w:pPr>
      <w:bookmarkStart w:id="22" w:name="_Toc1773"/>
      <w:bookmarkStart w:id="23" w:name="_Toc316462344"/>
      <w:bookmarkStart w:id="24" w:name="_Toc189727030"/>
      <w:bookmarkStart w:id="25" w:name="_Toc15505"/>
      <w:bookmarkStart w:id="26" w:name="_Toc213396946"/>
      <w:bookmarkStart w:id="27" w:name="_Toc213396760"/>
      <w:bookmarkStart w:id="28" w:name="_Toc11095"/>
      <w:bookmarkStart w:id="29" w:name="_Toc213397010"/>
      <w:bookmarkStart w:id="30" w:name="_Toc14528"/>
      <w:bookmarkStart w:id="31" w:name="_Toc217446032"/>
      <w:bookmarkStart w:id="32" w:name="_Toc213496268"/>
      <w:bookmarkStart w:id="33" w:name="_Toc32366"/>
      <w:r>
        <w:rPr>
          <w:rFonts w:hint="eastAsia"/>
          <w:color w:val="auto"/>
          <w:highlight w:val="none"/>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5"/>
        <w:tblW w:w="931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sz w:val="24"/>
                <w:highlight w:val="none"/>
              </w:rPr>
            </w:pPr>
            <w:r>
              <w:rPr>
                <w:rFonts w:hint="eastAsia" w:ascii="宋体" w:hAnsi="宋体"/>
                <w:b/>
                <w:color w:val="auto"/>
                <w:sz w:val="28"/>
                <w:szCs w:val="28"/>
                <w:highlight w:val="none"/>
                <w:lang w:val="zh-CN"/>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3"/>
              <w:ind w:left="38"/>
              <w:jc w:val="center"/>
              <w:rPr>
                <w:b/>
                <w:color w:val="auto"/>
                <w:kern w:val="2"/>
                <w:highlight w:val="none"/>
                <w:lang w:val="zh-CN"/>
              </w:rPr>
            </w:pPr>
            <w:r>
              <w:rPr>
                <w:rFonts w:hint="eastAsia"/>
                <w:b/>
                <w:color w:val="auto"/>
                <w:kern w:val="2"/>
                <w:sz w:val="28"/>
                <w:szCs w:val="28"/>
                <w:highlight w:val="none"/>
                <w:lang w:val="zh-CN"/>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3"/>
              <w:jc w:val="center"/>
              <w:rPr>
                <w:b/>
                <w:color w:val="auto"/>
                <w:kern w:val="2"/>
                <w:highlight w:val="none"/>
                <w:lang w:val="zh-CN"/>
              </w:rPr>
            </w:pPr>
            <w:r>
              <w:rPr>
                <w:rFonts w:hint="eastAsia"/>
                <w:b/>
                <w:color w:val="auto"/>
                <w:kern w:val="2"/>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b/>
                <w:color w:val="auto"/>
                <w:sz w:val="28"/>
                <w:szCs w:val="28"/>
                <w:highlight w:val="none"/>
                <w:lang w:val="zh-CN"/>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ind w:left="38"/>
              <w:rPr>
                <w:color w:val="auto"/>
                <w:kern w:val="2"/>
                <w:highlight w:val="none"/>
                <w:lang w:val="zh-CN"/>
              </w:rPr>
            </w:pPr>
            <w:r>
              <w:rPr>
                <w:rFonts w:hint="eastAsia"/>
                <w:color w:val="auto"/>
                <w:kern w:val="2"/>
                <w:highlight w:val="none"/>
                <w:lang w:val="zh-CN"/>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3"/>
              <w:rPr>
                <w:b/>
                <w:color w:val="auto"/>
                <w:kern w:val="2"/>
                <w:highlight w:val="none"/>
                <w:lang w:val="zh-CN"/>
              </w:rPr>
            </w:pPr>
            <w:r>
              <w:rPr>
                <w:rFonts w:hint="eastAsia"/>
                <w:b/>
                <w:color w:val="auto"/>
                <w:kern w:val="2"/>
                <w:highlight w:val="none"/>
                <w:lang w:val="zh-CN"/>
              </w:rPr>
              <w:t>人民币</w:t>
            </w:r>
            <w:r>
              <w:rPr>
                <w:rFonts w:hint="eastAsia"/>
                <w:b/>
                <w:color w:val="auto"/>
                <w:highlight w:val="none"/>
                <w:lang w:val="zh-CN"/>
              </w:rPr>
              <w:t>6436484.00元</w:t>
            </w:r>
            <w:r>
              <w:rPr>
                <w:rFonts w:hint="eastAsia"/>
                <w:b/>
                <w:color w:val="auto"/>
                <w:kern w:val="2"/>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b/>
                <w:color w:val="auto"/>
                <w:sz w:val="28"/>
                <w:szCs w:val="28"/>
                <w:highlight w:val="none"/>
                <w:lang w:val="zh-CN"/>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ind w:left="38"/>
              <w:rPr>
                <w:color w:val="auto"/>
                <w:kern w:val="2"/>
                <w:highlight w:val="none"/>
                <w:lang w:val="zh-CN"/>
              </w:rPr>
            </w:pPr>
            <w:r>
              <w:rPr>
                <w:rFonts w:hint="eastAsia"/>
                <w:color w:val="auto"/>
                <w:kern w:val="2"/>
                <w:highlight w:val="none"/>
                <w:lang w:val="zh-CN"/>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3"/>
              <w:ind w:left="38"/>
              <w:rPr>
                <w:b/>
                <w:color w:val="auto"/>
                <w:kern w:val="2"/>
                <w:highlight w:val="none"/>
                <w:lang w:val="zh-CN"/>
              </w:rPr>
            </w:pPr>
            <w:r>
              <w:rPr>
                <w:rFonts w:hint="eastAsia"/>
                <w:b/>
                <w:color w:val="auto"/>
                <w:kern w:val="2"/>
                <w:highlight w:val="none"/>
                <w:lang w:val="zh-CN"/>
              </w:rPr>
              <w:t>本项目最高限价为人民币</w:t>
            </w:r>
            <w:r>
              <w:rPr>
                <w:rFonts w:hint="eastAsia"/>
                <w:b/>
                <w:color w:val="auto"/>
                <w:highlight w:val="none"/>
                <w:lang w:val="zh-CN"/>
              </w:rPr>
              <w:t>6436484.00元</w:t>
            </w:r>
            <w:r>
              <w:rPr>
                <w:rFonts w:hint="eastAsia"/>
                <w:b/>
                <w:color w:val="auto"/>
                <w:kern w:val="2"/>
                <w:highlight w:val="none"/>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ind w:left="38"/>
              <w:rPr>
                <w:color w:val="auto"/>
                <w:kern w:val="2"/>
                <w:highlight w:val="none"/>
                <w:lang w:val="zh-CN"/>
              </w:rPr>
            </w:pPr>
            <w:r>
              <w:rPr>
                <w:rFonts w:hint="eastAsia"/>
                <w:color w:val="auto"/>
                <w:kern w:val="2"/>
                <w:highlight w:val="none"/>
                <w:lang w:val="zh-CN"/>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3"/>
              <w:jc w:val="both"/>
              <w:rPr>
                <w:color w:val="auto"/>
                <w:kern w:val="2"/>
                <w:highlight w:val="none"/>
                <w:lang w:val="zh-CN"/>
              </w:rPr>
            </w:pPr>
            <w:r>
              <w:rPr>
                <w:rFonts w:hint="eastAsia"/>
                <w:color w:val="auto"/>
                <w:kern w:val="2"/>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ind w:left="96"/>
              <w:rPr>
                <w:color w:val="auto"/>
                <w:kern w:val="2"/>
                <w:highlight w:val="none"/>
                <w:lang w:val="zh-CN"/>
              </w:rPr>
            </w:pPr>
            <w:r>
              <w:rPr>
                <w:rFonts w:hint="eastAsia"/>
                <w:color w:val="auto"/>
                <w:kern w:val="2"/>
                <w:highlight w:val="none"/>
                <w:lang w:val="zh-CN"/>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3"/>
              <w:rPr>
                <w:color w:val="auto"/>
                <w:kern w:val="2"/>
                <w:highlight w:val="none"/>
                <w:lang w:val="zh-CN"/>
              </w:rPr>
            </w:pPr>
            <w:r>
              <w:rPr>
                <w:rFonts w:hint="eastAsia"/>
                <w:color w:val="auto"/>
                <w:kern w:val="2"/>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ind w:left="96"/>
              <w:rPr>
                <w:color w:val="auto"/>
                <w:kern w:val="2"/>
                <w:highlight w:val="none"/>
                <w:lang w:val="zh-CN"/>
              </w:rPr>
            </w:pPr>
            <w:r>
              <w:rPr>
                <w:rFonts w:hint="eastAsia"/>
                <w:color w:val="auto"/>
                <w:kern w:val="2"/>
                <w:highlight w:val="none"/>
                <w:lang w:val="zh-CN"/>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auto"/>
                <w:sz w:val="24"/>
                <w:highlight w:val="none"/>
              </w:rPr>
            </w:pPr>
            <w:r>
              <w:rPr>
                <w:rFonts w:hint="eastAsia" w:ascii="宋体" w:hAnsi="宋体" w:cs="宋体"/>
                <w:color w:val="auto"/>
                <w:sz w:val="24"/>
                <w:szCs w:val="24"/>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spacing w:line="360" w:lineRule="auto"/>
              <w:ind w:right="210" w:rightChars="100"/>
              <w:jc w:val="both"/>
              <w:rPr>
                <w:color w:val="auto"/>
                <w:kern w:val="2"/>
                <w:highlight w:val="none"/>
                <w:lang w:val="zh-CN"/>
              </w:rPr>
            </w:pPr>
            <w:r>
              <w:rPr>
                <w:rFonts w:hint="eastAsia"/>
                <w:color w:val="auto"/>
                <w:highlight w:val="none"/>
                <w:lang w:val="zh-CN"/>
              </w:rPr>
              <w:t>小微企业价格扣除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1、根据《关于印发&lt;政府采购促进中小企业发展管理办法&gt;的通知》(财库〔2020〕46号的规定，对小型和微型企业</w:t>
            </w:r>
            <w:r>
              <w:rPr>
                <w:rFonts w:hint="eastAsia" w:ascii="宋体" w:hAnsi="宋体" w:cs="宋体"/>
                <w:color w:val="auto"/>
                <w:kern w:val="0"/>
                <w:sz w:val="24"/>
                <w:szCs w:val="24"/>
                <w:highlight w:val="none"/>
              </w:rPr>
              <w:t>提供的服务</w:t>
            </w:r>
            <w:r>
              <w:rPr>
                <w:rFonts w:hint="eastAsia" w:ascii="宋体" w:hAnsi="宋体" w:cs="宋体"/>
                <w:color w:val="auto"/>
                <w:kern w:val="0"/>
                <w:sz w:val="24"/>
                <w:szCs w:val="24"/>
                <w:highlight w:val="none"/>
                <w:lang w:val="zh-CN"/>
              </w:rPr>
              <w:t>给予10%的价格扣除，用扣除后的价格参与评标。</w:t>
            </w:r>
          </w:p>
          <w:p>
            <w:pPr>
              <w:widowControl/>
              <w:spacing w:line="360" w:lineRule="auto"/>
              <w:jc w:val="left"/>
              <w:rPr>
                <w:rFonts w:ascii="宋体" w:hAnsi="宋体" w:cs="宋体"/>
                <w:color w:val="auto"/>
                <w:sz w:val="24"/>
                <w:szCs w:val="24"/>
                <w:highlight w:val="none"/>
                <w:lang w:val="zh-CN"/>
              </w:rPr>
            </w:pPr>
            <w:r>
              <w:rPr>
                <w:rFonts w:hint="eastAsia" w:ascii="宋体" w:hAnsi="宋体" w:cs="宋体"/>
                <w:color w:val="auto"/>
                <w:kern w:val="0"/>
                <w:sz w:val="24"/>
                <w:szCs w:val="24"/>
                <w:highlight w:val="none"/>
                <w:lang w:val="zh-CN"/>
              </w:rPr>
              <w:t>2、投标人应按格式要求如实填写提供《中小企业声明函》原件。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spacing w:line="360" w:lineRule="auto"/>
              <w:ind w:right="210" w:rightChars="100"/>
              <w:jc w:val="both"/>
              <w:rPr>
                <w:color w:val="auto"/>
                <w:kern w:val="2"/>
                <w:highlight w:val="none"/>
                <w:lang w:val="zh-CN"/>
              </w:rPr>
            </w:pPr>
            <w:r>
              <w:rPr>
                <w:rFonts w:hint="eastAsia"/>
                <w:color w:val="auto"/>
                <w:highlight w:val="none"/>
                <w:lang w:val="zh-CN"/>
              </w:rPr>
              <w:t>监狱企业价格扣除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１、根据《关于政府采购支持监狱企业发展有关问题的通知》（财库[2014]68号）的规定，对监狱企业</w:t>
            </w:r>
            <w:r>
              <w:rPr>
                <w:rFonts w:hint="eastAsia" w:ascii="宋体" w:hAnsi="宋体" w:cs="宋体"/>
                <w:color w:val="auto"/>
                <w:kern w:val="0"/>
                <w:sz w:val="24"/>
                <w:szCs w:val="24"/>
                <w:highlight w:val="none"/>
              </w:rPr>
              <w:t>提供的服务</w:t>
            </w:r>
            <w:r>
              <w:rPr>
                <w:rFonts w:hint="eastAsia" w:ascii="宋体" w:hAnsi="宋体" w:cs="宋体"/>
                <w:color w:val="auto"/>
                <w:kern w:val="0"/>
                <w:sz w:val="24"/>
                <w:szCs w:val="24"/>
                <w:highlight w:val="none"/>
                <w:lang w:val="zh-CN"/>
              </w:rPr>
              <w:t>给予10%的价格扣除，用扣除后的价格参与评标。</w:t>
            </w:r>
          </w:p>
          <w:p>
            <w:pPr>
              <w:widowControl/>
              <w:spacing w:line="360" w:lineRule="auto"/>
              <w:jc w:val="left"/>
              <w:rPr>
                <w:rFonts w:ascii="宋体" w:hAnsi="宋体" w:cs="宋体"/>
                <w:color w:val="auto"/>
                <w:sz w:val="24"/>
                <w:szCs w:val="24"/>
                <w:highlight w:val="none"/>
                <w:lang w:val="zh-CN"/>
              </w:rPr>
            </w:pPr>
            <w:r>
              <w:rPr>
                <w:rFonts w:hint="eastAsia" w:ascii="宋体" w:hAnsi="宋体" w:cs="宋体"/>
                <w:color w:val="auto"/>
                <w:kern w:val="0"/>
                <w:sz w:val="24"/>
                <w:szCs w:val="24"/>
                <w:highlight w:val="none"/>
                <w:lang w:val="zh-CN"/>
              </w:rPr>
              <w:t>２、投标产品中为监狱企业</w:t>
            </w:r>
            <w:r>
              <w:rPr>
                <w:rFonts w:hint="eastAsia" w:ascii="宋体" w:hAnsi="宋体" w:cs="宋体"/>
                <w:color w:val="auto"/>
                <w:kern w:val="0"/>
                <w:sz w:val="24"/>
                <w:szCs w:val="24"/>
                <w:highlight w:val="none"/>
              </w:rPr>
              <w:t>提供的服务</w:t>
            </w:r>
            <w:r>
              <w:rPr>
                <w:rFonts w:hint="eastAsia" w:ascii="宋体" w:hAnsi="宋体" w:cs="宋体"/>
                <w:color w:val="auto"/>
                <w:kern w:val="0"/>
                <w:sz w:val="24"/>
                <w:szCs w:val="24"/>
                <w:highlight w:val="none"/>
                <w:lang w:val="zh-CN"/>
              </w:rPr>
              <w:t>应提供由省级以上监狱管理局、戒毒管理局（含新疆生产建设兵团）出具的生产厂商属于监狱企业的证明文件复印件。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spacing w:line="360" w:lineRule="auto"/>
              <w:ind w:right="210" w:rightChars="100"/>
              <w:jc w:val="both"/>
              <w:rPr>
                <w:color w:val="auto"/>
                <w:kern w:val="2"/>
                <w:highlight w:val="none"/>
                <w:lang w:val="zh-CN"/>
              </w:rPr>
            </w:pPr>
            <w:r>
              <w:rPr>
                <w:rFonts w:hint="eastAsia"/>
                <w:color w:val="auto"/>
                <w:highlight w:val="none"/>
                <w:lang w:val="zh-CN"/>
              </w:rPr>
              <w:t>残疾人福利性单位价格扣除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spacing w:line="360" w:lineRule="auto"/>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1、根据《关于促进残疾人就业政府采购政策的通知》（财库[2017]141号）的规定，残疾人福利性单位视同小型和微型企业，对残疾人福利性单位</w:t>
            </w:r>
            <w:r>
              <w:rPr>
                <w:rFonts w:hint="eastAsia" w:ascii="宋体" w:hAnsi="宋体" w:cs="宋体"/>
                <w:color w:val="auto"/>
                <w:kern w:val="0"/>
                <w:sz w:val="24"/>
                <w:szCs w:val="24"/>
                <w:highlight w:val="none"/>
              </w:rPr>
              <w:t>提供的服务</w:t>
            </w:r>
            <w:r>
              <w:rPr>
                <w:rFonts w:hint="eastAsia" w:ascii="宋体" w:hAnsi="宋体" w:cs="宋体"/>
                <w:color w:val="auto"/>
                <w:kern w:val="0"/>
                <w:sz w:val="24"/>
                <w:szCs w:val="24"/>
                <w:highlight w:val="none"/>
                <w:lang w:val="zh-CN"/>
              </w:rPr>
              <w:t>给予</w:t>
            </w:r>
            <w:r>
              <w:rPr>
                <w:rFonts w:hint="eastAsia" w:ascii="宋体" w:hAnsi="宋体" w:cs="宋体"/>
                <w:color w:val="auto"/>
                <w:kern w:val="0"/>
                <w:sz w:val="24"/>
                <w:szCs w:val="24"/>
                <w:highlight w:val="none"/>
              </w:rPr>
              <w:t>10</w:t>
            </w:r>
            <w:r>
              <w:rPr>
                <w:rFonts w:hint="eastAsia" w:ascii="宋体" w:hAnsi="宋体" w:cs="宋体"/>
                <w:color w:val="auto"/>
                <w:kern w:val="0"/>
                <w:sz w:val="24"/>
                <w:szCs w:val="24"/>
                <w:highlight w:val="none"/>
                <w:lang w:val="zh-CN"/>
              </w:rPr>
              <w:t>%的价格扣除，用扣除后的价格参与评标。</w:t>
            </w:r>
          </w:p>
          <w:p>
            <w:pPr>
              <w:widowControl/>
              <w:spacing w:line="360" w:lineRule="auto"/>
              <w:jc w:val="left"/>
              <w:rPr>
                <w:rFonts w:ascii="宋体" w:hAnsi="宋体" w:cs="宋体"/>
                <w:color w:val="auto"/>
                <w:sz w:val="24"/>
                <w:szCs w:val="24"/>
                <w:highlight w:val="none"/>
                <w:lang w:val="zh-CN"/>
              </w:rPr>
            </w:pPr>
            <w:r>
              <w:rPr>
                <w:rFonts w:hint="eastAsia" w:ascii="宋体" w:hAnsi="宋体" w:cs="宋体"/>
                <w:color w:val="auto"/>
                <w:kern w:val="0"/>
                <w:sz w:val="24"/>
                <w:szCs w:val="24"/>
                <w:highlight w:val="none"/>
                <w:lang w:val="zh-CN"/>
              </w:rPr>
              <w:t>2、投标人应提供《残疾人福利性单位声明函》原件。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3"/>
              <w:ind w:left="96"/>
              <w:rPr>
                <w:color w:val="auto"/>
                <w:kern w:val="2"/>
                <w:highlight w:val="none"/>
                <w:lang w:val="zh-CN"/>
              </w:rPr>
            </w:pPr>
            <w:r>
              <w:rPr>
                <w:rFonts w:hint="eastAsia"/>
                <w:color w:val="auto"/>
                <w:kern w:val="2"/>
                <w:highlight w:val="none"/>
                <w:lang w:val="zh-CN"/>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rPr>
                <w:rFonts w:ascii="宋体" w:hAnsi="宋体"/>
                <w:color w:val="auto"/>
                <w:sz w:val="24"/>
                <w:highlight w:val="none"/>
                <w:lang w:val="zh-CN"/>
              </w:rPr>
            </w:pPr>
            <w:r>
              <w:rPr>
                <w:rFonts w:hint="eastAsia" w:ascii="宋体" w:hAnsi="宋体"/>
                <w:color w:val="auto"/>
                <w:sz w:val="24"/>
                <w:highlight w:val="none"/>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auto"/>
                <w:sz w:val="24"/>
                <w:highlight w:val="none"/>
              </w:rPr>
            </w:pPr>
            <w:r>
              <w:rPr>
                <w:rFonts w:hint="eastAsia" w:ascii="宋体" w:hAnsi="宋体" w:cs="宋体"/>
                <w:color w:val="auto"/>
                <w:kern w:val="0"/>
                <w:sz w:val="24"/>
                <w:szCs w:val="24"/>
                <w:highlight w:val="none"/>
                <w:lang w:val="zh-CN"/>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auto"/>
                <w:kern w:val="0"/>
                <w:sz w:val="24"/>
                <w:highlight w:val="none"/>
              </w:rPr>
            </w:pPr>
            <w:r>
              <w:rPr>
                <w:rFonts w:hint="eastAsia" w:ascii="宋体" w:hAnsi="宋体"/>
                <w:color w:val="auto"/>
                <w:kern w:val="0"/>
                <w:sz w:val="24"/>
                <w:highlight w:val="none"/>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olor w:val="auto"/>
                <w:sz w:val="24"/>
                <w:highlight w:val="none"/>
              </w:rPr>
            </w:pPr>
            <w:r>
              <w:rPr>
                <w:rFonts w:hint="eastAsia" w:ascii="Helvetica" w:hAnsi="Helvetica" w:cs="Helvetica"/>
                <w:color w:val="auto"/>
                <w:kern w:val="0"/>
                <w:sz w:val="24"/>
                <w:szCs w:val="24"/>
                <w:highlight w:val="none"/>
              </w:rPr>
              <w:t>提交投标文件的截止之日起</w:t>
            </w:r>
            <w:r>
              <w:rPr>
                <w:rFonts w:hint="eastAsia" w:ascii="宋体" w:hAnsi="宋体"/>
                <w:color w:val="auto"/>
                <w:sz w:val="24"/>
                <w:szCs w:val="24"/>
                <w:highlight w:val="none"/>
                <w:u w:val="single"/>
              </w:rPr>
              <w:t xml:space="preserve"> 120</w:t>
            </w:r>
            <w:r>
              <w:rPr>
                <w:rFonts w:hint="eastAsia" w:ascii="宋体" w:hAnsi="宋体"/>
                <w:color w:val="auto"/>
                <w:sz w:val="24"/>
                <w:szCs w:val="24"/>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详见投标人须知2.4.12</w:t>
            </w:r>
          </w:p>
          <w:p>
            <w:pPr>
              <w:tabs>
                <w:tab w:val="left" w:pos="7665"/>
              </w:tabs>
              <w:snapToGrid w:val="0"/>
              <w:jc w:val="left"/>
              <w:rPr>
                <w:color w:val="auto"/>
                <w:highlight w:val="none"/>
              </w:rPr>
            </w:pPr>
            <w:r>
              <w:rPr>
                <w:rFonts w:hint="eastAsia" w:ascii="宋体" w:hAnsi="宋体"/>
                <w:color w:val="auto"/>
                <w:sz w:val="24"/>
                <w:highlight w:val="none"/>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sz w:val="24"/>
                <w:highlight w:val="none"/>
              </w:rPr>
            </w:pPr>
            <w:r>
              <w:rPr>
                <w:rFonts w:hint="eastAsia"/>
                <w:b/>
                <w:color w:val="auto"/>
                <w:highlight w:val="none"/>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auto"/>
                <w:highlight w:val="none"/>
              </w:rPr>
            </w:pPr>
            <w:r>
              <w:rPr>
                <w:rFonts w:hint="eastAsia" w:ascii="宋体" w:hAnsi="宋体"/>
                <w:b/>
                <w:color w:val="auto"/>
                <w:highlight w:val="none"/>
              </w:rPr>
              <w:t>详见投标人须知2.5.1。</w:t>
            </w:r>
          </w:p>
          <w:p>
            <w:pPr>
              <w:snapToGrid w:val="0"/>
              <w:spacing w:line="360" w:lineRule="auto"/>
              <w:rPr>
                <w:rFonts w:ascii="宋体" w:hAnsi="宋体"/>
                <w:b/>
                <w:color w:val="auto"/>
                <w:highlight w:val="none"/>
              </w:rPr>
            </w:pPr>
            <w:r>
              <w:rPr>
                <w:rFonts w:hint="eastAsia" w:ascii="宋体" w:hAnsi="宋体"/>
                <w:b/>
                <w:color w:val="auto"/>
                <w:highlight w:val="none"/>
              </w:rPr>
              <w:t>投标文件解密：开启解密后，投标人应在系统提示的解密开始时间后</w:t>
            </w:r>
            <w:r>
              <w:rPr>
                <w:rFonts w:ascii="宋体" w:hAnsi="宋体"/>
                <w:b/>
                <w:color w:val="auto"/>
                <w:highlight w:val="none"/>
              </w:rPr>
              <w:t>60</w:t>
            </w:r>
            <w:r>
              <w:rPr>
                <w:rFonts w:hint="eastAsia" w:ascii="宋体" w:hAnsi="宋体"/>
                <w:b/>
                <w:color w:val="auto"/>
                <w:highlight w:val="none"/>
              </w:rPr>
              <w:t>分钟内 ，使用对投标文件进行加密的CA证书在线完成对投标人递交至政府采购云平台的投标文件的解密。</w:t>
            </w:r>
          </w:p>
          <w:p>
            <w:pPr>
              <w:snapToGrid w:val="0"/>
              <w:spacing w:line="360" w:lineRule="auto"/>
              <w:rPr>
                <w:rFonts w:ascii="宋体" w:hAnsi="宋体"/>
                <w:b/>
                <w:color w:val="auto"/>
                <w:highlight w:val="none"/>
              </w:rPr>
            </w:pPr>
            <w:r>
              <w:rPr>
                <w:rFonts w:hint="eastAsia" w:ascii="宋体" w:hAnsi="宋体"/>
                <w:b/>
                <w:color w:val="auto"/>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auto"/>
                <w:sz w:val="24"/>
                <w:highlight w:val="none"/>
              </w:rPr>
            </w:pPr>
            <w:r>
              <w:rPr>
                <w:rFonts w:hint="eastAsia" w:ascii="宋体" w:hAnsi="宋体"/>
                <w:b/>
                <w:color w:val="auto"/>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auto"/>
                <w:sz w:val="24"/>
                <w:highlight w:val="none"/>
              </w:rPr>
            </w:pPr>
            <w:r>
              <w:rPr>
                <w:rFonts w:hint="eastAsia" w:ascii="宋体" w:hAnsi="宋体"/>
                <w:color w:val="auto"/>
                <w:sz w:val="24"/>
                <w:szCs w:val="24"/>
                <w:highlight w:val="none"/>
              </w:rPr>
              <w:t>对招标文件中供应商参加本次政府采购活动应当具备的条件，招标项目服务、商务及其他要求，评标细则及标准，以及关于资格审查的询问、质疑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auto"/>
                <w:kern w:val="0"/>
                <w:sz w:val="24"/>
                <w:highlight w:val="none"/>
              </w:rPr>
            </w:pPr>
            <w:r>
              <w:rPr>
                <w:rFonts w:hint="eastAsia" w:ascii="宋体" w:hAnsi="宋体"/>
                <w:color w:val="auto"/>
                <w:sz w:val="24"/>
                <w:szCs w:val="24"/>
                <w:highlight w:val="none"/>
              </w:rPr>
              <w:t>向采购人提出，并由</w:t>
            </w:r>
            <w:r>
              <w:rPr>
                <w:rFonts w:hint="eastAsia" w:ascii="宋体" w:hAnsi="宋体"/>
                <w:color w:val="auto"/>
                <w:kern w:val="0"/>
                <w:sz w:val="24"/>
                <w:highlight w:val="none"/>
              </w:rPr>
              <w:t>采购人</w:t>
            </w:r>
            <w:r>
              <w:rPr>
                <w:rFonts w:hint="eastAsia" w:ascii="宋体" w:hAnsi="宋体"/>
                <w:color w:val="auto"/>
                <w:sz w:val="24"/>
                <w:szCs w:val="24"/>
                <w:highlight w:val="none"/>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auto"/>
                <w:sz w:val="24"/>
                <w:highlight w:val="none"/>
              </w:rPr>
            </w:pPr>
            <w:r>
              <w:rPr>
                <w:rFonts w:hint="eastAsia" w:ascii="宋体" w:hAnsi="宋体"/>
                <w:color w:val="auto"/>
                <w:sz w:val="24"/>
                <w:szCs w:val="24"/>
                <w:highlight w:val="none"/>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auto"/>
                <w:kern w:val="0"/>
                <w:sz w:val="24"/>
                <w:highlight w:val="none"/>
              </w:rPr>
            </w:pPr>
            <w:r>
              <w:rPr>
                <w:rFonts w:hint="eastAsia" w:ascii="宋体" w:hAnsi="宋体"/>
                <w:color w:val="auto"/>
                <w:kern w:val="0"/>
                <w:sz w:val="24"/>
                <w:highlight w:val="none"/>
              </w:rPr>
              <w:t>向高新区采购中心提出，</w:t>
            </w:r>
            <w:r>
              <w:rPr>
                <w:rFonts w:hint="eastAsia" w:ascii="宋体" w:hAnsi="宋体"/>
                <w:color w:val="auto"/>
                <w:sz w:val="24"/>
                <w:szCs w:val="24"/>
                <w:highlight w:val="none"/>
              </w:rPr>
              <w:t>并由</w:t>
            </w:r>
            <w:r>
              <w:rPr>
                <w:rFonts w:hint="eastAsia" w:ascii="宋体" w:hAnsi="宋体"/>
                <w:color w:val="auto"/>
                <w:kern w:val="0"/>
                <w:sz w:val="24"/>
                <w:highlight w:val="none"/>
              </w:rPr>
              <w:t>高新区采购中心</w:t>
            </w:r>
            <w:r>
              <w:rPr>
                <w:rFonts w:hint="eastAsia" w:ascii="宋体" w:hAnsi="宋体"/>
                <w:color w:val="auto"/>
                <w:sz w:val="24"/>
                <w:szCs w:val="24"/>
                <w:highlight w:val="none"/>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after="200"/>
              <w:jc w:val="center"/>
              <w:rPr>
                <w:rFonts w:ascii="宋体" w:hAnsi="宋体"/>
                <w:color w:val="auto"/>
                <w:sz w:val="24"/>
                <w:highlight w:val="none"/>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auto"/>
                <w:sz w:val="24"/>
                <w:highlight w:val="none"/>
              </w:rPr>
            </w:pPr>
            <w:r>
              <w:rPr>
                <w:rFonts w:hint="eastAsia" w:ascii="宋体" w:hAnsi="宋体"/>
                <w:color w:val="auto"/>
                <w:sz w:val="24"/>
                <w:szCs w:val="24"/>
                <w:highlight w:val="none"/>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sz w:val="24"/>
                <w:szCs w:val="24"/>
                <w:highlight w:val="none"/>
              </w:rPr>
            </w:pPr>
            <w:r>
              <w:rPr>
                <w:rFonts w:hint="eastAsia" w:ascii="宋体" w:hAnsi="宋体"/>
                <w:color w:val="auto"/>
                <w:sz w:val="24"/>
                <w:szCs w:val="24"/>
                <w:highlight w:val="none"/>
              </w:rPr>
              <w:t>投诉受理单位：本项目同级财政部门，即成都高新区财政金融局。</w:t>
            </w:r>
          </w:p>
          <w:p>
            <w:pPr>
              <w:tabs>
                <w:tab w:val="left" w:pos="7665"/>
              </w:tabs>
              <w:snapToGrid w:val="0"/>
              <w:jc w:val="left"/>
              <w:rPr>
                <w:rFonts w:ascii="宋体" w:hAnsi="宋体"/>
                <w:color w:val="auto"/>
                <w:sz w:val="24"/>
                <w:szCs w:val="24"/>
                <w:highlight w:val="none"/>
              </w:rPr>
            </w:pPr>
            <w:r>
              <w:rPr>
                <w:rFonts w:hint="eastAsia" w:ascii="宋体" w:hAnsi="宋体"/>
                <w:color w:val="auto"/>
                <w:sz w:val="24"/>
                <w:szCs w:val="24"/>
                <w:highlight w:val="none"/>
              </w:rPr>
              <w:t>联系电话：028-82829642。</w:t>
            </w:r>
          </w:p>
          <w:p>
            <w:pPr>
              <w:tabs>
                <w:tab w:val="left" w:pos="7665"/>
              </w:tabs>
              <w:snapToGrid w:val="0"/>
              <w:jc w:val="left"/>
              <w:rPr>
                <w:rFonts w:ascii="宋体" w:hAnsi="宋体"/>
                <w:color w:val="auto"/>
                <w:sz w:val="24"/>
                <w:szCs w:val="24"/>
                <w:highlight w:val="none"/>
              </w:rPr>
            </w:pPr>
            <w:r>
              <w:rPr>
                <w:rFonts w:hint="eastAsia" w:ascii="宋体" w:hAnsi="宋体"/>
                <w:color w:val="auto"/>
                <w:sz w:val="24"/>
                <w:szCs w:val="24"/>
                <w:highlight w:val="none"/>
              </w:rPr>
              <w:t>地址：成都市天府大道北段18号A座高新区管委会5楼。</w:t>
            </w:r>
          </w:p>
          <w:p>
            <w:pPr>
              <w:tabs>
                <w:tab w:val="left" w:pos="7665"/>
              </w:tabs>
              <w:snapToGrid w:val="0"/>
              <w:jc w:val="left"/>
              <w:rPr>
                <w:rFonts w:ascii="宋体" w:hAnsi="宋体"/>
                <w:color w:val="auto"/>
                <w:sz w:val="24"/>
                <w:highlight w:val="none"/>
              </w:rPr>
            </w:pPr>
            <w:r>
              <w:rPr>
                <w:rFonts w:hint="eastAsia" w:ascii="宋体" w:hAnsi="宋体"/>
                <w:color w:val="auto"/>
                <w:sz w:val="24"/>
                <w:szCs w:val="24"/>
                <w:highlight w:val="none"/>
              </w:rPr>
              <w:t>邮编：610041。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after="200"/>
              <w:ind w:left="0" w:firstLine="0"/>
              <w:jc w:val="center"/>
              <w:rPr>
                <w:rFonts w:ascii="宋体" w:hAnsi="宋体"/>
                <w:color w:val="auto"/>
                <w:sz w:val="24"/>
                <w:highlight w:val="none"/>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所有</w:t>
            </w:r>
            <w:r>
              <w:rPr>
                <w:rFonts w:hint="eastAsia" w:ascii="宋体" w:hAnsi="宋体"/>
                <w:color w:val="auto"/>
                <w:sz w:val="24"/>
                <w:szCs w:val="24"/>
                <w:highlight w:val="none"/>
              </w:rPr>
              <w:t>投标人</w:t>
            </w:r>
            <w:r>
              <w:rPr>
                <w:rFonts w:hint="eastAsia" w:ascii="宋体" w:hAnsi="宋体" w:cs="宋体"/>
                <w:color w:val="auto"/>
                <w:kern w:val="0"/>
                <w:sz w:val="24"/>
                <w:szCs w:val="24"/>
                <w:highlight w:val="none"/>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after="200"/>
              <w:ind w:left="0" w:firstLine="0"/>
              <w:jc w:val="center"/>
              <w:rPr>
                <w:rFonts w:ascii="宋体" w:hAnsi="宋体"/>
                <w:color w:val="auto"/>
                <w:sz w:val="24"/>
                <w:highlight w:val="none"/>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auto"/>
                <w:sz w:val="24"/>
                <w:szCs w:val="24"/>
                <w:highlight w:val="none"/>
              </w:rPr>
            </w:pPr>
            <w:r>
              <w:rPr>
                <w:rFonts w:hint="eastAsia" w:ascii="宋体" w:hAnsi="宋体" w:cs="宋体"/>
                <w:color w:val="auto"/>
                <w:kern w:val="0"/>
                <w:sz w:val="24"/>
                <w:szCs w:val="24"/>
                <w:highlight w:val="none"/>
                <w:lang w:val="zh-CN"/>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auto"/>
                <w:kern w:val="0"/>
                <w:sz w:val="24"/>
                <w:szCs w:val="24"/>
                <w:highlight w:val="none"/>
              </w:rPr>
            </w:pPr>
            <w:r>
              <w:rPr>
                <w:rFonts w:hint="eastAsia" w:ascii="宋体" w:hAnsi="宋体"/>
                <w:color w:val="auto"/>
                <w:kern w:val="0"/>
                <w:sz w:val="24"/>
                <w:szCs w:val="24"/>
                <w:highlight w:val="none"/>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after="200"/>
              <w:ind w:left="0" w:firstLine="0"/>
              <w:jc w:val="center"/>
              <w:rPr>
                <w:rFonts w:ascii="宋体" w:hAnsi="宋体"/>
                <w:color w:val="auto"/>
                <w:sz w:val="24"/>
                <w:highlight w:val="none"/>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auto"/>
                <w:sz w:val="24"/>
                <w:highlight w:val="none"/>
              </w:rPr>
            </w:pPr>
            <w:r>
              <w:rPr>
                <w:rFonts w:hint="eastAsia" w:ascii="宋体" w:hAnsi="宋体"/>
                <w:color w:val="auto"/>
                <w:sz w:val="24"/>
                <w:highlight w:val="none"/>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auto"/>
                <w:kern w:val="0"/>
                <w:sz w:val="24"/>
                <w:highlight w:val="none"/>
              </w:rPr>
            </w:pPr>
            <w:r>
              <w:rPr>
                <w:rFonts w:hint="eastAsia" w:ascii="宋体" w:hAnsi="宋体"/>
                <w:color w:val="auto"/>
                <w:kern w:val="0"/>
                <w:sz w:val="24"/>
                <w:highlight w:val="none"/>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after="200"/>
              <w:ind w:left="0" w:firstLine="0"/>
              <w:jc w:val="center"/>
              <w:rPr>
                <w:rFonts w:ascii="宋体" w:hAnsi="宋体"/>
                <w:color w:val="auto"/>
                <w:sz w:val="24"/>
                <w:highlight w:val="none"/>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auto"/>
                <w:sz w:val="24"/>
                <w:highlight w:val="none"/>
              </w:rPr>
            </w:pPr>
            <w:r>
              <w:rPr>
                <w:rFonts w:hint="eastAsia" w:ascii="宋体" w:hAnsi="宋体"/>
                <w:color w:val="auto"/>
                <w:sz w:val="24"/>
                <w:highlight w:val="none"/>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auto"/>
                <w:sz w:val="24"/>
                <w:highlight w:val="none"/>
              </w:rPr>
            </w:pPr>
            <w:r>
              <w:rPr>
                <w:rFonts w:hint="eastAsia" w:ascii="宋体"/>
                <w:color w:val="auto"/>
                <w:sz w:val="24"/>
                <w:highlight w:val="none"/>
              </w:rPr>
              <w:t>政府采购合同签订之日起2个工作日内，采购人将在四川政府采购网公告政府采购合同；</w:t>
            </w:r>
            <w:r>
              <w:rPr>
                <w:rFonts w:hint="eastAsia" w:ascii="宋体" w:hAnsi="宋体" w:cs="宋体"/>
                <w:color w:val="auto"/>
                <w:kern w:val="0"/>
                <w:sz w:val="24"/>
                <w:szCs w:val="24"/>
                <w:highlight w:val="none"/>
                <w:lang w:val="zh-CN"/>
              </w:rPr>
              <w:t>疫情防控期间，采购人原则上在5个工作日内与供应商签订政府采购合同及向本采购项目同级财政部门，即成都高新区财政金融局备案政府采购合同。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after="200"/>
              <w:ind w:left="0" w:firstLine="0"/>
              <w:jc w:val="center"/>
              <w:rPr>
                <w:rFonts w:ascii="宋体" w:hAnsi="宋体"/>
                <w:color w:val="auto"/>
                <w:sz w:val="24"/>
                <w:highlight w:val="none"/>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中小企业政府采购信用融资</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s="宋体"/>
                <w:color w:val="auto"/>
                <w:kern w:val="0"/>
                <w:sz w:val="24"/>
                <w:szCs w:val="24"/>
                <w:highlight w:val="none"/>
                <w:lang w:val="zh-CN"/>
              </w:rPr>
            </w:pPr>
            <w:r>
              <w:rPr>
                <w:rFonts w:hint="eastAsia" w:ascii="宋体"/>
                <w:color w:val="auto"/>
                <w:sz w:val="24"/>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w:t>
            </w:r>
            <w:r>
              <w:rPr>
                <w:rFonts w:ascii="宋体"/>
                <w:color w:val="auto"/>
                <w:sz w:val="24"/>
                <w:highlight w:val="none"/>
              </w:rPr>
              <w:t>2019〕17号）、《成都高新区财政金融局关于印发&lt;成都高新区支持中小企业政府采购信用融资实施方案&gt;的通知》（</w:t>
            </w:r>
            <w:r>
              <w:rPr>
                <w:rFonts w:hint="eastAsia" w:ascii="宋体"/>
                <w:color w:val="auto"/>
                <w:sz w:val="24"/>
                <w:highlight w:val="none"/>
              </w:rPr>
              <w:t>成高财发</w:t>
            </w:r>
            <w:r>
              <w:rPr>
                <w:rFonts w:ascii="宋体"/>
                <w:color w:val="auto"/>
                <w:sz w:val="24"/>
                <w:highlight w:val="none"/>
              </w:rPr>
              <w:t>[2019]141号）见附件。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after="200"/>
              <w:ind w:left="0" w:firstLine="0"/>
              <w:jc w:val="center"/>
              <w:rPr>
                <w:rFonts w:ascii="宋体" w:hAnsi="宋体"/>
                <w:color w:val="auto"/>
                <w:sz w:val="24"/>
                <w:highlight w:val="none"/>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jc w:val="left"/>
              <w:rPr>
                <w:rFonts w:ascii="宋体" w:hAnsi="宋体"/>
                <w:color w:val="auto"/>
                <w:sz w:val="24"/>
                <w:highlight w:val="none"/>
              </w:rPr>
            </w:pPr>
            <w:r>
              <w:rPr>
                <w:rFonts w:hint="eastAsia" w:ascii="宋体" w:hAnsi="宋体"/>
                <w:color w:val="auto"/>
                <w:sz w:val="24"/>
                <w:highlight w:val="none"/>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auto"/>
                <w:sz w:val="24"/>
                <w:highlight w:val="none"/>
              </w:rPr>
            </w:pPr>
            <w:r>
              <w:rPr>
                <w:rFonts w:hint="eastAsia" w:ascii="宋体" w:hAnsi="宋体"/>
                <w:color w:val="auto"/>
                <w:sz w:val="24"/>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9"/>
              </w:numPr>
              <w:snapToGrid w:val="0"/>
              <w:spacing w:after="200"/>
              <w:ind w:left="0" w:firstLine="0"/>
              <w:jc w:val="center"/>
              <w:rPr>
                <w:rFonts w:ascii="宋体" w:hAnsi="宋体"/>
                <w:color w:val="auto"/>
                <w:sz w:val="24"/>
                <w:highlight w:val="none"/>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rPr>
                <w:rFonts w:ascii="宋体" w:hAnsi="宋体"/>
                <w:color w:val="auto"/>
                <w:sz w:val="24"/>
                <w:highlight w:val="none"/>
              </w:rPr>
            </w:pPr>
            <w:r>
              <w:rPr>
                <w:rFonts w:hint="eastAsia" w:ascii="宋体" w:hAnsi="宋体"/>
                <w:color w:val="auto"/>
                <w:sz w:val="24"/>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5"/>
        </w:numPr>
        <w:spacing w:before="0" w:after="0" w:line="240" w:lineRule="auto"/>
        <w:ind w:left="2269" w:hanging="2127"/>
        <w:rPr>
          <w:color w:val="auto"/>
          <w:highlight w:val="none"/>
        </w:rPr>
      </w:pPr>
      <w:bookmarkStart w:id="34" w:name="_Toc10565"/>
      <w:bookmarkStart w:id="35" w:name="_Toc13895"/>
      <w:bookmarkStart w:id="36" w:name="_Toc22447"/>
      <w:bookmarkStart w:id="37" w:name="_Toc30390"/>
      <w:bookmarkStart w:id="38" w:name="_Toc29824"/>
      <w:r>
        <w:rPr>
          <w:rFonts w:hint="eastAsia"/>
          <w:color w:val="auto"/>
          <w:highlight w:val="none"/>
        </w:rPr>
        <w:t>总则</w:t>
      </w:r>
      <w:bookmarkEnd w:id="34"/>
      <w:bookmarkEnd w:id="35"/>
      <w:bookmarkEnd w:id="36"/>
      <w:bookmarkEnd w:id="37"/>
      <w:bookmarkEnd w:id="38"/>
    </w:p>
    <w:p>
      <w:pPr>
        <w:pStyle w:val="6"/>
        <w:numPr>
          <w:ilvl w:val="2"/>
          <w:numId w:val="5"/>
        </w:numPr>
        <w:spacing w:after="200" w:line="240" w:lineRule="auto"/>
        <w:ind w:left="-141" w:leftChars="-67" w:firstLine="0"/>
        <w:rPr>
          <w:color w:val="auto"/>
          <w:highlight w:val="none"/>
        </w:rPr>
      </w:pPr>
      <w:r>
        <w:rPr>
          <w:rFonts w:hint="eastAsia"/>
          <w:color w:val="auto"/>
          <w:highlight w:val="none"/>
        </w:rPr>
        <w:t>适用范围</w:t>
      </w:r>
    </w:p>
    <w:p>
      <w:pPr>
        <w:numPr>
          <w:ilvl w:val="0"/>
          <w:numId w:val="11"/>
        </w:numPr>
        <w:tabs>
          <w:tab w:val="left" w:pos="1134"/>
        </w:tabs>
        <w:spacing w:after="200"/>
        <w:ind w:left="0" w:firstLine="565" w:firstLineChars="202"/>
        <w:rPr>
          <w:rFonts w:ascii="宋体" w:hAnsi="宋体"/>
          <w:color w:val="auto"/>
          <w:sz w:val="28"/>
          <w:szCs w:val="28"/>
          <w:highlight w:val="none"/>
        </w:rPr>
      </w:pPr>
      <w:r>
        <w:rPr>
          <w:rFonts w:hint="eastAsia" w:ascii="宋体" w:hAnsi="宋体"/>
          <w:color w:val="auto"/>
          <w:sz w:val="28"/>
          <w:szCs w:val="28"/>
          <w:highlight w:val="none"/>
        </w:rPr>
        <w:t>本招标文件仅适用于本次公开招标采购项目。</w:t>
      </w:r>
    </w:p>
    <w:p>
      <w:pPr>
        <w:numPr>
          <w:ilvl w:val="0"/>
          <w:numId w:val="11"/>
        </w:numPr>
        <w:tabs>
          <w:tab w:val="left" w:pos="1134"/>
        </w:tabs>
        <w:spacing w:after="200"/>
        <w:ind w:left="0" w:firstLine="565" w:firstLineChars="202"/>
        <w:rPr>
          <w:rFonts w:ascii="宋体" w:hAnsi="宋体"/>
          <w:color w:val="auto"/>
          <w:sz w:val="28"/>
          <w:szCs w:val="28"/>
          <w:highlight w:val="none"/>
        </w:rPr>
      </w:pPr>
      <w:r>
        <w:rPr>
          <w:rFonts w:hint="eastAsia" w:ascii="宋体" w:hAnsi="宋体"/>
          <w:color w:val="auto"/>
          <w:sz w:val="28"/>
          <w:szCs w:val="28"/>
          <w:highlight w:val="none"/>
        </w:rPr>
        <w:t>本招标文件的最终解释权由采购人或高新区采购中心享有。对招标文件中供应商参加本次政府采购活动应当具备的条件，招标项目服务、商务及其他要求，评标细则及标准由采购人负责解释。除上述招标文件内容，其他内容由高新区采购中心负责解释。</w:t>
      </w:r>
    </w:p>
    <w:p>
      <w:pPr>
        <w:pStyle w:val="6"/>
        <w:numPr>
          <w:ilvl w:val="2"/>
          <w:numId w:val="5"/>
        </w:numPr>
        <w:spacing w:after="200" w:line="240" w:lineRule="auto"/>
        <w:ind w:left="0" w:firstLine="0"/>
        <w:rPr>
          <w:color w:val="auto"/>
          <w:highlight w:val="none"/>
        </w:rPr>
      </w:pPr>
      <w:r>
        <w:rPr>
          <w:rFonts w:hint="eastAsia"/>
          <w:color w:val="auto"/>
          <w:highlight w:val="none"/>
        </w:rPr>
        <w:t>有关定义</w:t>
      </w:r>
    </w:p>
    <w:p>
      <w:pPr>
        <w:numPr>
          <w:ilvl w:val="0"/>
          <w:numId w:val="12"/>
        </w:numPr>
        <w:tabs>
          <w:tab w:val="left" w:pos="1134"/>
        </w:tabs>
        <w:spacing w:after="200"/>
        <w:ind w:left="0" w:firstLine="567"/>
        <w:jc w:val="left"/>
        <w:rPr>
          <w:rFonts w:ascii="宋体" w:hAnsi="宋体"/>
          <w:color w:val="auto"/>
          <w:sz w:val="28"/>
          <w:szCs w:val="28"/>
          <w:highlight w:val="none"/>
        </w:rPr>
      </w:pPr>
      <w:r>
        <w:rPr>
          <w:rFonts w:hint="eastAsia" w:ascii="宋体" w:hAnsi="宋体"/>
          <w:color w:val="auto"/>
          <w:sz w:val="28"/>
          <w:szCs w:val="28"/>
          <w:highlight w:val="none"/>
        </w:rPr>
        <w:t>“采购人”和“甲方”系指依法进行政府采购的高新区级机关、事业单位、团体组织。本次招标的采购人是</w:t>
      </w:r>
      <w:r>
        <w:rPr>
          <w:rFonts w:hint="eastAsia" w:asciiTheme="minorEastAsia" w:hAnsiTheme="minorEastAsia" w:eastAsiaTheme="minorEastAsia"/>
          <w:b/>
          <w:color w:val="auto"/>
          <w:kern w:val="0"/>
          <w:sz w:val="28"/>
          <w:highlight w:val="none"/>
        </w:rPr>
        <w:t>成都高新区政务服务和网络理政办公室</w:t>
      </w:r>
      <w:r>
        <w:rPr>
          <w:rFonts w:hint="eastAsia" w:ascii="宋体" w:hAnsi="宋体"/>
          <w:color w:val="auto"/>
          <w:sz w:val="28"/>
          <w:szCs w:val="28"/>
          <w:highlight w:val="none"/>
        </w:rPr>
        <w:t>。</w:t>
      </w:r>
    </w:p>
    <w:p>
      <w:pPr>
        <w:numPr>
          <w:ilvl w:val="0"/>
          <w:numId w:val="1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“投标人”系指在系统中成功提交《采购文件获取登记表》拟参加投标和向采购人提供货物及服务的供应商。</w:t>
      </w:r>
    </w:p>
    <w:p>
      <w:pPr>
        <w:numPr>
          <w:ilvl w:val="0"/>
          <w:numId w:val="1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本招标文件各部分规定的“以上”、“以下”、“内”、“以内”，包括本数；所称的“不足”，不包括本数。</w:t>
      </w:r>
    </w:p>
    <w:p>
      <w:pPr>
        <w:numPr>
          <w:ilvl w:val="0"/>
          <w:numId w:val="1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重大违法记录是指供应商因违法经营受到刑事处罚或者责令停产停业、吊销许可证或者执照、较大数额罚款等行政处罚。</w:t>
      </w:r>
    </w:p>
    <w:p>
      <w:pPr>
        <w:numPr>
          <w:ilvl w:val="0"/>
          <w:numId w:val="1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不见面开标是指，高新区采购中心依托政府采购云平台组织开标活动，供应商在线参与开标的一种组织形式。 </w:t>
      </w:r>
    </w:p>
    <w:p>
      <w:pPr>
        <w:pStyle w:val="6"/>
        <w:numPr>
          <w:ilvl w:val="2"/>
          <w:numId w:val="5"/>
        </w:numPr>
        <w:spacing w:after="200" w:line="240" w:lineRule="auto"/>
        <w:ind w:left="851"/>
        <w:rPr>
          <w:color w:val="auto"/>
          <w:highlight w:val="none"/>
        </w:rPr>
      </w:pPr>
      <w:bookmarkStart w:id="39" w:name="_Toc217390843"/>
      <w:bookmarkStart w:id="40" w:name="_Toc183582207"/>
      <w:bookmarkStart w:id="41" w:name="_Toc217446036"/>
      <w:bookmarkStart w:id="42" w:name="_Toc183682344"/>
      <w:r>
        <w:rPr>
          <w:rFonts w:hint="eastAsia"/>
          <w:color w:val="auto"/>
          <w:highlight w:val="none"/>
        </w:rPr>
        <w:t>合格的投标人</w:t>
      </w:r>
      <w:bookmarkEnd w:id="39"/>
      <w:bookmarkEnd w:id="40"/>
      <w:bookmarkEnd w:id="41"/>
      <w:bookmarkEnd w:id="42"/>
    </w:p>
    <w:p>
      <w:pPr>
        <w:tabs>
          <w:tab w:val="left" w:pos="7665"/>
        </w:tabs>
        <w:ind w:firstLine="565" w:firstLineChars="202"/>
        <w:rPr>
          <w:rFonts w:ascii="宋体" w:hAnsi="宋体"/>
          <w:color w:val="auto"/>
          <w:sz w:val="28"/>
          <w:szCs w:val="28"/>
          <w:highlight w:val="none"/>
        </w:rPr>
      </w:pPr>
      <w:r>
        <w:rPr>
          <w:rFonts w:hint="eastAsia" w:ascii="宋体" w:hAnsi="宋体"/>
          <w:color w:val="auto"/>
          <w:sz w:val="28"/>
          <w:szCs w:val="28"/>
          <w:highlight w:val="none"/>
        </w:rPr>
        <w:t>合格的投标人应具备以下条件：</w:t>
      </w:r>
    </w:p>
    <w:p>
      <w:pPr>
        <w:numPr>
          <w:ilvl w:val="0"/>
          <w:numId w:val="13"/>
        </w:numPr>
        <w:tabs>
          <w:tab w:val="left" w:pos="1134"/>
        </w:tabs>
        <w:spacing w:after="200"/>
        <w:rPr>
          <w:rFonts w:ascii="宋体" w:hAnsi="宋体"/>
          <w:color w:val="auto"/>
          <w:sz w:val="28"/>
          <w:szCs w:val="28"/>
          <w:highlight w:val="none"/>
        </w:rPr>
      </w:pPr>
      <w:r>
        <w:rPr>
          <w:rFonts w:hint="eastAsia" w:ascii="宋体" w:hAnsi="宋体"/>
          <w:color w:val="auto"/>
          <w:sz w:val="28"/>
          <w:szCs w:val="28"/>
          <w:highlight w:val="none"/>
        </w:rPr>
        <w:t>本招标文件“投标邀请”第五条规定的条件；</w:t>
      </w:r>
    </w:p>
    <w:p>
      <w:pPr>
        <w:numPr>
          <w:ilvl w:val="0"/>
          <w:numId w:val="13"/>
        </w:numPr>
        <w:tabs>
          <w:tab w:val="left" w:pos="1134"/>
        </w:tabs>
        <w:spacing w:after="200"/>
        <w:ind w:left="0" w:firstLine="568"/>
        <w:rPr>
          <w:rFonts w:ascii="宋体" w:hAnsi="宋体"/>
          <w:color w:val="auto"/>
          <w:sz w:val="28"/>
          <w:szCs w:val="28"/>
          <w:highlight w:val="none"/>
        </w:rPr>
      </w:pPr>
      <w:r>
        <w:rPr>
          <w:rFonts w:hint="eastAsia" w:ascii="宋体" w:hAnsi="宋体"/>
          <w:color w:val="auto"/>
          <w:sz w:val="28"/>
          <w:szCs w:val="28"/>
          <w:highlight w:val="none"/>
        </w:rPr>
        <w:t>按照招标文件“投标邀请”中第六、七、八条规定获取了招标文件。</w:t>
      </w:r>
    </w:p>
    <w:p>
      <w:pPr>
        <w:pStyle w:val="6"/>
        <w:numPr>
          <w:ilvl w:val="2"/>
          <w:numId w:val="5"/>
        </w:numPr>
        <w:spacing w:after="200" w:line="240" w:lineRule="auto"/>
        <w:ind w:left="0" w:firstLine="0"/>
        <w:rPr>
          <w:color w:val="auto"/>
          <w:highlight w:val="none"/>
        </w:rPr>
      </w:pPr>
      <w:r>
        <w:rPr>
          <w:rFonts w:hint="eastAsia"/>
          <w:color w:val="auto"/>
          <w:highlight w:val="none"/>
        </w:rPr>
        <w:t>投标费用</w:t>
      </w:r>
    </w:p>
    <w:p>
      <w:pPr>
        <w:ind w:firstLine="660" w:firstLineChars="236"/>
        <w:rPr>
          <w:rFonts w:ascii="宋体" w:hAnsi="宋体"/>
          <w:color w:val="auto"/>
          <w:sz w:val="28"/>
          <w:szCs w:val="28"/>
          <w:highlight w:val="none"/>
        </w:rPr>
      </w:pPr>
      <w:r>
        <w:rPr>
          <w:rFonts w:hint="eastAsia" w:ascii="宋体" w:hAnsi="宋体"/>
          <w:color w:val="auto"/>
          <w:sz w:val="28"/>
          <w:szCs w:val="28"/>
          <w:highlight w:val="none"/>
        </w:rPr>
        <w:t>投标人应自行承担参加投标的全部费用。</w:t>
      </w:r>
    </w:p>
    <w:p>
      <w:pPr>
        <w:pStyle w:val="6"/>
        <w:numPr>
          <w:ilvl w:val="2"/>
          <w:numId w:val="5"/>
        </w:numPr>
        <w:spacing w:after="200" w:line="240" w:lineRule="auto"/>
        <w:ind w:left="0" w:firstLine="0"/>
        <w:rPr>
          <w:color w:val="auto"/>
          <w:highlight w:val="none"/>
        </w:rPr>
      </w:pPr>
      <w:r>
        <w:rPr>
          <w:rFonts w:hint="eastAsia"/>
          <w:color w:val="auto"/>
          <w:highlight w:val="none"/>
        </w:rPr>
        <w:t>充分、公平竞争保障措施</w:t>
      </w:r>
    </w:p>
    <w:p>
      <w:pPr>
        <w:pStyle w:val="116"/>
        <w:tabs>
          <w:tab w:val="left" w:pos="851"/>
        </w:tabs>
        <w:spacing w:before="156" w:line="240" w:lineRule="auto"/>
        <w:ind w:firstLine="560" w:firstLineChars="200"/>
        <w:rPr>
          <w:rFonts w:hAnsi="宋体"/>
          <w:color w:val="auto"/>
          <w:sz w:val="28"/>
          <w:szCs w:val="28"/>
          <w:highlight w:val="none"/>
        </w:rPr>
      </w:pPr>
      <w:r>
        <w:rPr>
          <w:rFonts w:hint="eastAsia" w:hAnsi="宋体"/>
          <w:color w:val="auto"/>
          <w:sz w:val="28"/>
          <w:szCs w:val="28"/>
          <w:highlight w:val="none"/>
        </w:rPr>
        <w:t>一、单位负责人为同一人或者存在直接控股、管理关系的不同供应商，不得参加同一项目的投标。</w:t>
      </w:r>
    </w:p>
    <w:p>
      <w:pPr>
        <w:pStyle w:val="116"/>
        <w:tabs>
          <w:tab w:val="left" w:pos="851"/>
        </w:tabs>
        <w:spacing w:before="156" w:line="240" w:lineRule="auto"/>
        <w:ind w:left="-143" w:leftChars="-68" w:firstLine="700" w:firstLineChars="250"/>
        <w:rPr>
          <w:rFonts w:hAnsi="宋体"/>
          <w:b/>
          <w:color w:val="auto"/>
          <w:sz w:val="28"/>
          <w:szCs w:val="28"/>
          <w:highlight w:val="none"/>
        </w:rPr>
      </w:pPr>
      <w:r>
        <w:rPr>
          <w:rFonts w:hint="eastAsia" w:hAnsi="宋体"/>
          <w:color w:val="auto"/>
          <w:sz w:val="28"/>
          <w:szCs w:val="28"/>
          <w:highlight w:val="none"/>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highlight w:val="none"/>
        </w:rPr>
        <w:t>（说明：无供应商为本项目提供整体设计、规范编制或者项目管理、监理、检测等服务。）</w:t>
      </w:r>
    </w:p>
    <w:p>
      <w:pPr>
        <w:pStyle w:val="5"/>
        <w:numPr>
          <w:ilvl w:val="1"/>
          <w:numId w:val="5"/>
        </w:numPr>
        <w:spacing w:before="0" w:after="0" w:line="240" w:lineRule="auto"/>
        <w:ind w:left="2269" w:hanging="2127"/>
        <w:rPr>
          <w:color w:val="auto"/>
          <w:highlight w:val="none"/>
        </w:rPr>
      </w:pPr>
      <w:bookmarkStart w:id="43" w:name="_Toc12455"/>
      <w:bookmarkStart w:id="44" w:name="_Toc14798"/>
      <w:bookmarkStart w:id="45" w:name="_Toc2675"/>
      <w:bookmarkStart w:id="46" w:name="_Toc32420"/>
      <w:bookmarkStart w:id="47" w:name="_Toc14139"/>
      <w:r>
        <w:rPr>
          <w:rFonts w:hint="eastAsia"/>
          <w:color w:val="auto"/>
          <w:highlight w:val="none"/>
        </w:rPr>
        <w:t>招标文件</w:t>
      </w:r>
      <w:bookmarkEnd w:id="43"/>
      <w:bookmarkEnd w:id="44"/>
      <w:bookmarkEnd w:id="45"/>
      <w:bookmarkEnd w:id="46"/>
      <w:bookmarkEnd w:id="47"/>
    </w:p>
    <w:p>
      <w:pPr>
        <w:pStyle w:val="6"/>
        <w:numPr>
          <w:ilvl w:val="2"/>
          <w:numId w:val="5"/>
        </w:numPr>
        <w:spacing w:after="200" w:line="240" w:lineRule="auto"/>
        <w:ind w:left="0" w:firstLine="0"/>
        <w:rPr>
          <w:color w:val="auto"/>
          <w:highlight w:val="none"/>
        </w:rPr>
      </w:pPr>
      <w:bookmarkStart w:id="48" w:name="_Toc183582210"/>
      <w:bookmarkStart w:id="49" w:name="_Toc183682347"/>
      <w:bookmarkStart w:id="50" w:name="_Toc217446039"/>
      <w:r>
        <w:rPr>
          <w:rFonts w:hint="eastAsia"/>
          <w:color w:val="auto"/>
          <w:highlight w:val="none"/>
        </w:rPr>
        <w:t>招标文件的构成</w:t>
      </w:r>
      <w:bookmarkEnd w:id="48"/>
      <w:bookmarkEnd w:id="49"/>
      <w:bookmarkEnd w:id="50"/>
    </w:p>
    <w:p>
      <w:pPr>
        <w:numPr>
          <w:ilvl w:val="0"/>
          <w:numId w:val="14"/>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5"/>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投标邀请；</w:t>
      </w:r>
    </w:p>
    <w:p>
      <w:pPr>
        <w:numPr>
          <w:ilvl w:val="1"/>
          <w:numId w:val="15"/>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投标人须知；</w:t>
      </w:r>
    </w:p>
    <w:p>
      <w:pPr>
        <w:numPr>
          <w:ilvl w:val="1"/>
          <w:numId w:val="15"/>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投标文件格式；</w:t>
      </w:r>
    </w:p>
    <w:p>
      <w:pPr>
        <w:numPr>
          <w:ilvl w:val="1"/>
          <w:numId w:val="15"/>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招标项目服务、商务及其他要求；</w:t>
      </w:r>
    </w:p>
    <w:p>
      <w:pPr>
        <w:numPr>
          <w:ilvl w:val="1"/>
          <w:numId w:val="15"/>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资格性审查；</w:t>
      </w:r>
    </w:p>
    <w:p>
      <w:pPr>
        <w:numPr>
          <w:ilvl w:val="1"/>
          <w:numId w:val="15"/>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评标办法；</w:t>
      </w:r>
    </w:p>
    <w:p>
      <w:pPr>
        <w:numPr>
          <w:ilvl w:val="1"/>
          <w:numId w:val="15"/>
        </w:numPr>
        <w:tabs>
          <w:tab w:val="left" w:pos="1134"/>
        </w:tabs>
        <w:spacing w:after="200"/>
        <w:ind w:left="567" w:firstLine="0"/>
        <w:rPr>
          <w:rFonts w:ascii="宋体" w:hAnsi="宋体"/>
          <w:color w:val="auto"/>
          <w:sz w:val="28"/>
          <w:szCs w:val="28"/>
          <w:highlight w:val="none"/>
        </w:rPr>
      </w:pPr>
      <w:r>
        <w:rPr>
          <w:rFonts w:hint="eastAsia" w:ascii="宋体" w:hAnsi="宋体"/>
          <w:color w:val="auto"/>
          <w:sz w:val="28"/>
          <w:szCs w:val="28"/>
          <w:highlight w:val="none"/>
        </w:rPr>
        <w:t>拟签订合同文本。</w:t>
      </w:r>
    </w:p>
    <w:p>
      <w:pPr>
        <w:numPr>
          <w:ilvl w:val="0"/>
          <w:numId w:val="14"/>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投标人应认真阅读和充分理解招标文件中所有的事项、格式条款和规范要求。投标人没有对招标文件全面做出实质性响应所产生的风险由投标人承担。</w:t>
      </w:r>
    </w:p>
    <w:p>
      <w:pPr>
        <w:pStyle w:val="6"/>
        <w:numPr>
          <w:ilvl w:val="2"/>
          <w:numId w:val="5"/>
        </w:numPr>
        <w:spacing w:after="200" w:line="240" w:lineRule="auto"/>
        <w:ind w:left="0" w:firstLine="0"/>
        <w:rPr>
          <w:color w:val="auto"/>
          <w:highlight w:val="none"/>
        </w:rPr>
      </w:pPr>
      <w:bookmarkStart w:id="51" w:name="_Toc183682348"/>
      <w:bookmarkStart w:id="52" w:name="_Toc183582211"/>
      <w:bookmarkStart w:id="53" w:name="_Toc217446040"/>
      <w:r>
        <w:rPr>
          <w:rFonts w:hint="eastAsia"/>
          <w:color w:val="auto"/>
          <w:highlight w:val="none"/>
        </w:rPr>
        <w:t>招标文件的澄清</w:t>
      </w:r>
      <w:bookmarkEnd w:id="51"/>
      <w:bookmarkEnd w:id="52"/>
      <w:r>
        <w:rPr>
          <w:rFonts w:hint="eastAsia"/>
          <w:color w:val="auto"/>
          <w:highlight w:val="none"/>
        </w:rPr>
        <w:t>和修改</w:t>
      </w:r>
      <w:bookmarkEnd w:id="53"/>
      <w:bookmarkStart w:id="54" w:name="_Toc77400780"/>
      <w:bookmarkStart w:id="55" w:name="_Toc27307"/>
      <w:bookmarkStart w:id="56" w:name="_Toc31441"/>
      <w:bookmarkStart w:id="57" w:name="_Toc19128"/>
      <w:bookmarkStart w:id="58" w:name="_Toc6071"/>
      <w:bookmarkStart w:id="59" w:name="_Toc183582214"/>
      <w:bookmarkStart w:id="60" w:name="_Toc183682351"/>
      <w:bookmarkStart w:id="61" w:name="_Toc217446042"/>
      <w:bookmarkStart w:id="62" w:name="_Toc89075876"/>
    </w:p>
    <w:p>
      <w:pPr>
        <w:numPr>
          <w:ilvl w:val="0"/>
          <w:numId w:val="16"/>
        </w:numPr>
        <w:tabs>
          <w:tab w:val="left" w:pos="142"/>
          <w:tab w:val="left" w:pos="1134"/>
        </w:tabs>
        <w:spacing w:after="200"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在投标截止时间前，采购人或者</w:t>
      </w:r>
      <w:r>
        <w:rPr>
          <w:rFonts w:hint="eastAsia" w:cs="Arial"/>
          <w:color w:val="auto"/>
          <w:sz w:val="28"/>
          <w:szCs w:val="28"/>
          <w:highlight w:val="none"/>
        </w:rPr>
        <w:t>高新区采购中心</w:t>
      </w:r>
      <w:r>
        <w:rPr>
          <w:rFonts w:hint="eastAsia" w:ascii="宋体" w:hAnsi="宋体"/>
          <w:color w:val="auto"/>
          <w:sz w:val="28"/>
          <w:szCs w:val="28"/>
          <w:highlight w:val="none"/>
        </w:rPr>
        <w:t>可以对已发出的招标文件进行必要的澄清或者修改。</w:t>
      </w:r>
    </w:p>
    <w:p>
      <w:pPr>
        <w:numPr>
          <w:ilvl w:val="0"/>
          <w:numId w:val="16"/>
        </w:numPr>
        <w:spacing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澄清或者修改的内容，高新区采购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澄清或者修改的内容可能影响投标文件编制的，高新区采购中心应当在投标截止时间至少15日前，通过政府采购云平台通知所有获取招标文件的潜在投标人；不足15日的，采购人或高新区采购中心应当顺延提交投标文件的截止时间。</w:t>
      </w:r>
    </w:p>
    <w:p>
      <w:pPr>
        <w:pStyle w:val="5"/>
        <w:numPr>
          <w:ilvl w:val="1"/>
          <w:numId w:val="5"/>
        </w:numPr>
        <w:spacing w:before="0" w:after="0" w:line="240" w:lineRule="auto"/>
        <w:ind w:left="2269" w:hanging="2127"/>
        <w:rPr>
          <w:color w:val="auto"/>
          <w:highlight w:val="none"/>
        </w:rPr>
      </w:pPr>
      <w:bookmarkStart w:id="63" w:name="_Toc4709"/>
      <w:r>
        <w:rPr>
          <w:rFonts w:hint="eastAsia"/>
          <w:color w:val="auto"/>
          <w:highlight w:val="none"/>
        </w:rPr>
        <w:t>投标文件</w:t>
      </w:r>
      <w:bookmarkEnd w:id="54"/>
      <w:bookmarkEnd w:id="55"/>
      <w:bookmarkEnd w:id="56"/>
      <w:bookmarkEnd w:id="57"/>
      <w:bookmarkEnd w:id="58"/>
      <w:bookmarkEnd w:id="59"/>
      <w:bookmarkEnd w:id="60"/>
      <w:bookmarkEnd w:id="61"/>
      <w:bookmarkEnd w:id="62"/>
      <w:bookmarkEnd w:id="63"/>
    </w:p>
    <w:p>
      <w:pPr>
        <w:pStyle w:val="6"/>
        <w:numPr>
          <w:ilvl w:val="2"/>
          <w:numId w:val="5"/>
        </w:numPr>
        <w:spacing w:after="200" w:line="240" w:lineRule="auto"/>
        <w:ind w:left="0" w:firstLine="0"/>
        <w:rPr>
          <w:color w:val="auto"/>
          <w:highlight w:val="none"/>
        </w:rPr>
      </w:pPr>
      <w:bookmarkStart w:id="64" w:name="_Toc183682352"/>
      <w:bookmarkStart w:id="65" w:name="_Toc217446043"/>
      <w:bookmarkStart w:id="66" w:name="_Toc183582215"/>
      <w:r>
        <w:rPr>
          <w:rFonts w:hint="eastAsia"/>
          <w:color w:val="auto"/>
          <w:highlight w:val="none"/>
        </w:rPr>
        <w:t>投标文件的语言</w:t>
      </w:r>
      <w:bookmarkEnd w:id="64"/>
      <w:bookmarkEnd w:id="65"/>
      <w:bookmarkEnd w:id="66"/>
    </w:p>
    <w:p>
      <w:pPr>
        <w:numPr>
          <w:ilvl w:val="0"/>
          <w:numId w:val="17"/>
        </w:numPr>
        <w:tabs>
          <w:tab w:val="left" w:pos="1134"/>
        </w:tabs>
        <w:spacing w:after="200"/>
        <w:ind w:left="0" w:firstLine="560"/>
        <w:rPr>
          <w:rFonts w:ascii="宋体" w:hAnsi="宋体"/>
          <w:color w:val="auto"/>
          <w:sz w:val="28"/>
          <w:szCs w:val="28"/>
          <w:highlight w:val="none"/>
        </w:rPr>
      </w:pPr>
      <w:r>
        <w:rPr>
          <w:rFonts w:hint="eastAsia" w:ascii="宋体" w:hAnsi="宋体"/>
          <w:color w:val="auto"/>
          <w:sz w:val="28"/>
          <w:szCs w:val="28"/>
          <w:highlight w:val="none"/>
        </w:rPr>
        <w:t>投标人提交的投标文件以及投标人与采购人或高新区采购中心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after="200"/>
        <w:ind w:left="0" w:firstLine="560"/>
        <w:rPr>
          <w:rFonts w:ascii="宋体" w:hAnsi="宋体"/>
          <w:color w:val="auto"/>
          <w:sz w:val="28"/>
          <w:szCs w:val="28"/>
          <w:highlight w:val="none"/>
        </w:rPr>
      </w:pPr>
      <w:r>
        <w:rPr>
          <w:rFonts w:hint="eastAsia" w:ascii="宋体" w:hAnsi="宋体"/>
          <w:color w:val="auto"/>
          <w:sz w:val="28"/>
          <w:szCs w:val="28"/>
          <w:highlight w:val="none"/>
        </w:rPr>
        <w:t xml:space="preserve">对不同文字文本投标文件的解释发生异议的，以中文文本为准。若投标人投标文件中提供的外文资料未翻译成中文，则评标委员会可将其视为无效材料。 </w:t>
      </w:r>
    </w:p>
    <w:p>
      <w:pPr>
        <w:pStyle w:val="6"/>
        <w:numPr>
          <w:ilvl w:val="2"/>
          <w:numId w:val="5"/>
        </w:numPr>
        <w:spacing w:after="200" w:line="240" w:lineRule="auto"/>
        <w:ind w:left="0" w:firstLine="0"/>
        <w:rPr>
          <w:color w:val="auto"/>
          <w:highlight w:val="none"/>
        </w:rPr>
      </w:pPr>
      <w:bookmarkStart w:id="67" w:name="_Toc217446044"/>
      <w:bookmarkStart w:id="68" w:name="_Toc183582216"/>
      <w:bookmarkStart w:id="69" w:name="_Toc183682353"/>
      <w:r>
        <w:rPr>
          <w:rFonts w:hint="eastAsia"/>
          <w:color w:val="auto"/>
          <w:highlight w:val="none"/>
        </w:rPr>
        <w:t>计量单位</w:t>
      </w:r>
      <w:bookmarkEnd w:id="67"/>
      <w:bookmarkEnd w:id="68"/>
      <w:bookmarkEnd w:id="69"/>
    </w:p>
    <w:p>
      <w:pPr>
        <w:tabs>
          <w:tab w:val="left" w:pos="7665"/>
        </w:tabs>
        <w:ind w:left="13" w:firstLine="554"/>
        <w:rPr>
          <w:rFonts w:ascii="宋体" w:hAnsi="宋体"/>
          <w:color w:val="auto"/>
          <w:sz w:val="28"/>
          <w:szCs w:val="28"/>
          <w:highlight w:val="none"/>
        </w:rPr>
      </w:pPr>
      <w:bookmarkStart w:id="70" w:name="_Toc217446045"/>
      <w:r>
        <w:rPr>
          <w:rFonts w:hint="eastAsia" w:ascii="宋体" w:hAnsi="宋体"/>
          <w:color w:val="auto"/>
          <w:sz w:val="28"/>
          <w:szCs w:val="28"/>
          <w:highlight w:val="none"/>
        </w:rPr>
        <w:t>除招标文件中另有规定外，本次采购项目所有合同项下的投标均采用国家法定的计量单位。</w:t>
      </w:r>
    </w:p>
    <w:p>
      <w:pPr>
        <w:pStyle w:val="6"/>
        <w:numPr>
          <w:ilvl w:val="2"/>
          <w:numId w:val="5"/>
        </w:numPr>
        <w:spacing w:after="200" w:line="240" w:lineRule="auto"/>
        <w:ind w:left="0" w:firstLine="0"/>
        <w:rPr>
          <w:color w:val="auto"/>
          <w:highlight w:val="none"/>
        </w:rPr>
      </w:pPr>
      <w:r>
        <w:rPr>
          <w:rFonts w:hint="eastAsia"/>
          <w:color w:val="auto"/>
          <w:highlight w:val="none"/>
        </w:rPr>
        <w:t>投标货币</w:t>
      </w:r>
      <w:bookmarkEnd w:id="70"/>
    </w:p>
    <w:p>
      <w:pPr>
        <w:tabs>
          <w:tab w:val="left" w:pos="7665"/>
        </w:tabs>
        <w:ind w:left="13" w:firstLine="554"/>
        <w:rPr>
          <w:rFonts w:ascii="宋体" w:hAnsi="宋体"/>
          <w:color w:val="auto"/>
          <w:sz w:val="28"/>
          <w:szCs w:val="28"/>
          <w:highlight w:val="none"/>
        </w:rPr>
      </w:pPr>
      <w:r>
        <w:rPr>
          <w:rFonts w:hint="eastAsia" w:ascii="宋体" w:hAnsi="宋体"/>
          <w:color w:val="auto"/>
          <w:sz w:val="28"/>
          <w:szCs w:val="28"/>
          <w:highlight w:val="none"/>
        </w:rPr>
        <w:t>本次招标项目的投标均以人民币报价。</w:t>
      </w:r>
    </w:p>
    <w:p>
      <w:pPr>
        <w:pStyle w:val="6"/>
        <w:numPr>
          <w:ilvl w:val="2"/>
          <w:numId w:val="5"/>
        </w:numPr>
        <w:spacing w:after="200" w:line="240" w:lineRule="auto"/>
        <w:ind w:left="0" w:firstLine="0"/>
        <w:rPr>
          <w:color w:val="auto"/>
          <w:highlight w:val="none"/>
        </w:rPr>
      </w:pPr>
      <w:bookmarkStart w:id="71" w:name="_Toc217446046"/>
      <w:r>
        <w:rPr>
          <w:rFonts w:hint="eastAsia"/>
          <w:color w:val="auto"/>
          <w:highlight w:val="none"/>
        </w:rPr>
        <w:t>联合体投标</w:t>
      </w:r>
      <w:bookmarkEnd w:id="71"/>
    </w:p>
    <w:p>
      <w:pPr>
        <w:tabs>
          <w:tab w:val="left" w:pos="1134"/>
        </w:tabs>
        <w:ind w:left="546"/>
        <w:rPr>
          <w:rFonts w:ascii="宋体" w:hAnsi="宋体"/>
          <w:color w:val="auto"/>
          <w:sz w:val="28"/>
          <w:szCs w:val="28"/>
          <w:highlight w:val="none"/>
        </w:rPr>
      </w:pPr>
      <w:bookmarkStart w:id="72" w:name="_Toc217446047"/>
      <w:r>
        <w:rPr>
          <w:rFonts w:hint="eastAsia" w:ascii="宋体" w:hAnsi="宋体"/>
          <w:color w:val="auto"/>
          <w:sz w:val="28"/>
          <w:szCs w:val="28"/>
          <w:highlight w:val="none"/>
        </w:rPr>
        <w:t>本次政府采购活动</w:t>
      </w:r>
      <w:r>
        <w:rPr>
          <w:rFonts w:hint="eastAsia" w:ascii="宋体" w:hAnsi="宋体"/>
          <w:b/>
          <w:color w:val="auto"/>
          <w:sz w:val="28"/>
          <w:szCs w:val="28"/>
          <w:highlight w:val="none"/>
        </w:rPr>
        <w:t>不接受</w:t>
      </w:r>
      <w:r>
        <w:rPr>
          <w:rFonts w:hint="eastAsia" w:ascii="宋体" w:hAnsi="宋体"/>
          <w:color w:val="auto"/>
          <w:sz w:val="28"/>
          <w:szCs w:val="28"/>
          <w:highlight w:val="none"/>
        </w:rPr>
        <w:t>联合体投标。</w:t>
      </w:r>
    </w:p>
    <w:p>
      <w:pPr>
        <w:pStyle w:val="6"/>
        <w:numPr>
          <w:ilvl w:val="2"/>
          <w:numId w:val="5"/>
        </w:numPr>
        <w:spacing w:after="200" w:line="240" w:lineRule="auto"/>
        <w:ind w:left="0" w:firstLine="0"/>
        <w:rPr>
          <w:color w:val="auto"/>
          <w:highlight w:val="none"/>
        </w:rPr>
      </w:pPr>
      <w:r>
        <w:rPr>
          <w:rFonts w:hint="eastAsia"/>
          <w:color w:val="auto"/>
          <w:highlight w:val="none"/>
        </w:rPr>
        <w:t>知识产权</w:t>
      </w:r>
      <w:bookmarkEnd w:id="72"/>
    </w:p>
    <w:p>
      <w:pPr>
        <w:pStyle w:val="157"/>
        <w:numPr>
          <w:ilvl w:val="0"/>
          <w:numId w:val="18"/>
        </w:numPr>
        <w:tabs>
          <w:tab w:val="left" w:pos="1134"/>
        </w:tabs>
        <w:spacing w:after="200"/>
        <w:ind w:left="0" w:firstLine="549" w:firstLineChars="0"/>
        <w:rPr>
          <w:rFonts w:ascii="宋体" w:hAnsi="宋体"/>
          <w:color w:val="auto"/>
          <w:sz w:val="28"/>
          <w:szCs w:val="28"/>
          <w:highlight w:val="none"/>
        </w:rPr>
      </w:pPr>
      <w:bookmarkStart w:id="73" w:name="_Toc217446048"/>
      <w:bookmarkStart w:id="74" w:name="_Toc183582217"/>
      <w:bookmarkStart w:id="75" w:name="_Toc183682354"/>
      <w:r>
        <w:rPr>
          <w:rFonts w:hint="eastAsia" w:ascii="宋体" w:hAnsi="宋体"/>
          <w:color w:val="auto"/>
          <w:sz w:val="28"/>
          <w:szCs w:val="28"/>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7"/>
        <w:numPr>
          <w:ilvl w:val="0"/>
          <w:numId w:val="18"/>
        </w:numPr>
        <w:tabs>
          <w:tab w:val="left" w:pos="1134"/>
        </w:tabs>
        <w:spacing w:after="200"/>
        <w:ind w:left="0" w:firstLine="549" w:firstLineChars="0"/>
        <w:rPr>
          <w:rFonts w:ascii="宋体" w:hAnsi="宋体"/>
          <w:color w:val="auto"/>
          <w:sz w:val="28"/>
          <w:szCs w:val="28"/>
          <w:highlight w:val="none"/>
        </w:rPr>
      </w:pPr>
      <w:r>
        <w:rPr>
          <w:rFonts w:hint="eastAsia" w:ascii="宋体" w:hAnsi="宋体"/>
          <w:color w:val="auto"/>
          <w:sz w:val="28"/>
          <w:szCs w:val="28"/>
          <w:highlight w:val="none"/>
        </w:rPr>
        <w:t>采购人享有本项目实施过程中产生的知识成果及知识产权。</w:t>
      </w:r>
    </w:p>
    <w:p>
      <w:pPr>
        <w:pStyle w:val="157"/>
        <w:numPr>
          <w:ilvl w:val="0"/>
          <w:numId w:val="18"/>
        </w:numPr>
        <w:tabs>
          <w:tab w:val="left" w:pos="1134"/>
        </w:tabs>
        <w:spacing w:after="200"/>
        <w:ind w:left="0" w:firstLine="549" w:firstLineChars="0"/>
        <w:rPr>
          <w:rFonts w:ascii="宋体" w:hAnsi="宋体"/>
          <w:color w:val="auto"/>
          <w:sz w:val="28"/>
          <w:szCs w:val="28"/>
          <w:highlight w:val="none"/>
        </w:rPr>
      </w:pPr>
      <w:r>
        <w:rPr>
          <w:rFonts w:hint="eastAsia" w:ascii="宋体" w:hAnsi="宋体"/>
          <w:color w:val="auto"/>
          <w:sz w:val="28"/>
          <w:szCs w:val="28"/>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7"/>
        <w:numPr>
          <w:ilvl w:val="0"/>
          <w:numId w:val="18"/>
        </w:numPr>
        <w:tabs>
          <w:tab w:val="left" w:pos="1134"/>
        </w:tabs>
        <w:spacing w:after="200"/>
        <w:ind w:left="0" w:firstLine="549" w:firstLineChars="0"/>
        <w:rPr>
          <w:rFonts w:ascii="宋体" w:hAnsi="宋体"/>
          <w:color w:val="auto"/>
          <w:sz w:val="28"/>
          <w:szCs w:val="28"/>
          <w:highlight w:val="none"/>
        </w:rPr>
      </w:pPr>
      <w:r>
        <w:rPr>
          <w:rFonts w:hint="eastAsia" w:ascii="宋体" w:hAnsi="宋体"/>
          <w:color w:val="auto"/>
          <w:sz w:val="28"/>
          <w:szCs w:val="28"/>
          <w:highlight w:val="none"/>
        </w:rPr>
        <w:t>如采用投标人所不拥有的知识产权，则在投标报价中必须包括合法获取该知识产权的相关费用。</w:t>
      </w:r>
    </w:p>
    <w:p>
      <w:pPr>
        <w:pStyle w:val="6"/>
        <w:numPr>
          <w:ilvl w:val="2"/>
          <w:numId w:val="5"/>
        </w:numPr>
        <w:spacing w:after="200" w:line="240" w:lineRule="auto"/>
        <w:ind w:left="0" w:firstLine="0"/>
        <w:rPr>
          <w:color w:val="auto"/>
          <w:highlight w:val="none"/>
        </w:rPr>
      </w:pPr>
      <w:r>
        <w:rPr>
          <w:rFonts w:hint="eastAsia"/>
          <w:color w:val="auto"/>
          <w:highlight w:val="none"/>
        </w:rPr>
        <w:t>投标文件的组成</w:t>
      </w:r>
      <w:bookmarkEnd w:id="73"/>
      <w:bookmarkEnd w:id="74"/>
      <w:bookmarkEnd w:id="75"/>
    </w:p>
    <w:p>
      <w:pPr>
        <w:ind w:firstLine="548" w:firstLineChars="196"/>
        <w:rPr>
          <w:rFonts w:ascii="宋体" w:hAnsi="宋体"/>
          <w:color w:val="auto"/>
          <w:sz w:val="28"/>
          <w:szCs w:val="28"/>
          <w:highlight w:val="none"/>
        </w:rPr>
      </w:pPr>
      <w:r>
        <w:rPr>
          <w:rFonts w:hint="eastAsia" w:ascii="宋体" w:hAnsi="宋体"/>
          <w:color w:val="auto"/>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pStyle w:val="7"/>
        <w:numPr>
          <w:ilvl w:val="3"/>
          <w:numId w:val="5"/>
        </w:numPr>
        <w:spacing w:line="560" w:lineRule="exact"/>
        <w:rPr>
          <w:rFonts w:ascii="宋体" w:hAnsi="宋体"/>
          <w:color w:val="auto"/>
          <w:highlight w:val="none"/>
        </w:rPr>
      </w:pPr>
      <w:r>
        <w:rPr>
          <w:rFonts w:hint="eastAsia" w:ascii="宋体" w:hAnsi="宋体"/>
          <w:color w:val="auto"/>
          <w:highlight w:val="none"/>
        </w:rPr>
        <w:t>资格响应文件：</w:t>
      </w:r>
    </w:p>
    <w:p>
      <w:pPr>
        <w:pStyle w:val="86"/>
        <w:numPr>
          <w:ilvl w:val="0"/>
          <w:numId w:val="19"/>
        </w:numPr>
        <w:tabs>
          <w:tab w:val="left" w:pos="1134"/>
        </w:tabs>
        <w:spacing w:after="200"/>
        <w:ind w:firstLineChars="0"/>
        <w:rPr>
          <w:rFonts w:ascii="宋体" w:hAnsi="宋体"/>
          <w:b/>
          <w:color w:val="auto"/>
          <w:kern w:val="0"/>
          <w:sz w:val="28"/>
          <w:szCs w:val="28"/>
          <w:highlight w:val="none"/>
        </w:rPr>
      </w:pPr>
      <w:r>
        <w:rPr>
          <w:rFonts w:hint="eastAsia" w:ascii="宋体" w:hAnsi="宋体"/>
          <w:b/>
          <w:color w:val="auto"/>
          <w:sz w:val="28"/>
          <w:szCs w:val="28"/>
          <w:highlight w:val="none"/>
        </w:rPr>
        <w:t>关于投标人资格申明的函；</w:t>
      </w:r>
    </w:p>
    <w:p>
      <w:pPr>
        <w:pStyle w:val="86"/>
        <w:numPr>
          <w:ilvl w:val="0"/>
          <w:numId w:val="19"/>
        </w:numPr>
        <w:tabs>
          <w:tab w:val="left" w:pos="1134"/>
        </w:tabs>
        <w:spacing w:after="200"/>
        <w:ind w:firstLineChars="0"/>
        <w:rPr>
          <w:rFonts w:ascii="宋体" w:hAnsi="宋体"/>
          <w:b/>
          <w:color w:val="auto"/>
          <w:sz w:val="28"/>
          <w:szCs w:val="28"/>
          <w:highlight w:val="none"/>
        </w:rPr>
      </w:pPr>
      <w:r>
        <w:rPr>
          <w:rFonts w:hint="eastAsia" w:ascii="宋体" w:hAnsi="宋体"/>
          <w:b/>
          <w:color w:val="auto"/>
          <w:sz w:val="28"/>
          <w:szCs w:val="28"/>
          <w:highlight w:val="none"/>
        </w:rPr>
        <w:t>声明；</w:t>
      </w:r>
    </w:p>
    <w:p>
      <w:pPr>
        <w:pStyle w:val="86"/>
        <w:numPr>
          <w:ilvl w:val="0"/>
          <w:numId w:val="19"/>
        </w:numPr>
        <w:tabs>
          <w:tab w:val="left" w:pos="1134"/>
        </w:tabs>
        <w:spacing w:after="200"/>
        <w:ind w:firstLineChars="0"/>
        <w:rPr>
          <w:rFonts w:ascii="宋体" w:hAnsi="宋体"/>
          <w:b/>
          <w:color w:val="auto"/>
          <w:sz w:val="28"/>
          <w:szCs w:val="28"/>
          <w:highlight w:val="none"/>
        </w:rPr>
      </w:pPr>
      <w:r>
        <w:rPr>
          <w:rFonts w:hint="eastAsia" w:ascii="宋体" w:hAnsi="宋体"/>
          <w:b/>
          <w:color w:val="auto"/>
          <w:sz w:val="28"/>
          <w:szCs w:val="28"/>
          <w:highlight w:val="none"/>
        </w:rPr>
        <w:t>投标人应提交的相关资格证明材料：</w:t>
      </w:r>
    </w:p>
    <w:p>
      <w:pPr>
        <w:pStyle w:val="86"/>
        <w:numPr>
          <w:ilvl w:val="0"/>
          <w:numId w:val="20"/>
        </w:numPr>
        <w:spacing w:after="200"/>
        <w:ind w:left="0" w:firstLine="567" w:firstLineChars="0"/>
        <w:rPr>
          <w:rFonts w:ascii="宋体" w:hAnsi="宋体"/>
          <w:b/>
          <w:color w:val="auto"/>
          <w:sz w:val="28"/>
          <w:szCs w:val="28"/>
          <w:highlight w:val="none"/>
        </w:rPr>
      </w:pPr>
      <w:r>
        <w:rPr>
          <w:rFonts w:hint="eastAsia" w:ascii="宋体" w:hAnsi="宋体"/>
          <w:b/>
          <w:color w:val="auto"/>
          <w:sz w:val="28"/>
          <w:szCs w:val="28"/>
          <w:highlight w:val="none"/>
        </w:rPr>
        <w:t>营业执照复印件（正本或副本）或法人证书复印件（正本或副本）；</w:t>
      </w:r>
    </w:p>
    <w:p>
      <w:pPr>
        <w:pStyle w:val="86"/>
        <w:numPr>
          <w:ilvl w:val="0"/>
          <w:numId w:val="20"/>
        </w:numPr>
        <w:spacing w:after="200"/>
        <w:ind w:left="0" w:firstLine="546" w:firstLineChars="0"/>
        <w:rPr>
          <w:rFonts w:ascii="宋体" w:hAnsi="宋体"/>
          <w:b/>
          <w:color w:val="auto"/>
          <w:sz w:val="28"/>
          <w:szCs w:val="28"/>
          <w:highlight w:val="none"/>
        </w:rPr>
      </w:pPr>
      <w:r>
        <w:rPr>
          <w:rFonts w:ascii="宋体" w:hAnsi="宋体"/>
          <w:b/>
          <w:color w:val="auto"/>
          <w:sz w:val="28"/>
          <w:szCs w:val="28"/>
          <w:highlight w:val="none"/>
        </w:rPr>
        <w:t>20</w:t>
      </w:r>
      <w:r>
        <w:rPr>
          <w:rFonts w:hint="eastAsia" w:ascii="宋体" w:hAnsi="宋体"/>
          <w:b/>
          <w:color w:val="auto"/>
          <w:sz w:val="28"/>
          <w:szCs w:val="28"/>
          <w:highlight w:val="none"/>
        </w:rPr>
        <w:t>19或</w:t>
      </w:r>
      <w:r>
        <w:rPr>
          <w:rFonts w:ascii="宋体" w:hAnsi="宋体"/>
          <w:b/>
          <w:color w:val="auto"/>
          <w:sz w:val="28"/>
          <w:szCs w:val="28"/>
          <w:highlight w:val="none"/>
        </w:rPr>
        <w:t>20</w:t>
      </w:r>
      <w:r>
        <w:rPr>
          <w:rFonts w:hint="eastAsia" w:ascii="宋体" w:hAnsi="宋体"/>
          <w:b/>
          <w:color w:val="auto"/>
          <w:sz w:val="28"/>
          <w:szCs w:val="28"/>
          <w:highlight w:val="none"/>
        </w:rPr>
        <w:t>20会计年度资产负债表复印件（说明：投标人成立时间至递交投标文件截止时间止不足一年的，提供成立后任意时段的资产负债表复印件）；</w:t>
      </w:r>
    </w:p>
    <w:p>
      <w:pPr>
        <w:pStyle w:val="86"/>
        <w:numPr>
          <w:ilvl w:val="0"/>
          <w:numId w:val="20"/>
        </w:numPr>
        <w:spacing w:after="200"/>
        <w:ind w:left="0" w:firstLine="546" w:firstLineChars="0"/>
        <w:rPr>
          <w:rFonts w:ascii="宋体" w:hAnsi="宋体"/>
          <w:b/>
          <w:color w:val="auto"/>
          <w:sz w:val="28"/>
          <w:szCs w:val="28"/>
          <w:highlight w:val="none"/>
        </w:rPr>
      </w:pPr>
      <w:r>
        <w:rPr>
          <w:rFonts w:hint="eastAsia" w:ascii="宋体" w:hAnsi="宋体"/>
          <w:b/>
          <w:color w:val="auto"/>
          <w:sz w:val="28"/>
          <w:szCs w:val="28"/>
          <w:highlight w:val="none"/>
        </w:rPr>
        <w:t>投标人缴纳</w:t>
      </w:r>
      <w:r>
        <w:rPr>
          <w:rFonts w:ascii="宋体" w:hAnsi="宋体"/>
          <w:b/>
          <w:color w:val="auto"/>
          <w:sz w:val="28"/>
          <w:szCs w:val="28"/>
          <w:highlight w:val="none"/>
        </w:rPr>
        <w:t>20</w:t>
      </w:r>
      <w:r>
        <w:rPr>
          <w:rFonts w:hint="eastAsia" w:ascii="宋体" w:hAnsi="宋体"/>
          <w:b/>
          <w:color w:val="auto"/>
          <w:sz w:val="28"/>
          <w:szCs w:val="28"/>
          <w:highlight w:val="none"/>
        </w:rPr>
        <w:t>20年或</w:t>
      </w:r>
      <w:r>
        <w:rPr>
          <w:rFonts w:ascii="宋体" w:hAnsi="宋体"/>
          <w:b/>
          <w:color w:val="auto"/>
          <w:sz w:val="28"/>
          <w:szCs w:val="28"/>
          <w:highlight w:val="none"/>
        </w:rPr>
        <w:t>20</w:t>
      </w:r>
      <w:r>
        <w:rPr>
          <w:rFonts w:hint="eastAsia" w:ascii="宋体" w:hAnsi="宋体"/>
          <w:b/>
          <w:color w:val="auto"/>
          <w:sz w:val="28"/>
          <w:szCs w:val="28"/>
          <w:highlight w:val="none"/>
        </w:rPr>
        <w:t>21年任意时段的税收的银行电子回单或者行政部门出具的纳税证明或完税证明复印件；</w:t>
      </w:r>
    </w:p>
    <w:p>
      <w:pPr>
        <w:pStyle w:val="86"/>
        <w:numPr>
          <w:ilvl w:val="0"/>
          <w:numId w:val="20"/>
        </w:numPr>
        <w:spacing w:after="200"/>
        <w:ind w:left="0" w:firstLine="546" w:firstLineChars="0"/>
        <w:rPr>
          <w:rFonts w:ascii="宋体" w:hAnsi="宋体"/>
          <w:b/>
          <w:color w:val="auto"/>
          <w:sz w:val="28"/>
          <w:szCs w:val="28"/>
          <w:highlight w:val="none"/>
        </w:rPr>
      </w:pPr>
      <w:r>
        <w:rPr>
          <w:rFonts w:hint="eastAsia" w:ascii="宋体" w:hAnsi="宋体"/>
          <w:b/>
          <w:color w:val="auto"/>
          <w:sz w:val="28"/>
          <w:szCs w:val="28"/>
          <w:highlight w:val="none"/>
        </w:rPr>
        <w:t>采购人对投标人履行合同所必须的设备和专业技术能力无其他特殊要求，投标人具有有效的营业执照或法人证书即可，可不提供其他证明材料；</w:t>
      </w:r>
    </w:p>
    <w:p>
      <w:pPr>
        <w:pStyle w:val="86"/>
        <w:numPr>
          <w:ilvl w:val="0"/>
          <w:numId w:val="20"/>
        </w:numPr>
        <w:spacing w:after="200"/>
        <w:ind w:left="0" w:firstLine="546" w:firstLineChars="0"/>
        <w:rPr>
          <w:rFonts w:ascii="宋体" w:hAnsi="宋体"/>
          <w:b/>
          <w:color w:val="auto"/>
          <w:sz w:val="28"/>
          <w:szCs w:val="28"/>
          <w:highlight w:val="none"/>
        </w:rPr>
      </w:pPr>
      <w:r>
        <w:rPr>
          <w:rFonts w:hint="eastAsia" w:ascii="宋体" w:hAnsi="宋体"/>
          <w:b/>
          <w:color w:val="auto"/>
          <w:sz w:val="28"/>
          <w:szCs w:val="28"/>
          <w:highlight w:val="none"/>
        </w:rPr>
        <w:t>投标人缴纳</w:t>
      </w:r>
      <w:r>
        <w:rPr>
          <w:rFonts w:ascii="宋体" w:hAnsi="宋体"/>
          <w:b/>
          <w:color w:val="auto"/>
          <w:sz w:val="28"/>
          <w:szCs w:val="28"/>
          <w:highlight w:val="none"/>
        </w:rPr>
        <w:t>20</w:t>
      </w:r>
      <w:r>
        <w:rPr>
          <w:rFonts w:hint="eastAsia" w:ascii="宋体" w:hAnsi="宋体"/>
          <w:b/>
          <w:color w:val="auto"/>
          <w:sz w:val="28"/>
          <w:szCs w:val="28"/>
          <w:highlight w:val="none"/>
        </w:rPr>
        <w:t>20年或</w:t>
      </w:r>
      <w:r>
        <w:rPr>
          <w:rFonts w:ascii="宋体" w:hAnsi="宋体"/>
          <w:b/>
          <w:color w:val="auto"/>
          <w:sz w:val="28"/>
          <w:szCs w:val="28"/>
          <w:highlight w:val="none"/>
        </w:rPr>
        <w:t>20</w:t>
      </w:r>
      <w:r>
        <w:rPr>
          <w:rFonts w:hint="eastAsia" w:ascii="宋体" w:hAnsi="宋体"/>
          <w:b/>
          <w:color w:val="auto"/>
          <w:sz w:val="28"/>
          <w:szCs w:val="28"/>
          <w:highlight w:val="none"/>
        </w:rPr>
        <w:t>21年任意时段的社保的银行电子回单或行政部门出具的社保缴纳证明材料复印件；</w:t>
      </w:r>
    </w:p>
    <w:p>
      <w:pPr>
        <w:pStyle w:val="86"/>
        <w:numPr>
          <w:ilvl w:val="0"/>
          <w:numId w:val="20"/>
        </w:numPr>
        <w:spacing w:after="200"/>
        <w:ind w:left="0" w:firstLine="546" w:firstLineChars="0"/>
        <w:rPr>
          <w:rFonts w:ascii="宋体" w:hAnsi="宋体"/>
          <w:b/>
          <w:color w:val="auto"/>
          <w:sz w:val="28"/>
          <w:szCs w:val="28"/>
          <w:highlight w:val="none"/>
        </w:rPr>
      </w:pPr>
      <w:r>
        <w:rPr>
          <w:rFonts w:hint="eastAsia" w:ascii="宋体" w:hAnsi="宋体"/>
          <w:b/>
          <w:color w:val="auto"/>
          <w:sz w:val="28"/>
          <w:szCs w:val="28"/>
          <w:highlight w:val="none"/>
        </w:rPr>
        <w:t>采购人对法律、行政法规规定的其他条件无其他特殊要求，投标人具有有效的营业执照或法人证书即可，可不提供其他证明材料。</w:t>
      </w:r>
    </w:p>
    <w:p>
      <w:pPr>
        <w:pStyle w:val="7"/>
        <w:numPr>
          <w:ilvl w:val="3"/>
          <w:numId w:val="5"/>
        </w:numPr>
        <w:spacing w:line="560" w:lineRule="exact"/>
        <w:rPr>
          <w:rFonts w:ascii="宋体" w:hAnsi="宋体"/>
          <w:color w:val="auto"/>
          <w:highlight w:val="none"/>
        </w:rPr>
      </w:pPr>
      <w:r>
        <w:rPr>
          <w:rFonts w:hint="eastAsia" w:ascii="宋体" w:hAnsi="宋体"/>
          <w:color w:val="auto"/>
          <w:highlight w:val="none"/>
        </w:rPr>
        <w:t>商务技术响应文件：</w:t>
      </w:r>
    </w:p>
    <w:p>
      <w:pPr>
        <w:numPr>
          <w:ilvl w:val="0"/>
          <w:numId w:val="21"/>
        </w:numPr>
        <w:tabs>
          <w:tab w:val="left" w:pos="1134"/>
        </w:tabs>
        <w:spacing w:after="200"/>
        <w:ind w:left="0" w:firstLine="546"/>
        <w:rPr>
          <w:rFonts w:ascii="宋体" w:hAnsi="宋体"/>
          <w:b/>
          <w:color w:val="auto"/>
          <w:kern w:val="0"/>
          <w:sz w:val="28"/>
          <w:szCs w:val="28"/>
          <w:highlight w:val="none"/>
        </w:rPr>
      </w:pPr>
      <w:r>
        <w:rPr>
          <w:rFonts w:hint="eastAsia" w:ascii="宋体" w:hAnsi="宋体"/>
          <w:b/>
          <w:color w:val="auto"/>
          <w:kern w:val="0"/>
          <w:sz w:val="28"/>
          <w:szCs w:val="28"/>
          <w:highlight w:val="none"/>
        </w:rPr>
        <w:t>投标函；</w:t>
      </w:r>
    </w:p>
    <w:p>
      <w:pPr>
        <w:numPr>
          <w:ilvl w:val="0"/>
          <w:numId w:val="21"/>
        </w:numPr>
        <w:tabs>
          <w:tab w:val="left" w:pos="1134"/>
        </w:tabs>
        <w:spacing w:after="200"/>
        <w:ind w:left="0" w:firstLine="546"/>
        <w:rPr>
          <w:rFonts w:ascii="宋体" w:hAnsi="宋体"/>
          <w:b/>
          <w:color w:val="auto"/>
          <w:kern w:val="0"/>
          <w:sz w:val="28"/>
          <w:szCs w:val="28"/>
          <w:highlight w:val="none"/>
        </w:rPr>
      </w:pPr>
      <w:r>
        <w:rPr>
          <w:rFonts w:hint="eastAsia" w:ascii="宋体" w:hAnsi="宋体"/>
          <w:b/>
          <w:color w:val="auto"/>
          <w:kern w:val="0"/>
          <w:sz w:val="28"/>
          <w:szCs w:val="28"/>
          <w:highlight w:val="none"/>
        </w:rPr>
        <w:t>法定代表人身份证明书；</w:t>
      </w:r>
    </w:p>
    <w:p>
      <w:pPr>
        <w:numPr>
          <w:ilvl w:val="0"/>
          <w:numId w:val="21"/>
        </w:numPr>
        <w:tabs>
          <w:tab w:val="left" w:pos="1134"/>
        </w:tabs>
        <w:spacing w:after="200"/>
        <w:ind w:left="0" w:firstLine="546"/>
        <w:rPr>
          <w:rFonts w:ascii="宋体" w:hAnsi="宋体"/>
          <w:b/>
          <w:color w:val="auto"/>
          <w:kern w:val="0"/>
          <w:sz w:val="28"/>
          <w:szCs w:val="28"/>
          <w:highlight w:val="none"/>
        </w:rPr>
      </w:pPr>
      <w:r>
        <w:rPr>
          <w:rFonts w:hint="eastAsia" w:ascii="宋体" w:hAnsi="宋体"/>
          <w:b/>
          <w:color w:val="auto"/>
          <w:kern w:val="0"/>
          <w:sz w:val="28"/>
          <w:szCs w:val="28"/>
          <w:highlight w:val="none"/>
        </w:rPr>
        <w:t>投标人基本情况表；</w:t>
      </w:r>
    </w:p>
    <w:p>
      <w:pPr>
        <w:numPr>
          <w:ilvl w:val="0"/>
          <w:numId w:val="21"/>
        </w:numPr>
        <w:tabs>
          <w:tab w:val="left" w:pos="1134"/>
          <w:tab w:val="left" w:pos="1418"/>
        </w:tabs>
        <w:spacing w:after="200"/>
        <w:ind w:left="0" w:firstLine="546"/>
        <w:rPr>
          <w:rFonts w:ascii="宋体" w:hAnsi="宋体"/>
          <w:b/>
          <w:color w:val="auto"/>
          <w:kern w:val="0"/>
          <w:sz w:val="28"/>
          <w:szCs w:val="28"/>
          <w:highlight w:val="none"/>
        </w:rPr>
      </w:pPr>
      <w:r>
        <w:rPr>
          <w:rFonts w:hint="eastAsia" w:ascii="宋体" w:hAnsi="宋体"/>
          <w:b/>
          <w:color w:val="auto"/>
          <w:kern w:val="0"/>
          <w:sz w:val="28"/>
          <w:szCs w:val="28"/>
          <w:highlight w:val="none"/>
        </w:rPr>
        <w:t>服务方案及服务承诺；</w:t>
      </w:r>
    </w:p>
    <w:p>
      <w:pPr>
        <w:numPr>
          <w:ilvl w:val="0"/>
          <w:numId w:val="21"/>
        </w:numPr>
        <w:tabs>
          <w:tab w:val="left" w:pos="1134"/>
          <w:tab w:val="left" w:pos="1418"/>
        </w:tabs>
        <w:spacing w:after="200"/>
        <w:ind w:left="0" w:firstLine="546"/>
        <w:rPr>
          <w:rFonts w:ascii="宋体" w:hAnsi="宋体"/>
          <w:b/>
          <w:color w:val="auto"/>
          <w:kern w:val="0"/>
          <w:sz w:val="28"/>
          <w:szCs w:val="28"/>
          <w:highlight w:val="none"/>
        </w:rPr>
      </w:pPr>
      <w:r>
        <w:rPr>
          <w:rFonts w:hint="eastAsia" w:ascii="宋体" w:hAnsi="宋体"/>
          <w:b/>
          <w:color w:val="auto"/>
          <w:kern w:val="0"/>
          <w:sz w:val="28"/>
          <w:szCs w:val="28"/>
          <w:highlight w:val="none"/>
        </w:rPr>
        <w:t>承诺函。</w:t>
      </w:r>
    </w:p>
    <w:p>
      <w:pPr>
        <w:pStyle w:val="7"/>
        <w:numPr>
          <w:ilvl w:val="3"/>
          <w:numId w:val="5"/>
        </w:numPr>
        <w:spacing w:line="560" w:lineRule="exact"/>
        <w:rPr>
          <w:rFonts w:ascii="宋体" w:hAnsi="宋体"/>
          <w:b w:val="0"/>
          <w:color w:val="auto"/>
          <w:highlight w:val="none"/>
        </w:rPr>
      </w:pPr>
      <w:r>
        <w:rPr>
          <w:rFonts w:hint="eastAsia" w:ascii="宋体" w:hAnsi="宋体"/>
          <w:color w:val="auto"/>
          <w:highlight w:val="none"/>
        </w:rPr>
        <w:t>报价</w:t>
      </w:r>
      <w:r>
        <w:rPr>
          <w:rFonts w:ascii="宋体" w:hAnsi="宋体"/>
          <w:color w:val="auto"/>
          <w:highlight w:val="none"/>
        </w:rPr>
        <w:t>要求响应文件</w:t>
      </w:r>
    </w:p>
    <w:p>
      <w:pPr>
        <w:numPr>
          <w:ilvl w:val="0"/>
          <w:numId w:val="22"/>
        </w:numPr>
        <w:tabs>
          <w:tab w:val="left" w:pos="1134"/>
          <w:tab w:val="left" w:pos="1418"/>
        </w:tabs>
        <w:spacing w:after="200"/>
        <w:rPr>
          <w:rFonts w:ascii="宋体" w:hAnsi="宋体"/>
          <w:b/>
          <w:color w:val="auto"/>
          <w:kern w:val="0"/>
          <w:sz w:val="28"/>
          <w:szCs w:val="28"/>
          <w:highlight w:val="none"/>
        </w:rPr>
      </w:pPr>
      <w:r>
        <w:rPr>
          <w:rFonts w:hint="eastAsia" w:ascii="宋体" w:hAnsi="宋体"/>
          <w:b/>
          <w:color w:val="auto"/>
          <w:kern w:val="0"/>
          <w:sz w:val="28"/>
          <w:szCs w:val="28"/>
          <w:highlight w:val="none"/>
        </w:rPr>
        <w:t>开标一览表；</w:t>
      </w:r>
    </w:p>
    <w:p>
      <w:pPr>
        <w:numPr>
          <w:ilvl w:val="0"/>
          <w:numId w:val="22"/>
        </w:numPr>
        <w:tabs>
          <w:tab w:val="left" w:pos="1134"/>
          <w:tab w:val="left" w:pos="1418"/>
        </w:tabs>
        <w:spacing w:after="200"/>
        <w:rPr>
          <w:rFonts w:ascii="宋体" w:hAnsi="宋体"/>
          <w:b/>
          <w:color w:val="auto"/>
          <w:kern w:val="0"/>
          <w:sz w:val="28"/>
          <w:szCs w:val="28"/>
          <w:highlight w:val="none"/>
        </w:rPr>
      </w:pPr>
      <w:r>
        <w:rPr>
          <w:rFonts w:hint="eastAsia" w:ascii="宋体" w:hAnsi="宋体"/>
          <w:b/>
          <w:color w:val="auto"/>
          <w:kern w:val="0"/>
          <w:sz w:val="28"/>
          <w:szCs w:val="28"/>
          <w:highlight w:val="none"/>
        </w:rPr>
        <w:t>分项报价明细表。</w:t>
      </w:r>
    </w:p>
    <w:p>
      <w:pPr>
        <w:numPr>
          <w:ilvl w:val="0"/>
          <w:numId w:val="22"/>
        </w:numPr>
        <w:tabs>
          <w:tab w:val="left" w:pos="1134"/>
          <w:tab w:val="left" w:pos="1418"/>
        </w:tabs>
        <w:spacing w:after="200"/>
        <w:rPr>
          <w:rFonts w:ascii="宋体" w:hAnsi="宋体"/>
          <w:b/>
          <w:color w:val="auto"/>
          <w:kern w:val="0"/>
          <w:sz w:val="28"/>
          <w:szCs w:val="28"/>
          <w:highlight w:val="none"/>
        </w:rPr>
      </w:pPr>
      <w:r>
        <w:rPr>
          <w:rFonts w:hint="eastAsia" w:ascii="宋体" w:hAnsi="宋体"/>
          <w:b/>
          <w:color w:val="auto"/>
          <w:kern w:val="0"/>
          <w:sz w:val="28"/>
          <w:szCs w:val="28"/>
          <w:highlight w:val="none"/>
        </w:rPr>
        <w:t>中小企业声明函（如未提供中小企业声明函，则其投标产品中的小型、微型企业制造的货物不能享受招标文件规定的价格扣除，但不影响投标人投标文件的有效性）；</w:t>
      </w:r>
    </w:p>
    <w:p>
      <w:pPr>
        <w:numPr>
          <w:ilvl w:val="0"/>
          <w:numId w:val="22"/>
        </w:numPr>
        <w:tabs>
          <w:tab w:val="left" w:pos="1134"/>
          <w:tab w:val="left" w:pos="1418"/>
        </w:tabs>
        <w:spacing w:after="200"/>
        <w:rPr>
          <w:rFonts w:ascii="宋体" w:hAnsi="宋体"/>
          <w:b/>
          <w:color w:val="auto"/>
          <w:kern w:val="0"/>
          <w:sz w:val="28"/>
          <w:szCs w:val="28"/>
          <w:highlight w:val="none"/>
        </w:rPr>
      </w:pPr>
      <w:r>
        <w:rPr>
          <w:rFonts w:hint="eastAsia" w:ascii="宋体" w:hAnsi="宋体"/>
          <w:b/>
          <w:color w:val="auto"/>
          <w:kern w:val="0"/>
          <w:sz w:val="28"/>
          <w:szCs w:val="28"/>
          <w:highlight w:val="none"/>
        </w:rPr>
        <w:t>残疾人福利性单位声明函（如未提供残疾人福利性单位声明函，则其投标报价中的残疾人福利性单位提供的服务不能享受招标文件规定的价格扣除，但不影响投标人投标文件的有效性）；</w:t>
      </w:r>
    </w:p>
    <w:p>
      <w:pPr>
        <w:numPr>
          <w:ilvl w:val="0"/>
          <w:numId w:val="22"/>
        </w:numPr>
        <w:tabs>
          <w:tab w:val="left" w:pos="1134"/>
          <w:tab w:val="left" w:pos="1418"/>
        </w:tabs>
        <w:spacing w:after="200"/>
        <w:rPr>
          <w:rFonts w:ascii="宋体" w:hAnsi="宋体"/>
          <w:b/>
          <w:color w:val="auto"/>
          <w:kern w:val="0"/>
          <w:sz w:val="28"/>
          <w:szCs w:val="28"/>
          <w:highlight w:val="none"/>
        </w:rPr>
      </w:pPr>
      <w:r>
        <w:rPr>
          <w:rFonts w:hint="eastAsia" w:ascii="宋体" w:hAnsi="宋体"/>
          <w:b/>
          <w:color w:val="auto"/>
          <w:kern w:val="0"/>
          <w:sz w:val="28"/>
          <w:szCs w:val="28"/>
          <w:highlight w:val="none"/>
        </w:rPr>
        <w:t>投标人属于监狱企业的证明文件复印件（1、投标人为监狱企业应提供由省级以上监狱管理局、戒毒管理局（含新疆生产建设兵团）出具的投标人属于监狱企业的证明文件复印件；2、如未提供监狱企业的证明文件复印件，则其投标报价中为监狱企业提供的服务不能享受招标文件规定的价格扣除，但不影响投标人投标文件的有效性。）。</w:t>
      </w:r>
    </w:p>
    <w:p>
      <w:pPr>
        <w:rPr>
          <w:color w:val="auto"/>
          <w:highlight w:val="none"/>
        </w:rPr>
      </w:pPr>
    </w:p>
    <w:p>
      <w:pPr>
        <w:pStyle w:val="6"/>
        <w:numPr>
          <w:ilvl w:val="2"/>
          <w:numId w:val="5"/>
        </w:numPr>
        <w:spacing w:after="200" w:line="240" w:lineRule="auto"/>
        <w:ind w:left="0" w:firstLine="0"/>
        <w:rPr>
          <w:color w:val="auto"/>
          <w:highlight w:val="none"/>
        </w:rPr>
      </w:pPr>
      <w:bookmarkStart w:id="76" w:name="_Toc316291395"/>
      <w:bookmarkEnd w:id="76"/>
      <w:bookmarkStart w:id="77" w:name="_Toc316292020"/>
      <w:bookmarkEnd w:id="77"/>
      <w:bookmarkStart w:id="78" w:name="_Toc316291396"/>
      <w:bookmarkEnd w:id="78"/>
      <w:bookmarkStart w:id="79" w:name="_Toc316292019"/>
      <w:bookmarkEnd w:id="79"/>
      <w:bookmarkStart w:id="80" w:name="_Toc183682355"/>
      <w:bookmarkStart w:id="81" w:name="_Toc217446049"/>
      <w:bookmarkStart w:id="82" w:name="_Toc183582218"/>
      <w:r>
        <w:rPr>
          <w:rFonts w:hint="eastAsia"/>
          <w:color w:val="auto"/>
          <w:highlight w:val="none"/>
        </w:rPr>
        <w:t>投标文件格式</w:t>
      </w:r>
      <w:bookmarkEnd w:id="80"/>
      <w:bookmarkEnd w:id="81"/>
      <w:bookmarkEnd w:id="82"/>
      <w:r>
        <w:rPr>
          <w:rFonts w:hint="eastAsia"/>
          <w:color w:val="auto"/>
          <w:highlight w:val="none"/>
        </w:rPr>
        <w:tab/>
      </w:r>
    </w:p>
    <w:p>
      <w:pPr>
        <w:numPr>
          <w:ilvl w:val="0"/>
          <w:numId w:val="23"/>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投标人应按照招标文件第3章中提供的“投标文件格式”填写相关内容。</w:t>
      </w:r>
    </w:p>
    <w:p>
      <w:pPr>
        <w:numPr>
          <w:ilvl w:val="0"/>
          <w:numId w:val="23"/>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对于没有格式要求的投标文件由投标人自行编写。</w:t>
      </w:r>
    </w:p>
    <w:p>
      <w:pPr>
        <w:pStyle w:val="6"/>
        <w:numPr>
          <w:ilvl w:val="2"/>
          <w:numId w:val="5"/>
        </w:numPr>
        <w:spacing w:after="200" w:line="240" w:lineRule="auto"/>
        <w:ind w:left="0" w:firstLine="0"/>
        <w:rPr>
          <w:color w:val="auto"/>
          <w:highlight w:val="none"/>
        </w:rPr>
      </w:pPr>
      <w:bookmarkStart w:id="83" w:name="_Toc183682360"/>
      <w:bookmarkStart w:id="84" w:name="_Toc183582223"/>
      <w:bookmarkStart w:id="85" w:name="_Toc217446050"/>
      <w:r>
        <w:rPr>
          <w:rFonts w:hint="eastAsia"/>
          <w:color w:val="auto"/>
          <w:highlight w:val="none"/>
        </w:rPr>
        <w:t>投标报价</w:t>
      </w:r>
    </w:p>
    <w:p>
      <w:pPr>
        <w:numPr>
          <w:ilvl w:val="0"/>
          <w:numId w:val="24"/>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highlight w:val="none"/>
        </w:rPr>
        <w:t>2</w:t>
      </w:r>
      <w:r>
        <w:rPr>
          <w:rFonts w:hint="eastAsia" w:ascii="宋体" w:hAnsi="宋体"/>
          <w:color w:val="auto"/>
          <w:sz w:val="28"/>
          <w:szCs w:val="28"/>
          <w:highlight w:val="none"/>
        </w:rPr>
        <w:t>）单价金额小数点或者百分比有明显错位的，应以总价为准，并修改单价；（</w:t>
      </w:r>
      <w:r>
        <w:rPr>
          <w:rFonts w:ascii="宋体" w:hAnsi="宋体"/>
          <w:color w:val="auto"/>
          <w:sz w:val="28"/>
          <w:szCs w:val="28"/>
          <w:highlight w:val="none"/>
        </w:rPr>
        <w:t>3</w:t>
      </w:r>
      <w:r>
        <w:rPr>
          <w:rFonts w:hint="eastAsia" w:ascii="宋体" w:hAnsi="宋体"/>
          <w:color w:val="auto"/>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highlight w:val="none"/>
        </w:rPr>
      </w:pPr>
      <w:r>
        <w:rPr>
          <w:rFonts w:hint="eastAsia" w:cs="Arial"/>
          <w:color w:val="auto"/>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highlight w:val="none"/>
        </w:rPr>
        <w:t>如因断电、断网、系统故障或其他不可抗力等因素</w:t>
      </w:r>
      <w:r>
        <w:rPr>
          <w:rFonts w:hint="eastAsia" w:cs="Arial"/>
          <w:color w:val="auto"/>
          <w:sz w:val="28"/>
          <w:szCs w:val="28"/>
          <w:highlight w:val="none"/>
        </w:rPr>
        <w:t>，导致系统无法使用的，由投标人按评标委员会的要求进行澄清或者说明。</w:t>
      </w:r>
    </w:p>
    <w:p>
      <w:pPr>
        <w:pStyle w:val="6"/>
        <w:numPr>
          <w:ilvl w:val="2"/>
          <w:numId w:val="5"/>
        </w:numPr>
        <w:spacing w:after="200" w:line="240" w:lineRule="auto"/>
        <w:ind w:left="0" w:firstLine="0"/>
        <w:rPr>
          <w:color w:val="auto"/>
          <w:highlight w:val="none"/>
        </w:rPr>
      </w:pPr>
      <w:r>
        <w:rPr>
          <w:rFonts w:hint="eastAsia"/>
          <w:color w:val="auto"/>
          <w:highlight w:val="none"/>
        </w:rPr>
        <w:t>投标保证金</w:t>
      </w:r>
      <w:bookmarkEnd w:id="83"/>
      <w:bookmarkEnd w:id="84"/>
      <w:bookmarkEnd w:id="85"/>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本项目不收取投标保证金。</w:t>
      </w:r>
    </w:p>
    <w:p>
      <w:pPr>
        <w:pStyle w:val="6"/>
        <w:numPr>
          <w:ilvl w:val="2"/>
          <w:numId w:val="5"/>
        </w:numPr>
        <w:tabs>
          <w:tab w:val="left" w:pos="851"/>
        </w:tabs>
        <w:spacing w:after="200" w:line="240" w:lineRule="auto"/>
        <w:ind w:left="0" w:firstLine="0"/>
        <w:rPr>
          <w:color w:val="auto"/>
          <w:highlight w:val="none"/>
        </w:rPr>
      </w:pPr>
      <w:bookmarkStart w:id="86" w:name="_Toc316292024"/>
      <w:bookmarkEnd w:id="86"/>
      <w:bookmarkStart w:id="87" w:name="_Toc316291400"/>
      <w:bookmarkEnd w:id="87"/>
      <w:bookmarkStart w:id="88" w:name="_Toc183582224"/>
      <w:bookmarkStart w:id="89" w:name="_Toc217446051"/>
      <w:bookmarkStart w:id="90" w:name="_Toc183682361"/>
      <w:r>
        <w:rPr>
          <w:rFonts w:hint="eastAsia"/>
          <w:color w:val="auto"/>
          <w:highlight w:val="none"/>
        </w:rPr>
        <w:t>投标有效期</w:t>
      </w:r>
      <w:bookmarkEnd w:id="88"/>
      <w:bookmarkEnd w:id="89"/>
      <w:bookmarkEnd w:id="90"/>
    </w:p>
    <w:p>
      <w:pPr>
        <w:numPr>
          <w:ilvl w:val="0"/>
          <w:numId w:val="25"/>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投标有效期为</w:t>
      </w:r>
      <w:r>
        <w:rPr>
          <w:rFonts w:hint="eastAsia" w:ascii="Helvetica" w:hAnsi="Helvetica" w:cs="Helvetica"/>
          <w:color w:val="auto"/>
          <w:sz w:val="28"/>
          <w:szCs w:val="28"/>
          <w:highlight w:val="none"/>
        </w:rPr>
        <w:t>提交投标文件的截止之日起</w:t>
      </w:r>
      <w:r>
        <w:rPr>
          <w:rFonts w:hint="eastAsia" w:ascii="宋体" w:hAnsi="宋体"/>
          <w:color w:val="auto"/>
          <w:sz w:val="28"/>
          <w:szCs w:val="28"/>
          <w:highlight w:val="none"/>
          <w:u w:val="single"/>
        </w:rPr>
        <w:t>120</w:t>
      </w:r>
      <w:r>
        <w:rPr>
          <w:rFonts w:hint="eastAsia" w:ascii="宋体" w:hAnsi="宋体"/>
          <w:color w:val="auto"/>
          <w:sz w:val="28"/>
          <w:szCs w:val="28"/>
          <w:highlight w:val="none"/>
        </w:rPr>
        <w:t>天。投标有效期短于此规定期限的或不作响应的，则其投标文件将按无效投标文件处理。</w:t>
      </w:r>
    </w:p>
    <w:p>
      <w:pPr>
        <w:numPr>
          <w:ilvl w:val="0"/>
          <w:numId w:val="25"/>
        </w:numPr>
        <w:tabs>
          <w:tab w:val="left" w:pos="1134"/>
        </w:tabs>
        <w:spacing w:after="200"/>
        <w:ind w:left="0" w:firstLine="567"/>
        <w:rPr>
          <w:rFonts w:ascii="宋体" w:hAnsi="宋体"/>
          <w:color w:val="auto"/>
          <w:sz w:val="28"/>
          <w:szCs w:val="28"/>
          <w:highlight w:val="none"/>
        </w:rPr>
      </w:pPr>
      <w:bookmarkStart w:id="91" w:name="_Toc217446052"/>
      <w:bookmarkStart w:id="92" w:name="_Toc183582225"/>
      <w:bookmarkStart w:id="93" w:name="_Toc183682362"/>
      <w:r>
        <w:rPr>
          <w:rFonts w:hint="eastAsia" w:ascii="宋体" w:hAnsi="宋体"/>
          <w:color w:val="auto"/>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5"/>
        </w:numPr>
        <w:tabs>
          <w:tab w:val="left" w:pos="851"/>
        </w:tabs>
        <w:spacing w:after="200" w:line="240" w:lineRule="auto"/>
        <w:ind w:left="0" w:firstLine="0"/>
        <w:rPr>
          <w:color w:val="auto"/>
          <w:highlight w:val="none"/>
        </w:rPr>
      </w:pPr>
      <w:r>
        <w:rPr>
          <w:rFonts w:hint="eastAsia"/>
          <w:color w:val="auto"/>
          <w:highlight w:val="none"/>
        </w:rPr>
        <w:t>投标文件的制作和签章、加密</w:t>
      </w:r>
      <w:bookmarkEnd w:id="91"/>
      <w:bookmarkEnd w:id="92"/>
      <w:bookmarkEnd w:id="93"/>
      <w:bookmarkStart w:id="94" w:name="_Toc316475577"/>
      <w:bookmarkEnd w:id="94"/>
      <w:bookmarkStart w:id="95" w:name="_Toc316475580"/>
      <w:bookmarkEnd w:id="95"/>
      <w:bookmarkStart w:id="96" w:name="_Toc316475579"/>
      <w:bookmarkEnd w:id="96"/>
      <w:bookmarkStart w:id="97" w:name="_Toc316475582"/>
      <w:bookmarkEnd w:id="97"/>
      <w:bookmarkStart w:id="98" w:name="_Toc316475583"/>
      <w:bookmarkEnd w:id="98"/>
      <w:bookmarkStart w:id="99" w:name="_Toc316475581"/>
      <w:bookmarkEnd w:id="99"/>
      <w:bookmarkStart w:id="100" w:name="_Toc316475578"/>
      <w:bookmarkEnd w:id="100"/>
      <w:bookmarkStart w:id="101" w:name="_Toc183582227"/>
      <w:bookmarkStart w:id="102" w:name="_Toc183682364"/>
      <w:bookmarkStart w:id="103" w:name="_Toc217446054"/>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二、投标文件制作详情：</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3、投标人应使用本企业CA数字证书对投标文件进行加密。</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6"/>
        <w:numPr>
          <w:ilvl w:val="2"/>
          <w:numId w:val="5"/>
        </w:numPr>
        <w:spacing w:after="200" w:line="240" w:lineRule="auto"/>
        <w:ind w:left="0" w:firstLine="0"/>
        <w:rPr>
          <w:color w:val="auto"/>
          <w:highlight w:val="none"/>
        </w:rPr>
      </w:pPr>
      <w:r>
        <w:rPr>
          <w:rFonts w:hint="eastAsia"/>
          <w:color w:val="auto"/>
          <w:highlight w:val="none"/>
        </w:rPr>
        <w:t>投标文件的</w:t>
      </w:r>
      <w:bookmarkEnd w:id="101"/>
      <w:bookmarkEnd w:id="102"/>
      <w:r>
        <w:rPr>
          <w:rFonts w:hint="eastAsia"/>
          <w:color w:val="auto"/>
          <w:highlight w:val="none"/>
        </w:rPr>
        <w:t>递交</w:t>
      </w:r>
      <w:bookmarkEnd w:id="103"/>
    </w:p>
    <w:p>
      <w:pPr>
        <w:tabs>
          <w:tab w:val="left" w:pos="0"/>
        </w:tabs>
        <w:spacing w:line="360" w:lineRule="auto"/>
        <w:ind w:firstLine="420" w:firstLineChars="150"/>
        <w:rPr>
          <w:rFonts w:ascii="宋体" w:hAnsi="宋体" w:eastAsiaTheme="minorEastAsia" w:cstheme="minorBidi"/>
          <w:bCs/>
          <w:color w:val="auto"/>
          <w:sz w:val="28"/>
          <w:szCs w:val="28"/>
          <w:highlight w:val="none"/>
        </w:rPr>
      </w:pPr>
      <w:r>
        <w:rPr>
          <w:rFonts w:hint="eastAsia" w:ascii="宋体" w:hAnsi="宋体" w:eastAsiaTheme="minorEastAsia" w:cstheme="minorBidi"/>
          <w:bCs/>
          <w:color w:val="auto"/>
          <w:sz w:val="28"/>
          <w:szCs w:val="28"/>
          <w:highlight w:val="none"/>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auto"/>
          <w:sz w:val="28"/>
          <w:szCs w:val="28"/>
          <w:highlight w:val="none"/>
        </w:rPr>
      </w:pPr>
      <w:r>
        <w:rPr>
          <w:rFonts w:hint="eastAsia" w:ascii="宋体" w:hAnsi="宋体" w:eastAsiaTheme="minorEastAsia" w:cstheme="minorBidi"/>
          <w:bCs/>
          <w:color w:val="auto"/>
          <w:sz w:val="28"/>
          <w:szCs w:val="28"/>
          <w:highlight w:val="none"/>
        </w:rPr>
        <w:t>二、因招标文件的修改推迟投标截止日期的，投标人按高新区采购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auto"/>
          <w:sz w:val="28"/>
          <w:szCs w:val="28"/>
          <w:highlight w:val="none"/>
        </w:rPr>
      </w:pPr>
      <w:r>
        <w:rPr>
          <w:rFonts w:hint="eastAsia" w:ascii="宋体" w:hAnsi="宋体" w:eastAsiaTheme="minorEastAsia" w:cstheme="minorBidi"/>
          <w:bCs/>
          <w:color w:val="auto"/>
          <w:sz w:val="28"/>
          <w:szCs w:val="28"/>
          <w:highlight w:val="none"/>
        </w:rPr>
        <w:t>三、投标人应充分考虑递交文件的不可预见因素，未在投标截止时间前完成递交的，在投标截止时间后将无法递交</w:t>
      </w:r>
      <w:r>
        <w:rPr>
          <w:rFonts w:hint="eastAsia" w:ascii="宋体" w:hAnsi="宋体"/>
          <w:bCs/>
          <w:color w:val="auto"/>
          <w:sz w:val="28"/>
          <w:szCs w:val="28"/>
          <w:highlight w:val="none"/>
        </w:rPr>
        <w:t>。</w:t>
      </w:r>
    </w:p>
    <w:p>
      <w:pPr>
        <w:pStyle w:val="6"/>
        <w:numPr>
          <w:ilvl w:val="2"/>
          <w:numId w:val="5"/>
        </w:numPr>
        <w:spacing w:after="200" w:line="276" w:lineRule="auto"/>
        <w:ind w:left="0" w:firstLine="0"/>
        <w:rPr>
          <w:color w:val="auto"/>
          <w:highlight w:val="none"/>
        </w:rPr>
      </w:pPr>
      <w:r>
        <w:rPr>
          <w:rFonts w:hint="eastAsia"/>
          <w:color w:val="auto"/>
          <w:highlight w:val="none"/>
        </w:rPr>
        <w:t>投标文件的补充、修改</w:t>
      </w:r>
    </w:p>
    <w:p>
      <w:pPr>
        <w:numPr>
          <w:ilvl w:val="0"/>
          <w:numId w:val="26"/>
        </w:numPr>
        <w:spacing w:before="120"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spacing w:before="120"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在投标截止时间之后，投标人不得对其递交的投标文件做任何补充、修改。</w:t>
      </w:r>
    </w:p>
    <w:p>
      <w:pPr>
        <w:pStyle w:val="6"/>
        <w:numPr>
          <w:ilvl w:val="2"/>
          <w:numId w:val="5"/>
        </w:numPr>
        <w:spacing w:after="200"/>
        <w:ind w:left="851"/>
        <w:rPr>
          <w:color w:val="auto"/>
          <w:highlight w:val="none"/>
        </w:rPr>
      </w:pPr>
      <w:r>
        <w:rPr>
          <w:rFonts w:hint="eastAsia"/>
          <w:color w:val="auto"/>
          <w:highlight w:val="none"/>
        </w:rPr>
        <w:t>投标文件的撤回</w:t>
      </w:r>
    </w:p>
    <w:p>
      <w:pPr>
        <w:numPr>
          <w:ilvl w:val="0"/>
          <w:numId w:val="27"/>
        </w:numPr>
        <w:spacing w:before="120" w:after="200" w:line="360" w:lineRule="auto"/>
        <w:ind w:left="0" w:firstLine="567"/>
        <w:rPr>
          <w:rFonts w:ascii="宋体" w:hAnsi="宋体"/>
          <w:bCs/>
          <w:color w:val="auto"/>
          <w:sz w:val="28"/>
          <w:szCs w:val="28"/>
          <w:highlight w:val="none"/>
        </w:rPr>
      </w:pPr>
      <w:r>
        <w:rPr>
          <w:rFonts w:hint="eastAsia" w:ascii="宋体" w:hAnsi="宋体"/>
          <w:bCs/>
          <w:color w:val="auto"/>
          <w:sz w:val="28"/>
          <w:szCs w:val="28"/>
          <w:highlight w:val="none"/>
        </w:rPr>
        <w:t>在投标截止时间之前，投标人可对已递交的投标文件进行撤回。在投标截止时间之后，投标人不得撤回投标文件。</w:t>
      </w:r>
    </w:p>
    <w:p>
      <w:pPr>
        <w:pStyle w:val="6"/>
        <w:numPr>
          <w:ilvl w:val="2"/>
          <w:numId w:val="5"/>
        </w:numPr>
        <w:spacing w:after="200" w:line="240" w:lineRule="auto"/>
        <w:ind w:left="851"/>
        <w:rPr>
          <w:color w:val="auto"/>
          <w:highlight w:val="none"/>
        </w:rPr>
      </w:pPr>
      <w:r>
        <w:rPr>
          <w:rFonts w:hint="eastAsia"/>
          <w:color w:val="auto"/>
          <w:highlight w:val="none"/>
        </w:rPr>
        <w:t>投标文件的解密</w:t>
      </w:r>
    </w:p>
    <w:p>
      <w:pPr>
        <w:tabs>
          <w:tab w:val="left" w:pos="1134"/>
        </w:tabs>
        <w:spacing w:before="120" w:line="360" w:lineRule="auto"/>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投标人</w:t>
      </w:r>
      <w:r>
        <w:rPr>
          <w:rFonts w:hint="eastAsia" w:ascii="宋体" w:hAnsi="宋体"/>
          <w:color w:val="auto"/>
          <w:sz w:val="28"/>
          <w:szCs w:val="28"/>
          <w:highlight w:val="none"/>
        </w:rPr>
        <w:t>登录政府采购云平台，点击“项目采购—开标评标”模块，找到对应项目，进入“开标大厅”，等待高新区采购中心开启解密后，进行线上解密。</w:t>
      </w:r>
      <w:r>
        <w:rPr>
          <w:rFonts w:hint="eastAsia" w:ascii="宋体" w:hAnsi="宋体"/>
          <w:bCs/>
          <w:color w:val="auto"/>
          <w:sz w:val="28"/>
          <w:szCs w:val="28"/>
          <w:highlight w:val="none"/>
        </w:rPr>
        <w:t>除因</w:t>
      </w:r>
      <w:r>
        <w:rPr>
          <w:rFonts w:hint="eastAsia" w:ascii="宋体" w:hAnsi="宋体"/>
          <w:color w:val="auto"/>
          <w:sz w:val="28"/>
          <w:szCs w:val="28"/>
          <w:highlight w:val="none"/>
        </w:rPr>
        <w:t>高新区采购中心</w:t>
      </w:r>
      <w:r>
        <w:rPr>
          <w:rFonts w:hint="eastAsia" w:ascii="宋体" w:hAnsi="宋体"/>
          <w:bCs/>
          <w:color w:val="auto"/>
          <w:sz w:val="28"/>
          <w:szCs w:val="28"/>
          <w:highlight w:val="none"/>
        </w:rPr>
        <w:t>断电、断网、系统故障或其他不可抗力等因素，导致系统无法使用外，投标人在规定的解密时间内，未成功解密的投标文件将视为无效投标文件。</w:t>
      </w:r>
    </w:p>
    <w:p>
      <w:pPr>
        <w:pStyle w:val="5"/>
        <w:numPr>
          <w:ilvl w:val="1"/>
          <w:numId w:val="5"/>
        </w:numPr>
        <w:spacing w:before="0" w:after="0" w:line="240" w:lineRule="auto"/>
        <w:ind w:left="2269" w:hanging="2269"/>
        <w:rPr>
          <w:color w:val="auto"/>
          <w:highlight w:val="none"/>
        </w:rPr>
      </w:pPr>
      <w:bookmarkStart w:id="104" w:name="_Toc316475587"/>
      <w:bookmarkEnd w:id="104"/>
      <w:bookmarkStart w:id="105" w:name="_Toc316475586"/>
      <w:bookmarkEnd w:id="105"/>
      <w:bookmarkStart w:id="106" w:name="_Toc217446056"/>
      <w:bookmarkStart w:id="107" w:name="_Toc28766"/>
      <w:bookmarkStart w:id="108" w:name="_Toc183582231"/>
      <w:bookmarkStart w:id="109" w:name="_Toc11912"/>
      <w:bookmarkStart w:id="110" w:name="_Toc4457"/>
      <w:bookmarkStart w:id="111" w:name="_Toc16979"/>
      <w:bookmarkStart w:id="112" w:name="_Toc77400782"/>
      <w:bookmarkStart w:id="113" w:name="_Toc89075878"/>
      <w:bookmarkStart w:id="114" w:name="_Toc31524"/>
      <w:bookmarkStart w:id="115" w:name="_Toc183682368"/>
      <w:r>
        <w:rPr>
          <w:rFonts w:hint="eastAsia"/>
          <w:color w:val="auto"/>
          <w:highlight w:val="none"/>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116" w:name="_Toc217446057"/>
      <w:bookmarkStart w:id="117" w:name="_Toc183582232"/>
      <w:bookmarkStart w:id="118" w:name="_Toc183682369"/>
      <w:r>
        <w:rPr>
          <w:rFonts w:hint="eastAsia" w:ascii="宋体" w:hAnsi="宋体"/>
          <w:b/>
          <w:bCs/>
          <w:color w:val="auto"/>
          <w:sz w:val="28"/>
          <w:szCs w:val="28"/>
          <w:highlight w:val="none"/>
        </w:rPr>
        <w:t>开标</w:t>
      </w:r>
      <w:bookmarkEnd w:id="116"/>
      <w:bookmarkEnd w:id="117"/>
      <w:bookmarkEnd w:id="118"/>
      <w:r>
        <w:rPr>
          <w:rFonts w:hint="eastAsia" w:ascii="宋体" w:hAnsi="宋体"/>
          <w:b/>
          <w:bCs/>
          <w:color w:val="auto"/>
          <w:sz w:val="28"/>
          <w:szCs w:val="28"/>
          <w:highlight w:val="none"/>
        </w:rPr>
        <w:t>及开标程序</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本项目为不见面开标项目。递交电子投标文件的投标人不足3家的，不予开标。</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解密投标文件。等待高新区采购中心开启解密后，投标人进行线上解密。开启解密后，投标人应在60分钟内，使用加密该投标文件的CA数字证书在线完成投标文件的解密。除因高新区采购中心断电、断网、系统故障或其他不可抗力等因素，导致系统无法使用外，投标人在规定的解密时间内，未成功解密的投标文件将视为无效投标文件。</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对开标过程和开标记录有疑义，以及认为采购人、高新区采购中心相关工作人员有需要回避的情形的，及时向工作人员提出询问或者回避申请。采购人、高新区采购中心对投标人提出的询问或者回避申请应当及时处理。</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因高新区采购中心断电、断网、系统故障或其他不可抗力等因素导致不见面开标系统无法正常运行的，开标活动中止或延迟，待系统恢复正常后继续进行开标活动。</w:t>
      </w:r>
    </w:p>
    <w:p>
      <w:pPr>
        <w:pStyle w:val="86"/>
        <w:numPr>
          <w:ilvl w:val="0"/>
          <w:numId w:val="28"/>
        </w:numPr>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不见面开标过程中，各方主体均应遵守互联网有关规定，不得发表与交易活动无关的言论。</w:t>
      </w:r>
    </w:p>
    <w:p>
      <w:pPr>
        <w:pStyle w:val="6"/>
        <w:numPr>
          <w:ilvl w:val="2"/>
          <w:numId w:val="5"/>
        </w:numPr>
        <w:spacing w:after="200" w:line="240" w:lineRule="auto"/>
        <w:ind w:left="0" w:firstLine="0"/>
        <w:rPr>
          <w:color w:val="auto"/>
          <w:highlight w:val="none"/>
        </w:rPr>
      </w:pPr>
      <w:r>
        <w:rPr>
          <w:rFonts w:hint="eastAsia"/>
          <w:color w:val="auto"/>
          <w:highlight w:val="none"/>
        </w:rPr>
        <w:t>资格审查</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详见招标文件第5章。</w:t>
      </w:r>
    </w:p>
    <w:p>
      <w:pPr>
        <w:pStyle w:val="6"/>
        <w:numPr>
          <w:ilvl w:val="2"/>
          <w:numId w:val="5"/>
        </w:numPr>
        <w:spacing w:after="200" w:line="240" w:lineRule="auto"/>
        <w:ind w:left="0" w:firstLine="0"/>
        <w:rPr>
          <w:color w:val="auto"/>
          <w:highlight w:val="none"/>
        </w:rPr>
      </w:pPr>
      <w:r>
        <w:rPr>
          <w:rFonts w:hint="eastAsia"/>
          <w:color w:val="auto"/>
          <w:highlight w:val="none"/>
        </w:rPr>
        <w:t>评标</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详见招标文件第6章。</w:t>
      </w:r>
    </w:p>
    <w:p>
      <w:pPr>
        <w:pStyle w:val="6"/>
        <w:numPr>
          <w:ilvl w:val="2"/>
          <w:numId w:val="5"/>
        </w:numPr>
        <w:spacing w:after="200" w:line="240" w:lineRule="auto"/>
        <w:ind w:left="0" w:firstLine="0"/>
        <w:rPr>
          <w:color w:val="auto"/>
          <w:highlight w:val="none"/>
        </w:rPr>
      </w:pPr>
      <w:bookmarkStart w:id="119" w:name="_Toc183582238"/>
      <w:bookmarkStart w:id="120" w:name="_Toc183682375"/>
      <w:bookmarkStart w:id="121" w:name="_Toc217446063"/>
      <w:r>
        <w:rPr>
          <w:rFonts w:hint="eastAsia"/>
          <w:color w:val="auto"/>
          <w:highlight w:val="none"/>
        </w:rPr>
        <w:t>中标通知</w:t>
      </w:r>
      <w:bookmarkEnd w:id="119"/>
      <w:bookmarkEnd w:id="120"/>
      <w:r>
        <w:rPr>
          <w:rFonts w:hint="eastAsia"/>
          <w:color w:val="auto"/>
          <w:highlight w:val="none"/>
        </w:rPr>
        <w:t>书</w:t>
      </w:r>
      <w:bookmarkEnd w:id="121"/>
    </w:p>
    <w:p>
      <w:pPr>
        <w:widowControl/>
        <w:ind w:right="210" w:firstLine="560" w:firstLineChars="200"/>
        <w:jc w:val="left"/>
        <w:rPr>
          <w:rFonts w:ascii="宋体" w:hAnsi="宋体"/>
          <w:color w:val="auto"/>
          <w:sz w:val="28"/>
          <w:szCs w:val="28"/>
          <w:highlight w:val="none"/>
        </w:rPr>
      </w:pPr>
      <w:bookmarkStart w:id="122" w:name="_Toc217446064"/>
      <w:bookmarkStart w:id="123" w:name="_Toc183582240"/>
      <w:bookmarkStart w:id="124" w:name="_Toc183682377"/>
      <w:r>
        <w:rPr>
          <w:rFonts w:hint="eastAsia" w:ascii="宋体" w:hAnsi="宋体"/>
          <w:color w:val="auto"/>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三、中标公告在四川政府采购网上公告后，中标供应商自行登录政府采购云平台下载中标通知书。</w:t>
      </w:r>
    </w:p>
    <w:p>
      <w:pPr>
        <w:pStyle w:val="5"/>
        <w:numPr>
          <w:ilvl w:val="1"/>
          <w:numId w:val="5"/>
        </w:numPr>
        <w:spacing w:before="0" w:after="0" w:line="240" w:lineRule="auto"/>
        <w:ind w:left="2269" w:hanging="2269"/>
        <w:rPr>
          <w:color w:val="auto"/>
          <w:highlight w:val="none"/>
        </w:rPr>
      </w:pPr>
      <w:bookmarkStart w:id="125" w:name="_Toc12385"/>
      <w:bookmarkStart w:id="126" w:name="_Toc18993"/>
      <w:bookmarkStart w:id="127" w:name="_Toc14869"/>
      <w:bookmarkStart w:id="128" w:name="_Toc19973"/>
      <w:bookmarkStart w:id="129" w:name="_Toc6010"/>
      <w:r>
        <w:rPr>
          <w:rFonts w:hint="eastAsia"/>
          <w:color w:val="auto"/>
          <w:highlight w:val="none"/>
        </w:rPr>
        <w:t>签订及履行合同</w:t>
      </w:r>
      <w:bookmarkEnd w:id="122"/>
      <w:r>
        <w:rPr>
          <w:rFonts w:hint="eastAsia"/>
          <w:color w:val="auto"/>
          <w:highlight w:val="none"/>
        </w:rPr>
        <w:t>和验收</w:t>
      </w:r>
      <w:bookmarkEnd w:id="125"/>
      <w:bookmarkEnd w:id="126"/>
      <w:bookmarkEnd w:id="127"/>
      <w:bookmarkEnd w:id="128"/>
      <w:bookmarkEnd w:id="129"/>
    </w:p>
    <w:p>
      <w:pPr>
        <w:pStyle w:val="6"/>
        <w:numPr>
          <w:ilvl w:val="2"/>
          <w:numId w:val="5"/>
        </w:numPr>
        <w:spacing w:after="200" w:line="240" w:lineRule="auto"/>
        <w:ind w:left="0" w:firstLine="0"/>
        <w:rPr>
          <w:color w:val="auto"/>
          <w:highlight w:val="none"/>
        </w:rPr>
      </w:pPr>
      <w:bookmarkStart w:id="130" w:name="_Toc217446065"/>
      <w:r>
        <w:rPr>
          <w:rFonts w:hint="eastAsia"/>
          <w:color w:val="auto"/>
          <w:highlight w:val="none"/>
        </w:rPr>
        <w:t>签订合同</w:t>
      </w:r>
      <w:bookmarkEnd w:id="130"/>
    </w:p>
    <w:p>
      <w:pPr>
        <w:numPr>
          <w:ilvl w:val="0"/>
          <w:numId w:val="29"/>
        </w:numPr>
        <w:tabs>
          <w:tab w:val="left" w:pos="1134"/>
        </w:tabs>
        <w:spacing w:after="200"/>
        <w:ind w:left="0" w:firstLine="565" w:firstLineChars="202"/>
        <w:rPr>
          <w:rFonts w:ascii="宋体" w:hAnsi="宋体"/>
          <w:color w:val="auto"/>
          <w:sz w:val="28"/>
          <w:szCs w:val="28"/>
          <w:highlight w:val="none"/>
        </w:rPr>
      </w:pPr>
      <w:r>
        <w:rPr>
          <w:rFonts w:hint="eastAsia" w:ascii="宋体" w:hAnsi="宋体"/>
          <w:color w:val="auto"/>
          <w:sz w:val="28"/>
          <w:szCs w:val="28"/>
          <w:highlight w:val="none"/>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9"/>
        </w:numPr>
        <w:tabs>
          <w:tab w:val="left" w:pos="1134"/>
        </w:tabs>
        <w:spacing w:after="200"/>
        <w:ind w:left="0" w:firstLine="565" w:firstLineChars="202"/>
        <w:rPr>
          <w:rFonts w:ascii="宋体" w:hAnsi="宋体"/>
          <w:color w:val="auto"/>
          <w:sz w:val="28"/>
          <w:szCs w:val="28"/>
          <w:highlight w:val="none"/>
        </w:rPr>
      </w:pPr>
      <w:r>
        <w:rPr>
          <w:rFonts w:hint="eastAsia" w:ascii="宋体" w:hAnsi="宋体"/>
          <w:color w:val="auto"/>
          <w:sz w:val="28"/>
          <w:szCs w:val="28"/>
          <w:highlight w:val="none"/>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9"/>
        </w:numPr>
        <w:tabs>
          <w:tab w:val="left" w:pos="1134"/>
        </w:tabs>
        <w:spacing w:after="200"/>
        <w:ind w:left="0" w:firstLine="565" w:firstLineChars="202"/>
        <w:rPr>
          <w:rFonts w:ascii="宋体" w:hAnsi="宋体"/>
          <w:color w:val="auto"/>
          <w:sz w:val="28"/>
          <w:szCs w:val="28"/>
          <w:highlight w:val="none"/>
        </w:rPr>
      </w:pPr>
      <w:r>
        <w:rPr>
          <w:rFonts w:hint="eastAsia" w:ascii="宋体" w:hAnsi="宋体"/>
          <w:color w:val="auto"/>
          <w:sz w:val="28"/>
          <w:szCs w:val="28"/>
          <w:highlight w:val="none"/>
        </w:rPr>
        <w:t>招标文件、投标文件、中标通知书等一切与本项目评标结果有关且经责任主体确认的资料均为合同的有效组成部分。</w:t>
      </w:r>
    </w:p>
    <w:p>
      <w:pPr>
        <w:numPr>
          <w:ilvl w:val="0"/>
          <w:numId w:val="29"/>
        </w:numPr>
        <w:tabs>
          <w:tab w:val="left" w:pos="1134"/>
        </w:tabs>
        <w:spacing w:after="200"/>
        <w:ind w:left="0" w:firstLine="565" w:firstLineChars="202"/>
        <w:rPr>
          <w:rFonts w:ascii="宋体" w:hAnsi="宋体"/>
          <w:color w:val="auto"/>
          <w:kern w:val="0"/>
          <w:sz w:val="28"/>
          <w:szCs w:val="28"/>
          <w:highlight w:val="none"/>
        </w:rPr>
      </w:pPr>
      <w:r>
        <w:rPr>
          <w:rFonts w:hint="eastAsia" w:ascii="宋体" w:hAnsi="宋体"/>
          <w:color w:val="auto"/>
          <w:kern w:val="0"/>
          <w:sz w:val="28"/>
          <w:szCs w:val="28"/>
          <w:highlight w:val="none"/>
        </w:rPr>
        <w:t>询问或者质疑事项可能影响中标、成交结果的，采购人应当暂停签订合同，已经签订合同的，应当中止履行合同。</w:t>
      </w:r>
    </w:p>
    <w:p>
      <w:pPr>
        <w:pStyle w:val="6"/>
        <w:numPr>
          <w:ilvl w:val="2"/>
          <w:numId w:val="5"/>
        </w:numPr>
        <w:spacing w:after="200" w:line="240" w:lineRule="auto"/>
        <w:ind w:left="0" w:firstLine="0"/>
        <w:rPr>
          <w:color w:val="auto"/>
          <w:highlight w:val="none"/>
        </w:rPr>
      </w:pPr>
      <w:bookmarkStart w:id="131" w:name="_Toc315871033"/>
      <w:bookmarkEnd w:id="131"/>
      <w:bookmarkStart w:id="132" w:name="_Toc217446066"/>
      <w:bookmarkStart w:id="133" w:name="_Toc217446069"/>
      <w:r>
        <w:rPr>
          <w:rFonts w:hint="eastAsia"/>
          <w:color w:val="auto"/>
          <w:highlight w:val="none"/>
        </w:rPr>
        <w:t>合同分包</w:t>
      </w:r>
      <w:bookmarkEnd w:id="132"/>
      <w:r>
        <w:rPr>
          <w:rFonts w:hint="eastAsia"/>
          <w:color w:val="auto"/>
          <w:highlight w:val="none"/>
        </w:rPr>
        <w:t>和转包</w:t>
      </w:r>
    </w:p>
    <w:p>
      <w:pPr>
        <w:pStyle w:val="6"/>
        <w:numPr>
          <w:ilvl w:val="3"/>
          <w:numId w:val="5"/>
        </w:numPr>
        <w:spacing w:after="200" w:line="240" w:lineRule="auto"/>
        <w:rPr>
          <w:color w:val="auto"/>
          <w:highlight w:val="none"/>
        </w:rPr>
      </w:pPr>
      <w:bookmarkStart w:id="134" w:name="_Toc217446067"/>
      <w:r>
        <w:rPr>
          <w:rFonts w:hint="eastAsia"/>
          <w:color w:val="auto"/>
          <w:highlight w:val="none"/>
        </w:rPr>
        <w:t>合同分包</w:t>
      </w:r>
    </w:p>
    <w:p>
      <w:pPr>
        <w:numPr>
          <w:ilvl w:val="0"/>
          <w:numId w:val="30"/>
        </w:numPr>
        <w:spacing w:line="58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本项目经采购人同意，中标人可以依法采用分包方式履行合同。分包要求应当在合同签订之前征得采购人同意，并且分包供应商履行的分包项目的品牌、规格型号及技术要求等，必须与成交的一致。</w:t>
      </w:r>
      <w:r>
        <w:rPr>
          <w:rFonts w:hint="eastAsia" w:ascii="宋体" w:hAnsi="宋体" w:cs="宋体"/>
          <w:b/>
          <w:bCs/>
          <w:color w:val="auto"/>
          <w:sz w:val="28"/>
          <w:szCs w:val="28"/>
          <w:highlight w:val="none"/>
        </w:rPr>
        <w:t>本招标第四章中▲符号标记的服务内容为可以履行分包的内容</w:t>
      </w:r>
      <w:r>
        <w:rPr>
          <w:rFonts w:hint="eastAsia" w:ascii="宋体" w:hAnsi="宋体" w:cs="宋体"/>
          <w:color w:val="auto"/>
          <w:sz w:val="28"/>
          <w:szCs w:val="28"/>
          <w:highlight w:val="none"/>
        </w:rPr>
        <w:t xml:space="preserve">。  </w:t>
      </w:r>
    </w:p>
    <w:p>
      <w:pPr>
        <w:spacing w:line="58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二、中标人可以依法采用分包方式履行合同。分包供应商履行的分包项目的服务要求，必须与中标的一致。</w:t>
      </w:r>
    </w:p>
    <w:p>
      <w:pPr>
        <w:spacing w:line="58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三、采购合同实行分包履行的，中标人就采购项目和分包项目向采购人负责，分包供应商就分包项目承担责任。</w:t>
      </w:r>
    </w:p>
    <w:p>
      <w:pPr>
        <w:spacing w:line="580" w:lineRule="exact"/>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四、中小企业依据《关于印发&lt;政府采购促进中小企业发展管理办法&gt;的通知》(财库〔2020〕46号)的规定的政策获取政府采购合同后，小型、微型企业不得分包给大型、中型企业，中型企业不得分包给大型企业。</w:t>
      </w:r>
    </w:p>
    <w:p>
      <w:pPr>
        <w:pStyle w:val="123"/>
        <w:spacing w:line="360" w:lineRule="auto"/>
        <w:ind w:firstLine="560" w:firstLineChars="200"/>
        <w:rPr>
          <w:rFonts w:cs="Times New Roman"/>
          <w:color w:val="auto"/>
          <w:sz w:val="28"/>
          <w:szCs w:val="28"/>
          <w:highlight w:val="none"/>
        </w:rPr>
      </w:pPr>
    </w:p>
    <w:p>
      <w:pPr>
        <w:pStyle w:val="6"/>
        <w:numPr>
          <w:ilvl w:val="3"/>
          <w:numId w:val="5"/>
        </w:numPr>
        <w:spacing w:after="200" w:line="240" w:lineRule="auto"/>
        <w:rPr>
          <w:color w:val="auto"/>
          <w:highlight w:val="none"/>
        </w:rPr>
      </w:pPr>
      <w:r>
        <w:rPr>
          <w:rFonts w:hint="eastAsia"/>
          <w:color w:val="auto"/>
          <w:highlight w:val="none"/>
        </w:rPr>
        <w:t>合同转包</w:t>
      </w:r>
    </w:p>
    <w:p>
      <w:pPr>
        <w:ind w:firstLine="560" w:firstLineChars="200"/>
        <w:rPr>
          <w:rFonts w:ascii="宋体" w:hAnsi="宋体" w:cs="宋体"/>
          <w:color w:val="auto"/>
          <w:kern w:val="0"/>
          <w:sz w:val="28"/>
          <w:szCs w:val="28"/>
          <w:highlight w:val="none"/>
        </w:rPr>
      </w:pPr>
      <w:r>
        <w:rPr>
          <w:rFonts w:hint="eastAsia" w:ascii="宋体" w:hAnsi="宋体"/>
          <w:color w:val="auto"/>
          <w:sz w:val="28"/>
          <w:szCs w:val="28"/>
          <w:highlight w:val="none"/>
        </w:rPr>
        <w:t>一、严禁中标人将本项目转包。本项目所称转包，是指</w:t>
      </w:r>
      <w:r>
        <w:rPr>
          <w:rFonts w:hint="eastAsia" w:ascii="宋体" w:hAnsi="宋体" w:cs="宋体"/>
          <w:color w:val="auto"/>
          <w:kern w:val="0"/>
          <w:sz w:val="28"/>
          <w:szCs w:val="28"/>
          <w:highlight w:val="none"/>
        </w:rPr>
        <w:t xml:space="preserve">将本项目转给他人或者将本项目全部肢解以后以分包的名义分别转给他人的行为。 </w:t>
      </w:r>
    </w:p>
    <w:p>
      <w:pPr>
        <w:ind w:firstLine="495"/>
        <w:rPr>
          <w:rFonts w:ascii="宋体" w:hAnsi="宋体"/>
          <w:color w:val="auto"/>
          <w:sz w:val="28"/>
          <w:szCs w:val="28"/>
          <w:highlight w:val="none"/>
        </w:rPr>
      </w:pPr>
      <w:r>
        <w:rPr>
          <w:rFonts w:hint="eastAsia" w:ascii="宋体" w:hAnsi="宋体"/>
          <w:color w:val="auto"/>
          <w:sz w:val="28"/>
          <w:szCs w:val="28"/>
          <w:highlight w:val="none"/>
        </w:rPr>
        <w:t>二、中标人转包的，视同拒绝履行政府采购合同，将依法追究法律责任。</w:t>
      </w:r>
    </w:p>
    <w:p>
      <w:pPr>
        <w:pStyle w:val="6"/>
        <w:numPr>
          <w:ilvl w:val="2"/>
          <w:numId w:val="5"/>
        </w:numPr>
        <w:spacing w:after="200" w:line="240" w:lineRule="auto"/>
        <w:ind w:left="0" w:firstLine="0"/>
        <w:rPr>
          <w:color w:val="auto"/>
          <w:highlight w:val="none"/>
        </w:rPr>
      </w:pPr>
      <w:r>
        <w:rPr>
          <w:rFonts w:hint="eastAsia"/>
          <w:color w:val="auto"/>
          <w:highlight w:val="none"/>
        </w:rPr>
        <w:t>采购人增加合同标的的权</w:t>
      </w:r>
      <w:bookmarkEnd w:id="134"/>
      <w:r>
        <w:rPr>
          <w:rFonts w:hint="eastAsia"/>
          <w:color w:val="auto"/>
          <w:highlight w:val="none"/>
        </w:rPr>
        <w:t>利</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5"/>
        </w:numPr>
        <w:spacing w:after="200" w:line="240" w:lineRule="auto"/>
        <w:ind w:left="0" w:firstLine="0"/>
        <w:rPr>
          <w:color w:val="auto"/>
          <w:highlight w:val="none"/>
        </w:rPr>
      </w:pPr>
      <w:bookmarkStart w:id="135" w:name="_Toc217446068"/>
      <w:r>
        <w:rPr>
          <w:rFonts w:hint="eastAsia"/>
          <w:color w:val="auto"/>
          <w:highlight w:val="none"/>
        </w:rPr>
        <w:t>履约保证金</w:t>
      </w:r>
      <w:bookmarkEnd w:id="135"/>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本项目不</w:t>
      </w:r>
      <w:r>
        <w:rPr>
          <w:rFonts w:ascii="宋体" w:hAnsi="宋体"/>
          <w:color w:val="auto"/>
          <w:sz w:val="28"/>
          <w:szCs w:val="28"/>
          <w:highlight w:val="none"/>
        </w:rPr>
        <w:t>收取履约保证金</w:t>
      </w:r>
      <w:r>
        <w:rPr>
          <w:rFonts w:hint="eastAsia" w:ascii="宋体" w:hAnsi="宋体"/>
          <w:color w:val="auto"/>
          <w:sz w:val="28"/>
          <w:szCs w:val="28"/>
          <w:highlight w:val="none"/>
        </w:rPr>
        <w:t>。</w:t>
      </w:r>
    </w:p>
    <w:p>
      <w:pPr>
        <w:pStyle w:val="6"/>
        <w:numPr>
          <w:ilvl w:val="2"/>
          <w:numId w:val="5"/>
        </w:numPr>
        <w:spacing w:after="200" w:line="240" w:lineRule="auto"/>
        <w:ind w:left="0" w:firstLine="0"/>
        <w:rPr>
          <w:color w:val="auto"/>
          <w:highlight w:val="none"/>
        </w:rPr>
      </w:pPr>
      <w:r>
        <w:rPr>
          <w:rFonts w:hint="eastAsia"/>
          <w:color w:val="auto"/>
          <w:highlight w:val="none"/>
        </w:rPr>
        <w:t>合同公告</w:t>
      </w:r>
    </w:p>
    <w:p>
      <w:pPr>
        <w:pStyle w:val="14"/>
        <w:spacing w:line="24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采购人应当自政府采购合同签订之日起2个工作日内，在四川政府采购网公告，但政府采购合同中涉及国家秘密、商业秘密的内容除外。</w:t>
      </w:r>
    </w:p>
    <w:p>
      <w:pPr>
        <w:pStyle w:val="6"/>
        <w:numPr>
          <w:ilvl w:val="2"/>
          <w:numId w:val="5"/>
        </w:numPr>
        <w:spacing w:after="200" w:line="240" w:lineRule="auto"/>
        <w:ind w:left="0" w:firstLine="0"/>
        <w:rPr>
          <w:color w:val="auto"/>
          <w:highlight w:val="none"/>
        </w:rPr>
      </w:pPr>
      <w:r>
        <w:rPr>
          <w:rFonts w:hint="eastAsia"/>
          <w:color w:val="auto"/>
          <w:highlight w:val="none"/>
        </w:rPr>
        <w:t>合同备案</w:t>
      </w:r>
    </w:p>
    <w:p>
      <w:pPr>
        <w:tabs>
          <w:tab w:val="left" w:pos="1134"/>
        </w:tabs>
        <w:ind w:firstLine="560" w:firstLineChars="200"/>
        <w:rPr>
          <w:rFonts w:ascii="宋体" w:hAnsi="宋体"/>
          <w:color w:val="auto"/>
          <w:sz w:val="28"/>
          <w:szCs w:val="28"/>
          <w:highlight w:val="none"/>
        </w:rPr>
      </w:pPr>
      <w:r>
        <w:rPr>
          <w:rFonts w:hint="eastAsia" w:ascii="宋体" w:hAnsi="宋体"/>
          <w:color w:val="auto"/>
          <w:sz w:val="28"/>
          <w:szCs w:val="28"/>
          <w:highlight w:val="none"/>
        </w:rPr>
        <w:t>疫情防控期间，采购人原则上在5个工作日内与供应商签订政府采购合同及按成都高新区财政金融局的要求完成合同备案工作。</w:t>
      </w:r>
    </w:p>
    <w:p>
      <w:pPr>
        <w:pStyle w:val="6"/>
        <w:numPr>
          <w:ilvl w:val="2"/>
          <w:numId w:val="5"/>
        </w:numPr>
        <w:spacing w:after="200" w:line="240" w:lineRule="auto"/>
        <w:ind w:left="0" w:firstLine="0"/>
        <w:rPr>
          <w:color w:val="auto"/>
          <w:highlight w:val="none"/>
        </w:rPr>
      </w:pPr>
      <w:r>
        <w:rPr>
          <w:rFonts w:hint="eastAsia"/>
          <w:color w:val="auto"/>
          <w:highlight w:val="none"/>
        </w:rPr>
        <w:t>履行合同</w:t>
      </w:r>
      <w:bookmarkEnd w:id="133"/>
    </w:p>
    <w:p>
      <w:pPr>
        <w:numPr>
          <w:ilvl w:val="0"/>
          <w:numId w:val="31"/>
        </w:numPr>
        <w:tabs>
          <w:tab w:val="left" w:pos="1134"/>
        </w:tabs>
        <w:spacing w:after="200"/>
        <w:ind w:left="0" w:firstLine="565" w:firstLineChars="202"/>
        <w:rPr>
          <w:rFonts w:ascii="宋体" w:hAnsi="宋体"/>
          <w:color w:val="auto"/>
          <w:sz w:val="28"/>
          <w:szCs w:val="28"/>
          <w:highlight w:val="none"/>
        </w:rPr>
      </w:pPr>
      <w:r>
        <w:rPr>
          <w:rFonts w:hint="eastAsia" w:ascii="宋体" w:hAnsi="宋体"/>
          <w:color w:val="auto"/>
          <w:sz w:val="28"/>
          <w:szCs w:val="28"/>
          <w:highlight w:val="none"/>
        </w:rPr>
        <w:t>合同一经签订，双方应严格履行合同规定的义务。</w:t>
      </w:r>
    </w:p>
    <w:p>
      <w:pPr>
        <w:numPr>
          <w:ilvl w:val="0"/>
          <w:numId w:val="31"/>
        </w:numPr>
        <w:tabs>
          <w:tab w:val="left" w:pos="1134"/>
        </w:tabs>
        <w:spacing w:after="200"/>
        <w:ind w:left="0" w:firstLine="565" w:firstLineChars="202"/>
        <w:rPr>
          <w:rFonts w:ascii="宋体" w:hAnsi="宋体"/>
          <w:color w:val="auto"/>
          <w:sz w:val="28"/>
          <w:szCs w:val="28"/>
          <w:highlight w:val="none"/>
        </w:rPr>
      </w:pPr>
      <w:r>
        <w:rPr>
          <w:rFonts w:hint="eastAsia" w:ascii="宋体" w:hAnsi="宋体"/>
          <w:color w:val="auto"/>
          <w:sz w:val="28"/>
          <w:szCs w:val="28"/>
          <w:highlight w:val="none"/>
        </w:rPr>
        <w:t>在合同履行过程中，如发生合同纠纷，合同双方应按照《中华人民共和国民法典》及合同条款的有关规定进行处理。</w:t>
      </w:r>
    </w:p>
    <w:p>
      <w:pPr>
        <w:pStyle w:val="6"/>
        <w:numPr>
          <w:ilvl w:val="2"/>
          <w:numId w:val="5"/>
        </w:numPr>
        <w:spacing w:after="200" w:line="240" w:lineRule="auto"/>
        <w:ind w:left="0" w:firstLine="0"/>
        <w:rPr>
          <w:color w:val="auto"/>
          <w:highlight w:val="none"/>
        </w:rPr>
      </w:pPr>
      <w:bookmarkStart w:id="136" w:name="_Toc217446070"/>
      <w:r>
        <w:rPr>
          <w:rFonts w:hint="eastAsia"/>
          <w:color w:val="auto"/>
          <w:highlight w:val="none"/>
        </w:rPr>
        <w:t>验收或考核</w:t>
      </w:r>
    </w:p>
    <w:p>
      <w:pPr>
        <w:pStyle w:val="14"/>
        <w:spacing w:after="0" w:line="240" w:lineRule="auto"/>
        <w:ind w:firstLine="560" w:firstLineChars="200"/>
        <w:rPr>
          <w:rFonts w:ascii="宋体" w:hAnsi="宋体"/>
          <w:b/>
          <w:color w:val="auto"/>
          <w:highlight w:val="none"/>
        </w:rPr>
      </w:pPr>
      <w:bookmarkStart w:id="137" w:name="_Toc217446071"/>
      <w:r>
        <w:rPr>
          <w:rFonts w:hint="eastAsia" w:ascii="宋体" w:hAnsi="宋体"/>
          <w:color w:val="auto"/>
          <w:sz w:val="28"/>
          <w:szCs w:val="28"/>
          <w:highlight w:val="none"/>
        </w:rPr>
        <w:t>采购人严格按照国家相关法律法规的要求组织验收或考核。</w:t>
      </w:r>
      <w:bookmarkEnd w:id="137"/>
    </w:p>
    <w:p>
      <w:pPr>
        <w:pStyle w:val="6"/>
        <w:numPr>
          <w:ilvl w:val="2"/>
          <w:numId w:val="5"/>
        </w:numPr>
        <w:spacing w:after="200" w:line="240" w:lineRule="auto"/>
        <w:ind w:left="0" w:firstLine="0"/>
        <w:rPr>
          <w:color w:val="auto"/>
          <w:highlight w:val="none"/>
        </w:rPr>
      </w:pPr>
      <w:r>
        <w:rPr>
          <w:rFonts w:hint="eastAsia"/>
          <w:color w:val="auto"/>
          <w:highlight w:val="none"/>
        </w:rPr>
        <w:t>资金支付</w:t>
      </w:r>
    </w:p>
    <w:p>
      <w:pPr>
        <w:pStyle w:val="42"/>
        <w:shd w:val="clear" w:color="auto" w:fill="FFFFFF"/>
        <w:spacing w:before="0" w:beforeAutospacing="0" w:after="0" w:afterAutospacing="0"/>
        <w:ind w:firstLine="570"/>
        <w:rPr>
          <w:rFonts w:cs="Helvetica"/>
          <w:color w:val="auto"/>
          <w:sz w:val="28"/>
          <w:szCs w:val="28"/>
          <w:highlight w:val="none"/>
        </w:rPr>
      </w:pPr>
      <w:r>
        <w:rPr>
          <w:rFonts w:hint="eastAsia" w:cs="Helvetica"/>
          <w:color w:val="auto"/>
          <w:sz w:val="28"/>
          <w:szCs w:val="28"/>
          <w:highlight w:val="none"/>
        </w:rPr>
        <w:t>采购人按财政部门的相关规定及采购合同的约定进行支付。</w:t>
      </w:r>
    </w:p>
    <w:bookmarkEnd w:id="123"/>
    <w:bookmarkEnd w:id="124"/>
    <w:bookmarkEnd w:id="136"/>
    <w:p>
      <w:pPr>
        <w:pStyle w:val="5"/>
        <w:numPr>
          <w:ilvl w:val="1"/>
          <w:numId w:val="5"/>
        </w:numPr>
        <w:spacing w:before="0" w:after="0" w:line="240" w:lineRule="auto"/>
        <w:ind w:left="2269" w:hanging="2269"/>
        <w:rPr>
          <w:color w:val="auto"/>
          <w:highlight w:val="none"/>
        </w:rPr>
      </w:pPr>
      <w:bookmarkStart w:id="138" w:name="_Toc12434"/>
      <w:bookmarkStart w:id="139" w:name="_Toc6102"/>
      <w:bookmarkStart w:id="140" w:name="_Toc30945"/>
      <w:bookmarkStart w:id="141" w:name="_Toc13859"/>
      <w:bookmarkStart w:id="142" w:name="_Toc17022"/>
      <w:bookmarkStart w:id="143" w:name="_Toc217446074"/>
      <w:bookmarkStart w:id="144" w:name="_Toc183682380"/>
      <w:bookmarkStart w:id="145" w:name="_Toc183582243"/>
      <w:r>
        <w:rPr>
          <w:rFonts w:hint="eastAsia"/>
          <w:color w:val="auto"/>
          <w:highlight w:val="none"/>
        </w:rPr>
        <w:t>投标纪律要求</w:t>
      </w:r>
      <w:bookmarkEnd w:id="138"/>
      <w:bookmarkEnd w:id="139"/>
      <w:bookmarkEnd w:id="140"/>
      <w:bookmarkEnd w:id="141"/>
      <w:bookmarkEnd w:id="142"/>
      <w:bookmarkEnd w:id="143"/>
    </w:p>
    <w:p>
      <w:pPr>
        <w:pStyle w:val="6"/>
        <w:numPr>
          <w:ilvl w:val="2"/>
          <w:numId w:val="5"/>
        </w:numPr>
        <w:spacing w:after="200" w:line="240" w:lineRule="auto"/>
        <w:ind w:left="0" w:firstLine="0"/>
        <w:rPr>
          <w:color w:val="auto"/>
          <w:highlight w:val="none"/>
        </w:rPr>
      </w:pPr>
      <w:bookmarkStart w:id="146" w:name="_Toc217446075"/>
      <w:r>
        <w:rPr>
          <w:rFonts w:hint="eastAsia"/>
          <w:color w:val="auto"/>
          <w:highlight w:val="none"/>
        </w:rPr>
        <w:t>投标人不得具有的情形</w:t>
      </w:r>
      <w:bookmarkEnd w:id="146"/>
    </w:p>
    <w:p>
      <w:pPr>
        <w:pStyle w:val="14"/>
        <w:spacing w:line="240" w:lineRule="auto"/>
        <w:ind w:firstLine="567"/>
        <w:rPr>
          <w:rFonts w:ascii="宋体" w:hAnsi="宋体"/>
          <w:color w:val="auto"/>
          <w:sz w:val="28"/>
          <w:szCs w:val="28"/>
          <w:highlight w:val="none"/>
        </w:rPr>
      </w:pPr>
      <w:bookmarkStart w:id="147" w:name="_Toc314574786"/>
      <w:r>
        <w:rPr>
          <w:rFonts w:hint="eastAsia" w:ascii="宋体" w:hAnsi="宋体"/>
          <w:color w:val="auto"/>
          <w:sz w:val="28"/>
          <w:szCs w:val="28"/>
          <w:highlight w:val="none"/>
        </w:rPr>
        <w:t>投标人参加投标不得有下列情形：</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有下列情形之一的，视为投标人串通投标：</w:t>
      </w:r>
    </w:p>
    <w:p>
      <w:pPr>
        <w:tabs>
          <w:tab w:val="left" w:pos="1134"/>
        </w:tabs>
        <w:ind w:left="420"/>
        <w:rPr>
          <w:rFonts w:ascii="宋体" w:hAnsi="宋体"/>
          <w:color w:val="auto"/>
          <w:sz w:val="28"/>
          <w:szCs w:val="28"/>
          <w:highlight w:val="none"/>
        </w:rPr>
      </w:pPr>
      <w:r>
        <w:rPr>
          <w:rFonts w:hint="eastAsia" w:ascii="宋体" w:hAnsi="宋体"/>
          <w:color w:val="auto"/>
          <w:sz w:val="28"/>
          <w:szCs w:val="28"/>
          <w:highlight w:val="none"/>
        </w:rPr>
        <w:t>（一）不同投标人的投标文件由同一单位或者个人编制；</w:t>
      </w:r>
    </w:p>
    <w:p>
      <w:pPr>
        <w:tabs>
          <w:tab w:val="left" w:pos="1134"/>
        </w:tabs>
        <w:ind w:left="420"/>
        <w:rPr>
          <w:rFonts w:ascii="宋体" w:hAnsi="宋体"/>
          <w:color w:val="auto"/>
          <w:sz w:val="28"/>
          <w:szCs w:val="28"/>
          <w:highlight w:val="none"/>
        </w:rPr>
      </w:pPr>
      <w:r>
        <w:rPr>
          <w:rFonts w:hint="eastAsia" w:ascii="宋体" w:hAnsi="宋体"/>
          <w:color w:val="auto"/>
          <w:sz w:val="28"/>
          <w:szCs w:val="28"/>
          <w:highlight w:val="none"/>
        </w:rPr>
        <w:t>（二）不同投标人委托同一单位或者个人办理投标事宜；</w:t>
      </w:r>
    </w:p>
    <w:p>
      <w:pPr>
        <w:tabs>
          <w:tab w:val="left" w:pos="1134"/>
        </w:tabs>
        <w:ind w:firstLine="425" w:firstLineChars="152"/>
        <w:rPr>
          <w:rFonts w:ascii="宋体" w:hAnsi="宋体"/>
          <w:color w:val="auto"/>
          <w:sz w:val="28"/>
          <w:szCs w:val="28"/>
          <w:highlight w:val="none"/>
        </w:rPr>
      </w:pPr>
      <w:r>
        <w:rPr>
          <w:rFonts w:hint="eastAsia" w:ascii="宋体" w:hAnsi="宋体"/>
          <w:color w:val="auto"/>
          <w:sz w:val="28"/>
          <w:szCs w:val="28"/>
          <w:highlight w:val="none"/>
        </w:rPr>
        <w:t>（三）不同投标人的投标文件载明的项目管理成员或者联系人员为同一人；</w:t>
      </w:r>
    </w:p>
    <w:p>
      <w:pPr>
        <w:tabs>
          <w:tab w:val="left" w:pos="1134"/>
        </w:tabs>
        <w:ind w:firstLine="420" w:firstLineChars="150"/>
        <w:rPr>
          <w:rFonts w:ascii="宋体" w:hAnsi="宋体"/>
          <w:color w:val="auto"/>
          <w:sz w:val="28"/>
          <w:szCs w:val="28"/>
          <w:highlight w:val="none"/>
        </w:rPr>
      </w:pPr>
      <w:r>
        <w:rPr>
          <w:rFonts w:hint="eastAsia" w:ascii="宋体" w:hAnsi="宋体"/>
          <w:color w:val="auto"/>
          <w:sz w:val="28"/>
          <w:szCs w:val="28"/>
          <w:highlight w:val="none"/>
        </w:rPr>
        <w:t>（四）不同投标人的投标文件异常一致或者投标报价呈规律性差异；</w:t>
      </w:r>
    </w:p>
    <w:p>
      <w:pPr>
        <w:tabs>
          <w:tab w:val="left" w:pos="1134"/>
        </w:tabs>
        <w:ind w:firstLine="420" w:firstLineChars="150"/>
        <w:rPr>
          <w:rFonts w:ascii="宋体" w:hAnsi="宋体"/>
          <w:color w:val="auto"/>
          <w:sz w:val="28"/>
          <w:szCs w:val="28"/>
          <w:highlight w:val="none"/>
        </w:rPr>
      </w:pPr>
      <w:r>
        <w:rPr>
          <w:rFonts w:hint="eastAsia" w:ascii="宋体" w:hAnsi="宋体"/>
          <w:color w:val="auto"/>
          <w:sz w:val="28"/>
          <w:szCs w:val="28"/>
          <w:highlight w:val="none"/>
        </w:rPr>
        <w:t>（五）不同投标人的投标文件相互混装；</w:t>
      </w:r>
    </w:p>
    <w:p>
      <w:pPr>
        <w:tabs>
          <w:tab w:val="left" w:pos="1134"/>
        </w:tabs>
        <w:ind w:left="420"/>
        <w:rPr>
          <w:rFonts w:ascii="宋体" w:hAnsi="宋体"/>
          <w:color w:val="auto"/>
          <w:sz w:val="28"/>
          <w:szCs w:val="28"/>
          <w:highlight w:val="none"/>
        </w:rPr>
      </w:pPr>
      <w:r>
        <w:rPr>
          <w:rFonts w:hint="eastAsia" w:ascii="宋体" w:hAnsi="宋体"/>
          <w:color w:val="auto"/>
          <w:sz w:val="28"/>
          <w:szCs w:val="28"/>
          <w:highlight w:val="none"/>
        </w:rPr>
        <w:t>（六）不同投标人的投标保证金从同一单位或者个人的账户转出；</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提供虚假材料谋取中标；</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采取不正当手段诋毁、排挤其他投标人；</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与采购人或</w:t>
      </w:r>
      <w:r>
        <w:rPr>
          <w:rFonts w:hint="eastAsia" w:cs="Arial"/>
          <w:color w:val="auto"/>
          <w:sz w:val="28"/>
          <w:szCs w:val="28"/>
          <w:highlight w:val="none"/>
        </w:rPr>
        <w:t>高新区采购中心</w:t>
      </w:r>
      <w:r>
        <w:rPr>
          <w:rFonts w:hint="eastAsia" w:ascii="宋体" w:hAnsi="宋体"/>
          <w:color w:val="auto"/>
          <w:sz w:val="28"/>
          <w:szCs w:val="28"/>
          <w:highlight w:val="none"/>
        </w:rPr>
        <w:t>、其他投标人恶意串通；</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向采购人或</w:t>
      </w:r>
      <w:r>
        <w:rPr>
          <w:rFonts w:hint="eastAsia" w:cs="Arial"/>
          <w:color w:val="auto"/>
          <w:sz w:val="28"/>
          <w:szCs w:val="28"/>
          <w:highlight w:val="none"/>
        </w:rPr>
        <w:t>高新区采购中心</w:t>
      </w:r>
      <w:r>
        <w:rPr>
          <w:rFonts w:hint="eastAsia" w:ascii="宋体" w:hAnsi="宋体"/>
          <w:color w:val="auto"/>
          <w:sz w:val="28"/>
          <w:szCs w:val="28"/>
          <w:highlight w:val="none"/>
        </w:rPr>
        <w:t>、评标委员会成员行贿或者提供其他不正当利益；</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在招标过程中与采购人或</w:t>
      </w:r>
      <w:r>
        <w:rPr>
          <w:rFonts w:hint="eastAsia" w:cs="Arial"/>
          <w:color w:val="auto"/>
          <w:sz w:val="28"/>
          <w:szCs w:val="28"/>
          <w:highlight w:val="none"/>
        </w:rPr>
        <w:t>高新区采购中心</w:t>
      </w:r>
      <w:r>
        <w:rPr>
          <w:rFonts w:hint="eastAsia" w:ascii="宋体" w:hAnsi="宋体"/>
          <w:color w:val="auto"/>
          <w:sz w:val="28"/>
          <w:szCs w:val="28"/>
          <w:highlight w:val="none"/>
        </w:rPr>
        <w:t>进行协商谈判；</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中标后无正当理由拒不与采购人签订政府采购合同；</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未按照采购文件确定的事项签订政府采购合同；</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将政府采购合同转包或者违规分包；</w:t>
      </w:r>
    </w:p>
    <w:p>
      <w:pPr>
        <w:numPr>
          <w:ilvl w:val="1"/>
          <w:numId w:val="32"/>
        </w:numPr>
        <w:tabs>
          <w:tab w:val="left" w:pos="1134"/>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提供假冒伪劣产品；</w:t>
      </w:r>
    </w:p>
    <w:p>
      <w:pPr>
        <w:numPr>
          <w:ilvl w:val="1"/>
          <w:numId w:val="32"/>
        </w:numPr>
        <w:tabs>
          <w:tab w:val="left" w:pos="1134"/>
          <w:tab w:val="left" w:pos="1418"/>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擅自变更、中止或者终止政府采购合同；</w:t>
      </w:r>
    </w:p>
    <w:p>
      <w:pPr>
        <w:tabs>
          <w:tab w:val="left" w:pos="1134"/>
        </w:tabs>
        <w:ind w:firstLine="560" w:firstLineChars="200"/>
        <w:rPr>
          <w:rFonts w:ascii="宋体" w:hAnsi="宋体"/>
          <w:color w:val="auto"/>
          <w:sz w:val="28"/>
          <w:szCs w:val="28"/>
          <w:highlight w:val="none"/>
        </w:rPr>
      </w:pPr>
      <w:r>
        <w:rPr>
          <w:rFonts w:hint="eastAsia" w:ascii="宋体" w:hAnsi="宋体"/>
          <w:color w:val="auto"/>
          <w:sz w:val="28"/>
          <w:szCs w:val="28"/>
          <w:highlight w:val="none"/>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auto"/>
          <w:sz w:val="28"/>
          <w:szCs w:val="28"/>
          <w:highlight w:val="none"/>
        </w:rPr>
      </w:pPr>
      <w:r>
        <w:rPr>
          <w:rFonts w:hint="eastAsia" w:ascii="宋体" w:hAnsi="宋体"/>
          <w:color w:val="auto"/>
          <w:sz w:val="28"/>
          <w:szCs w:val="28"/>
          <w:highlight w:val="none"/>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auto"/>
          <w:sz w:val="28"/>
          <w:szCs w:val="28"/>
          <w:highlight w:val="none"/>
        </w:rPr>
      </w:pPr>
      <w:r>
        <w:rPr>
          <w:rFonts w:hint="eastAsia" w:ascii="宋体" w:hAnsi="宋体"/>
          <w:color w:val="auto"/>
          <w:sz w:val="28"/>
          <w:szCs w:val="28"/>
          <w:highlight w:val="none"/>
        </w:rPr>
        <w:t>十四、处于被行政部门禁止参与政府采购活动的期限内；</w:t>
      </w:r>
    </w:p>
    <w:p>
      <w:pPr>
        <w:tabs>
          <w:tab w:val="left" w:pos="1134"/>
        </w:tabs>
        <w:ind w:firstLine="565" w:firstLineChars="202"/>
        <w:rPr>
          <w:rFonts w:ascii="宋体" w:hAnsi="宋体"/>
          <w:color w:val="auto"/>
          <w:sz w:val="28"/>
          <w:szCs w:val="28"/>
          <w:highlight w:val="none"/>
        </w:rPr>
      </w:pPr>
      <w:r>
        <w:rPr>
          <w:rFonts w:hint="eastAsia" w:ascii="宋体" w:hAnsi="宋体"/>
          <w:color w:val="auto"/>
          <w:sz w:val="28"/>
          <w:szCs w:val="28"/>
          <w:highlight w:val="none"/>
        </w:rPr>
        <w:t>十五、拒绝有关部门的监督检查或者向监督检查部门提供虚假情况；</w:t>
      </w:r>
    </w:p>
    <w:p>
      <w:pPr>
        <w:pStyle w:val="14"/>
        <w:spacing w:line="24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十六、法律法规规定的其他情形。</w:t>
      </w:r>
    </w:p>
    <w:p>
      <w:pPr>
        <w:tabs>
          <w:tab w:val="left" w:pos="1134"/>
        </w:tabs>
        <w:ind w:firstLine="568" w:firstLineChars="202"/>
        <w:rPr>
          <w:rFonts w:ascii="宋体" w:hAnsi="宋体"/>
          <w:b/>
          <w:color w:val="auto"/>
          <w:sz w:val="28"/>
          <w:szCs w:val="28"/>
          <w:highlight w:val="none"/>
        </w:rPr>
      </w:pPr>
      <w:r>
        <w:rPr>
          <w:rFonts w:hint="eastAsia" w:ascii="宋体" w:hAnsi="宋体"/>
          <w:b/>
          <w:color w:val="auto"/>
          <w:sz w:val="28"/>
          <w:szCs w:val="28"/>
          <w:highlight w:val="none"/>
        </w:rPr>
        <w:t>投标人有上述情形的，按照规定追究法律责任，具备一至十四条情形之一的，同时将认定投标人投标无效或不确定其为中标人，或者取消中标资格或认定中标无效。</w:t>
      </w:r>
    </w:p>
    <w:p>
      <w:pPr>
        <w:pStyle w:val="6"/>
        <w:numPr>
          <w:ilvl w:val="2"/>
          <w:numId w:val="5"/>
        </w:numPr>
        <w:spacing w:after="200" w:line="240" w:lineRule="auto"/>
        <w:ind w:left="0" w:firstLine="0"/>
        <w:rPr>
          <w:color w:val="auto"/>
          <w:highlight w:val="none"/>
        </w:rPr>
      </w:pPr>
      <w:r>
        <w:rPr>
          <w:rFonts w:hint="eastAsia"/>
          <w:color w:val="auto"/>
          <w:highlight w:val="none"/>
        </w:rPr>
        <w:t>保密</w:t>
      </w:r>
      <w:bookmarkEnd w:id="147"/>
    </w:p>
    <w:p>
      <w:pPr>
        <w:pStyle w:val="14"/>
        <w:numPr>
          <w:ilvl w:val="0"/>
          <w:numId w:val="33"/>
        </w:numPr>
        <w:tabs>
          <w:tab w:val="left" w:pos="1134"/>
        </w:tabs>
        <w:spacing w:after="0" w:line="240" w:lineRule="auto"/>
        <w:ind w:left="0" w:firstLine="567"/>
        <w:rPr>
          <w:rFonts w:ascii="宋体" w:hAnsi="宋体"/>
          <w:color w:val="auto"/>
          <w:sz w:val="28"/>
          <w:szCs w:val="28"/>
          <w:highlight w:val="none"/>
        </w:rPr>
      </w:pPr>
      <w:r>
        <w:rPr>
          <w:rFonts w:hint="eastAsia" w:ascii="宋体" w:hAnsi="宋体"/>
          <w:color w:val="auto"/>
          <w:sz w:val="28"/>
          <w:szCs w:val="28"/>
          <w:highlight w:val="none"/>
        </w:rPr>
        <w:t>不得透露有关在系统中成功提交《采购文件获取登记表》的潜在投标人的任何情况。</w:t>
      </w:r>
    </w:p>
    <w:p>
      <w:pPr>
        <w:pStyle w:val="14"/>
        <w:numPr>
          <w:ilvl w:val="0"/>
          <w:numId w:val="33"/>
        </w:numPr>
        <w:tabs>
          <w:tab w:val="left" w:pos="1134"/>
        </w:tabs>
        <w:spacing w:after="0" w:line="240" w:lineRule="auto"/>
        <w:ind w:left="0" w:firstLine="567"/>
        <w:rPr>
          <w:rFonts w:ascii="宋体" w:hAnsi="宋体"/>
          <w:color w:val="auto"/>
          <w:sz w:val="28"/>
          <w:szCs w:val="28"/>
          <w:highlight w:val="none"/>
        </w:rPr>
      </w:pPr>
      <w:r>
        <w:rPr>
          <w:rFonts w:hint="eastAsia" w:ascii="宋体" w:hAnsi="宋体"/>
          <w:color w:val="auto"/>
          <w:sz w:val="28"/>
          <w:szCs w:val="28"/>
          <w:highlight w:val="none"/>
        </w:rPr>
        <w:t>有关投标文件的审查、澄清、评估和比较以及合同授予意向等情况都不得对外透露。</w:t>
      </w:r>
    </w:p>
    <w:p>
      <w:pPr>
        <w:pStyle w:val="6"/>
        <w:numPr>
          <w:ilvl w:val="2"/>
          <w:numId w:val="5"/>
        </w:numPr>
        <w:spacing w:after="200" w:line="240" w:lineRule="auto"/>
        <w:ind w:left="0" w:firstLine="0"/>
        <w:rPr>
          <w:color w:val="auto"/>
          <w:highlight w:val="none"/>
        </w:rPr>
      </w:pPr>
      <w:r>
        <w:rPr>
          <w:rFonts w:hint="eastAsia"/>
          <w:color w:val="auto"/>
          <w:highlight w:val="none"/>
        </w:rPr>
        <w:t>回避</w:t>
      </w:r>
    </w:p>
    <w:p>
      <w:pPr>
        <w:pStyle w:val="42"/>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在政府采购活动中，采购人员（如</w:t>
      </w:r>
      <w:r>
        <w:rPr>
          <w:rFonts w:hint="eastAsia"/>
          <w:color w:val="auto"/>
          <w:sz w:val="28"/>
          <w:szCs w:val="28"/>
          <w:highlight w:val="none"/>
        </w:rPr>
        <w:t>采购人内部负责采购项目的具体经办工作人员或直接分管采购项目的负责人、</w:t>
      </w:r>
      <w:r>
        <w:rPr>
          <w:rFonts w:hint="eastAsia" w:cs="Arial"/>
          <w:color w:val="auto"/>
          <w:sz w:val="28"/>
          <w:szCs w:val="28"/>
          <w:highlight w:val="none"/>
        </w:rPr>
        <w:t>高新区采购中心</w:t>
      </w:r>
      <w:r>
        <w:rPr>
          <w:rFonts w:hint="eastAsia"/>
          <w:color w:val="auto"/>
          <w:sz w:val="28"/>
          <w:szCs w:val="28"/>
          <w:highlight w:val="none"/>
        </w:rPr>
        <w:t>负责采购项目的具体经办工作人员或直接分管采购活动的负责人等</w:t>
      </w:r>
      <w:r>
        <w:rPr>
          <w:rFonts w:hint="eastAsia" w:cs="Helvetica"/>
          <w:color w:val="auto"/>
          <w:sz w:val="28"/>
          <w:szCs w:val="28"/>
          <w:highlight w:val="none"/>
        </w:rPr>
        <w:t>）及相关人员与供应商有下列利害关系之一的，应当回避：</w:t>
      </w:r>
    </w:p>
    <w:p>
      <w:pPr>
        <w:pStyle w:val="42"/>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（一）参加采购活动前3年内与供应商存在劳动关系；</w:t>
      </w:r>
    </w:p>
    <w:p>
      <w:pPr>
        <w:pStyle w:val="42"/>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（二）参加采购活动前3年内担任供应商的董事、监事；</w:t>
      </w:r>
    </w:p>
    <w:p>
      <w:pPr>
        <w:pStyle w:val="42"/>
        <w:shd w:val="clear" w:color="auto" w:fill="FFFFFF"/>
        <w:spacing w:before="0" w:beforeAutospacing="0" w:after="0" w:afterAutospacing="0"/>
        <w:ind w:firstLine="562" w:firstLineChars="201"/>
        <w:rPr>
          <w:rFonts w:cs="Helvetica"/>
          <w:color w:val="auto"/>
          <w:sz w:val="28"/>
          <w:szCs w:val="28"/>
          <w:highlight w:val="none"/>
        </w:rPr>
      </w:pPr>
      <w:r>
        <w:rPr>
          <w:rFonts w:hint="eastAsia" w:cs="Helvetica"/>
          <w:color w:val="auto"/>
          <w:sz w:val="28"/>
          <w:szCs w:val="28"/>
          <w:highlight w:val="none"/>
        </w:rPr>
        <w:t>（三）参加采购活动前3年内是供应商的控股股东或者实际控制人；</w:t>
      </w:r>
    </w:p>
    <w:p>
      <w:pPr>
        <w:pStyle w:val="42"/>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（四）与供应商的法定代表人或者负责人有夫妻、直系血亲、三代以内旁系血亲或者近姻亲关系；</w:t>
      </w:r>
    </w:p>
    <w:p>
      <w:pPr>
        <w:pStyle w:val="42"/>
        <w:shd w:val="clear" w:color="auto" w:fill="FFFFFF"/>
        <w:spacing w:before="0" w:beforeAutospacing="0" w:after="0" w:afterAutospacing="0"/>
        <w:ind w:firstLine="560" w:firstLineChars="200"/>
        <w:rPr>
          <w:rFonts w:cs="Helvetica"/>
          <w:color w:val="auto"/>
          <w:sz w:val="28"/>
          <w:szCs w:val="28"/>
          <w:highlight w:val="none"/>
        </w:rPr>
      </w:pPr>
      <w:r>
        <w:rPr>
          <w:rFonts w:hint="eastAsia" w:cs="Helvetica"/>
          <w:color w:val="auto"/>
          <w:sz w:val="28"/>
          <w:szCs w:val="28"/>
          <w:highlight w:val="none"/>
        </w:rPr>
        <w:t>（五）与供应商有其他可能影响政府采购活动公平、公正进行的关系。</w:t>
      </w:r>
    </w:p>
    <w:p>
      <w:pPr>
        <w:pStyle w:val="42"/>
        <w:shd w:val="clear" w:color="auto" w:fill="FFFFFF"/>
        <w:spacing w:before="0" w:beforeAutospacing="0" w:after="0" w:afterAutospacing="0"/>
        <w:ind w:firstLine="560" w:firstLineChars="200"/>
        <w:rPr>
          <w:color w:val="auto"/>
          <w:sz w:val="28"/>
          <w:szCs w:val="28"/>
          <w:highlight w:val="none"/>
        </w:rPr>
      </w:pPr>
      <w:r>
        <w:rPr>
          <w:rFonts w:hint="eastAsia" w:cs="Helvetica"/>
          <w:color w:val="auto"/>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5"/>
        <w:numPr>
          <w:ilvl w:val="1"/>
          <w:numId w:val="5"/>
        </w:numPr>
        <w:spacing w:before="0" w:after="0" w:line="240" w:lineRule="auto"/>
        <w:ind w:left="993" w:hanging="993"/>
        <w:rPr>
          <w:color w:val="auto"/>
          <w:highlight w:val="none"/>
        </w:rPr>
      </w:pPr>
      <w:bookmarkStart w:id="148" w:name="_Toc446402234"/>
      <w:bookmarkStart w:id="149" w:name="_Toc26656"/>
      <w:bookmarkStart w:id="150" w:name="_Toc217446078"/>
      <w:bookmarkStart w:id="151" w:name="_Toc15833"/>
      <w:bookmarkStart w:id="152" w:name="_Toc8315"/>
      <w:bookmarkStart w:id="153" w:name="_Toc1865"/>
      <w:bookmarkStart w:id="154" w:name="_Toc21164"/>
      <w:bookmarkStart w:id="155" w:name="_Toc379536619"/>
      <w:bookmarkStart w:id="156" w:name="_Toc374971122"/>
      <w:r>
        <w:rPr>
          <w:rFonts w:hint="eastAsia"/>
          <w:color w:val="auto"/>
          <w:highlight w:val="none"/>
        </w:rPr>
        <w:t>询问、质疑和投诉</w:t>
      </w:r>
      <w:bookmarkEnd w:id="148"/>
      <w:bookmarkEnd w:id="149"/>
      <w:bookmarkEnd w:id="150"/>
      <w:bookmarkEnd w:id="151"/>
      <w:bookmarkEnd w:id="152"/>
      <w:bookmarkEnd w:id="153"/>
      <w:bookmarkEnd w:id="154"/>
      <w:bookmarkStart w:id="157" w:name="_Toc217446079"/>
    </w:p>
    <w:p>
      <w:pPr>
        <w:numPr>
          <w:ilvl w:val="0"/>
          <w:numId w:val="34"/>
        </w:numPr>
        <w:spacing w:line="500" w:lineRule="exact"/>
        <w:ind w:left="0" w:firstLine="567"/>
        <w:jc w:val="left"/>
        <w:rPr>
          <w:color w:val="auto"/>
          <w:sz w:val="28"/>
          <w:szCs w:val="28"/>
          <w:highlight w:val="none"/>
        </w:rPr>
      </w:pPr>
      <w:r>
        <w:rPr>
          <w:rFonts w:hint="eastAsia"/>
          <w:color w:val="auto"/>
          <w:sz w:val="28"/>
          <w:szCs w:val="28"/>
          <w:highlight w:val="none"/>
        </w:rPr>
        <w:t>询问、质疑、投诉的接收和处理严格按照《中华人民共和国政府采购法》、《中华人民共和国政府采购法实施条例》《中华人民共和国财政部货物和服务招投标管理办法》（财政部第</w:t>
      </w:r>
      <w:r>
        <w:rPr>
          <w:color w:val="auto"/>
          <w:sz w:val="28"/>
          <w:szCs w:val="28"/>
          <w:highlight w:val="none"/>
        </w:rPr>
        <w:t>87</w:t>
      </w:r>
      <w:r>
        <w:rPr>
          <w:rFonts w:hint="eastAsia"/>
          <w:color w:val="auto"/>
          <w:sz w:val="28"/>
          <w:szCs w:val="28"/>
          <w:highlight w:val="none"/>
        </w:rPr>
        <w:t>号令）和《政府采购质疑和投诉办法》（财政部</w:t>
      </w:r>
      <w:r>
        <w:rPr>
          <w:color w:val="auto"/>
          <w:sz w:val="28"/>
          <w:szCs w:val="28"/>
          <w:highlight w:val="none"/>
        </w:rPr>
        <w:t>94</w:t>
      </w:r>
      <w:r>
        <w:rPr>
          <w:rFonts w:hint="eastAsia"/>
          <w:color w:val="auto"/>
          <w:sz w:val="28"/>
          <w:szCs w:val="28"/>
          <w:highlight w:val="none"/>
        </w:rPr>
        <w:t>号令）的规定办理。</w:t>
      </w:r>
    </w:p>
    <w:p>
      <w:pPr>
        <w:numPr>
          <w:ilvl w:val="0"/>
          <w:numId w:val="34"/>
        </w:numPr>
        <w:spacing w:line="500" w:lineRule="exact"/>
        <w:ind w:left="0" w:firstLine="567"/>
        <w:jc w:val="left"/>
        <w:rPr>
          <w:color w:val="auto"/>
          <w:sz w:val="28"/>
          <w:szCs w:val="28"/>
          <w:highlight w:val="none"/>
        </w:rPr>
      </w:pPr>
      <w:r>
        <w:rPr>
          <w:rFonts w:hint="eastAsia"/>
          <w:color w:val="auto"/>
          <w:sz w:val="28"/>
          <w:szCs w:val="28"/>
          <w:highlight w:val="none"/>
        </w:rPr>
        <w:t>供应商</w:t>
      </w:r>
      <w:r>
        <w:rPr>
          <w:rFonts w:hint="eastAsia" w:ascii="宋体" w:hAnsi="宋体"/>
          <w:color w:val="auto"/>
          <w:sz w:val="28"/>
          <w:szCs w:val="28"/>
          <w:highlight w:val="none"/>
        </w:rPr>
        <w:t>询问、质疑的对象</w:t>
      </w:r>
    </w:p>
    <w:p>
      <w:pPr>
        <w:numPr>
          <w:ilvl w:val="1"/>
          <w:numId w:val="35"/>
        </w:numPr>
        <w:tabs>
          <w:tab w:val="left" w:pos="0"/>
          <w:tab w:val="left" w:pos="1276"/>
        </w:tabs>
        <w:spacing w:after="120" w:line="500" w:lineRule="exact"/>
        <w:ind w:left="0" w:firstLine="567"/>
        <w:rPr>
          <w:rFonts w:ascii="宋体" w:hAnsi="宋体"/>
          <w:color w:val="auto"/>
          <w:sz w:val="28"/>
          <w:szCs w:val="28"/>
          <w:highlight w:val="none"/>
        </w:rPr>
      </w:pPr>
      <w:r>
        <w:rPr>
          <w:rFonts w:hint="eastAsia"/>
          <w:color w:val="auto"/>
          <w:sz w:val="28"/>
          <w:szCs w:val="28"/>
          <w:highlight w:val="none"/>
        </w:rPr>
        <w:t>供应商</w:t>
      </w:r>
      <w:r>
        <w:rPr>
          <w:rFonts w:hint="eastAsia" w:ascii="宋体" w:hAnsi="宋体"/>
          <w:color w:val="auto"/>
          <w:sz w:val="28"/>
          <w:szCs w:val="28"/>
          <w:highlight w:val="none"/>
        </w:rPr>
        <w:t>对招标文件中</w:t>
      </w:r>
      <w:r>
        <w:rPr>
          <w:rFonts w:hint="eastAsia"/>
          <w:color w:val="auto"/>
          <w:sz w:val="28"/>
          <w:szCs w:val="28"/>
          <w:highlight w:val="none"/>
        </w:rPr>
        <w:t>供应商</w:t>
      </w:r>
      <w:r>
        <w:rPr>
          <w:rFonts w:hint="eastAsia" w:ascii="宋体" w:hAnsi="宋体"/>
          <w:color w:val="auto"/>
          <w:sz w:val="28"/>
          <w:szCs w:val="28"/>
          <w:highlight w:val="none"/>
        </w:rPr>
        <w:t>参加本次政府采购活动应当具备的条件，招标项目技术、服务、商务及其他要求，评标细则及标准，和中标结果中关于资格审查提出询问或质疑的，应通过</w:t>
      </w:r>
      <w:r>
        <w:rPr>
          <w:rFonts w:hint="eastAsia"/>
          <w:color w:val="auto"/>
          <w:sz w:val="28"/>
          <w:szCs w:val="28"/>
          <w:highlight w:val="none"/>
        </w:rPr>
        <w:t>“政府采购云平台”</w:t>
      </w:r>
      <w:r>
        <w:rPr>
          <w:rFonts w:hint="eastAsia" w:ascii="宋体" w:hAnsi="宋体"/>
          <w:color w:val="auto"/>
          <w:sz w:val="28"/>
          <w:szCs w:val="28"/>
          <w:highlight w:val="none"/>
        </w:rPr>
        <w:t>向采购人提出；</w:t>
      </w:r>
    </w:p>
    <w:p>
      <w:pPr>
        <w:numPr>
          <w:ilvl w:val="1"/>
          <w:numId w:val="35"/>
        </w:numPr>
        <w:spacing w:after="120" w:line="500" w:lineRule="exact"/>
        <w:ind w:left="0" w:firstLine="567"/>
        <w:rPr>
          <w:rFonts w:ascii="宋体" w:hAnsi="宋体"/>
          <w:color w:val="auto"/>
          <w:sz w:val="28"/>
          <w:szCs w:val="28"/>
          <w:highlight w:val="none"/>
        </w:rPr>
      </w:pPr>
      <w:r>
        <w:rPr>
          <w:rFonts w:hint="eastAsia"/>
          <w:color w:val="auto"/>
          <w:sz w:val="28"/>
          <w:szCs w:val="28"/>
          <w:highlight w:val="none"/>
        </w:rPr>
        <w:t>供应商对除上述招标文件中的其他内容，采购过程及中标结果（除资格审查）提出询问或质疑的，应通过“政府采购云平台”向高新区采购中心提出</w:t>
      </w:r>
      <w:r>
        <w:rPr>
          <w:rFonts w:hint="eastAsia" w:ascii="宋体" w:hAnsi="宋体"/>
          <w:color w:val="auto"/>
          <w:sz w:val="28"/>
          <w:szCs w:val="28"/>
          <w:highlight w:val="none"/>
        </w:rPr>
        <w:t>。</w:t>
      </w:r>
    </w:p>
    <w:p>
      <w:pPr>
        <w:numPr>
          <w:ilvl w:val="0"/>
          <w:numId w:val="34"/>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供应商提出的询问，应当明确询问事项，如以书面形式提出的，应由供应商签字并加盖公章。</w:t>
      </w:r>
    </w:p>
    <w:p>
      <w:pPr>
        <w:numPr>
          <w:ilvl w:val="0"/>
          <w:numId w:val="34"/>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供应商应在法定质疑期内一次性提出针对同一采购程序环节的质疑。</w:t>
      </w:r>
    </w:p>
    <w:p>
      <w:pPr>
        <w:numPr>
          <w:ilvl w:val="0"/>
          <w:numId w:val="34"/>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供应商提出质疑时应当准备的资料</w:t>
      </w:r>
    </w:p>
    <w:p>
      <w:pPr>
        <w:pStyle w:val="42"/>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（一）质疑书正本1份；</w:t>
      </w:r>
    </w:p>
    <w:p>
      <w:pPr>
        <w:pStyle w:val="42"/>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（二）法定代表人授权委托书1份（委托代理人办理质疑事宜的需提供）；</w:t>
      </w:r>
    </w:p>
    <w:p>
      <w:pPr>
        <w:pStyle w:val="42"/>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（三）营业执照或法人证书复印件1份（加盖公章）；</w:t>
      </w:r>
    </w:p>
    <w:p>
      <w:pPr>
        <w:pStyle w:val="42"/>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（四）法定代表人身份证复印件1份；</w:t>
      </w:r>
    </w:p>
    <w:p>
      <w:pPr>
        <w:pStyle w:val="42"/>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（五）委托代理人身份证复印件1份（委托代理人办理质疑事宜的需提供）；</w:t>
      </w:r>
    </w:p>
    <w:p>
      <w:pPr>
        <w:pStyle w:val="42"/>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（六）针对质疑事项必要的证明材料。</w:t>
      </w:r>
    </w:p>
    <w:p>
      <w:pPr>
        <w:numPr>
          <w:ilvl w:val="0"/>
          <w:numId w:val="34"/>
        </w:numPr>
        <w:tabs>
          <w:tab w:val="left" w:pos="1134"/>
        </w:tabs>
        <w:spacing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供应商对采购人</w:t>
      </w:r>
      <w:r>
        <w:rPr>
          <w:rFonts w:ascii="宋体" w:hAnsi="宋体"/>
          <w:color w:val="auto"/>
          <w:sz w:val="28"/>
          <w:szCs w:val="28"/>
          <w:highlight w:val="none"/>
        </w:rPr>
        <w:t>或</w:t>
      </w:r>
      <w:r>
        <w:rPr>
          <w:rFonts w:hint="eastAsia" w:ascii="宋体" w:hAnsi="宋体"/>
          <w:color w:val="auto"/>
          <w:sz w:val="28"/>
          <w:szCs w:val="28"/>
          <w:highlight w:val="none"/>
        </w:rPr>
        <w:t>高新区采购中心的质疑答复不满意，或者采购人</w:t>
      </w:r>
      <w:r>
        <w:rPr>
          <w:rFonts w:ascii="宋体" w:hAnsi="宋体"/>
          <w:color w:val="auto"/>
          <w:sz w:val="28"/>
          <w:szCs w:val="28"/>
          <w:highlight w:val="none"/>
        </w:rPr>
        <w:t>或</w:t>
      </w:r>
      <w:r>
        <w:rPr>
          <w:rFonts w:hint="eastAsia" w:ascii="宋体" w:hAnsi="宋体"/>
          <w:color w:val="auto"/>
          <w:sz w:val="28"/>
          <w:szCs w:val="28"/>
          <w:highlight w:val="none"/>
        </w:rPr>
        <w:t>高新区采购中心未在规定期限内作出答复的，供应商可以在答复期满后15个工作日内向同级财政部门提起投诉。</w:t>
      </w:r>
    </w:p>
    <w:bookmarkEnd w:id="157"/>
    <w:p>
      <w:pPr>
        <w:pStyle w:val="5"/>
        <w:numPr>
          <w:ilvl w:val="1"/>
          <w:numId w:val="5"/>
        </w:numPr>
        <w:spacing w:before="0" w:after="0" w:line="240" w:lineRule="auto"/>
        <w:ind w:left="2269" w:hanging="2269"/>
        <w:rPr>
          <w:color w:val="auto"/>
          <w:sz w:val="36"/>
          <w:szCs w:val="36"/>
          <w:highlight w:val="none"/>
        </w:rPr>
      </w:pPr>
      <w:bookmarkStart w:id="158" w:name="_Toc8941"/>
      <w:bookmarkStart w:id="159" w:name="_Toc11597"/>
      <w:bookmarkStart w:id="160" w:name="_Toc10245"/>
      <w:bookmarkStart w:id="161" w:name="_Toc16708"/>
      <w:bookmarkStart w:id="162" w:name="_Toc1212"/>
      <w:r>
        <w:rPr>
          <w:rFonts w:hint="eastAsia"/>
          <w:color w:val="auto"/>
          <w:highlight w:val="none"/>
        </w:rPr>
        <w:t>中小企业政府采购信用融资</w:t>
      </w:r>
      <w:bookmarkEnd w:id="155"/>
      <w:bookmarkEnd w:id="156"/>
      <w:bookmarkEnd w:id="158"/>
      <w:bookmarkEnd w:id="159"/>
      <w:bookmarkEnd w:id="160"/>
      <w:bookmarkEnd w:id="161"/>
      <w:bookmarkEnd w:id="162"/>
    </w:p>
    <w:p>
      <w:pPr>
        <w:numPr>
          <w:ilvl w:val="0"/>
          <w:numId w:val="36"/>
        </w:numPr>
        <w:tabs>
          <w:tab w:val="left" w:pos="1134"/>
        </w:tabs>
        <w:spacing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参与本次招标活动中标的中小企业投标人无需提供财产抵押或第三方担保，凭借政府采购合同可向融资机构申请融资。</w:t>
      </w:r>
    </w:p>
    <w:p>
      <w:pPr>
        <w:numPr>
          <w:ilvl w:val="0"/>
          <w:numId w:val="36"/>
        </w:numPr>
        <w:tabs>
          <w:tab w:val="left" w:pos="1134"/>
        </w:tabs>
        <w:spacing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成都高新区财政金融局关于印发&lt;成都高新区支持中小企业政府采购信用融资实施方案&gt;的通知》（成高财发[2019]141号）见附件。</w:t>
      </w:r>
      <w:r>
        <w:rPr>
          <w:rFonts w:hint="eastAsia" w:ascii="宋体" w:hAnsi="宋体"/>
          <w:color w:val="auto"/>
          <w:sz w:val="28"/>
          <w:szCs w:val="28"/>
          <w:highlight w:val="none"/>
        </w:rPr>
        <w:br w:type="page"/>
      </w:r>
    </w:p>
    <w:p>
      <w:pPr>
        <w:pStyle w:val="4"/>
        <w:numPr>
          <w:ilvl w:val="0"/>
          <w:numId w:val="5"/>
        </w:numPr>
        <w:spacing w:line="240" w:lineRule="auto"/>
        <w:rPr>
          <w:color w:val="auto"/>
          <w:highlight w:val="none"/>
        </w:rPr>
      </w:pPr>
      <w:bookmarkStart w:id="163" w:name="_Toc315871047"/>
      <w:bookmarkEnd w:id="163"/>
      <w:bookmarkStart w:id="164" w:name="_Toc315871050"/>
      <w:bookmarkEnd w:id="164"/>
      <w:bookmarkStart w:id="165" w:name="_Toc316292051"/>
      <w:bookmarkEnd w:id="165"/>
      <w:bookmarkStart w:id="166" w:name="_Toc315871048"/>
      <w:bookmarkEnd w:id="166"/>
      <w:bookmarkStart w:id="167" w:name="_Toc315871049"/>
      <w:bookmarkEnd w:id="167"/>
      <w:bookmarkStart w:id="168" w:name="_Toc315871045"/>
      <w:bookmarkEnd w:id="168"/>
      <w:bookmarkStart w:id="169" w:name="_Toc316292048"/>
      <w:bookmarkEnd w:id="169"/>
      <w:bookmarkStart w:id="170" w:name="_Toc316292049"/>
      <w:bookmarkEnd w:id="170"/>
      <w:bookmarkStart w:id="171" w:name="_Toc315871046"/>
      <w:bookmarkEnd w:id="171"/>
      <w:bookmarkStart w:id="172" w:name="_Toc316292050"/>
      <w:bookmarkEnd w:id="172"/>
      <w:bookmarkStart w:id="173" w:name="_Toc316292052"/>
      <w:bookmarkEnd w:id="173"/>
      <w:bookmarkStart w:id="174" w:name="_Toc7565"/>
      <w:bookmarkStart w:id="175" w:name="_Toc21224"/>
      <w:bookmarkStart w:id="176" w:name="_Toc17383"/>
      <w:bookmarkStart w:id="177" w:name="_Toc8836"/>
      <w:bookmarkStart w:id="178" w:name="_Toc29131"/>
      <w:r>
        <w:rPr>
          <w:rFonts w:hint="eastAsia"/>
          <w:color w:val="auto"/>
          <w:highlight w:val="none"/>
        </w:rPr>
        <w:t>投标文件格式</w:t>
      </w:r>
      <w:bookmarkEnd w:id="174"/>
      <w:bookmarkEnd w:id="175"/>
      <w:bookmarkEnd w:id="176"/>
      <w:bookmarkEnd w:id="177"/>
      <w:bookmarkEnd w:id="178"/>
    </w:p>
    <w:p>
      <w:pPr>
        <w:pStyle w:val="5"/>
        <w:numPr>
          <w:ilvl w:val="1"/>
          <w:numId w:val="5"/>
        </w:numPr>
        <w:spacing w:line="240" w:lineRule="auto"/>
        <w:ind w:left="2269" w:hanging="2269"/>
        <w:rPr>
          <w:color w:val="auto"/>
          <w:highlight w:val="none"/>
        </w:rPr>
      </w:pPr>
      <w:bookmarkStart w:id="179" w:name="_Toc316462354"/>
      <w:bookmarkStart w:id="180" w:name="_Toc294688711"/>
      <w:bookmarkStart w:id="181" w:name="_Toc295978802"/>
      <w:bookmarkStart w:id="182" w:name="_Toc182629023"/>
      <w:bookmarkStart w:id="183" w:name="_Toc287367101"/>
      <w:bookmarkStart w:id="184" w:name="_Toc5423"/>
      <w:bookmarkStart w:id="185" w:name="_Toc211218954"/>
      <w:bookmarkStart w:id="186" w:name="_Toc23011"/>
      <w:bookmarkStart w:id="187" w:name="_Toc182759327"/>
      <w:bookmarkStart w:id="188" w:name="_Toc2879"/>
      <w:bookmarkStart w:id="189" w:name="_Toc187"/>
      <w:bookmarkStart w:id="190" w:name="_Toc294701519"/>
      <w:bookmarkStart w:id="191" w:name="_Toc15035"/>
      <w:r>
        <w:rPr>
          <w:rFonts w:hint="eastAsia"/>
          <w:color w:val="auto"/>
          <w:highlight w:val="none"/>
        </w:rPr>
        <w:t>投标文件封面格式</w:t>
      </w:r>
      <w:bookmarkEnd w:id="179"/>
      <w:bookmarkEnd w:id="180"/>
      <w:bookmarkEnd w:id="181"/>
      <w:bookmarkEnd w:id="182"/>
      <w:bookmarkEnd w:id="183"/>
      <w:bookmarkEnd w:id="184"/>
      <w:bookmarkEnd w:id="185"/>
      <w:bookmarkEnd w:id="186"/>
      <w:bookmarkEnd w:id="187"/>
      <w:bookmarkEnd w:id="188"/>
      <w:bookmarkEnd w:id="189"/>
      <w:bookmarkEnd w:id="190"/>
      <w:bookmarkEnd w:id="191"/>
    </w:p>
    <w:p>
      <w:pPr>
        <w:rPr>
          <w:rFonts w:ascii="宋体" w:hAnsi="宋体"/>
          <w:bCs/>
          <w:color w:val="auto"/>
          <w:szCs w:val="21"/>
          <w:highlight w:val="none"/>
        </w:rPr>
      </w:pPr>
    </w:p>
    <w:p>
      <w:pPr>
        <w:rPr>
          <w:rFonts w:ascii="宋体" w:hAnsi="宋体"/>
          <w:bCs/>
          <w:color w:val="auto"/>
          <w:szCs w:val="21"/>
          <w:highlight w:val="none"/>
        </w:rPr>
      </w:pPr>
    </w:p>
    <w:p>
      <w:pPr>
        <w:rPr>
          <w:rFonts w:ascii="宋体" w:hAnsi="宋体"/>
          <w:bCs/>
          <w:color w:val="auto"/>
          <w:szCs w:val="21"/>
          <w:highlight w:val="none"/>
        </w:rPr>
      </w:pPr>
    </w:p>
    <w:p>
      <w:pPr>
        <w:jc w:val="right"/>
        <w:rPr>
          <w:rFonts w:ascii="宋体" w:hAnsi="宋体"/>
          <w:color w:val="auto"/>
          <w:sz w:val="24"/>
          <w:highlight w:val="none"/>
        </w:rPr>
      </w:pPr>
    </w:p>
    <w:p>
      <w:pPr>
        <w:jc w:val="center"/>
        <w:rPr>
          <w:rFonts w:ascii="宋体" w:hAnsi="宋体"/>
          <w:color w:val="auto"/>
          <w:spacing w:val="78"/>
          <w:sz w:val="120"/>
          <w:szCs w:val="120"/>
          <w:highlight w:val="none"/>
        </w:rPr>
      </w:pPr>
      <w:r>
        <w:rPr>
          <w:rFonts w:hint="eastAsia" w:ascii="宋体" w:hAnsi="宋体"/>
          <w:color w:val="auto"/>
          <w:spacing w:val="78"/>
          <w:sz w:val="120"/>
          <w:szCs w:val="120"/>
          <w:highlight w:val="none"/>
        </w:rPr>
        <w:t>投标文件</w:t>
      </w:r>
    </w:p>
    <w:p>
      <w:pPr>
        <w:rPr>
          <w:rFonts w:ascii="宋体" w:hAnsi="宋体"/>
          <w:bCs/>
          <w:color w:val="auto"/>
          <w:sz w:val="36"/>
          <w:highlight w:val="none"/>
        </w:rPr>
      </w:pPr>
    </w:p>
    <w:p>
      <w:pPr>
        <w:tabs>
          <w:tab w:val="left" w:pos="665"/>
          <w:tab w:val="left" w:pos="3241"/>
          <w:tab w:val="left" w:pos="3525"/>
          <w:tab w:val="left" w:pos="3994"/>
          <w:tab w:val="left" w:pos="4234"/>
        </w:tabs>
        <w:ind w:left="2125" w:leftChars="270" w:hanging="1558" w:hangingChars="485"/>
        <w:jc w:val="left"/>
        <w:rPr>
          <w:rFonts w:ascii="宋体" w:hAnsi="宋体"/>
          <w:b/>
          <w:bCs/>
          <w:color w:val="auto"/>
          <w:sz w:val="32"/>
          <w:szCs w:val="32"/>
          <w:highlight w:val="none"/>
        </w:rPr>
      </w:pPr>
      <w:r>
        <w:rPr>
          <w:rFonts w:hint="eastAsia" w:ascii="宋体" w:hAnsi="宋体"/>
          <w:b/>
          <w:bCs/>
          <w:color w:val="auto"/>
          <w:sz w:val="32"/>
          <w:szCs w:val="32"/>
          <w:highlight w:val="none"/>
        </w:rPr>
        <w:t>项目名称：成都高新区政务服务和网络理政办公室新政务服务中心特约物业管理服务采购项目</w:t>
      </w:r>
    </w:p>
    <w:p>
      <w:pPr>
        <w:tabs>
          <w:tab w:val="left" w:pos="665"/>
        </w:tabs>
        <w:ind w:firstLine="565" w:firstLineChars="176"/>
        <w:rPr>
          <w:rFonts w:ascii="宋体" w:hAnsi="宋体"/>
          <w:b/>
          <w:bCs/>
          <w:color w:val="auto"/>
          <w:sz w:val="32"/>
          <w:szCs w:val="32"/>
          <w:highlight w:val="none"/>
        </w:rPr>
      </w:pPr>
      <w:r>
        <w:rPr>
          <w:rFonts w:hint="eastAsia" w:ascii="宋体" w:hAnsi="宋体"/>
          <w:b/>
          <w:bCs/>
          <w:color w:val="auto"/>
          <w:sz w:val="32"/>
          <w:szCs w:val="32"/>
          <w:highlight w:val="none"/>
        </w:rPr>
        <w:t>项目编号：成都高新技术产业开发政采（2021）A0018号</w:t>
      </w:r>
    </w:p>
    <w:p>
      <w:pPr>
        <w:jc w:val="left"/>
        <w:rPr>
          <w:rFonts w:ascii="宋体" w:hAnsi="宋体"/>
          <w:b/>
          <w:bCs/>
          <w:color w:val="auto"/>
          <w:sz w:val="36"/>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ind w:firstLine="630" w:firstLineChars="196"/>
        <w:jc w:val="left"/>
        <w:rPr>
          <w:rFonts w:ascii="宋体" w:hAnsi="宋体"/>
          <w:b/>
          <w:bCs/>
          <w:color w:val="auto"/>
          <w:sz w:val="32"/>
          <w:szCs w:val="32"/>
          <w:highlight w:val="none"/>
          <w:u w:val="single"/>
        </w:rPr>
      </w:pPr>
      <w:r>
        <w:rPr>
          <w:rFonts w:hint="eastAsia" w:ascii="宋体" w:hAnsi="宋体"/>
          <w:b/>
          <w:bCs/>
          <w:color w:val="auto"/>
          <w:sz w:val="32"/>
          <w:szCs w:val="32"/>
          <w:highlight w:val="none"/>
        </w:rPr>
        <w:t>投标人名称：</w:t>
      </w:r>
      <w:r>
        <w:rPr>
          <w:rFonts w:hint="eastAsia" w:ascii="宋体" w:hAnsi="宋体"/>
          <w:b/>
          <w:color w:val="auto"/>
          <w:sz w:val="32"/>
          <w:szCs w:val="28"/>
          <w:highlight w:val="none"/>
        </w:rPr>
        <w:t>XXXX</w:t>
      </w:r>
    </w:p>
    <w:p>
      <w:pPr>
        <w:ind w:firstLine="569" w:firstLineChars="177"/>
        <w:rPr>
          <w:rFonts w:ascii="宋体" w:hAnsi="宋体"/>
          <w:b/>
          <w:bCs/>
          <w:color w:val="auto"/>
          <w:sz w:val="32"/>
          <w:szCs w:val="32"/>
          <w:highlight w:val="none"/>
        </w:rPr>
      </w:pPr>
      <w:r>
        <w:rPr>
          <w:rFonts w:hint="eastAsia" w:ascii="宋体" w:hAnsi="宋体"/>
          <w:b/>
          <w:bCs/>
          <w:color w:val="auto"/>
          <w:sz w:val="32"/>
          <w:szCs w:val="32"/>
          <w:highlight w:val="none"/>
        </w:rPr>
        <w:t>日       期：20XX年XX月XX日</w:t>
      </w:r>
    </w:p>
    <w:p>
      <w:pPr>
        <w:rPr>
          <w:color w:val="auto"/>
          <w:highlight w:val="none"/>
        </w:rPr>
      </w:pPr>
      <w:r>
        <w:rPr>
          <w:color w:val="auto"/>
          <w:highlight w:val="none"/>
        </w:rPr>
        <w:br w:type="page"/>
      </w:r>
    </w:p>
    <w:p>
      <w:pPr>
        <w:pStyle w:val="20"/>
        <w:ind w:firstLine="180"/>
        <w:rPr>
          <w:color w:val="auto"/>
          <w:highlight w:val="none"/>
        </w:rPr>
      </w:pPr>
    </w:p>
    <w:p>
      <w:pPr>
        <w:pStyle w:val="5"/>
        <w:numPr>
          <w:ilvl w:val="1"/>
          <w:numId w:val="5"/>
        </w:numPr>
        <w:spacing w:before="0" w:after="0" w:line="240" w:lineRule="auto"/>
        <w:ind w:left="2269" w:hanging="2269"/>
        <w:rPr>
          <w:color w:val="auto"/>
          <w:highlight w:val="none"/>
        </w:rPr>
      </w:pPr>
      <w:bookmarkStart w:id="192" w:name="_Toc729"/>
      <w:bookmarkStart w:id="193" w:name="_Toc9940"/>
      <w:bookmarkStart w:id="194" w:name="_Toc22607"/>
      <w:bookmarkStart w:id="195" w:name="_Toc22488"/>
      <w:bookmarkStart w:id="196" w:name="_Toc1781"/>
      <w:bookmarkStart w:id="197" w:name="_Toc217446082"/>
      <w:r>
        <w:rPr>
          <w:rFonts w:hint="eastAsia"/>
          <w:color w:val="auto"/>
          <w:highlight w:val="none"/>
        </w:rPr>
        <w:t>资格</w:t>
      </w:r>
      <w:bookmarkEnd w:id="192"/>
      <w:bookmarkEnd w:id="193"/>
      <w:bookmarkEnd w:id="194"/>
      <w:bookmarkEnd w:id="195"/>
      <w:r>
        <w:rPr>
          <w:rFonts w:hint="eastAsia"/>
          <w:color w:val="auto"/>
          <w:highlight w:val="none"/>
        </w:rPr>
        <w:t>响应文件</w:t>
      </w:r>
      <w:bookmarkEnd w:id="196"/>
    </w:p>
    <w:p>
      <w:pPr>
        <w:pStyle w:val="6"/>
        <w:numPr>
          <w:ilvl w:val="2"/>
          <w:numId w:val="5"/>
        </w:numPr>
        <w:spacing w:after="200" w:line="240" w:lineRule="auto"/>
        <w:ind w:left="851"/>
        <w:rPr>
          <w:color w:val="auto"/>
          <w:highlight w:val="none"/>
        </w:rPr>
      </w:pPr>
      <w:r>
        <w:rPr>
          <w:rFonts w:hint="eastAsia"/>
          <w:color w:val="auto"/>
          <w:highlight w:val="none"/>
        </w:rPr>
        <w:t>关于投标人资格申明的函</w:t>
      </w:r>
    </w:p>
    <w:p>
      <w:pPr>
        <w:rPr>
          <w:rFonts w:ascii="宋体" w:hAnsi="宋体"/>
          <w:color w:val="auto"/>
          <w:sz w:val="28"/>
          <w:szCs w:val="28"/>
          <w:highlight w:val="none"/>
        </w:rPr>
      </w:pPr>
      <w:bookmarkStart w:id="198" w:name="_Toc238581782"/>
      <w:bookmarkStart w:id="199" w:name="_Toc52184753"/>
      <w:bookmarkStart w:id="200" w:name="_Toc119296788"/>
      <w:bookmarkStart w:id="201" w:name="_Toc119203988"/>
      <w:bookmarkStart w:id="202" w:name="_Toc146903609"/>
      <w:bookmarkStart w:id="203" w:name="_Toc119295087"/>
      <w:r>
        <w:rPr>
          <w:rFonts w:hint="eastAsia" w:ascii="宋体" w:hAnsi="宋体"/>
          <w:color w:val="auto"/>
          <w:sz w:val="28"/>
          <w:szCs w:val="28"/>
          <w:highlight w:val="none"/>
        </w:rPr>
        <w:t>致：</w:t>
      </w:r>
      <w:bookmarkEnd w:id="198"/>
      <w:r>
        <w:rPr>
          <w:rFonts w:hint="eastAsia" w:ascii="宋体" w:hAnsi="宋体"/>
          <w:color w:val="auto"/>
          <w:sz w:val="28"/>
          <w:szCs w:val="28"/>
          <w:highlight w:val="none"/>
        </w:rPr>
        <w:t>成都高新区政府采购服务中心</w:t>
      </w:r>
    </w:p>
    <w:p>
      <w:pPr>
        <w:ind w:firstLine="565" w:firstLineChars="202"/>
        <w:rPr>
          <w:rFonts w:ascii="宋体" w:hAnsi="宋体"/>
          <w:color w:val="auto"/>
          <w:sz w:val="28"/>
          <w:szCs w:val="28"/>
          <w:highlight w:val="none"/>
        </w:rPr>
      </w:pPr>
      <w:bookmarkStart w:id="204" w:name="_Toc238581783"/>
      <w:r>
        <w:rPr>
          <w:rFonts w:hint="eastAsia" w:ascii="宋体" w:hAnsi="宋体"/>
          <w:color w:val="auto"/>
          <w:sz w:val="28"/>
          <w:szCs w:val="28"/>
          <w:highlight w:val="none"/>
        </w:rPr>
        <w:t>关于我方对</w:t>
      </w:r>
      <w:r>
        <w:rPr>
          <w:rFonts w:hint="eastAsia" w:ascii="宋体" w:hAnsi="宋体"/>
          <w:b/>
          <w:color w:val="auto"/>
          <w:sz w:val="28"/>
          <w:szCs w:val="28"/>
          <w:highlight w:val="none"/>
          <w:u w:val="single"/>
        </w:rPr>
        <w:t>成都高新区政务服务和网络理政办公室新政务服务中心特约物业管理服务采购项目（项目编号：成都高新技术产业开发政采（2021）A0018号）</w:t>
      </w:r>
      <w:r>
        <w:rPr>
          <w:rFonts w:hint="eastAsia" w:ascii="宋体" w:hAnsi="宋体"/>
          <w:color w:val="auto"/>
          <w:sz w:val="28"/>
          <w:szCs w:val="28"/>
          <w:highlight w:val="none"/>
        </w:rPr>
        <w:t>的公开招标，提交的下列文件和说明是准确的和真实的。</w:t>
      </w:r>
      <w:bookmarkEnd w:id="204"/>
    </w:p>
    <w:p>
      <w:pPr>
        <w:widowControl/>
        <w:numPr>
          <w:ilvl w:val="2"/>
          <w:numId w:val="37"/>
        </w:numPr>
        <w:spacing w:after="200"/>
        <w:ind w:left="0" w:firstLine="560" w:firstLineChars="200"/>
        <w:rPr>
          <w:rFonts w:ascii="宋体" w:hAnsi="宋体"/>
          <w:color w:val="auto"/>
          <w:sz w:val="28"/>
          <w:szCs w:val="28"/>
          <w:highlight w:val="none"/>
        </w:rPr>
      </w:pPr>
      <w:bookmarkStart w:id="205" w:name="_Toc238581784"/>
      <w:r>
        <w:rPr>
          <w:rFonts w:hint="eastAsia" w:ascii="宋体" w:hAnsi="宋体"/>
          <w:color w:val="auto"/>
          <w:sz w:val="28"/>
          <w:szCs w:val="28"/>
          <w:highlight w:val="none"/>
        </w:rPr>
        <w:t>投标人名称及概况：</w:t>
      </w:r>
      <w:bookmarkEnd w:id="199"/>
      <w:bookmarkEnd w:id="200"/>
      <w:bookmarkEnd w:id="201"/>
      <w:bookmarkEnd w:id="202"/>
      <w:bookmarkEnd w:id="203"/>
      <w:bookmarkEnd w:id="205"/>
    </w:p>
    <w:p>
      <w:pPr>
        <w:widowControl/>
        <w:numPr>
          <w:ilvl w:val="0"/>
          <w:numId w:val="38"/>
        </w:numPr>
        <w:spacing w:after="200"/>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投标人名称：XXXX</w:t>
      </w:r>
    </w:p>
    <w:p>
      <w:pPr>
        <w:widowControl/>
        <w:numPr>
          <w:ilvl w:val="0"/>
          <w:numId w:val="38"/>
        </w:numPr>
        <w:spacing w:after="200"/>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地址：XXXX      邮编：XXXX</w:t>
      </w:r>
    </w:p>
    <w:p>
      <w:pPr>
        <w:widowControl/>
        <w:ind w:left="1261"/>
        <w:jc w:val="left"/>
        <w:rPr>
          <w:rFonts w:ascii="宋体" w:hAnsi="宋体"/>
          <w:color w:val="auto"/>
          <w:sz w:val="28"/>
          <w:szCs w:val="28"/>
          <w:highlight w:val="none"/>
          <w:u w:val="single"/>
        </w:rPr>
      </w:pPr>
      <w:r>
        <w:rPr>
          <w:rFonts w:hint="eastAsia" w:ascii="宋体" w:hAnsi="宋体"/>
          <w:color w:val="auto"/>
          <w:sz w:val="28"/>
          <w:szCs w:val="28"/>
          <w:highlight w:val="none"/>
        </w:rPr>
        <w:t>传真/电话： XXXX</w:t>
      </w:r>
    </w:p>
    <w:p>
      <w:pPr>
        <w:widowControl/>
        <w:numPr>
          <w:ilvl w:val="0"/>
          <w:numId w:val="38"/>
        </w:numPr>
        <w:spacing w:after="200"/>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成立日期或注册日期：XXXX</w:t>
      </w:r>
    </w:p>
    <w:p>
      <w:pPr>
        <w:widowControl/>
        <w:numPr>
          <w:ilvl w:val="0"/>
          <w:numId w:val="38"/>
        </w:numPr>
        <w:spacing w:after="200"/>
        <w:ind w:left="0" w:firstLine="560" w:firstLineChars="200"/>
        <w:jc w:val="left"/>
        <w:rPr>
          <w:rFonts w:ascii="宋体" w:hAnsi="宋体"/>
          <w:color w:val="auto"/>
          <w:sz w:val="28"/>
          <w:szCs w:val="28"/>
          <w:highlight w:val="none"/>
          <w:u w:val="single"/>
        </w:rPr>
      </w:pPr>
      <w:r>
        <w:rPr>
          <w:rFonts w:hint="eastAsia" w:ascii="宋体" w:hAnsi="宋体"/>
          <w:color w:val="auto"/>
          <w:sz w:val="28"/>
          <w:szCs w:val="28"/>
          <w:highlight w:val="none"/>
        </w:rPr>
        <w:t>法定代表人姓名：XXXX</w:t>
      </w:r>
    </w:p>
    <w:p>
      <w:pPr>
        <w:widowControl/>
        <w:numPr>
          <w:ilvl w:val="2"/>
          <w:numId w:val="37"/>
        </w:numPr>
        <w:tabs>
          <w:tab w:val="left" w:pos="1276"/>
        </w:tabs>
        <w:spacing w:after="200"/>
        <w:ind w:left="0" w:firstLine="567"/>
        <w:rPr>
          <w:rFonts w:ascii="宋体" w:hAnsi="宋体"/>
          <w:color w:val="auto"/>
          <w:sz w:val="28"/>
          <w:szCs w:val="28"/>
          <w:highlight w:val="none"/>
        </w:rPr>
      </w:pPr>
      <w:r>
        <w:rPr>
          <w:rFonts w:hint="eastAsia" w:ascii="宋体" w:hAnsi="宋体"/>
          <w:color w:val="auto"/>
          <w:sz w:val="28"/>
          <w:szCs w:val="28"/>
          <w:highlight w:val="none"/>
        </w:rPr>
        <w:t>开户银行名称：XXXX</w:t>
      </w:r>
    </w:p>
    <w:p>
      <w:pPr>
        <w:ind w:firstLine="1260" w:firstLineChars="450"/>
        <w:rPr>
          <w:rFonts w:ascii="宋体" w:hAnsi="宋体"/>
          <w:color w:val="auto"/>
          <w:sz w:val="28"/>
          <w:szCs w:val="28"/>
          <w:highlight w:val="none"/>
          <w:u w:val="single"/>
        </w:rPr>
      </w:pPr>
      <w:r>
        <w:rPr>
          <w:rFonts w:hint="eastAsia" w:ascii="宋体" w:hAnsi="宋体"/>
          <w:color w:val="auto"/>
          <w:sz w:val="28"/>
          <w:szCs w:val="28"/>
          <w:highlight w:val="none"/>
        </w:rPr>
        <w:t>地址：XXXX</w:t>
      </w:r>
    </w:p>
    <w:p>
      <w:pPr>
        <w:ind w:firstLine="1260" w:firstLineChars="450"/>
        <w:rPr>
          <w:rFonts w:ascii="宋体" w:hAnsi="宋体"/>
          <w:color w:val="auto"/>
          <w:sz w:val="28"/>
          <w:szCs w:val="28"/>
          <w:highlight w:val="none"/>
        </w:rPr>
      </w:pPr>
      <w:r>
        <w:rPr>
          <w:rFonts w:hint="eastAsia" w:ascii="宋体" w:hAnsi="宋体"/>
          <w:color w:val="auto"/>
          <w:sz w:val="28"/>
          <w:szCs w:val="28"/>
          <w:highlight w:val="none"/>
        </w:rPr>
        <w:t>账号：XXXX</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投标人名称：XXXX</w:t>
      </w:r>
    </w:p>
    <w:p>
      <w:pPr>
        <w:ind w:left="283" w:leftChars="135" w:firstLine="280" w:firstLineChars="100"/>
        <w:rPr>
          <w:rFonts w:ascii="宋体" w:hAnsi="宋体"/>
          <w:bCs/>
          <w:color w:val="auto"/>
          <w:sz w:val="28"/>
          <w:highlight w:val="none"/>
        </w:rPr>
      </w:pPr>
      <w:r>
        <w:rPr>
          <w:rFonts w:hint="eastAsia" w:ascii="宋体" w:hAnsi="宋体"/>
          <w:bCs/>
          <w:color w:val="auto"/>
          <w:sz w:val="28"/>
          <w:szCs w:val="28"/>
          <w:highlight w:val="none"/>
        </w:rPr>
        <w:t>日    期：</w:t>
      </w:r>
      <w:r>
        <w:rPr>
          <w:rFonts w:hint="eastAsia" w:ascii="宋体" w:hAnsi="宋体"/>
          <w:bCs/>
          <w:color w:val="auto"/>
          <w:sz w:val="28"/>
          <w:highlight w:val="none"/>
        </w:rPr>
        <w:t>20XX年XX月XX日</w:t>
      </w:r>
    </w:p>
    <w:p>
      <w:pPr>
        <w:ind w:left="283" w:leftChars="135" w:firstLine="280" w:firstLineChars="100"/>
        <w:rPr>
          <w:rFonts w:ascii="宋体" w:hAnsi="宋体"/>
          <w:bCs/>
          <w:color w:val="auto"/>
          <w:sz w:val="28"/>
          <w:highlight w:val="none"/>
        </w:rPr>
      </w:pPr>
    </w:p>
    <w:p>
      <w:pPr>
        <w:rPr>
          <w:rFonts w:ascii="宋体" w:hAnsi="宋体"/>
          <w:color w:val="auto"/>
          <w:sz w:val="28"/>
          <w:szCs w:val="28"/>
          <w:highlight w:val="none"/>
        </w:rPr>
      </w:pPr>
    </w:p>
    <w:p>
      <w:pPr>
        <w:pStyle w:val="6"/>
        <w:numPr>
          <w:ilvl w:val="2"/>
          <w:numId w:val="5"/>
        </w:numPr>
        <w:spacing w:after="200" w:line="240" w:lineRule="auto"/>
        <w:ind w:left="851"/>
        <w:rPr>
          <w:color w:val="auto"/>
          <w:highlight w:val="none"/>
        </w:rPr>
      </w:pPr>
      <w:r>
        <w:rPr>
          <w:rFonts w:hint="eastAsia"/>
          <w:color w:val="auto"/>
          <w:highlight w:val="none"/>
        </w:rPr>
        <w:t>声明</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致：成都高新区政府采购服务中心</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我单位作为</w:t>
      </w:r>
      <w:r>
        <w:rPr>
          <w:rFonts w:hint="eastAsia" w:ascii="宋体" w:hAnsi="宋体"/>
          <w:b/>
          <w:color w:val="auto"/>
          <w:sz w:val="28"/>
          <w:szCs w:val="28"/>
          <w:highlight w:val="none"/>
          <w:u w:val="single"/>
        </w:rPr>
        <w:t>成都高新区政务服务和网络理政办公室新政务服务中心特约物业管理服务采购项目（项目编号：成都高新技术产业开发政采（2021）A0018号）</w:t>
      </w:r>
      <w:r>
        <w:rPr>
          <w:rFonts w:hint="eastAsia" w:ascii="宋体" w:hAnsi="宋体"/>
          <w:color w:val="auto"/>
          <w:sz w:val="28"/>
          <w:szCs w:val="28"/>
          <w:highlight w:val="none"/>
        </w:rPr>
        <w:t>的投标人，在此郑重声明：</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一、我单位参加政府采购活动前三年内，在经营活动中</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重大违法记录。</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二、我单位</w:t>
      </w:r>
      <w:r>
        <w:rPr>
          <w:rFonts w:hint="eastAsia" w:ascii="宋体" w:hAnsi="宋体"/>
          <w:b/>
          <w:color w:val="auto"/>
          <w:sz w:val="28"/>
          <w:szCs w:val="28"/>
          <w:highlight w:val="none"/>
          <w:u w:val="single"/>
        </w:rPr>
        <w:t>（说明：填写“具有”或“不具有”）</w:t>
      </w:r>
      <w:r>
        <w:rPr>
          <w:rFonts w:hint="eastAsia" w:ascii="宋体" w:hAnsi="宋体"/>
          <w:color w:val="auto"/>
          <w:sz w:val="28"/>
          <w:szCs w:val="28"/>
          <w:highlight w:val="none"/>
        </w:rPr>
        <w:t>良好的商业信誉。</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三、与我单位负责人为同一人或者存在直接控股、管理关系的相关供应商：</w:t>
      </w:r>
      <w:r>
        <w:rPr>
          <w:rFonts w:hint="eastAsia" w:ascii="宋体" w:hAnsi="宋体"/>
          <w:b/>
          <w:color w:val="auto"/>
          <w:sz w:val="28"/>
          <w:szCs w:val="28"/>
          <w:highlight w:val="none"/>
          <w:u w:val="single"/>
        </w:rPr>
        <w:t>（说明：填写“无”或“（一）供应商名称１；（二）供应商名称２；（三）……”）</w:t>
      </w:r>
      <w:r>
        <w:rPr>
          <w:rFonts w:hint="eastAsia" w:ascii="宋体" w:hAnsi="宋体"/>
          <w:color w:val="auto"/>
          <w:sz w:val="28"/>
          <w:szCs w:val="28"/>
          <w:highlight w:val="none"/>
        </w:rPr>
        <w:t xml:space="preserve"> 。</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四、在行贿犯罪信息查询期限内，我单位及我单位现任法定代表人、主要负责人</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行贿犯罪记录。</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五、我单位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rPr>
        <w:t>失信被执行人、重大税收违法案件当事人名单。</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rPr>
        <w:t>政府采购严重违法失信行为记录名单。</w:t>
      </w:r>
    </w:p>
    <w:p>
      <w:pPr>
        <w:ind w:firstLine="560" w:firstLineChars="200"/>
        <w:rPr>
          <w:bCs/>
          <w:color w:val="auto"/>
          <w:highlight w:val="none"/>
        </w:rPr>
      </w:pPr>
      <w:r>
        <w:rPr>
          <w:rFonts w:hint="eastAsia" w:ascii="宋体" w:hAnsi="宋体"/>
          <w:color w:val="auto"/>
          <w:sz w:val="28"/>
          <w:szCs w:val="28"/>
          <w:highlight w:val="none"/>
        </w:rPr>
        <w:t>六、我单位</w:t>
      </w:r>
      <w:r>
        <w:rPr>
          <w:rFonts w:hint="eastAsia" w:ascii="宋体" w:hAnsi="宋体"/>
          <w:b/>
          <w:color w:val="auto"/>
          <w:sz w:val="28"/>
          <w:szCs w:val="28"/>
          <w:highlight w:val="none"/>
          <w:u w:val="single"/>
        </w:rPr>
        <w:t>（说明：填写“未处于”或“处于”）</w:t>
      </w:r>
      <w:r>
        <w:rPr>
          <w:rFonts w:hint="eastAsia" w:ascii="宋体" w:hAnsi="宋体"/>
          <w:bCs/>
          <w:color w:val="auto"/>
          <w:sz w:val="28"/>
          <w:szCs w:val="28"/>
          <w:highlight w:val="none"/>
        </w:rPr>
        <w:t>被行政部门禁止参与政府采购活动的期限内。</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特此声明。</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投标人名称：XXXX</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日    期：20XX年XX月XX日</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说明： 1.对声明中第一条的说明：如投标人在参加政府采购活动前三年内，在经营活动中有重大违法记录的，应填写“有”，投标人将被认定投标无效或被取消中标资格；</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2.对声明中第三条的说明：单位负责人为同一人或者存在直接控股、管理关系的不同供应商，不得参加同一合同项下的政府采购活动；</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ascii="宋体" w:hAnsi="宋体"/>
          <w:color w:val="auto"/>
          <w:sz w:val="28"/>
          <w:szCs w:val="28"/>
          <w:highlight w:val="none"/>
        </w:rPr>
      </w:pPr>
      <w:r>
        <w:rPr>
          <w:rFonts w:hint="eastAsia" w:ascii="宋体" w:hAnsi="宋体"/>
          <w:color w:val="auto"/>
          <w:sz w:val="28"/>
          <w:szCs w:val="28"/>
          <w:highlight w:val="none"/>
        </w:rPr>
        <w:t>5.对声明中第六条的说明：如投标人处于被行政部门禁止参加政府采购活动期限内的，该声明填“处于”，投标人将被认定投标无效或被取消中标资格。</w:t>
      </w:r>
    </w:p>
    <w:p>
      <w:pPr>
        <w:ind w:firstLine="560" w:firstLineChars="200"/>
        <w:rPr>
          <w:rFonts w:ascii="宋体" w:hAnsi="宋体"/>
          <w:color w:val="auto"/>
          <w:sz w:val="28"/>
          <w:szCs w:val="28"/>
          <w:highlight w:val="none"/>
        </w:rPr>
      </w:pPr>
    </w:p>
    <w:p>
      <w:pPr>
        <w:ind w:firstLine="560" w:firstLineChars="200"/>
        <w:rPr>
          <w:rFonts w:ascii="宋体" w:hAnsi="宋体"/>
          <w:color w:val="auto"/>
          <w:sz w:val="28"/>
          <w:szCs w:val="28"/>
          <w:highlight w:val="none"/>
        </w:rPr>
      </w:pPr>
    </w:p>
    <w:p>
      <w:pPr>
        <w:rPr>
          <w:rFonts w:ascii="宋体" w:hAnsi="宋体"/>
          <w:color w:val="auto"/>
          <w:sz w:val="28"/>
          <w:szCs w:val="28"/>
          <w:highlight w:val="none"/>
        </w:rPr>
      </w:pPr>
    </w:p>
    <w:p>
      <w:pPr>
        <w:pStyle w:val="6"/>
        <w:numPr>
          <w:ilvl w:val="2"/>
          <w:numId w:val="5"/>
        </w:numPr>
        <w:spacing w:after="200" w:line="240" w:lineRule="auto"/>
        <w:ind w:left="0" w:firstLine="0"/>
        <w:rPr>
          <w:color w:val="auto"/>
          <w:highlight w:val="none"/>
        </w:rPr>
      </w:pPr>
      <w:bookmarkStart w:id="206" w:name="_Toc27971"/>
      <w:r>
        <w:rPr>
          <w:rFonts w:hint="eastAsia"/>
          <w:color w:val="auto"/>
          <w:highlight w:val="none"/>
        </w:rPr>
        <w:t>投标人应提交的相关资格证明材料</w:t>
      </w:r>
    </w:p>
    <w:p>
      <w:pPr>
        <w:ind w:firstLine="560" w:firstLineChars="200"/>
        <w:rPr>
          <w:color w:val="auto"/>
          <w:sz w:val="28"/>
          <w:szCs w:val="28"/>
          <w:highlight w:val="none"/>
        </w:rPr>
      </w:pPr>
      <w:r>
        <w:rPr>
          <w:rFonts w:hint="eastAsia"/>
          <w:color w:val="auto"/>
          <w:sz w:val="28"/>
          <w:szCs w:val="28"/>
          <w:highlight w:val="none"/>
        </w:rPr>
        <w:t>投标人按招标文件要求，应提供以下相关资格证明材料：</w:t>
      </w:r>
    </w:p>
    <w:p>
      <w:pPr>
        <w:numPr>
          <w:ilvl w:val="0"/>
          <w:numId w:val="39"/>
        </w:numPr>
        <w:tabs>
          <w:tab w:val="left" w:pos="709"/>
        </w:tabs>
        <w:spacing w:after="200"/>
        <w:ind w:left="0" w:firstLine="546"/>
        <w:rPr>
          <w:rFonts w:ascii="宋体" w:hAnsi="宋体"/>
          <w:color w:val="auto"/>
          <w:kern w:val="0"/>
          <w:sz w:val="28"/>
          <w:szCs w:val="28"/>
          <w:highlight w:val="none"/>
        </w:rPr>
      </w:pPr>
      <w:r>
        <w:rPr>
          <w:rFonts w:hint="eastAsia" w:ascii="宋体" w:hAnsi="宋体"/>
          <w:color w:val="auto"/>
          <w:kern w:val="0"/>
          <w:sz w:val="28"/>
          <w:szCs w:val="28"/>
          <w:highlight w:val="none"/>
        </w:rPr>
        <w:t>营业执照复印件（正本或副本）或法人证书复印件（正本或副本）；</w:t>
      </w:r>
    </w:p>
    <w:p>
      <w:pPr>
        <w:numPr>
          <w:ilvl w:val="0"/>
          <w:numId w:val="39"/>
        </w:numPr>
        <w:tabs>
          <w:tab w:val="left" w:pos="709"/>
        </w:tabs>
        <w:spacing w:after="200"/>
        <w:ind w:left="0" w:firstLine="546"/>
        <w:rPr>
          <w:rFonts w:ascii="宋体" w:hAnsi="宋体"/>
          <w:color w:val="auto"/>
          <w:kern w:val="0"/>
          <w:sz w:val="28"/>
          <w:szCs w:val="28"/>
          <w:highlight w:val="none"/>
        </w:rPr>
      </w:pPr>
      <w:r>
        <w:rPr>
          <w:rFonts w:hint="eastAsia" w:ascii="宋体" w:hAnsi="宋体"/>
          <w:color w:val="auto"/>
          <w:kern w:val="0"/>
          <w:sz w:val="28"/>
          <w:szCs w:val="28"/>
          <w:highlight w:val="none"/>
        </w:rPr>
        <w:t>2019或2020会计年度资产负债表复印件（说明：投标人成立时间至递交投标文件截止时间止不足一年的，提供成立后任意时段的资产负债表复印件）；</w:t>
      </w:r>
    </w:p>
    <w:p>
      <w:pPr>
        <w:numPr>
          <w:ilvl w:val="0"/>
          <w:numId w:val="39"/>
        </w:numPr>
        <w:tabs>
          <w:tab w:val="left" w:pos="1134"/>
        </w:tabs>
        <w:spacing w:after="200"/>
        <w:ind w:left="0" w:firstLine="546"/>
        <w:rPr>
          <w:rFonts w:ascii="宋体" w:hAnsi="宋体"/>
          <w:color w:val="auto"/>
          <w:kern w:val="0"/>
          <w:sz w:val="28"/>
          <w:szCs w:val="28"/>
          <w:highlight w:val="none"/>
        </w:rPr>
      </w:pPr>
      <w:r>
        <w:rPr>
          <w:rFonts w:hint="eastAsia" w:ascii="宋体" w:hAnsi="宋体"/>
          <w:color w:val="auto"/>
          <w:kern w:val="0"/>
          <w:sz w:val="28"/>
          <w:szCs w:val="28"/>
          <w:highlight w:val="none"/>
        </w:rPr>
        <w:t>投标人缴纳2020年或2021年任意时段的税收的银行电子回单或者行政部门出具的纳税证明或完税证明复印件；</w:t>
      </w:r>
    </w:p>
    <w:p>
      <w:pPr>
        <w:numPr>
          <w:ilvl w:val="0"/>
          <w:numId w:val="39"/>
        </w:numPr>
        <w:tabs>
          <w:tab w:val="left" w:pos="1134"/>
        </w:tabs>
        <w:spacing w:after="200"/>
        <w:ind w:left="0" w:firstLine="546"/>
        <w:rPr>
          <w:rFonts w:ascii="宋体" w:hAnsi="宋体"/>
          <w:color w:val="auto"/>
          <w:kern w:val="0"/>
          <w:sz w:val="28"/>
          <w:szCs w:val="28"/>
          <w:highlight w:val="none"/>
        </w:rPr>
      </w:pPr>
      <w:r>
        <w:rPr>
          <w:rFonts w:hint="eastAsia" w:ascii="宋体" w:hAnsi="宋体"/>
          <w:color w:val="auto"/>
          <w:kern w:val="0"/>
          <w:sz w:val="28"/>
          <w:szCs w:val="28"/>
          <w:highlight w:val="none"/>
        </w:rPr>
        <w:t>采购人对投标人履行合同所必须的设备和专业技术能力无其他特殊要求，投标人具有有效的营业执照或法人证书即可，可不提供其他证明材料；</w:t>
      </w:r>
    </w:p>
    <w:p>
      <w:pPr>
        <w:numPr>
          <w:ilvl w:val="0"/>
          <w:numId w:val="39"/>
        </w:numPr>
        <w:tabs>
          <w:tab w:val="left" w:pos="1134"/>
        </w:tabs>
        <w:spacing w:after="200"/>
        <w:ind w:left="0" w:firstLine="546"/>
        <w:rPr>
          <w:rFonts w:ascii="宋体" w:hAnsi="宋体"/>
          <w:color w:val="auto"/>
          <w:kern w:val="0"/>
          <w:sz w:val="28"/>
          <w:szCs w:val="28"/>
          <w:highlight w:val="none"/>
        </w:rPr>
      </w:pPr>
      <w:r>
        <w:rPr>
          <w:rFonts w:hint="eastAsia" w:ascii="宋体" w:hAnsi="宋体"/>
          <w:color w:val="auto"/>
          <w:kern w:val="0"/>
          <w:sz w:val="28"/>
          <w:szCs w:val="28"/>
          <w:highlight w:val="none"/>
        </w:rPr>
        <w:t>投标人缴纳2020年或2021年任意时段的社保的银行电子回单或行政部门出具的社保缴纳证明材料复印件；</w:t>
      </w:r>
    </w:p>
    <w:p>
      <w:pPr>
        <w:numPr>
          <w:ilvl w:val="0"/>
          <w:numId w:val="39"/>
        </w:numPr>
        <w:tabs>
          <w:tab w:val="left" w:pos="1134"/>
        </w:tabs>
        <w:spacing w:after="200"/>
        <w:ind w:left="0" w:firstLine="546"/>
        <w:rPr>
          <w:rFonts w:ascii="宋体" w:hAnsi="宋体"/>
          <w:color w:val="auto"/>
          <w:kern w:val="0"/>
          <w:sz w:val="28"/>
          <w:szCs w:val="28"/>
          <w:highlight w:val="none"/>
        </w:rPr>
      </w:pPr>
      <w:r>
        <w:rPr>
          <w:rFonts w:hint="eastAsia" w:ascii="宋体" w:hAnsi="宋体"/>
          <w:color w:val="auto"/>
          <w:kern w:val="0"/>
          <w:sz w:val="28"/>
          <w:szCs w:val="28"/>
          <w:highlight w:val="none"/>
        </w:rPr>
        <w:t>采购人对法律、行政法规规定的其他条件无其他特殊要求，投标人具有有效的营业执照或法人证书即可，可不提供其他证明材料。</w:t>
      </w:r>
    </w:p>
    <w:p>
      <w:pPr>
        <w:rPr>
          <w:color w:val="auto"/>
          <w:highlight w:val="none"/>
        </w:rPr>
      </w:pPr>
      <w:r>
        <w:rPr>
          <w:color w:val="auto"/>
          <w:highlight w:val="none"/>
        </w:rPr>
        <w:br w:type="page"/>
      </w:r>
    </w:p>
    <w:p>
      <w:pPr>
        <w:pStyle w:val="5"/>
        <w:numPr>
          <w:ilvl w:val="1"/>
          <w:numId w:val="5"/>
        </w:numPr>
        <w:spacing w:before="0" w:after="0" w:line="240" w:lineRule="auto"/>
        <w:ind w:left="2269" w:hanging="2269"/>
        <w:rPr>
          <w:color w:val="auto"/>
          <w:highlight w:val="none"/>
        </w:rPr>
      </w:pPr>
      <w:r>
        <w:rPr>
          <w:rFonts w:hint="eastAsia"/>
          <w:color w:val="auto"/>
          <w:highlight w:val="none"/>
        </w:rPr>
        <w:t>商务技术</w:t>
      </w:r>
      <w:r>
        <w:rPr>
          <w:color w:val="auto"/>
          <w:highlight w:val="none"/>
        </w:rPr>
        <w:t>响应文件</w:t>
      </w:r>
      <w:bookmarkEnd w:id="206"/>
    </w:p>
    <w:p>
      <w:pPr>
        <w:pStyle w:val="6"/>
        <w:numPr>
          <w:ilvl w:val="2"/>
          <w:numId w:val="5"/>
        </w:numPr>
        <w:spacing w:after="200" w:line="240" w:lineRule="auto"/>
        <w:ind w:left="851"/>
        <w:rPr>
          <w:color w:val="auto"/>
          <w:highlight w:val="none"/>
        </w:rPr>
      </w:pPr>
      <w:r>
        <w:rPr>
          <w:rFonts w:hint="eastAsia"/>
          <w:color w:val="auto"/>
          <w:highlight w:val="none"/>
        </w:rPr>
        <w:t>投标函</w:t>
      </w:r>
      <w:bookmarkEnd w:id="197"/>
    </w:p>
    <w:p>
      <w:pPr>
        <w:pStyle w:val="28"/>
        <w:spacing w:after="0" w:line="500" w:lineRule="exact"/>
        <w:ind w:left="0" w:leftChars="0"/>
        <w:rPr>
          <w:rFonts w:ascii="宋体" w:hAnsi="宋体"/>
          <w:bCs/>
          <w:color w:val="auto"/>
          <w:sz w:val="28"/>
          <w:szCs w:val="28"/>
          <w:highlight w:val="none"/>
        </w:rPr>
      </w:pPr>
      <w:r>
        <w:rPr>
          <w:rFonts w:hint="eastAsia" w:ascii="宋体" w:hAnsi="宋体"/>
          <w:bCs/>
          <w:color w:val="auto"/>
          <w:sz w:val="28"/>
          <w:szCs w:val="28"/>
          <w:highlight w:val="none"/>
        </w:rPr>
        <w:t>成都高新区政府采购服务中心：</w:t>
      </w:r>
    </w:p>
    <w:p>
      <w:pPr>
        <w:pStyle w:val="28"/>
        <w:spacing w:after="0" w:line="500" w:lineRule="exact"/>
        <w:ind w:left="0" w:leftChars="0" w:firstLine="560" w:firstLineChars="200"/>
        <w:rPr>
          <w:rFonts w:ascii="宋体" w:hAnsi="宋体"/>
          <w:bCs/>
          <w:color w:val="auto"/>
          <w:sz w:val="28"/>
          <w:szCs w:val="28"/>
          <w:highlight w:val="none"/>
        </w:rPr>
      </w:pPr>
      <w:r>
        <w:rPr>
          <w:rFonts w:hint="eastAsia" w:ascii="宋体" w:hAnsi="宋体"/>
          <w:bCs/>
          <w:color w:val="auto"/>
          <w:sz w:val="28"/>
          <w:szCs w:val="28"/>
          <w:highlight w:val="none"/>
        </w:rPr>
        <w:t>我方全面研究了</w:t>
      </w:r>
      <w:r>
        <w:rPr>
          <w:rFonts w:hint="eastAsia" w:ascii="宋体" w:hAnsi="宋体"/>
          <w:b/>
          <w:color w:val="auto"/>
          <w:sz w:val="28"/>
          <w:szCs w:val="28"/>
          <w:highlight w:val="none"/>
          <w:u w:val="single"/>
        </w:rPr>
        <w:t>成都高新区政务服务和网络理政办公室新政务服务中心特约物业管理服务采购项目</w:t>
      </w:r>
      <w:r>
        <w:rPr>
          <w:rFonts w:hint="eastAsia" w:ascii="宋体" w:hAnsi="宋体"/>
          <w:b/>
          <w:bCs/>
          <w:color w:val="auto"/>
          <w:sz w:val="28"/>
          <w:szCs w:val="28"/>
          <w:highlight w:val="none"/>
          <w:u w:val="single"/>
        </w:rPr>
        <w:t>（项目编号：成都高新技术产业开发政采（2021）A0018号）</w:t>
      </w:r>
      <w:r>
        <w:rPr>
          <w:rFonts w:hint="eastAsia" w:ascii="宋体" w:hAnsi="宋体"/>
          <w:bCs/>
          <w:color w:val="auto"/>
          <w:sz w:val="28"/>
          <w:szCs w:val="28"/>
          <w:highlight w:val="none"/>
        </w:rPr>
        <w:t>招标文件，决定参加贵单位组织的本项目的投标。我方授权</w:t>
      </w:r>
      <w:r>
        <w:rPr>
          <w:rFonts w:hint="eastAsia" w:ascii="宋体" w:hAnsi="宋体"/>
          <w:bCs/>
          <w:color w:val="auto"/>
          <w:sz w:val="28"/>
          <w:szCs w:val="28"/>
          <w:highlight w:val="none"/>
          <w:u w:val="single"/>
        </w:rPr>
        <w:t>XXX（姓名、职务）</w:t>
      </w:r>
      <w:r>
        <w:rPr>
          <w:rFonts w:hint="eastAsia" w:ascii="宋体" w:hAnsi="宋体"/>
          <w:bCs/>
          <w:color w:val="auto"/>
          <w:sz w:val="28"/>
          <w:szCs w:val="28"/>
          <w:highlight w:val="none"/>
        </w:rPr>
        <w:t>代表我方</w:t>
      </w:r>
      <w:r>
        <w:rPr>
          <w:rFonts w:hint="eastAsia" w:ascii="宋体" w:hAnsi="宋体"/>
          <w:bCs/>
          <w:color w:val="auto"/>
          <w:sz w:val="28"/>
          <w:szCs w:val="28"/>
          <w:highlight w:val="none"/>
          <w:u w:val="single"/>
        </w:rPr>
        <w:t>XXX（投标人名称）</w:t>
      </w:r>
      <w:r>
        <w:rPr>
          <w:rFonts w:hint="eastAsia" w:ascii="宋体" w:hAnsi="宋体"/>
          <w:bCs/>
          <w:color w:val="auto"/>
          <w:sz w:val="28"/>
          <w:szCs w:val="28"/>
          <w:highlight w:val="none"/>
        </w:rPr>
        <w:t>全权处理本项目投标的有关事宜。</w:t>
      </w:r>
    </w:p>
    <w:p>
      <w:pPr>
        <w:numPr>
          <w:ilvl w:val="1"/>
          <w:numId w:val="40"/>
        </w:numPr>
        <w:tabs>
          <w:tab w:val="left" w:pos="1134"/>
        </w:tabs>
        <w:spacing w:after="20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我方自愿按照招标文件规定的各项要求向采购人提供所需服务，</w:t>
      </w:r>
      <w:r>
        <w:rPr>
          <w:rFonts w:hint="eastAsia" w:ascii="宋体" w:hAnsi="宋体"/>
          <w:b/>
          <w:color w:val="auto"/>
          <w:sz w:val="28"/>
          <w:szCs w:val="28"/>
          <w:highlight w:val="none"/>
        </w:rPr>
        <w:t>投标报价以《开标一览表》为准</w:t>
      </w:r>
      <w:r>
        <w:rPr>
          <w:rFonts w:hint="eastAsia" w:ascii="宋体" w:hAnsi="宋体"/>
          <w:color w:val="auto"/>
          <w:sz w:val="28"/>
          <w:szCs w:val="28"/>
          <w:highlight w:val="none"/>
        </w:rPr>
        <w:t>。</w:t>
      </w:r>
    </w:p>
    <w:p>
      <w:pPr>
        <w:numPr>
          <w:ilvl w:val="1"/>
          <w:numId w:val="40"/>
        </w:numPr>
        <w:tabs>
          <w:tab w:val="left" w:pos="1134"/>
        </w:tabs>
        <w:spacing w:after="20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如果我方中标，我方将严格履行合同规定的责任和义务，否则将承担由此产生的一切责任。</w:t>
      </w:r>
    </w:p>
    <w:p>
      <w:pPr>
        <w:numPr>
          <w:ilvl w:val="1"/>
          <w:numId w:val="40"/>
        </w:numPr>
        <w:tabs>
          <w:tab w:val="left" w:pos="1134"/>
        </w:tabs>
        <w:spacing w:after="20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我方已知晓全部招标文件的内容，包括修改文件（如有）以及全部相关资料和有关附件，并对上述文件均无异议。</w:t>
      </w:r>
    </w:p>
    <w:p>
      <w:pPr>
        <w:numPr>
          <w:ilvl w:val="1"/>
          <w:numId w:val="40"/>
        </w:numPr>
        <w:tabs>
          <w:tab w:val="left" w:pos="1134"/>
        </w:tabs>
        <w:spacing w:after="20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投标有效期为从投标截止之日起120天。</w:t>
      </w:r>
    </w:p>
    <w:p>
      <w:pPr>
        <w:numPr>
          <w:ilvl w:val="1"/>
          <w:numId w:val="40"/>
        </w:numPr>
        <w:tabs>
          <w:tab w:val="left" w:pos="1134"/>
        </w:tabs>
        <w:spacing w:after="20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40"/>
        </w:numPr>
        <w:tabs>
          <w:tab w:val="left" w:pos="1134"/>
        </w:tabs>
        <w:spacing w:after="20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我单位联系方式：XXXX</w:t>
      </w:r>
    </w:p>
    <w:p>
      <w:pPr>
        <w:tabs>
          <w:tab w:val="left" w:pos="1134"/>
        </w:tabs>
        <w:spacing w:line="500" w:lineRule="exact"/>
        <w:ind w:left="567"/>
        <w:rPr>
          <w:rFonts w:ascii="宋体" w:hAnsi="宋体"/>
          <w:color w:val="auto"/>
          <w:sz w:val="28"/>
          <w:szCs w:val="28"/>
          <w:highlight w:val="none"/>
        </w:rPr>
      </w:pPr>
      <w:r>
        <w:rPr>
          <w:rFonts w:hint="eastAsia" w:ascii="宋体" w:hAnsi="宋体"/>
          <w:color w:val="auto"/>
          <w:sz w:val="28"/>
          <w:szCs w:val="28"/>
          <w:highlight w:val="none"/>
        </w:rPr>
        <w:t>地    址：XXXX</w:t>
      </w:r>
    </w:p>
    <w:p>
      <w:pPr>
        <w:tabs>
          <w:tab w:val="left" w:pos="1134"/>
        </w:tabs>
        <w:spacing w:line="500" w:lineRule="exact"/>
        <w:ind w:left="567"/>
        <w:rPr>
          <w:rFonts w:ascii="宋体" w:hAnsi="宋体"/>
          <w:color w:val="auto"/>
          <w:sz w:val="28"/>
          <w:szCs w:val="28"/>
          <w:highlight w:val="none"/>
        </w:rPr>
      </w:pPr>
      <w:r>
        <w:rPr>
          <w:rFonts w:hint="eastAsia" w:ascii="宋体" w:hAnsi="宋体"/>
          <w:color w:val="auto"/>
          <w:sz w:val="28"/>
          <w:szCs w:val="28"/>
          <w:highlight w:val="none"/>
        </w:rPr>
        <w:t>传    真：XXXX</w:t>
      </w:r>
    </w:p>
    <w:p>
      <w:pPr>
        <w:tabs>
          <w:tab w:val="left" w:pos="1134"/>
        </w:tabs>
        <w:spacing w:line="500" w:lineRule="exact"/>
        <w:ind w:left="567"/>
        <w:rPr>
          <w:rFonts w:ascii="宋体" w:hAnsi="宋体"/>
          <w:color w:val="auto"/>
          <w:sz w:val="28"/>
          <w:szCs w:val="28"/>
          <w:highlight w:val="none"/>
        </w:rPr>
      </w:pPr>
      <w:r>
        <w:rPr>
          <w:rFonts w:hint="eastAsia" w:ascii="宋体" w:hAnsi="宋体"/>
          <w:color w:val="auto"/>
          <w:sz w:val="28"/>
          <w:szCs w:val="28"/>
          <w:highlight w:val="none"/>
        </w:rPr>
        <w:t>邮政编码：XXXX</w:t>
      </w:r>
    </w:p>
    <w:p>
      <w:pPr>
        <w:tabs>
          <w:tab w:val="left" w:pos="1134"/>
        </w:tabs>
        <w:spacing w:line="500" w:lineRule="exact"/>
        <w:ind w:left="567"/>
        <w:rPr>
          <w:rFonts w:ascii="宋体" w:hAnsi="宋体"/>
          <w:color w:val="auto"/>
          <w:sz w:val="28"/>
          <w:szCs w:val="28"/>
          <w:highlight w:val="none"/>
        </w:rPr>
      </w:pPr>
      <w:r>
        <w:rPr>
          <w:rFonts w:hint="eastAsia" w:ascii="宋体" w:hAnsi="宋体"/>
          <w:color w:val="auto"/>
          <w:sz w:val="28"/>
          <w:szCs w:val="28"/>
          <w:highlight w:val="none"/>
        </w:rPr>
        <w:t>投标人名称：XXXX</w:t>
      </w:r>
    </w:p>
    <w:p>
      <w:pPr>
        <w:tabs>
          <w:tab w:val="left" w:pos="1134"/>
        </w:tabs>
        <w:spacing w:line="500" w:lineRule="exact"/>
        <w:ind w:left="567"/>
        <w:rPr>
          <w:rFonts w:ascii="宋体" w:hAnsi="宋体"/>
          <w:color w:val="auto"/>
          <w:sz w:val="28"/>
          <w:szCs w:val="28"/>
          <w:highlight w:val="none"/>
        </w:rPr>
      </w:pPr>
      <w:r>
        <w:rPr>
          <w:rFonts w:hint="eastAsia" w:ascii="宋体" w:hAnsi="宋体"/>
          <w:color w:val="auto"/>
          <w:sz w:val="28"/>
          <w:szCs w:val="28"/>
          <w:highlight w:val="none"/>
        </w:rPr>
        <w:t>日    期：20XX年XX月XX日</w:t>
      </w:r>
    </w:p>
    <w:p>
      <w:pPr>
        <w:pStyle w:val="6"/>
        <w:numPr>
          <w:ilvl w:val="2"/>
          <w:numId w:val="5"/>
        </w:numPr>
        <w:spacing w:after="200" w:line="240" w:lineRule="auto"/>
        <w:ind w:left="851"/>
        <w:rPr>
          <w:color w:val="auto"/>
          <w:highlight w:val="none"/>
        </w:rPr>
      </w:pPr>
      <w:bookmarkStart w:id="207" w:name="_Toc229802674"/>
      <w:bookmarkStart w:id="208" w:name="_Toc240865266"/>
      <w:bookmarkStart w:id="209" w:name="_Toc239849853"/>
      <w:bookmarkStart w:id="210" w:name="_Toc265494342"/>
      <w:bookmarkStart w:id="211" w:name="_Toc237145395"/>
      <w:bookmarkStart w:id="212" w:name="_Toc314574804"/>
      <w:bookmarkStart w:id="213" w:name="_Toc240367172"/>
      <w:bookmarkStart w:id="214" w:name="_Toc231030275"/>
      <w:bookmarkStart w:id="215" w:name="_Toc239846734"/>
      <w:r>
        <w:rPr>
          <w:rFonts w:hint="eastAsia"/>
          <w:color w:val="auto"/>
          <w:highlight w:val="none"/>
        </w:rPr>
        <w:t>法定代表人身份证明书</w:t>
      </w:r>
    </w:p>
    <w:p>
      <w:pPr>
        <w:tabs>
          <w:tab w:val="left" w:pos="6300"/>
        </w:tabs>
        <w:ind w:firstLine="573"/>
        <w:rPr>
          <w:rFonts w:ascii="宋体" w:hAnsi="宋体"/>
          <w:color w:val="auto"/>
          <w:sz w:val="28"/>
          <w:highlight w:val="none"/>
          <w:u w:val="single"/>
          <w:lang w:val="zh-CN"/>
        </w:rPr>
      </w:pPr>
    </w:p>
    <w:p>
      <w:pPr>
        <w:tabs>
          <w:tab w:val="left" w:pos="6300"/>
        </w:tabs>
        <w:ind w:firstLine="573"/>
        <w:rPr>
          <w:rFonts w:ascii="宋体" w:hAnsi="宋体"/>
          <w:color w:val="auto"/>
          <w:sz w:val="28"/>
          <w:highlight w:val="none"/>
          <w:lang w:val="zh-CN"/>
        </w:rPr>
      </w:pPr>
      <w:r>
        <w:rPr>
          <w:rFonts w:hint="eastAsia" w:ascii="宋体" w:hAnsi="宋体"/>
          <w:color w:val="auto"/>
          <w:sz w:val="28"/>
          <w:szCs w:val="28"/>
          <w:highlight w:val="none"/>
          <w:u w:val="single"/>
        </w:rPr>
        <w:t>XXXX</w:t>
      </w:r>
      <w:r>
        <w:rPr>
          <w:rFonts w:hint="eastAsia" w:ascii="宋体" w:hAnsi="宋体"/>
          <w:color w:val="auto"/>
          <w:sz w:val="28"/>
          <w:highlight w:val="none"/>
          <w:u w:val="single"/>
          <w:lang w:val="zh-CN"/>
        </w:rPr>
        <w:t>（法定代表人姓名）</w:t>
      </w:r>
      <w:r>
        <w:rPr>
          <w:rFonts w:hint="eastAsia" w:ascii="宋体" w:hAnsi="宋体"/>
          <w:color w:val="auto"/>
          <w:sz w:val="28"/>
          <w:highlight w:val="none"/>
          <w:lang w:val="zh-CN"/>
        </w:rPr>
        <w:t>在</w:t>
      </w:r>
      <w:r>
        <w:rPr>
          <w:rFonts w:hint="eastAsia" w:ascii="宋体" w:hAnsi="宋体"/>
          <w:color w:val="auto"/>
          <w:sz w:val="28"/>
          <w:szCs w:val="28"/>
          <w:highlight w:val="none"/>
          <w:u w:val="single"/>
        </w:rPr>
        <w:t>XXXX</w:t>
      </w:r>
      <w:r>
        <w:rPr>
          <w:rFonts w:hint="eastAsia" w:ascii="宋体" w:hAnsi="宋体"/>
          <w:color w:val="auto"/>
          <w:sz w:val="28"/>
          <w:highlight w:val="none"/>
          <w:u w:val="single"/>
          <w:lang w:val="zh-CN"/>
        </w:rPr>
        <w:t xml:space="preserve"> （投标人名称）</w:t>
      </w:r>
      <w:r>
        <w:rPr>
          <w:rFonts w:hint="eastAsia" w:ascii="宋体" w:hAnsi="宋体"/>
          <w:color w:val="auto"/>
          <w:sz w:val="28"/>
          <w:highlight w:val="none"/>
          <w:lang w:val="zh-CN"/>
        </w:rPr>
        <w:t>处任</w:t>
      </w:r>
      <w:r>
        <w:rPr>
          <w:rFonts w:hint="eastAsia" w:ascii="宋体" w:hAnsi="宋体"/>
          <w:color w:val="auto"/>
          <w:sz w:val="28"/>
          <w:highlight w:val="none"/>
          <w:u w:val="single"/>
          <w:lang w:val="zh-CN"/>
        </w:rPr>
        <w:t xml:space="preserve">         XXXX（职务名称）</w:t>
      </w:r>
      <w:r>
        <w:rPr>
          <w:rFonts w:hint="eastAsia" w:ascii="宋体" w:hAnsi="宋体"/>
          <w:color w:val="auto"/>
          <w:sz w:val="28"/>
          <w:highlight w:val="none"/>
          <w:lang w:val="zh-CN"/>
        </w:rPr>
        <w:t>职务，是</w:t>
      </w:r>
      <w:r>
        <w:rPr>
          <w:rFonts w:hint="eastAsia" w:ascii="宋体" w:hAnsi="宋体"/>
          <w:color w:val="auto"/>
          <w:sz w:val="28"/>
          <w:szCs w:val="28"/>
          <w:highlight w:val="none"/>
          <w:u w:val="single"/>
        </w:rPr>
        <w:t>XXXX</w:t>
      </w:r>
      <w:r>
        <w:rPr>
          <w:rFonts w:hint="eastAsia" w:ascii="宋体" w:hAnsi="宋体"/>
          <w:color w:val="auto"/>
          <w:sz w:val="28"/>
          <w:highlight w:val="none"/>
          <w:u w:val="single"/>
          <w:lang w:val="zh-CN"/>
        </w:rPr>
        <w:t>（投标人名称）</w:t>
      </w:r>
      <w:r>
        <w:rPr>
          <w:rFonts w:hint="eastAsia" w:ascii="宋体" w:hAnsi="宋体"/>
          <w:color w:val="auto"/>
          <w:sz w:val="28"/>
          <w:highlight w:val="none"/>
          <w:lang w:val="zh-CN"/>
        </w:rPr>
        <w:t>的法定代表人。</w:t>
      </w:r>
    </w:p>
    <w:p>
      <w:pPr>
        <w:tabs>
          <w:tab w:val="left" w:pos="6300"/>
        </w:tabs>
        <w:rPr>
          <w:rFonts w:ascii="宋体" w:hAnsi="宋体"/>
          <w:color w:val="auto"/>
          <w:sz w:val="28"/>
          <w:highlight w:val="none"/>
          <w:lang w:val="zh-CN"/>
        </w:rPr>
      </w:pPr>
    </w:p>
    <w:p>
      <w:pPr>
        <w:tabs>
          <w:tab w:val="left" w:pos="6300"/>
        </w:tabs>
        <w:rPr>
          <w:rFonts w:ascii="宋体" w:hAnsi="宋体"/>
          <w:color w:val="auto"/>
          <w:sz w:val="28"/>
          <w:highlight w:val="none"/>
          <w:lang w:val="zh-CN"/>
        </w:rPr>
      </w:pPr>
    </w:p>
    <w:p>
      <w:pPr>
        <w:tabs>
          <w:tab w:val="left" w:pos="6300"/>
        </w:tabs>
        <w:rPr>
          <w:rFonts w:ascii="宋体" w:hAnsi="宋体"/>
          <w:color w:val="auto"/>
          <w:sz w:val="28"/>
          <w:highlight w:val="none"/>
          <w:lang w:val="zh-CN"/>
        </w:rPr>
      </w:pPr>
    </w:p>
    <w:p>
      <w:pPr>
        <w:tabs>
          <w:tab w:val="left" w:pos="6300"/>
        </w:tabs>
        <w:rPr>
          <w:rFonts w:ascii="宋体" w:hAnsi="宋体"/>
          <w:color w:val="auto"/>
          <w:sz w:val="28"/>
          <w:highlight w:val="none"/>
          <w:lang w:val="zh-CN"/>
        </w:rPr>
      </w:pPr>
    </w:p>
    <w:p>
      <w:pPr>
        <w:tabs>
          <w:tab w:val="left" w:pos="6300"/>
        </w:tabs>
        <w:rPr>
          <w:rFonts w:ascii="宋体" w:hAnsi="宋体"/>
          <w:color w:val="auto"/>
          <w:sz w:val="28"/>
          <w:highlight w:val="none"/>
          <w:lang w:val="zh-CN"/>
        </w:rPr>
      </w:pPr>
    </w:p>
    <w:p>
      <w:pPr>
        <w:tabs>
          <w:tab w:val="left" w:pos="6300"/>
        </w:tabs>
        <w:rPr>
          <w:rFonts w:ascii="宋体" w:hAnsi="宋体"/>
          <w:color w:val="auto"/>
          <w:sz w:val="28"/>
          <w:highlight w:val="none"/>
          <w:lang w:val="zh-CN"/>
        </w:rPr>
      </w:pPr>
    </w:p>
    <w:p>
      <w:pPr>
        <w:tabs>
          <w:tab w:val="left" w:pos="6300"/>
        </w:tabs>
        <w:ind w:firstLine="573"/>
        <w:rPr>
          <w:rFonts w:ascii="宋体" w:hAnsi="宋体"/>
          <w:color w:val="auto"/>
          <w:sz w:val="28"/>
          <w:highlight w:val="none"/>
          <w:lang w:val="zh-CN"/>
        </w:rPr>
      </w:pPr>
    </w:p>
    <w:p>
      <w:pPr>
        <w:tabs>
          <w:tab w:val="left" w:pos="6300"/>
        </w:tabs>
        <w:ind w:firstLine="573"/>
        <w:rPr>
          <w:rFonts w:ascii="宋体" w:hAnsi="宋体"/>
          <w:color w:val="auto"/>
          <w:sz w:val="28"/>
          <w:highlight w:val="none"/>
          <w:lang w:val="zh-CN"/>
        </w:rPr>
      </w:pPr>
      <w:bookmarkStart w:id="216" w:name="_Toc263768866"/>
      <w:r>
        <w:rPr>
          <w:rFonts w:hint="eastAsia" w:ascii="宋体" w:hAnsi="宋体"/>
          <w:color w:val="auto"/>
          <w:sz w:val="28"/>
          <w:highlight w:val="none"/>
          <w:lang w:val="zh-CN"/>
        </w:rPr>
        <w:t>特此证明。</w:t>
      </w:r>
      <w:bookmarkEnd w:id="216"/>
    </w:p>
    <w:p>
      <w:pPr>
        <w:tabs>
          <w:tab w:val="left" w:pos="6300"/>
        </w:tabs>
        <w:rPr>
          <w:rFonts w:ascii="宋体" w:hAnsi="宋体"/>
          <w:color w:val="auto"/>
          <w:sz w:val="28"/>
          <w:highlight w:val="none"/>
          <w:lang w:val="zh-CN"/>
        </w:rPr>
      </w:pPr>
    </w:p>
    <w:p>
      <w:pPr>
        <w:tabs>
          <w:tab w:val="left" w:pos="6300"/>
        </w:tabs>
        <w:rPr>
          <w:rFonts w:ascii="宋体" w:hAnsi="宋体"/>
          <w:color w:val="auto"/>
          <w:sz w:val="28"/>
          <w:highlight w:val="none"/>
          <w:lang w:val="zh-CN"/>
        </w:rPr>
      </w:pPr>
    </w:p>
    <w:p>
      <w:pPr>
        <w:ind w:firstLine="560" w:firstLineChars="200"/>
        <w:rPr>
          <w:rFonts w:ascii="宋体" w:hAnsi="宋体"/>
          <w:color w:val="auto"/>
          <w:sz w:val="28"/>
          <w:highlight w:val="none"/>
          <w:lang w:val="zh-CN"/>
        </w:rPr>
      </w:pPr>
      <w:r>
        <w:rPr>
          <w:rFonts w:hint="eastAsia" w:ascii="宋体" w:hAnsi="宋体"/>
          <w:color w:val="auto"/>
          <w:sz w:val="28"/>
          <w:highlight w:val="none"/>
          <w:lang w:val="zh-CN"/>
        </w:rPr>
        <w:t>投标人名称：</w:t>
      </w:r>
      <w:r>
        <w:rPr>
          <w:rFonts w:hint="eastAsia" w:ascii="宋体" w:hAnsi="宋体"/>
          <w:color w:val="auto"/>
          <w:sz w:val="28"/>
          <w:szCs w:val="28"/>
          <w:highlight w:val="none"/>
        </w:rPr>
        <w:t>XXXX</w:t>
      </w:r>
    </w:p>
    <w:p>
      <w:pPr>
        <w:ind w:firstLine="560" w:firstLineChars="200"/>
        <w:rPr>
          <w:rFonts w:ascii="宋体" w:hAnsi="宋体"/>
          <w:color w:val="auto"/>
          <w:sz w:val="28"/>
          <w:szCs w:val="28"/>
          <w:highlight w:val="none"/>
        </w:rPr>
      </w:pPr>
      <w:r>
        <w:rPr>
          <w:rFonts w:hint="eastAsia" w:ascii="宋体" w:hAnsi="宋体"/>
          <w:color w:val="auto"/>
          <w:sz w:val="28"/>
          <w:highlight w:val="none"/>
        </w:rPr>
        <w:t>日期：</w:t>
      </w:r>
      <w:r>
        <w:rPr>
          <w:rFonts w:hint="eastAsia" w:ascii="宋体" w:hAnsi="宋体"/>
          <w:color w:val="auto"/>
          <w:sz w:val="28"/>
          <w:szCs w:val="28"/>
          <w:highlight w:val="none"/>
        </w:rPr>
        <w:t>20XX</w:t>
      </w:r>
      <w:r>
        <w:rPr>
          <w:rFonts w:hint="eastAsia" w:ascii="宋体" w:hAnsi="宋体"/>
          <w:color w:val="auto"/>
          <w:sz w:val="28"/>
          <w:highlight w:val="none"/>
        </w:rPr>
        <w:t xml:space="preserve"> 年</w:t>
      </w:r>
      <w:r>
        <w:rPr>
          <w:rFonts w:hint="eastAsia" w:ascii="宋体" w:hAnsi="宋体"/>
          <w:color w:val="auto"/>
          <w:sz w:val="28"/>
          <w:szCs w:val="28"/>
          <w:highlight w:val="none"/>
        </w:rPr>
        <w:t>XX</w:t>
      </w:r>
      <w:r>
        <w:rPr>
          <w:rFonts w:hint="eastAsia" w:ascii="宋体" w:hAnsi="宋体"/>
          <w:color w:val="auto"/>
          <w:sz w:val="28"/>
          <w:highlight w:val="none"/>
        </w:rPr>
        <w:t>月</w:t>
      </w:r>
      <w:r>
        <w:rPr>
          <w:rFonts w:hint="eastAsia" w:ascii="宋体" w:hAnsi="宋体"/>
          <w:color w:val="auto"/>
          <w:sz w:val="28"/>
          <w:szCs w:val="28"/>
          <w:highlight w:val="none"/>
        </w:rPr>
        <w:t>XX</w:t>
      </w:r>
      <w:r>
        <w:rPr>
          <w:rFonts w:hint="eastAsia" w:ascii="宋体" w:hAnsi="宋体"/>
          <w:color w:val="auto"/>
          <w:sz w:val="28"/>
          <w:highlight w:val="none"/>
        </w:rPr>
        <w:t>日</w:t>
      </w:r>
    </w:p>
    <w:p>
      <w:pPr>
        <w:tabs>
          <w:tab w:val="left" w:pos="6300"/>
        </w:tabs>
        <w:rPr>
          <w:rFonts w:ascii="宋体" w:hAnsi="宋体"/>
          <w:b/>
          <w:color w:val="auto"/>
          <w:sz w:val="28"/>
          <w:highlight w:val="none"/>
          <w:u w:val="single"/>
          <w:lang w:val="zh-CN"/>
        </w:rPr>
      </w:pPr>
    </w:p>
    <w:p>
      <w:pPr>
        <w:pStyle w:val="14"/>
        <w:spacing w:line="240" w:lineRule="auto"/>
        <w:ind w:firstLine="568" w:firstLineChars="202"/>
        <w:rPr>
          <w:rFonts w:ascii="宋体" w:hAnsi="宋体"/>
          <w:b/>
          <w:color w:val="auto"/>
          <w:sz w:val="28"/>
          <w:szCs w:val="28"/>
          <w:highlight w:val="none"/>
        </w:rPr>
      </w:pPr>
      <w:r>
        <w:rPr>
          <w:rFonts w:hint="eastAsia" w:ascii="宋体" w:hAnsi="宋体"/>
          <w:b/>
          <w:color w:val="auto"/>
          <w:sz w:val="28"/>
          <w:szCs w:val="28"/>
          <w:highlight w:val="none"/>
        </w:rPr>
        <w:t>说明：上述证明文件在投标文件中附有法定代表人身份证复印件（身份证两面均应复印）或护照复印件（供应商的法定代表人为外籍人士的，则提供护照复印件）时才能生效。</w:t>
      </w:r>
    </w:p>
    <w:bookmarkEnd w:id="207"/>
    <w:bookmarkEnd w:id="208"/>
    <w:bookmarkEnd w:id="209"/>
    <w:bookmarkEnd w:id="210"/>
    <w:bookmarkEnd w:id="211"/>
    <w:bookmarkEnd w:id="212"/>
    <w:bookmarkEnd w:id="213"/>
    <w:bookmarkEnd w:id="214"/>
    <w:bookmarkEnd w:id="215"/>
    <w:p>
      <w:pPr>
        <w:pStyle w:val="6"/>
        <w:numPr>
          <w:ilvl w:val="2"/>
          <w:numId w:val="5"/>
        </w:numPr>
        <w:spacing w:after="200" w:line="240" w:lineRule="auto"/>
        <w:ind w:left="851"/>
        <w:rPr>
          <w:color w:val="auto"/>
          <w:highlight w:val="none"/>
        </w:rPr>
      </w:pPr>
      <w:bookmarkStart w:id="217" w:name="_Toc302997926"/>
      <w:bookmarkStart w:id="218" w:name="_Toc263753605"/>
      <w:bookmarkStart w:id="219" w:name="_Toc263768870"/>
      <w:bookmarkStart w:id="220" w:name="_Toc220299393"/>
      <w:bookmarkStart w:id="221" w:name="_Toc217446083"/>
      <w:r>
        <w:rPr>
          <w:rFonts w:hint="eastAsia"/>
          <w:color w:val="auto"/>
          <w:highlight w:val="none"/>
        </w:rPr>
        <w:t>投标人基本情况表</w:t>
      </w:r>
      <w:bookmarkEnd w:id="217"/>
    </w:p>
    <w:tbl>
      <w:tblPr>
        <w:tblStyle w:val="45"/>
        <w:tblW w:w="85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977"/>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color w:val="auto"/>
                <w:kern w:val="0"/>
                <w:szCs w:val="21"/>
                <w:highlight w:val="none"/>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ind w:firstLine="1470" w:firstLineChars="700"/>
              <w:rPr>
                <w:rFonts w:ascii="宋体" w:hAnsi="宋体"/>
                <w:color w:val="auto"/>
                <w:kern w:val="0"/>
                <w:szCs w:val="21"/>
                <w:highlight w:val="none"/>
              </w:rPr>
            </w:pPr>
            <w:r>
              <w:rPr>
                <w:rFonts w:hint="eastAsia" w:ascii="宋体" w:hAnsi="宋体"/>
                <w:color w:val="auto"/>
                <w:kern w:val="0"/>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kern w:val="0"/>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kern w:val="0"/>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kern w:val="0"/>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p>
        </w:tc>
        <w:tc>
          <w:tcPr>
            <w:tcW w:w="4813"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olor w:val="auto"/>
                <w:kern w:val="0"/>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jc w:val="center"/>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937"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rPr>
                <w:rFonts w:ascii="宋体" w:hAnsi="宋体"/>
                <w:bCs/>
                <w:color w:val="auto"/>
                <w:kern w:val="0"/>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jc w:val="center"/>
              <w:rPr>
                <w:rFonts w:ascii="宋体" w:hAnsi="宋体"/>
                <w:color w:val="auto"/>
                <w:kern w:val="0"/>
                <w:szCs w:val="21"/>
                <w:highlight w:val="none"/>
              </w:rPr>
            </w:pPr>
            <w:r>
              <w:rPr>
                <w:rFonts w:hint="eastAsia" w:ascii="宋体" w:hAnsi="宋体"/>
                <w:color w:val="auto"/>
                <w:kern w:val="0"/>
                <w:szCs w:val="21"/>
                <w:highlight w:val="none"/>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jc w:val="left"/>
              <w:rPr>
                <w:rFonts w:ascii="宋体" w:hAnsi="宋体"/>
                <w:color w:val="auto"/>
                <w:kern w:val="0"/>
                <w:szCs w:val="21"/>
                <w:highlight w:val="none"/>
              </w:rPr>
            </w:pPr>
          </w:p>
        </w:tc>
      </w:tr>
    </w:tbl>
    <w:p>
      <w:pPr>
        <w:adjustRightInd w:val="0"/>
        <w:jc w:val="left"/>
        <w:rPr>
          <w:rFonts w:ascii="宋体" w:hAnsi="宋体"/>
          <w:bCs/>
          <w:color w:val="auto"/>
          <w:sz w:val="28"/>
          <w:szCs w:val="28"/>
          <w:highlight w:val="none"/>
        </w:rPr>
      </w:pPr>
    </w:p>
    <w:p>
      <w:pPr>
        <w:pStyle w:val="28"/>
        <w:spacing w:line="240" w:lineRule="auto"/>
        <w:ind w:firstLine="288" w:firstLineChars="103"/>
        <w:rPr>
          <w:rFonts w:ascii="宋体" w:hAnsi="宋体"/>
          <w:bCs/>
          <w:color w:val="auto"/>
          <w:sz w:val="28"/>
          <w:szCs w:val="28"/>
          <w:highlight w:val="none"/>
        </w:rPr>
      </w:pPr>
      <w:r>
        <w:rPr>
          <w:rFonts w:hint="eastAsia" w:ascii="宋体" w:hAnsi="宋体"/>
          <w:bCs/>
          <w:color w:val="auto"/>
          <w:sz w:val="28"/>
          <w:szCs w:val="28"/>
          <w:highlight w:val="none"/>
        </w:rPr>
        <w:t>投标人名称：XXXX</w:t>
      </w:r>
    </w:p>
    <w:p>
      <w:pPr>
        <w:adjustRightInd w:val="0"/>
        <w:ind w:firstLine="700" w:firstLineChars="250"/>
        <w:jc w:val="left"/>
        <w:rPr>
          <w:rFonts w:ascii="宋体" w:hAnsi="宋体"/>
          <w:bCs/>
          <w:color w:val="auto"/>
          <w:sz w:val="28"/>
          <w:szCs w:val="28"/>
          <w:highlight w:val="none"/>
        </w:rPr>
      </w:pPr>
      <w:r>
        <w:rPr>
          <w:rFonts w:hint="eastAsia" w:ascii="宋体" w:hAnsi="宋体"/>
          <w:color w:val="auto"/>
          <w:sz w:val="28"/>
          <w:highlight w:val="none"/>
        </w:rPr>
        <w:t>日期：</w:t>
      </w:r>
      <w:r>
        <w:rPr>
          <w:rFonts w:hint="eastAsia" w:ascii="宋体" w:hAnsi="宋体"/>
          <w:bCs/>
          <w:color w:val="auto"/>
          <w:sz w:val="28"/>
          <w:highlight w:val="none"/>
        </w:rPr>
        <w:t>20XX年XX</w:t>
      </w:r>
      <w:r>
        <w:rPr>
          <w:rFonts w:hint="eastAsia" w:ascii="宋体" w:hAnsi="宋体"/>
          <w:bCs/>
          <w:color w:val="auto"/>
          <w:sz w:val="28"/>
          <w:szCs w:val="28"/>
          <w:highlight w:val="none"/>
        </w:rPr>
        <w:t>月</w:t>
      </w:r>
      <w:r>
        <w:rPr>
          <w:rFonts w:hint="eastAsia" w:ascii="宋体" w:hAnsi="宋体"/>
          <w:bCs/>
          <w:color w:val="auto"/>
          <w:sz w:val="28"/>
          <w:highlight w:val="none"/>
        </w:rPr>
        <w:t>XX</w:t>
      </w:r>
      <w:r>
        <w:rPr>
          <w:rFonts w:hint="eastAsia" w:ascii="宋体" w:hAnsi="宋体"/>
          <w:bCs/>
          <w:color w:val="auto"/>
          <w:sz w:val="28"/>
          <w:szCs w:val="28"/>
          <w:highlight w:val="none"/>
        </w:rPr>
        <w:t>日</w:t>
      </w:r>
      <w:bookmarkEnd w:id="218"/>
      <w:bookmarkEnd w:id="219"/>
      <w:bookmarkEnd w:id="220"/>
      <w:bookmarkStart w:id="222" w:name="_Toc220299404"/>
      <w:bookmarkStart w:id="223" w:name="_Toc263753615"/>
      <w:bookmarkStart w:id="224" w:name="_Toc263768873"/>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6"/>
        <w:numPr>
          <w:ilvl w:val="2"/>
          <w:numId w:val="5"/>
        </w:numPr>
        <w:spacing w:after="200" w:line="240" w:lineRule="auto"/>
        <w:ind w:left="851"/>
        <w:rPr>
          <w:color w:val="auto"/>
          <w:highlight w:val="none"/>
        </w:rPr>
      </w:pPr>
      <w:r>
        <w:rPr>
          <w:rFonts w:hint="eastAsia"/>
          <w:color w:val="auto"/>
          <w:highlight w:val="none"/>
        </w:rPr>
        <w:t>服务方案及服务承诺</w:t>
      </w:r>
    </w:p>
    <w:p>
      <w:pPr>
        <w:snapToGrid w:val="0"/>
        <w:rPr>
          <w:rFonts w:ascii="宋体" w:hAnsi="宋体"/>
          <w:b/>
          <w:color w:val="auto"/>
          <w:spacing w:val="-20"/>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u w:val="single"/>
        </w:rPr>
        <w:t>成都高新区政务服务和网络理政办公室新政务服务中心特约物业管理服务采购项目</w:t>
      </w:r>
    </w:p>
    <w:p>
      <w:pPr>
        <w:snapToGrid w:val="0"/>
        <w:rPr>
          <w:rFonts w:ascii="宋体" w:hAnsi="宋体"/>
          <w:b/>
          <w:color w:val="auto"/>
          <w:sz w:val="28"/>
          <w:szCs w:val="28"/>
          <w:highlight w:val="none"/>
          <w:u w:val="single"/>
        </w:rPr>
      </w:pPr>
      <w:r>
        <w:rPr>
          <w:rFonts w:hint="eastAsia" w:ascii="宋体" w:hAnsi="宋体"/>
          <w:b/>
          <w:color w:val="auto"/>
          <w:sz w:val="28"/>
          <w:szCs w:val="28"/>
          <w:highlight w:val="none"/>
        </w:rPr>
        <w:t>项目编号：</w:t>
      </w:r>
      <w:r>
        <w:rPr>
          <w:rFonts w:hint="eastAsia" w:ascii="宋体" w:hAnsi="宋体"/>
          <w:b/>
          <w:color w:val="auto"/>
          <w:sz w:val="28"/>
          <w:szCs w:val="28"/>
          <w:highlight w:val="none"/>
          <w:u w:val="single"/>
        </w:rPr>
        <w:t>成都高新技术产业开发政采（2021）A0018号</w:t>
      </w: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p>
    <w:p>
      <w:pPr>
        <w:pStyle w:val="28"/>
        <w:spacing w:line="240" w:lineRule="auto"/>
        <w:rPr>
          <w:rFonts w:ascii="宋体" w:hAnsi="宋体"/>
          <w:bCs/>
          <w:color w:val="auto"/>
          <w:sz w:val="28"/>
          <w:szCs w:val="28"/>
          <w:highlight w:val="none"/>
        </w:rPr>
      </w:pPr>
      <w:r>
        <w:rPr>
          <w:rFonts w:hint="eastAsia" w:ascii="宋体" w:hAnsi="宋体"/>
          <w:bCs/>
          <w:color w:val="auto"/>
          <w:sz w:val="28"/>
          <w:szCs w:val="28"/>
          <w:highlight w:val="none"/>
        </w:rPr>
        <w:t>投标人名称：XXXX</w:t>
      </w:r>
    </w:p>
    <w:p>
      <w:pPr>
        <w:adjustRightInd w:val="0"/>
        <w:ind w:firstLine="420" w:firstLineChars="150"/>
        <w:jc w:val="left"/>
        <w:rPr>
          <w:rFonts w:ascii="宋体" w:hAnsi="宋体"/>
          <w:color w:val="auto"/>
          <w:sz w:val="28"/>
          <w:highlight w:val="none"/>
        </w:rPr>
      </w:pPr>
      <w:r>
        <w:rPr>
          <w:rFonts w:hint="eastAsia" w:ascii="宋体" w:hAnsi="宋体"/>
          <w:color w:val="auto"/>
          <w:sz w:val="28"/>
          <w:highlight w:val="none"/>
        </w:rPr>
        <w:t>日期：20XX年XX月XX日</w:t>
      </w: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6"/>
        <w:numPr>
          <w:ilvl w:val="2"/>
          <w:numId w:val="5"/>
        </w:numPr>
        <w:spacing w:after="200" w:line="240" w:lineRule="auto"/>
        <w:ind w:left="851"/>
        <w:rPr>
          <w:bCs w:val="0"/>
          <w:color w:val="auto"/>
          <w:highlight w:val="none"/>
        </w:rPr>
      </w:pPr>
      <w:r>
        <w:rPr>
          <w:rFonts w:hint="eastAsia"/>
          <w:bCs w:val="0"/>
          <w:color w:val="auto"/>
          <w:highlight w:val="none"/>
        </w:rPr>
        <w:t>承诺函</w:t>
      </w:r>
    </w:p>
    <w:p>
      <w:pPr>
        <w:snapToGrid w:val="0"/>
        <w:rPr>
          <w:rFonts w:ascii="宋体" w:hAnsi="宋体"/>
          <w:b/>
          <w:color w:val="auto"/>
          <w:spacing w:val="-20"/>
          <w:sz w:val="28"/>
          <w:szCs w:val="28"/>
          <w:highlight w:val="none"/>
        </w:rPr>
      </w:pPr>
      <w:r>
        <w:rPr>
          <w:rFonts w:hint="eastAsia" w:ascii="宋体" w:hAnsi="宋体"/>
          <w:b/>
          <w:color w:val="auto"/>
          <w:sz w:val="28"/>
          <w:szCs w:val="28"/>
          <w:highlight w:val="none"/>
        </w:rPr>
        <w:t>项目名称：</w:t>
      </w:r>
      <w:r>
        <w:rPr>
          <w:rFonts w:hint="eastAsia" w:ascii="宋体" w:hAnsi="宋体"/>
          <w:b/>
          <w:color w:val="auto"/>
          <w:sz w:val="28"/>
          <w:szCs w:val="28"/>
          <w:highlight w:val="none"/>
          <w:u w:val="single"/>
        </w:rPr>
        <w:t>成都高新区政务服务和网络理政办公室新政务服务中心特约物业管理服务采购项目</w:t>
      </w:r>
    </w:p>
    <w:p>
      <w:pPr>
        <w:snapToGrid w:val="0"/>
        <w:rPr>
          <w:rFonts w:ascii="宋体" w:hAnsi="宋体"/>
          <w:b/>
          <w:color w:val="auto"/>
          <w:sz w:val="28"/>
          <w:szCs w:val="28"/>
          <w:highlight w:val="none"/>
          <w:u w:val="single"/>
        </w:rPr>
      </w:pPr>
      <w:r>
        <w:rPr>
          <w:rFonts w:hint="eastAsia" w:ascii="宋体" w:hAnsi="宋体"/>
          <w:b/>
          <w:color w:val="auto"/>
          <w:sz w:val="28"/>
          <w:szCs w:val="28"/>
          <w:highlight w:val="none"/>
        </w:rPr>
        <w:t>项目编号：</w:t>
      </w:r>
      <w:r>
        <w:rPr>
          <w:rFonts w:hint="eastAsia" w:ascii="宋体" w:hAnsi="宋体"/>
          <w:b/>
          <w:color w:val="auto"/>
          <w:sz w:val="28"/>
          <w:szCs w:val="28"/>
          <w:highlight w:val="none"/>
          <w:u w:val="single"/>
        </w:rPr>
        <w:t>成都高新技术产业开发政采（2021）A0018号</w:t>
      </w:r>
    </w:p>
    <w:p>
      <w:pPr>
        <w:adjustRightInd w:val="0"/>
        <w:snapToGrid w:val="0"/>
        <w:spacing w:line="360" w:lineRule="auto"/>
        <w:ind w:firstLine="602" w:firstLineChars="201"/>
        <w:rPr>
          <w:rFonts w:ascii="宋体" w:hAnsi="宋体"/>
          <w:color w:val="auto"/>
          <w:sz w:val="30"/>
          <w:szCs w:val="30"/>
          <w:highlight w:val="none"/>
        </w:rPr>
      </w:pPr>
    </w:p>
    <w:p>
      <w:pPr>
        <w:adjustRightInd w:val="0"/>
        <w:snapToGrid w:val="0"/>
        <w:spacing w:line="360" w:lineRule="auto"/>
        <w:ind w:firstLine="602" w:firstLineChars="201"/>
        <w:rPr>
          <w:rFonts w:ascii="宋体" w:hAnsi="宋体"/>
          <w:color w:val="auto"/>
          <w:sz w:val="30"/>
          <w:szCs w:val="30"/>
          <w:highlight w:val="none"/>
        </w:rPr>
      </w:pPr>
      <w:r>
        <w:rPr>
          <w:rFonts w:hint="eastAsia" w:ascii="宋体" w:hAnsi="宋体"/>
          <w:color w:val="auto"/>
          <w:sz w:val="30"/>
          <w:szCs w:val="30"/>
          <w:highlight w:val="none"/>
        </w:rPr>
        <w:t>我公司作为参加本项目的投标人，在此郑重承诺：</w:t>
      </w:r>
    </w:p>
    <w:p>
      <w:pPr>
        <w:pStyle w:val="42"/>
        <w:widowControl w:val="0"/>
        <w:numPr>
          <w:ilvl w:val="0"/>
          <w:numId w:val="41"/>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我公司承诺满足招标文件中关于“服务内容及要求”所涉及的所有内容及要求。</w:t>
      </w:r>
    </w:p>
    <w:p>
      <w:pPr>
        <w:pStyle w:val="42"/>
        <w:widowControl w:val="0"/>
        <w:numPr>
          <w:ilvl w:val="0"/>
          <w:numId w:val="41"/>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我公司承诺：</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政府采购合同签订时间：我方成交后，自成交通知书发出之日起5个工作日内与采购人签订政府采购合同并提供相关资料。</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公司应保证所提供的服务或其任何一部分均不会侵犯任何第三方的专利权、商标权或著作权；采购人定期核对我方提供服务所配备的人员数量及相关信息，对于未按照采购文件及投标响应要求执行或存在不合理的部分有权下达整改通知书，并要求我公司限期整改。</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我公司为本项目提供服务的从业人员应依照《中华人民共和国民法典》订立劳动合同。</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我公司定期及时向采购人通告本项目服务范围内有关服务的重大事项及其进度。</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接受项目行业管理部门及政府有关部门的指导，接受采购人的监督。</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履约验收：</w:t>
      </w:r>
    </w:p>
    <w:p>
      <w:pPr>
        <w:pStyle w:val="42"/>
        <w:widowControl w:val="0"/>
        <w:numPr>
          <w:ilvl w:val="0"/>
          <w:numId w:val="43"/>
        </w:numPr>
        <w:spacing w:before="0" w:after="0" w:afterAutospacing="0" w:line="360" w:lineRule="auto"/>
        <w:ind w:left="425" w:leftChars="0" w:hanging="425" w:firstLineChars="0"/>
        <w:jc w:val="both"/>
        <w:rPr>
          <w:rFonts w:cs="宋体"/>
          <w:color w:val="auto"/>
          <w:kern w:val="2"/>
          <w:sz w:val="28"/>
          <w:szCs w:val="28"/>
          <w:highlight w:val="none"/>
          <w:lang w:bidi="ar"/>
        </w:rPr>
      </w:pPr>
      <w:r>
        <w:rPr>
          <w:rFonts w:hint="eastAsia" w:cs="宋体"/>
          <w:color w:val="auto"/>
          <w:kern w:val="2"/>
          <w:sz w:val="28"/>
          <w:szCs w:val="28"/>
          <w:highlight w:val="none"/>
          <w:lang w:bidi="ar"/>
        </w:rPr>
        <w:t>我公司通知</w:t>
      </w:r>
      <w:r>
        <w:rPr>
          <w:rFonts w:hint="eastAsia" w:cs="宋体"/>
          <w:color w:val="auto"/>
          <w:kern w:val="2"/>
          <w:sz w:val="28"/>
          <w:szCs w:val="28"/>
          <w:highlight w:val="none"/>
          <w:lang w:val="en-US" w:eastAsia="zh-CN" w:bidi="ar"/>
        </w:rPr>
        <w:t>采购人</w:t>
      </w:r>
      <w:r>
        <w:rPr>
          <w:rFonts w:hint="eastAsia" w:cs="宋体"/>
          <w:color w:val="auto"/>
          <w:kern w:val="2"/>
          <w:sz w:val="28"/>
          <w:szCs w:val="28"/>
          <w:highlight w:val="none"/>
          <w:lang w:bidi="ar"/>
        </w:rPr>
        <w:t>所有服务履约完毕后5个工作日内进行验收，验收合格，双方签署《验收报告》。</w:t>
      </w:r>
    </w:p>
    <w:p>
      <w:pPr>
        <w:pStyle w:val="42"/>
        <w:widowControl w:val="0"/>
        <w:numPr>
          <w:ilvl w:val="0"/>
          <w:numId w:val="43"/>
        </w:numPr>
        <w:spacing w:before="0" w:after="0" w:afterAutospacing="0" w:line="360" w:lineRule="auto"/>
        <w:ind w:left="425" w:leftChars="0" w:hanging="425" w:firstLineChars="0"/>
        <w:jc w:val="both"/>
        <w:rPr>
          <w:rFonts w:cs="宋体"/>
          <w:color w:val="auto"/>
          <w:kern w:val="2"/>
          <w:sz w:val="28"/>
          <w:szCs w:val="28"/>
          <w:highlight w:val="none"/>
          <w:lang w:bidi="ar"/>
        </w:rPr>
      </w:pPr>
      <w:r>
        <w:rPr>
          <w:rFonts w:hint="eastAsia" w:cs="宋体"/>
          <w:color w:val="auto"/>
          <w:kern w:val="2"/>
          <w:sz w:val="28"/>
          <w:szCs w:val="28"/>
          <w:highlight w:val="none"/>
          <w:lang w:bidi="ar"/>
        </w:rPr>
        <w:t>验收标准：按国家有关规定以及采购文件的质量要求和技术指标、我公司的响应文件及承诺与本合同约定标准进行验收；采购人与我公司双方如对质量要求和技术指标的约定标准有相互抵触或异议的事项，由采购人在采购文件及响应文件中按质量要求和技术指标比较优胜的原则确定该项的约定标准进行验收。</w:t>
      </w:r>
    </w:p>
    <w:p>
      <w:pPr>
        <w:pStyle w:val="42"/>
        <w:widowControl w:val="0"/>
        <w:numPr>
          <w:ilvl w:val="0"/>
          <w:numId w:val="43"/>
        </w:numPr>
        <w:spacing w:before="0" w:after="0" w:afterAutospacing="0" w:line="360" w:lineRule="auto"/>
        <w:ind w:left="425" w:leftChars="0" w:hanging="425" w:firstLineChars="0"/>
        <w:jc w:val="both"/>
        <w:rPr>
          <w:rFonts w:cs="宋体"/>
          <w:color w:val="auto"/>
          <w:kern w:val="2"/>
          <w:sz w:val="28"/>
          <w:szCs w:val="28"/>
          <w:highlight w:val="none"/>
          <w:lang w:bidi="ar"/>
        </w:rPr>
      </w:pPr>
      <w:r>
        <w:rPr>
          <w:rFonts w:hint="eastAsia" w:cs="宋体"/>
          <w:color w:val="auto"/>
          <w:kern w:val="2"/>
          <w:sz w:val="28"/>
          <w:szCs w:val="28"/>
          <w:highlight w:val="none"/>
          <w:lang w:bidi="ar"/>
        </w:rPr>
        <w:t>采购人无故不进行验收工作并已使用项目履约成果的，视同验收合格。</w:t>
      </w:r>
    </w:p>
    <w:p>
      <w:pPr>
        <w:pStyle w:val="42"/>
        <w:widowControl w:val="0"/>
        <w:numPr>
          <w:ilvl w:val="0"/>
          <w:numId w:val="43"/>
        </w:numPr>
        <w:spacing w:before="0" w:after="0" w:afterAutospacing="0" w:line="360" w:lineRule="auto"/>
        <w:ind w:left="425" w:leftChars="0" w:hanging="425" w:firstLineChars="0"/>
        <w:jc w:val="both"/>
        <w:rPr>
          <w:rFonts w:cs="宋体"/>
          <w:color w:val="auto"/>
          <w:kern w:val="2"/>
          <w:sz w:val="28"/>
          <w:szCs w:val="28"/>
          <w:highlight w:val="none"/>
          <w:lang w:bidi="ar"/>
        </w:rPr>
      </w:pPr>
      <w:r>
        <w:rPr>
          <w:rFonts w:hint="eastAsia" w:cs="宋体"/>
          <w:color w:val="auto"/>
          <w:kern w:val="2"/>
          <w:sz w:val="28"/>
          <w:szCs w:val="28"/>
          <w:highlight w:val="none"/>
          <w:lang w:bidi="ar"/>
        </w:rPr>
        <w:t>验收结果不合格的，将不予支付采购资金，还可能上报本项目同级财政部门按照政府采购法律法规等有关规定给予行政处罚。</w:t>
      </w:r>
    </w:p>
    <w:p>
      <w:pPr>
        <w:pStyle w:val="42"/>
        <w:widowControl w:val="0"/>
        <w:numPr>
          <w:ilvl w:val="0"/>
          <w:numId w:val="43"/>
        </w:numPr>
        <w:spacing w:before="0" w:after="0" w:afterAutospacing="0" w:line="360" w:lineRule="auto"/>
        <w:ind w:left="425" w:leftChars="0" w:hanging="425" w:firstLineChars="0"/>
        <w:jc w:val="both"/>
        <w:rPr>
          <w:rFonts w:cs="宋体"/>
          <w:color w:val="auto"/>
          <w:kern w:val="2"/>
          <w:sz w:val="28"/>
          <w:szCs w:val="28"/>
          <w:highlight w:val="none"/>
          <w:lang w:bidi="ar"/>
        </w:rPr>
      </w:pPr>
      <w:r>
        <w:rPr>
          <w:rFonts w:hint="eastAsia" w:cs="宋体"/>
          <w:color w:val="auto"/>
          <w:kern w:val="2"/>
          <w:sz w:val="28"/>
          <w:szCs w:val="28"/>
          <w:highlight w:val="none"/>
          <w:lang w:bidi="ar"/>
        </w:rPr>
        <w:t>其他未尽事宜应严格按照《财政部关于进一步加强政府采购需求和履约验收管理的指导意见》(财库〔2016〕205号)要求进行验收。</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我方因自身原因遗漏报价而发生的费用追加，按《民法典》、《劳动法》等法律法规而造成责任和损失，全部由我公司自行承担。</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公司须配置项目相关管理人员、值班人员的通讯装备、安防设备；我方须统一配备各岗位员工工服(按季节配备)；我方须配备不少于两套保洁作业机具(包括但不限于电动洗地机、电动清洁车等大型清洁设备)和劳防用品，且必须符合国家相关安全法规的要求；我方负责提供所需的所有消耗品，包括：清洁、洗涤、药剂，生活垃圾袋、垃圾袋等耗材；此类设备所产生的费用均由我公司承担。</w:t>
      </w:r>
    </w:p>
    <w:p>
      <w:pPr>
        <w:pStyle w:val="42"/>
        <w:widowControl w:val="0"/>
        <w:numPr>
          <w:ilvl w:val="0"/>
          <w:numId w:val="42"/>
        </w:numPr>
        <w:spacing w:before="0" w:after="0" w:afterAutospacing="0" w:line="360" w:lineRule="auto"/>
        <w:jc w:val="both"/>
        <w:rPr>
          <w:rFonts w:cs="宋体"/>
          <w:color w:val="auto"/>
          <w:kern w:val="2"/>
          <w:sz w:val="28"/>
          <w:szCs w:val="28"/>
          <w:highlight w:val="none"/>
          <w:lang w:bidi="ar"/>
        </w:rPr>
      </w:pPr>
      <w:r>
        <w:rPr>
          <w:rFonts w:hint="eastAsia" w:cs="宋体"/>
          <w:color w:val="auto"/>
          <w:kern w:val="2"/>
          <w:sz w:val="28"/>
          <w:szCs w:val="28"/>
          <w:highlight w:val="none"/>
          <w:lang w:bidi="ar"/>
        </w:rPr>
        <w:t>我公司承诺将本项目物业公司无法承担的专业性工作分包给具有资质的第三方公司履约，但分包前应当告知采购人并须取得采购人同意，否则分包无效：</w:t>
      </w:r>
    </w:p>
    <w:p>
      <w:pPr>
        <w:pStyle w:val="42"/>
        <w:widowControl w:val="0"/>
        <w:spacing w:before="0" w:beforeAutospacing="0" w:after="0" w:afterAutospacing="0" w:line="360" w:lineRule="auto"/>
        <w:ind w:firstLine="420"/>
        <w:jc w:val="both"/>
        <w:rPr>
          <w:rFonts w:cs="宋体"/>
          <w:color w:val="auto"/>
          <w:kern w:val="2"/>
          <w:sz w:val="28"/>
          <w:szCs w:val="28"/>
          <w:highlight w:val="none"/>
          <w:lang w:bidi="ar"/>
        </w:rPr>
      </w:pPr>
      <w:r>
        <w:rPr>
          <w:rFonts w:hint="eastAsia" w:cs="宋体"/>
          <w:color w:val="auto"/>
          <w:kern w:val="2"/>
          <w:sz w:val="28"/>
          <w:szCs w:val="28"/>
          <w:highlight w:val="none"/>
          <w:lang w:bidi="ar"/>
        </w:rPr>
        <w:t>1、物业管理区域建筑避雷系统检测的第三方公司应具有气象部门颁发的《雷电防护装置检测资质证》。我公司如不具备此资质的，则应委托具有此资质的第三方公司进行建筑避雷系统检测。我方应与第三方公司签订合同，并负责对其进行监督考核。</w:t>
      </w:r>
    </w:p>
    <w:p>
      <w:pPr>
        <w:pStyle w:val="42"/>
        <w:widowControl w:val="0"/>
        <w:spacing w:before="0" w:beforeAutospacing="0" w:after="0" w:afterAutospacing="0" w:line="360" w:lineRule="auto"/>
        <w:ind w:firstLine="420"/>
        <w:jc w:val="both"/>
        <w:rPr>
          <w:rFonts w:cs="宋体"/>
          <w:color w:val="auto"/>
          <w:kern w:val="2"/>
          <w:sz w:val="28"/>
          <w:szCs w:val="28"/>
          <w:highlight w:val="none"/>
          <w:lang w:bidi="ar"/>
        </w:rPr>
      </w:pPr>
      <w:r>
        <w:rPr>
          <w:rFonts w:hint="eastAsia" w:cs="宋体"/>
          <w:color w:val="auto"/>
          <w:kern w:val="2"/>
          <w:sz w:val="28"/>
          <w:szCs w:val="28"/>
          <w:highlight w:val="none"/>
          <w:lang w:bidi="ar"/>
        </w:rPr>
        <w:t>2、物业管理区域二次供水水箱清洗的第三方公司应具有县级以上卫生行政部门颁发的卫生许可证。我公司如不具备此资质的，则应委托具有此资质的第三方公司负责二次供水水箱清洗工作。我公司应与第三方公司签订合同，并负责对其进行监督考核。</w:t>
      </w:r>
    </w:p>
    <w:p>
      <w:pPr>
        <w:pStyle w:val="42"/>
        <w:widowControl w:val="0"/>
        <w:spacing w:before="0" w:beforeAutospacing="0" w:after="0" w:afterAutospacing="0" w:line="360" w:lineRule="auto"/>
        <w:ind w:firstLine="420"/>
        <w:jc w:val="both"/>
        <w:rPr>
          <w:rFonts w:cs="宋体"/>
          <w:color w:val="auto"/>
          <w:kern w:val="2"/>
          <w:sz w:val="28"/>
          <w:szCs w:val="28"/>
          <w:highlight w:val="none"/>
          <w:lang w:bidi="ar"/>
        </w:rPr>
      </w:pPr>
      <w:r>
        <w:rPr>
          <w:rFonts w:hint="eastAsia" w:cs="宋体"/>
          <w:color w:val="auto"/>
          <w:kern w:val="2"/>
          <w:sz w:val="28"/>
          <w:szCs w:val="28"/>
          <w:highlight w:val="none"/>
          <w:lang w:bidi="ar"/>
        </w:rPr>
        <w:t>3、物业管理区域消防设施维护保养服务的第三方公司应具有《消防技术服务机构从业条件》(应急[2019]88号)的要求。我公司如不具备此资质的，则应委托具有此资质的第三方公司进行消防设施维护保养服务。我公司应与第三方公司签订合同，并负责对其进行监督考核。</w:t>
      </w:r>
    </w:p>
    <w:p>
      <w:pPr>
        <w:pStyle w:val="42"/>
        <w:widowControl w:val="0"/>
        <w:spacing w:before="0" w:beforeAutospacing="0" w:after="0" w:afterAutospacing="0" w:line="360" w:lineRule="auto"/>
        <w:ind w:firstLine="420"/>
        <w:jc w:val="both"/>
        <w:rPr>
          <w:rFonts w:cs="宋体"/>
          <w:color w:val="auto"/>
          <w:kern w:val="2"/>
          <w:sz w:val="28"/>
          <w:szCs w:val="28"/>
          <w:highlight w:val="none"/>
          <w:lang w:bidi="ar"/>
        </w:rPr>
      </w:pPr>
      <w:r>
        <w:rPr>
          <w:rFonts w:hint="eastAsia" w:cs="宋体"/>
          <w:color w:val="auto"/>
          <w:kern w:val="2"/>
          <w:sz w:val="28"/>
          <w:szCs w:val="28"/>
          <w:highlight w:val="none"/>
          <w:lang w:bidi="ar"/>
        </w:rPr>
        <w:t>4、物业管理区域电梯维护保养服务的第三方公司应具有质量技术监督部门颁发的《中华人民共和国特种设备安装改造维修许可证(电梯)》(乘客电梯安装、改造、维修许可证C级及以上)。我公司如不具备此资质的，则应委托具有此资质的第三方公司进行电梯维护保养服务。我公司应与第三方公司签订合同，并负责对其进行监督考核。</w:t>
      </w:r>
    </w:p>
    <w:p>
      <w:pPr>
        <w:snapToGrid w:val="0"/>
        <w:spacing w:line="360" w:lineRule="auto"/>
        <w:ind w:firstLine="560" w:firstLineChars="200"/>
        <w:rPr>
          <w:rFonts w:ascii="宋体" w:hAnsi="宋体"/>
          <w:color w:val="auto"/>
          <w:sz w:val="28"/>
          <w:szCs w:val="28"/>
          <w:highlight w:val="none"/>
        </w:rPr>
      </w:pPr>
    </w:p>
    <w:p>
      <w:pPr>
        <w:snapToGrid w:val="0"/>
        <w:spacing w:line="360" w:lineRule="auto"/>
        <w:ind w:firstLine="560" w:firstLineChars="200"/>
        <w:rPr>
          <w:color w:val="auto"/>
          <w:highlight w:val="none"/>
        </w:rPr>
      </w:pPr>
      <w:r>
        <w:rPr>
          <w:rFonts w:hint="eastAsia" w:ascii="宋体" w:hAnsi="宋体"/>
          <w:color w:val="auto"/>
          <w:sz w:val="28"/>
          <w:szCs w:val="28"/>
          <w:highlight w:val="none"/>
        </w:rPr>
        <w:t>特此承诺。</w:t>
      </w:r>
    </w:p>
    <w:p>
      <w:pPr>
        <w:snapToGrid w:val="0"/>
        <w:spacing w:line="360" w:lineRule="auto"/>
        <w:rPr>
          <w:rFonts w:ascii="宋体" w:hAnsi="宋体"/>
          <w:color w:val="auto"/>
          <w:sz w:val="28"/>
          <w:szCs w:val="28"/>
          <w:highlight w:val="none"/>
        </w:rPr>
      </w:pPr>
    </w:p>
    <w:p>
      <w:pPr>
        <w:spacing w:after="120" w:line="360" w:lineRule="auto"/>
        <w:ind w:left="420" w:left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spacing w:line="360" w:lineRule="auto"/>
        <w:ind w:left="425"/>
        <w:rPr>
          <w:rFonts w:ascii="宋体" w:hAnsi="宋体"/>
          <w:color w:val="auto"/>
          <w:sz w:val="30"/>
          <w:szCs w:val="30"/>
          <w:highlight w:val="none"/>
        </w:r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spacing w:line="360" w:lineRule="auto"/>
        <w:rPr>
          <w:rFonts w:ascii="宋体" w:hAnsi="宋体"/>
          <w:color w:val="auto"/>
          <w:sz w:val="30"/>
          <w:szCs w:val="30"/>
          <w:highlight w:val="none"/>
        </w:rPr>
      </w:pPr>
    </w:p>
    <w:p>
      <w:pPr>
        <w:rPr>
          <w:color w:val="auto"/>
          <w:highlight w:val="none"/>
        </w:rPr>
      </w:pPr>
      <w:r>
        <w:rPr>
          <w:rFonts w:ascii="宋体" w:hAnsi="宋体"/>
          <w:color w:val="auto"/>
          <w:sz w:val="30"/>
          <w:szCs w:val="30"/>
          <w:highlight w:val="none"/>
        </w:rPr>
        <w:br w:type="page"/>
      </w:r>
    </w:p>
    <w:p>
      <w:pPr>
        <w:keepNext/>
        <w:keepLines/>
        <w:numPr>
          <w:ilvl w:val="1"/>
          <w:numId w:val="5"/>
        </w:numPr>
        <w:spacing w:before="260" w:after="260" w:line="360" w:lineRule="auto"/>
        <w:jc w:val="left"/>
        <w:outlineLvl w:val="1"/>
        <w:rPr>
          <w:rFonts w:ascii="宋体" w:hAnsi="宋体"/>
          <w:b/>
          <w:color w:val="auto"/>
          <w:sz w:val="28"/>
          <w:highlight w:val="none"/>
        </w:rPr>
      </w:pPr>
      <w:bookmarkStart w:id="225" w:name="_Toc73619745"/>
      <w:bookmarkStart w:id="226" w:name="_Toc5929"/>
      <w:r>
        <w:rPr>
          <w:rFonts w:hint="eastAsia" w:ascii="宋体" w:hAnsi="宋体"/>
          <w:b/>
          <w:color w:val="auto"/>
          <w:sz w:val="28"/>
          <w:highlight w:val="none"/>
        </w:rPr>
        <w:t>报价</w:t>
      </w:r>
      <w:r>
        <w:rPr>
          <w:rFonts w:hint="eastAsia" w:ascii="宋体" w:hAnsi="宋体"/>
          <w:b/>
          <w:bCs/>
          <w:color w:val="auto"/>
          <w:sz w:val="28"/>
          <w:szCs w:val="28"/>
          <w:highlight w:val="none"/>
        </w:rPr>
        <w:t>要求</w:t>
      </w:r>
      <w:r>
        <w:rPr>
          <w:rFonts w:hint="eastAsia" w:ascii="宋体" w:hAnsi="宋体"/>
          <w:b/>
          <w:color w:val="auto"/>
          <w:sz w:val="28"/>
          <w:highlight w:val="none"/>
        </w:rPr>
        <w:t>响应文件</w:t>
      </w:r>
      <w:bookmarkEnd w:id="225"/>
      <w:bookmarkEnd w:id="226"/>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kern w:val="0"/>
          <w:sz w:val="28"/>
          <w:szCs w:val="28"/>
          <w:highlight w:val="none"/>
        </w:rPr>
        <w:t>开标一览表</w:t>
      </w:r>
    </w:p>
    <w:p>
      <w:pPr>
        <w:tabs>
          <w:tab w:val="left" w:pos="1134"/>
        </w:tabs>
        <w:spacing w:line="560" w:lineRule="exact"/>
        <w:ind w:firstLine="427" w:firstLineChars="152"/>
        <w:rPr>
          <w:rFonts w:ascii="宋体" w:hAnsi="宋体"/>
          <w:b/>
          <w:bCs/>
          <w:color w:val="auto"/>
          <w:sz w:val="28"/>
          <w:szCs w:val="28"/>
          <w:highlight w:val="none"/>
        </w:rPr>
      </w:pPr>
      <w:r>
        <w:rPr>
          <w:rFonts w:hint="eastAsia" w:ascii="宋体" w:hAnsi="宋体"/>
          <w:b/>
          <w:bCs/>
          <w:color w:val="auto"/>
          <w:sz w:val="28"/>
          <w:szCs w:val="28"/>
          <w:highlight w:val="none"/>
        </w:rPr>
        <w:t xml:space="preserve">标项1： </w:t>
      </w: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auto"/>
                <w:kern w:val="0"/>
                <w:sz w:val="28"/>
                <w:szCs w:val="28"/>
                <w:highlight w:val="none"/>
              </w:rPr>
            </w:pPr>
            <w:r>
              <w:rPr>
                <w:rFonts w:hint="eastAsia" w:ascii="宋体" w:hAnsi="宋体"/>
                <w:color w:val="auto"/>
                <w:kern w:val="0"/>
                <w:sz w:val="28"/>
                <w:szCs w:val="28"/>
                <w:highlight w:val="none"/>
              </w:rPr>
              <w:t>成都高新区政务服务和网络理政办公室新政务服务中心特约物业管理服务采购项目投标报价（元）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auto"/>
                <w:kern w:val="0"/>
                <w:sz w:val="28"/>
                <w:szCs w:val="28"/>
                <w:highlight w:val="none"/>
              </w:rPr>
            </w:pPr>
          </w:p>
        </w:tc>
      </w:tr>
    </w:tbl>
    <w:p>
      <w:pPr>
        <w:tabs>
          <w:tab w:val="left" w:pos="1134"/>
        </w:tabs>
        <w:spacing w:line="560" w:lineRule="exact"/>
        <w:ind w:firstLine="425" w:firstLineChars="152"/>
        <w:rPr>
          <w:rFonts w:ascii="宋体" w:hAnsi="宋体"/>
          <w:color w:val="auto"/>
          <w:sz w:val="28"/>
          <w:szCs w:val="28"/>
          <w:highlight w:val="none"/>
        </w:rPr>
      </w:pPr>
    </w:p>
    <w:p>
      <w:pPr>
        <w:tabs>
          <w:tab w:val="left" w:pos="1134"/>
        </w:tabs>
        <w:spacing w:line="560" w:lineRule="exact"/>
        <w:ind w:firstLine="427" w:firstLineChars="152"/>
        <w:rPr>
          <w:rFonts w:ascii="宋体" w:hAnsi="宋体"/>
          <w:b/>
          <w:bCs/>
          <w:color w:val="auto"/>
          <w:sz w:val="28"/>
          <w:highlight w:val="none"/>
        </w:rPr>
      </w:pPr>
      <w:r>
        <w:rPr>
          <w:rFonts w:hint="eastAsia" w:ascii="宋体" w:hAnsi="宋体"/>
          <w:b/>
          <w:color w:val="auto"/>
          <w:sz w:val="28"/>
          <w:szCs w:val="28"/>
          <w:highlight w:val="none"/>
        </w:rPr>
        <w:t>投标报价以投标人在政府采购云平台开标一览表中填写的报价为准。</w:t>
      </w:r>
    </w:p>
    <w:p>
      <w:pPr>
        <w:snapToGrid w:val="0"/>
        <w:spacing w:line="500" w:lineRule="exact"/>
        <w:ind w:left="1445" w:right="-57" w:rightChars="-27" w:hanging="1445" w:hangingChars="514"/>
        <w:rPr>
          <w:rFonts w:ascii="宋体" w:hAnsi="宋体"/>
          <w:b/>
          <w:bCs/>
          <w:color w:val="auto"/>
          <w:sz w:val="28"/>
          <w:highlight w:val="none"/>
          <w:u w:val="single"/>
        </w:rPr>
      </w:pPr>
    </w:p>
    <w:p>
      <w:pPr>
        <w:spacing w:line="360" w:lineRule="auto"/>
        <w:rPr>
          <w:rFonts w:ascii="宋体" w:hAnsi="宋体"/>
          <w:b/>
          <w:color w:val="auto"/>
          <w:sz w:val="28"/>
          <w:szCs w:val="28"/>
          <w:highlight w:val="none"/>
          <w:u w:val="singl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分项报价明细表</w:t>
      </w:r>
    </w:p>
    <w:p>
      <w:pPr>
        <w:snapToGrid w:val="0"/>
        <w:spacing w:line="440" w:lineRule="exact"/>
        <w:ind w:right="-624" w:rightChars="-297"/>
        <w:rPr>
          <w:rFonts w:ascii="宋体" w:hAnsi="宋体"/>
          <w:b/>
          <w:color w:val="auto"/>
          <w:sz w:val="28"/>
          <w:highlight w:val="none"/>
        </w:rPr>
      </w:pPr>
      <w:r>
        <w:rPr>
          <w:rFonts w:hint="eastAsia" w:ascii="宋体" w:hAnsi="宋体"/>
          <w:b/>
          <w:color w:val="auto"/>
          <w:sz w:val="28"/>
          <w:highlight w:val="none"/>
        </w:rPr>
        <w:t>项目名称：</w:t>
      </w:r>
      <w:r>
        <w:rPr>
          <w:rFonts w:hint="eastAsia" w:ascii="宋体" w:hAnsi="宋体"/>
          <w:b/>
          <w:color w:val="auto"/>
          <w:sz w:val="28"/>
          <w:szCs w:val="28"/>
          <w:highlight w:val="none"/>
          <w:u w:val="single"/>
        </w:rPr>
        <w:t>成都高新区政务服务和网络理政办公室新政务服务中心特约物业管理服务采购项目</w:t>
      </w:r>
    </w:p>
    <w:p>
      <w:pPr>
        <w:tabs>
          <w:tab w:val="left" w:pos="7560"/>
        </w:tabs>
        <w:spacing w:after="180" w:line="440" w:lineRule="exact"/>
        <w:rPr>
          <w:rFonts w:ascii="宋体" w:hAnsi="宋体"/>
          <w:b/>
          <w:color w:val="auto"/>
          <w:sz w:val="28"/>
          <w:szCs w:val="20"/>
          <w:highlight w:val="none"/>
        </w:rPr>
      </w:pPr>
      <w:r>
        <w:rPr>
          <w:rFonts w:hint="eastAsia" w:ascii="宋体" w:hAnsi="宋体"/>
          <w:b/>
          <w:color w:val="auto"/>
          <w:sz w:val="28"/>
          <w:szCs w:val="20"/>
          <w:highlight w:val="none"/>
        </w:rPr>
        <w:t>项目编号：</w:t>
      </w:r>
      <w:r>
        <w:rPr>
          <w:rFonts w:hint="eastAsia" w:ascii="宋体" w:hAnsi="宋体"/>
          <w:b/>
          <w:color w:val="auto"/>
          <w:sz w:val="28"/>
          <w:szCs w:val="20"/>
          <w:highlight w:val="none"/>
          <w:u w:val="single"/>
        </w:rPr>
        <w:t>成都高新技术产业开发政采（2021）A0018号</w:t>
      </w:r>
    </w:p>
    <w:tbl>
      <w:tblPr>
        <w:tblStyle w:val="45"/>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824"/>
        <w:gridCol w:w="2552"/>
        <w:gridCol w:w="992"/>
        <w:gridCol w:w="1417"/>
        <w:gridCol w:w="1701"/>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
                <w:color w:val="auto"/>
                <w:sz w:val="28"/>
                <w:highlight w:val="none"/>
              </w:rPr>
            </w:pPr>
            <w:r>
              <w:rPr>
                <w:rFonts w:hint="eastAsia" w:asciiTheme="majorEastAsia" w:hAnsiTheme="majorEastAsia" w:eastAsiaTheme="majorEastAsia" w:cstheme="majorEastAsia"/>
                <w:b/>
                <w:color w:val="auto"/>
                <w:sz w:val="28"/>
                <w:highlight w:val="none"/>
              </w:rPr>
              <w:t>序号</w:t>
            </w:r>
          </w:p>
        </w:tc>
        <w:tc>
          <w:tcPr>
            <w:tcW w:w="2552" w:type="dxa"/>
            <w:vAlign w:val="center"/>
          </w:tcPr>
          <w:p>
            <w:pPr>
              <w:widowControl/>
              <w:jc w:val="center"/>
              <w:rPr>
                <w:rFonts w:asciiTheme="majorEastAsia" w:hAnsiTheme="majorEastAsia" w:eastAsiaTheme="majorEastAsia" w:cstheme="majorEastAsia"/>
                <w:b/>
                <w:color w:val="auto"/>
                <w:sz w:val="28"/>
                <w:highlight w:val="none"/>
              </w:rPr>
            </w:pPr>
            <w:r>
              <w:rPr>
                <w:rFonts w:hint="eastAsia" w:asciiTheme="majorEastAsia" w:hAnsiTheme="majorEastAsia" w:eastAsiaTheme="majorEastAsia" w:cstheme="majorEastAsia"/>
                <w:b/>
                <w:color w:val="auto"/>
                <w:sz w:val="28"/>
                <w:highlight w:val="none"/>
              </w:rPr>
              <w:t>服务岗位</w:t>
            </w:r>
          </w:p>
        </w:tc>
        <w:tc>
          <w:tcPr>
            <w:tcW w:w="992" w:type="dxa"/>
            <w:vAlign w:val="center"/>
          </w:tcPr>
          <w:p>
            <w:pPr>
              <w:pStyle w:val="210"/>
              <w:rPr>
                <w:rFonts w:asciiTheme="majorEastAsia" w:hAnsiTheme="majorEastAsia" w:eastAsiaTheme="majorEastAsia" w:cstheme="majorEastAsia"/>
                <w:b/>
                <w:color w:val="auto"/>
                <w:sz w:val="28"/>
                <w:szCs w:val="28"/>
                <w:highlight w:val="none"/>
              </w:rPr>
            </w:pPr>
            <w:r>
              <w:rPr>
                <w:rFonts w:hint="eastAsia" w:asciiTheme="majorEastAsia" w:hAnsiTheme="majorEastAsia" w:eastAsiaTheme="majorEastAsia" w:cstheme="majorEastAsia"/>
                <w:b/>
                <w:color w:val="auto"/>
                <w:sz w:val="28"/>
                <w:szCs w:val="28"/>
                <w:highlight w:val="none"/>
              </w:rPr>
              <w:t>人数</w:t>
            </w:r>
          </w:p>
        </w:tc>
        <w:tc>
          <w:tcPr>
            <w:tcW w:w="1417" w:type="dxa"/>
            <w:shd w:val="clear" w:color="auto" w:fill="auto"/>
            <w:vAlign w:val="center"/>
          </w:tcPr>
          <w:p>
            <w:pPr>
              <w:pStyle w:val="210"/>
              <w:rPr>
                <w:rFonts w:asciiTheme="majorEastAsia" w:hAnsiTheme="majorEastAsia" w:eastAsiaTheme="majorEastAsia" w:cstheme="majorEastAsia"/>
                <w:b/>
                <w:color w:val="auto"/>
                <w:sz w:val="28"/>
                <w:szCs w:val="28"/>
                <w:highlight w:val="none"/>
              </w:rPr>
            </w:pPr>
            <w:r>
              <w:rPr>
                <w:rFonts w:hint="eastAsia" w:asciiTheme="majorEastAsia" w:hAnsiTheme="majorEastAsia" w:eastAsiaTheme="majorEastAsia" w:cstheme="majorEastAsia"/>
                <w:b/>
                <w:color w:val="auto"/>
                <w:sz w:val="28"/>
                <w:szCs w:val="28"/>
                <w:highlight w:val="none"/>
              </w:rPr>
              <w:t>服务期限</w:t>
            </w:r>
          </w:p>
        </w:tc>
        <w:tc>
          <w:tcPr>
            <w:tcW w:w="1701" w:type="dxa"/>
            <w:vAlign w:val="center"/>
          </w:tcPr>
          <w:p>
            <w:pPr>
              <w:pStyle w:val="210"/>
              <w:ind w:firstLine="422" w:firstLineChars="150"/>
              <w:rPr>
                <w:rFonts w:asciiTheme="majorEastAsia" w:hAnsiTheme="majorEastAsia" w:eastAsiaTheme="majorEastAsia" w:cstheme="majorEastAsia"/>
                <w:b/>
                <w:color w:val="auto"/>
                <w:sz w:val="28"/>
                <w:szCs w:val="28"/>
                <w:highlight w:val="none"/>
              </w:rPr>
            </w:pPr>
            <w:r>
              <w:rPr>
                <w:rFonts w:hint="eastAsia" w:asciiTheme="majorEastAsia" w:hAnsiTheme="majorEastAsia" w:eastAsiaTheme="majorEastAsia" w:cstheme="majorEastAsia"/>
                <w:b/>
                <w:color w:val="auto"/>
                <w:sz w:val="28"/>
                <w:szCs w:val="28"/>
                <w:highlight w:val="none"/>
              </w:rPr>
              <w:t>单价</w:t>
            </w:r>
          </w:p>
        </w:tc>
        <w:tc>
          <w:tcPr>
            <w:tcW w:w="993" w:type="dxa"/>
            <w:vAlign w:val="center"/>
          </w:tcPr>
          <w:p>
            <w:pPr>
              <w:pStyle w:val="210"/>
              <w:rPr>
                <w:rFonts w:asciiTheme="majorEastAsia" w:hAnsiTheme="majorEastAsia" w:eastAsiaTheme="majorEastAsia" w:cstheme="majorEastAsia"/>
                <w:b/>
                <w:color w:val="auto"/>
                <w:sz w:val="28"/>
                <w:szCs w:val="28"/>
                <w:highlight w:val="none"/>
              </w:rPr>
            </w:pPr>
            <w:r>
              <w:rPr>
                <w:rFonts w:hint="eastAsia" w:asciiTheme="majorEastAsia" w:hAnsiTheme="majorEastAsia" w:eastAsiaTheme="majorEastAsia" w:cstheme="majorEastAsia"/>
                <w:b/>
                <w:color w:val="auto"/>
                <w:sz w:val="28"/>
                <w:szCs w:val="28"/>
                <w:highlight w:val="none"/>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color w:val="auto"/>
                <w:sz w:val="28"/>
                <w:szCs w:val="28"/>
                <w:highlight w:val="none"/>
              </w:rPr>
            </w:pPr>
            <w:r>
              <w:rPr>
                <w:rFonts w:hint="eastAsia" w:asciiTheme="majorEastAsia" w:hAnsiTheme="majorEastAsia" w:eastAsiaTheme="majorEastAsia" w:cstheme="majorEastAsia"/>
                <w:bCs/>
                <w:color w:val="auto"/>
                <w:sz w:val="28"/>
                <w:szCs w:val="28"/>
                <w:highlight w:val="none"/>
              </w:rPr>
              <w:t>1</w:t>
            </w:r>
          </w:p>
        </w:tc>
        <w:tc>
          <w:tcPr>
            <w:tcW w:w="255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99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1417" w:type="dxa"/>
            <w:shd w:val="clear" w:color="auto" w:fill="auto"/>
            <w:vAlign w:val="center"/>
          </w:tcPr>
          <w:p>
            <w:pPr>
              <w:widowControl/>
              <w:jc w:val="center"/>
              <w:rPr>
                <w:rFonts w:asciiTheme="majorEastAsia" w:hAnsiTheme="majorEastAsia" w:eastAsiaTheme="majorEastAsia" w:cstheme="majorEastAsia"/>
                <w:bCs/>
                <w:color w:val="auto"/>
                <w:sz w:val="28"/>
                <w:szCs w:val="28"/>
                <w:highlight w:val="none"/>
              </w:rPr>
            </w:pPr>
          </w:p>
        </w:tc>
        <w:tc>
          <w:tcPr>
            <w:tcW w:w="1701"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993" w:type="dxa"/>
          </w:tcPr>
          <w:p>
            <w:pPr>
              <w:widowControl/>
              <w:jc w:val="center"/>
              <w:rPr>
                <w:rFonts w:asciiTheme="majorEastAsia" w:hAnsiTheme="majorEastAsia" w:eastAsiaTheme="majorEastAsia" w:cstheme="majorEastAsia"/>
                <w:bCs/>
                <w:color w:val="auto"/>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color w:val="auto"/>
                <w:sz w:val="28"/>
                <w:szCs w:val="28"/>
                <w:highlight w:val="none"/>
              </w:rPr>
            </w:pPr>
            <w:r>
              <w:rPr>
                <w:rFonts w:hint="eastAsia" w:asciiTheme="majorEastAsia" w:hAnsiTheme="majorEastAsia" w:eastAsiaTheme="majorEastAsia" w:cstheme="majorEastAsia"/>
                <w:bCs/>
                <w:color w:val="auto"/>
                <w:sz w:val="28"/>
                <w:szCs w:val="28"/>
                <w:highlight w:val="none"/>
              </w:rPr>
              <w:t>2</w:t>
            </w:r>
          </w:p>
        </w:tc>
        <w:tc>
          <w:tcPr>
            <w:tcW w:w="255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99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1417" w:type="dxa"/>
            <w:shd w:val="clear" w:color="auto" w:fill="auto"/>
            <w:vAlign w:val="center"/>
          </w:tcPr>
          <w:p>
            <w:pPr>
              <w:widowControl/>
              <w:jc w:val="center"/>
              <w:rPr>
                <w:rFonts w:asciiTheme="majorEastAsia" w:hAnsiTheme="majorEastAsia" w:eastAsiaTheme="majorEastAsia" w:cstheme="majorEastAsia"/>
                <w:bCs/>
                <w:color w:val="auto"/>
                <w:sz w:val="28"/>
                <w:szCs w:val="28"/>
                <w:highlight w:val="none"/>
              </w:rPr>
            </w:pPr>
          </w:p>
        </w:tc>
        <w:tc>
          <w:tcPr>
            <w:tcW w:w="1701" w:type="dxa"/>
            <w:vAlign w:val="center"/>
          </w:tcPr>
          <w:p>
            <w:pPr>
              <w:widowControl/>
              <w:jc w:val="center"/>
              <w:rPr>
                <w:rFonts w:asciiTheme="majorEastAsia" w:hAnsiTheme="majorEastAsia" w:eastAsiaTheme="majorEastAsia" w:cstheme="majorEastAsia"/>
                <w:bCs/>
                <w:color w:val="auto"/>
                <w:sz w:val="28"/>
                <w:szCs w:val="28"/>
                <w:highlight w:val="none"/>
                <w:u w:val="single"/>
              </w:rPr>
            </w:pPr>
          </w:p>
        </w:tc>
        <w:tc>
          <w:tcPr>
            <w:tcW w:w="993" w:type="dxa"/>
          </w:tcPr>
          <w:p>
            <w:pPr>
              <w:widowControl/>
              <w:jc w:val="center"/>
              <w:rPr>
                <w:rFonts w:asciiTheme="majorEastAsia" w:hAnsiTheme="majorEastAsia" w:eastAsiaTheme="majorEastAsia" w:cstheme="majorEastAsia"/>
                <w:bCs/>
                <w:color w:val="auto"/>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color w:val="auto"/>
                <w:sz w:val="28"/>
                <w:szCs w:val="28"/>
                <w:highlight w:val="none"/>
              </w:rPr>
            </w:pPr>
            <w:r>
              <w:rPr>
                <w:rFonts w:hint="eastAsia" w:asciiTheme="majorEastAsia" w:hAnsiTheme="majorEastAsia" w:eastAsiaTheme="majorEastAsia" w:cstheme="majorEastAsia"/>
                <w:bCs/>
                <w:color w:val="auto"/>
                <w:sz w:val="28"/>
                <w:szCs w:val="28"/>
                <w:highlight w:val="none"/>
              </w:rPr>
              <w:t>3</w:t>
            </w:r>
          </w:p>
        </w:tc>
        <w:tc>
          <w:tcPr>
            <w:tcW w:w="255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99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1417" w:type="dxa"/>
            <w:shd w:val="clear" w:color="auto" w:fill="auto"/>
            <w:vAlign w:val="center"/>
          </w:tcPr>
          <w:p>
            <w:pPr>
              <w:widowControl/>
              <w:jc w:val="center"/>
              <w:rPr>
                <w:rFonts w:asciiTheme="majorEastAsia" w:hAnsiTheme="majorEastAsia" w:eastAsiaTheme="majorEastAsia" w:cstheme="majorEastAsia"/>
                <w:bCs/>
                <w:color w:val="auto"/>
                <w:sz w:val="28"/>
                <w:szCs w:val="28"/>
                <w:highlight w:val="none"/>
              </w:rPr>
            </w:pPr>
          </w:p>
        </w:tc>
        <w:tc>
          <w:tcPr>
            <w:tcW w:w="1701" w:type="dxa"/>
            <w:vAlign w:val="center"/>
          </w:tcPr>
          <w:p>
            <w:pPr>
              <w:widowControl/>
              <w:jc w:val="center"/>
              <w:rPr>
                <w:rFonts w:asciiTheme="majorEastAsia" w:hAnsiTheme="majorEastAsia" w:eastAsiaTheme="majorEastAsia" w:cstheme="majorEastAsia"/>
                <w:bCs/>
                <w:color w:val="auto"/>
                <w:sz w:val="28"/>
                <w:szCs w:val="28"/>
                <w:highlight w:val="none"/>
                <w:u w:val="single"/>
              </w:rPr>
            </w:pPr>
          </w:p>
        </w:tc>
        <w:tc>
          <w:tcPr>
            <w:tcW w:w="993" w:type="dxa"/>
          </w:tcPr>
          <w:p>
            <w:pPr>
              <w:widowControl/>
              <w:jc w:val="center"/>
              <w:rPr>
                <w:rFonts w:asciiTheme="majorEastAsia" w:hAnsiTheme="majorEastAsia" w:eastAsiaTheme="majorEastAsia" w:cstheme="majorEastAsia"/>
                <w:bCs/>
                <w:color w:val="auto"/>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color w:val="auto"/>
                <w:sz w:val="28"/>
                <w:szCs w:val="28"/>
                <w:highlight w:val="none"/>
              </w:rPr>
            </w:pPr>
            <w:r>
              <w:rPr>
                <w:rFonts w:hint="eastAsia" w:asciiTheme="majorEastAsia" w:hAnsiTheme="majorEastAsia" w:eastAsiaTheme="majorEastAsia" w:cstheme="majorEastAsia"/>
                <w:bCs/>
                <w:color w:val="auto"/>
                <w:sz w:val="28"/>
                <w:szCs w:val="28"/>
                <w:highlight w:val="none"/>
              </w:rPr>
              <w:t>4</w:t>
            </w:r>
          </w:p>
        </w:tc>
        <w:tc>
          <w:tcPr>
            <w:tcW w:w="255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99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1417" w:type="dxa"/>
            <w:shd w:val="clear" w:color="auto" w:fill="auto"/>
            <w:vAlign w:val="center"/>
          </w:tcPr>
          <w:p>
            <w:pPr>
              <w:widowControl/>
              <w:jc w:val="center"/>
              <w:rPr>
                <w:rFonts w:asciiTheme="majorEastAsia" w:hAnsiTheme="majorEastAsia" w:eastAsiaTheme="majorEastAsia" w:cstheme="majorEastAsia"/>
                <w:bCs/>
                <w:color w:val="auto"/>
                <w:sz w:val="28"/>
                <w:szCs w:val="28"/>
                <w:highlight w:val="none"/>
              </w:rPr>
            </w:pPr>
          </w:p>
        </w:tc>
        <w:tc>
          <w:tcPr>
            <w:tcW w:w="1701" w:type="dxa"/>
            <w:vAlign w:val="center"/>
          </w:tcPr>
          <w:p>
            <w:pPr>
              <w:widowControl/>
              <w:jc w:val="center"/>
              <w:rPr>
                <w:rFonts w:asciiTheme="majorEastAsia" w:hAnsiTheme="majorEastAsia" w:eastAsiaTheme="majorEastAsia" w:cstheme="majorEastAsia"/>
                <w:bCs/>
                <w:color w:val="auto"/>
                <w:sz w:val="28"/>
                <w:szCs w:val="28"/>
                <w:highlight w:val="none"/>
                <w:u w:val="single"/>
              </w:rPr>
            </w:pPr>
          </w:p>
        </w:tc>
        <w:tc>
          <w:tcPr>
            <w:tcW w:w="993" w:type="dxa"/>
          </w:tcPr>
          <w:p>
            <w:pPr>
              <w:widowControl/>
              <w:jc w:val="center"/>
              <w:rPr>
                <w:rFonts w:asciiTheme="majorEastAsia" w:hAnsiTheme="majorEastAsia" w:eastAsiaTheme="majorEastAsia" w:cstheme="majorEastAsia"/>
                <w:bCs/>
                <w:color w:val="auto"/>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color w:val="auto"/>
                <w:sz w:val="28"/>
                <w:szCs w:val="28"/>
                <w:highlight w:val="none"/>
              </w:rPr>
            </w:pPr>
            <w:r>
              <w:rPr>
                <w:rFonts w:hint="eastAsia" w:asciiTheme="majorEastAsia" w:hAnsiTheme="majorEastAsia" w:eastAsiaTheme="majorEastAsia" w:cstheme="majorEastAsia"/>
                <w:bCs/>
                <w:color w:val="auto"/>
                <w:sz w:val="28"/>
                <w:szCs w:val="28"/>
                <w:highlight w:val="none"/>
              </w:rPr>
              <w:t>5</w:t>
            </w:r>
          </w:p>
        </w:tc>
        <w:tc>
          <w:tcPr>
            <w:tcW w:w="255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99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1417" w:type="dxa"/>
            <w:shd w:val="clear" w:color="auto" w:fill="auto"/>
            <w:vAlign w:val="center"/>
          </w:tcPr>
          <w:p>
            <w:pPr>
              <w:widowControl/>
              <w:jc w:val="center"/>
              <w:rPr>
                <w:rFonts w:asciiTheme="majorEastAsia" w:hAnsiTheme="majorEastAsia" w:eastAsiaTheme="majorEastAsia" w:cstheme="majorEastAsia"/>
                <w:bCs/>
                <w:color w:val="auto"/>
                <w:sz w:val="28"/>
                <w:szCs w:val="28"/>
                <w:highlight w:val="none"/>
              </w:rPr>
            </w:pPr>
          </w:p>
        </w:tc>
        <w:tc>
          <w:tcPr>
            <w:tcW w:w="1701" w:type="dxa"/>
            <w:vAlign w:val="center"/>
          </w:tcPr>
          <w:p>
            <w:pPr>
              <w:widowControl/>
              <w:jc w:val="center"/>
              <w:rPr>
                <w:rFonts w:asciiTheme="majorEastAsia" w:hAnsiTheme="majorEastAsia" w:eastAsiaTheme="majorEastAsia" w:cstheme="majorEastAsia"/>
                <w:bCs/>
                <w:color w:val="auto"/>
                <w:sz w:val="28"/>
                <w:szCs w:val="28"/>
                <w:highlight w:val="none"/>
                <w:u w:val="single"/>
              </w:rPr>
            </w:pPr>
          </w:p>
        </w:tc>
        <w:tc>
          <w:tcPr>
            <w:tcW w:w="993" w:type="dxa"/>
          </w:tcPr>
          <w:p>
            <w:pPr>
              <w:widowControl/>
              <w:jc w:val="center"/>
              <w:rPr>
                <w:rFonts w:asciiTheme="majorEastAsia" w:hAnsiTheme="majorEastAsia" w:eastAsiaTheme="majorEastAsia" w:cstheme="majorEastAsia"/>
                <w:bCs/>
                <w:color w:val="auto"/>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824" w:type="dxa"/>
            <w:vAlign w:val="center"/>
          </w:tcPr>
          <w:p>
            <w:pPr>
              <w:widowControl/>
              <w:jc w:val="center"/>
              <w:rPr>
                <w:rFonts w:asciiTheme="majorEastAsia" w:hAnsiTheme="majorEastAsia" w:eastAsiaTheme="majorEastAsia" w:cstheme="majorEastAsia"/>
                <w:bCs/>
                <w:color w:val="auto"/>
                <w:sz w:val="28"/>
                <w:szCs w:val="28"/>
                <w:highlight w:val="none"/>
              </w:rPr>
            </w:pPr>
            <w:r>
              <w:rPr>
                <w:rFonts w:hint="eastAsia" w:asciiTheme="majorEastAsia" w:hAnsiTheme="majorEastAsia" w:eastAsiaTheme="majorEastAsia" w:cstheme="majorEastAsia"/>
                <w:bCs/>
                <w:color w:val="auto"/>
                <w:sz w:val="28"/>
                <w:szCs w:val="28"/>
                <w:highlight w:val="none"/>
              </w:rPr>
              <w:t>6</w:t>
            </w:r>
          </w:p>
        </w:tc>
        <w:tc>
          <w:tcPr>
            <w:tcW w:w="255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992" w:type="dxa"/>
            <w:vAlign w:val="center"/>
          </w:tcPr>
          <w:p>
            <w:pPr>
              <w:widowControl/>
              <w:jc w:val="center"/>
              <w:rPr>
                <w:rFonts w:asciiTheme="majorEastAsia" w:hAnsiTheme="majorEastAsia" w:eastAsiaTheme="majorEastAsia" w:cstheme="majorEastAsia"/>
                <w:bCs/>
                <w:color w:val="auto"/>
                <w:sz w:val="28"/>
                <w:szCs w:val="28"/>
                <w:highlight w:val="none"/>
              </w:rPr>
            </w:pPr>
          </w:p>
        </w:tc>
        <w:tc>
          <w:tcPr>
            <w:tcW w:w="1417" w:type="dxa"/>
            <w:shd w:val="clear" w:color="auto" w:fill="auto"/>
            <w:vAlign w:val="center"/>
          </w:tcPr>
          <w:p>
            <w:pPr>
              <w:widowControl/>
              <w:jc w:val="center"/>
              <w:rPr>
                <w:rFonts w:asciiTheme="majorEastAsia" w:hAnsiTheme="majorEastAsia" w:eastAsiaTheme="majorEastAsia" w:cstheme="majorEastAsia"/>
                <w:bCs/>
                <w:color w:val="auto"/>
                <w:sz w:val="28"/>
                <w:szCs w:val="28"/>
                <w:highlight w:val="none"/>
              </w:rPr>
            </w:pPr>
          </w:p>
        </w:tc>
        <w:tc>
          <w:tcPr>
            <w:tcW w:w="1701" w:type="dxa"/>
            <w:vAlign w:val="center"/>
          </w:tcPr>
          <w:p>
            <w:pPr>
              <w:widowControl/>
              <w:jc w:val="center"/>
              <w:rPr>
                <w:rFonts w:asciiTheme="majorEastAsia" w:hAnsiTheme="majorEastAsia" w:eastAsiaTheme="majorEastAsia" w:cstheme="majorEastAsia"/>
                <w:bCs/>
                <w:color w:val="auto"/>
                <w:sz w:val="28"/>
                <w:szCs w:val="28"/>
                <w:highlight w:val="none"/>
                <w:u w:val="single"/>
              </w:rPr>
            </w:pPr>
          </w:p>
        </w:tc>
        <w:tc>
          <w:tcPr>
            <w:tcW w:w="993" w:type="dxa"/>
          </w:tcPr>
          <w:p>
            <w:pPr>
              <w:widowControl/>
              <w:jc w:val="center"/>
              <w:rPr>
                <w:rFonts w:asciiTheme="majorEastAsia" w:hAnsiTheme="majorEastAsia" w:eastAsiaTheme="majorEastAsia" w:cstheme="majorEastAsia"/>
                <w:bCs/>
                <w:color w:val="auto"/>
                <w:sz w:val="28"/>
                <w:szCs w:val="28"/>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23" w:hRule="atLeast"/>
        </w:trPr>
        <w:tc>
          <w:tcPr>
            <w:tcW w:w="7486" w:type="dxa"/>
            <w:gridSpan w:val="5"/>
            <w:vAlign w:val="center"/>
          </w:tcPr>
          <w:p>
            <w:pPr>
              <w:jc w:val="center"/>
              <w:rPr>
                <w:rFonts w:asciiTheme="majorEastAsia" w:hAnsiTheme="majorEastAsia" w:eastAsiaTheme="majorEastAsia" w:cstheme="majorEastAsia"/>
                <w:bCs/>
                <w:color w:val="auto"/>
                <w:sz w:val="28"/>
                <w:highlight w:val="none"/>
                <w:u w:val="single"/>
              </w:rPr>
            </w:pPr>
            <w:r>
              <w:rPr>
                <w:rFonts w:hint="eastAsia" w:asciiTheme="majorEastAsia" w:hAnsiTheme="majorEastAsia" w:eastAsiaTheme="majorEastAsia" w:cstheme="majorEastAsia"/>
                <w:b/>
                <w:bCs/>
                <w:color w:val="auto"/>
                <w:sz w:val="28"/>
                <w:highlight w:val="none"/>
              </w:rPr>
              <w:t>投标报价（报价合计）</w:t>
            </w:r>
          </w:p>
        </w:tc>
        <w:tc>
          <w:tcPr>
            <w:tcW w:w="993" w:type="dxa"/>
          </w:tcPr>
          <w:p>
            <w:pPr>
              <w:jc w:val="center"/>
              <w:rPr>
                <w:rFonts w:asciiTheme="majorEastAsia" w:hAnsiTheme="majorEastAsia" w:eastAsiaTheme="majorEastAsia" w:cstheme="majorEastAsia"/>
                <w:b/>
                <w:bCs/>
                <w:color w:val="auto"/>
                <w:sz w:val="28"/>
                <w:highlight w:val="none"/>
              </w:rPr>
            </w:pPr>
            <w:r>
              <w:rPr>
                <w:rFonts w:hint="eastAsia" w:asciiTheme="majorEastAsia" w:hAnsiTheme="majorEastAsia" w:eastAsiaTheme="majorEastAsia" w:cstheme="majorEastAsia"/>
                <w:bCs/>
                <w:color w:val="auto"/>
                <w:sz w:val="28"/>
                <w:highlight w:val="none"/>
                <w:u w:val="single"/>
              </w:rPr>
              <w:t>XX</w:t>
            </w:r>
            <w:r>
              <w:rPr>
                <w:rFonts w:hint="eastAsia" w:asciiTheme="majorEastAsia" w:hAnsiTheme="majorEastAsia" w:eastAsiaTheme="majorEastAsia" w:cstheme="majorEastAsia"/>
                <w:bCs/>
                <w:color w:val="auto"/>
                <w:sz w:val="28"/>
                <w:highlight w:val="none"/>
              </w:rPr>
              <w:t>元</w:t>
            </w:r>
          </w:p>
        </w:tc>
      </w:tr>
    </w:tbl>
    <w:p>
      <w:pPr>
        <w:rPr>
          <w:rFonts w:ascii="宋体" w:hAnsi="宋体"/>
          <w:color w:val="auto"/>
          <w:sz w:val="28"/>
          <w:highlight w:val="none"/>
          <w:lang w:val="zh-CN"/>
        </w:rPr>
      </w:pPr>
      <w:r>
        <w:rPr>
          <w:rFonts w:hint="eastAsia" w:ascii="宋体" w:hAnsi="宋体"/>
          <w:color w:val="auto"/>
          <w:sz w:val="28"/>
          <w:highlight w:val="none"/>
          <w:lang w:val="zh-CN"/>
        </w:rPr>
        <w:t>投标人名称：XXXX</w:t>
      </w:r>
    </w:p>
    <w:p>
      <w:pPr>
        <w:rPr>
          <w:rFonts w:ascii="宋体" w:hAnsi="宋体"/>
          <w:bCs/>
          <w:color w:val="auto"/>
          <w:sz w:val="28"/>
          <w:szCs w:val="28"/>
          <w:highlight w:val="none"/>
        </w:rPr>
      </w:pPr>
      <w:r>
        <w:rPr>
          <w:rFonts w:hint="eastAsia" w:ascii="宋体" w:hAnsi="宋体"/>
          <w:color w:val="auto"/>
          <w:sz w:val="28"/>
          <w:highlight w:val="none"/>
        </w:rPr>
        <w:t>日期：</w:t>
      </w:r>
      <w:r>
        <w:rPr>
          <w:rFonts w:hint="eastAsia" w:ascii="宋体" w:hAnsi="宋体"/>
          <w:bCs/>
          <w:color w:val="auto"/>
          <w:sz w:val="28"/>
          <w:highlight w:val="none"/>
        </w:rPr>
        <w:t>20XX年XX月XX日</w:t>
      </w:r>
    </w:p>
    <w:p>
      <w:pPr>
        <w:pStyle w:val="14"/>
        <w:spacing w:after="0" w:line="240" w:lineRule="auto"/>
        <w:ind w:firstLine="0"/>
        <w:rPr>
          <w:rFonts w:ascii="宋体" w:hAnsi="宋体"/>
          <w:b/>
          <w:color w:val="auto"/>
          <w:sz w:val="28"/>
          <w:highlight w:val="none"/>
        </w:rPr>
      </w:pPr>
      <w:r>
        <w:rPr>
          <w:rFonts w:hint="eastAsia" w:ascii="宋体" w:hAnsi="宋体"/>
          <w:b/>
          <w:color w:val="auto"/>
          <w:sz w:val="28"/>
          <w:highlight w:val="none"/>
        </w:rPr>
        <w:t>说明：投标人应根据以上表格格式填写分项报价，报价合计应包括投标人完成本项目所需的一切费用。</w:t>
      </w:r>
    </w:p>
    <w:p>
      <w:pPr>
        <w:pStyle w:val="28"/>
        <w:spacing w:line="500" w:lineRule="exact"/>
        <w:ind w:firstLine="145" w:firstLineChars="52"/>
        <w:rPr>
          <w:rFonts w:ascii="宋体" w:hAnsi="宋体"/>
          <w:bCs/>
          <w:color w:val="auto"/>
          <w:sz w:val="28"/>
          <w:highlight w:val="none"/>
        </w:rPr>
      </w:pPr>
    </w:p>
    <w:p>
      <w:pPr>
        <w:rPr>
          <w:rFonts w:ascii="宋体" w:hAnsi="宋体"/>
          <w:bCs/>
          <w:color w:val="auto"/>
          <w:sz w:val="28"/>
          <w:highlight w:val="none"/>
        </w:rPr>
      </w:pPr>
      <w:r>
        <w:rPr>
          <w:rFonts w:ascii="宋体" w:hAnsi="宋体"/>
          <w:bCs/>
          <w:color w:val="auto"/>
          <w:sz w:val="28"/>
          <w:highlight w:val="none"/>
        </w:rPr>
        <w:br w:type="page"/>
      </w:r>
    </w:p>
    <w:bookmarkEnd w:id="221"/>
    <w:bookmarkEnd w:id="222"/>
    <w:bookmarkEnd w:id="223"/>
    <w:bookmarkEnd w:id="224"/>
    <w:p>
      <w:pPr>
        <w:pStyle w:val="6"/>
        <w:numPr>
          <w:ilvl w:val="2"/>
          <w:numId w:val="5"/>
        </w:numPr>
        <w:spacing w:after="200" w:line="240" w:lineRule="auto"/>
        <w:ind w:left="851"/>
        <w:rPr>
          <w:color w:val="auto"/>
          <w:highlight w:val="none"/>
        </w:rPr>
      </w:pPr>
      <w:bookmarkStart w:id="227" w:name="_Toc448132270"/>
      <w:bookmarkStart w:id="228" w:name="_Toc430250269"/>
      <w:bookmarkStart w:id="229" w:name="_Toc30585"/>
      <w:bookmarkStart w:id="230" w:name="_Toc1870"/>
      <w:bookmarkStart w:id="231" w:name="_Toc24469"/>
      <w:bookmarkStart w:id="232" w:name="_Toc17291826"/>
      <w:bookmarkStart w:id="233" w:name="_Toc4768"/>
      <w:bookmarkStart w:id="234" w:name="_Toc321382057"/>
      <w:bookmarkStart w:id="235" w:name="_Toc316292231"/>
      <w:r>
        <w:rPr>
          <w:rFonts w:hint="eastAsia"/>
          <w:color w:val="auto"/>
          <w:highlight w:val="none"/>
        </w:rPr>
        <w:t>中小企业声明函</w:t>
      </w:r>
      <w:bookmarkEnd w:id="227"/>
    </w:p>
    <w:bookmarkEnd w:id="228"/>
    <w:p>
      <w:pPr>
        <w:spacing w:line="500" w:lineRule="exact"/>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中小企业声明函</w:t>
      </w:r>
    </w:p>
    <w:p>
      <w:pPr>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本公司郑重声明，根据《政府采购促进中小企业发展管理办法》（财库〔</w:t>
      </w:r>
      <w:r>
        <w:rPr>
          <w:rFonts w:ascii="宋体" w:hAnsi="宋体"/>
          <w:color w:val="auto"/>
          <w:spacing w:val="6"/>
          <w:sz w:val="28"/>
          <w:szCs w:val="28"/>
          <w:highlight w:val="none"/>
        </w:rPr>
        <w:t>2020〕46号）的规定，本公司参加</w:t>
      </w:r>
      <w:r>
        <w:rPr>
          <w:rFonts w:ascii="宋体" w:hAnsi="宋体"/>
          <w:b/>
          <w:color w:val="auto"/>
          <w:sz w:val="28"/>
          <w:szCs w:val="28"/>
          <w:highlight w:val="none"/>
          <w:u w:val="single"/>
        </w:rPr>
        <w:t>XXXX(</w:t>
      </w:r>
      <w:r>
        <w:rPr>
          <w:rFonts w:hint="eastAsia" w:ascii="宋体" w:hAnsi="宋体"/>
          <w:b/>
          <w:color w:val="auto"/>
          <w:sz w:val="28"/>
          <w:szCs w:val="28"/>
          <w:highlight w:val="none"/>
          <w:u w:val="single"/>
        </w:rPr>
        <w:t>采购</w:t>
      </w:r>
      <w:r>
        <w:rPr>
          <w:rFonts w:ascii="宋体" w:hAnsi="宋体"/>
          <w:b/>
          <w:color w:val="auto"/>
          <w:sz w:val="28"/>
          <w:szCs w:val="28"/>
          <w:highlight w:val="none"/>
          <w:u w:val="single"/>
        </w:rPr>
        <w:t xml:space="preserve">单位)      </w:t>
      </w:r>
      <w:r>
        <w:rPr>
          <w:rFonts w:hint="eastAsia" w:ascii="宋体" w:hAnsi="宋体"/>
          <w:color w:val="auto"/>
          <w:spacing w:val="6"/>
          <w:sz w:val="28"/>
          <w:szCs w:val="28"/>
          <w:highlight w:val="none"/>
        </w:rPr>
        <w:t>的</w:t>
      </w:r>
      <w:r>
        <w:rPr>
          <w:rFonts w:ascii="宋体" w:hAnsi="宋体"/>
          <w:b/>
          <w:color w:val="auto"/>
          <w:sz w:val="28"/>
          <w:szCs w:val="28"/>
          <w:highlight w:val="none"/>
          <w:u w:val="single"/>
        </w:rPr>
        <w:t>XXXX</w:t>
      </w:r>
      <w:r>
        <w:rPr>
          <w:rFonts w:hint="eastAsia" w:ascii="宋体" w:hAnsi="宋体"/>
          <w:b/>
          <w:color w:val="auto"/>
          <w:sz w:val="28"/>
          <w:szCs w:val="28"/>
          <w:highlight w:val="none"/>
          <w:u w:val="single"/>
        </w:rPr>
        <w:t>（项目</w:t>
      </w:r>
      <w:r>
        <w:rPr>
          <w:rFonts w:ascii="宋体" w:hAnsi="宋体"/>
          <w:b/>
          <w:color w:val="auto"/>
          <w:sz w:val="28"/>
          <w:szCs w:val="28"/>
          <w:highlight w:val="none"/>
          <w:u w:val="single"/>
        </w:rPr>
        <w:t>名称</w:t>
      </w:r>
      <w:r>
        <w:rPr>
          <w:rFonts w:hint="eastAsia" w:ascii="宋体" w:hAnsi="宋体"/>
          <w:b/>
          <w:color w:val="auto"/>
          <w:sz w:val="28"/>
          <w:szCs w:val="28"/>
          <w:highlight w:val="none"/>
          <w:u w:val="single"/>
        </w:rPr>
        <w:t>）</w:t>
      </w:r>
      <w:r>
        <w:rPr>
          <w:rFonts w:hint="eastAsia" w:ascii="宋体" w:hAnsi="宋体"/>
          <w:b/>
          <w:color w:val="auto"/>
          <w:sz w:val="28"/>
          <w:szCs w:val="28"/>
          <w:highlight w:val="none"/>
        </w:rPr>
        <w:t>采购项目</w:t>
      </w:r>
      <w:r>
        <w:rPr>
          <w:rFonts w:hint="eastAsia" w:ascii="宋体" w:hAnsi="宋体"/>
          <w:b/>
          <w:color w:val="auto"/>
          <w:sz w:val="28"/>
          <w:szCs w:val="28"/>
          <w:highlight w:val="none"/>
          <w:u w:val="single"/>
        </w:rPr>
        <w:t>（</w:t>
      </w:r>
      <w:r>
        <w:rPr>
          <w:rFonts w:hint="eastAsia" w:ascii="宋体" w:hAnsi="宋体" w:cs="宋体"/>
          <w:b/>
          <w:color w:val="auto"/>
          <w:kern w:val="0"/>
          <w:sz w:val="28"/>
          <w:szCs w:val="28"/>
          <w:highlight w:val="none"/>
          <w:u w:val="single"/>
        </w:rPr>
        <w:t>成都高新技术产业开发政采（2021）A0018号</w:t>
      </w:r>
      <w:r>
        <w:rPr>
          <w:rFonts w:hint="eastAsia" w:ascii="宋体" w:hAnsi="宋体"/>
          <w:b/>
          <w:color w:val="auto"/>
          <w:sz w:val="28"/>
          <w:szCs w:val="28"/>
          <w:highlight w:val="none"/>
          <w:u w:val="single"/>
        </w:rPr>
        <w:t>）</w:t>
      </w:r>
      <w:r>
        <w:rPr>
          <w:rFonts w:hint="eastAsia" w:ascii="宋体" w:hAnsi="宋体"/>
          <w:color w:val="auto"/>
          <w:spacing w:val="6"/>
          <w:sz w:val="28"/>
          <w:szCs w:val="28"/>
          <w:highlight w:val="none"/>
        </w:rPr>
        <w:t>采购活动，服务全部由符合政策要求的中小企业承接。相关企业的具体情况如下：</w:t>
      </w:r>
    </w:p>
    <w:p>
      <w:pPr>
        <w:tabs>
          <w:tab w:val="left" w:pos="1134"/>
        </w:tabs>
        <w:spacing w:line="500" w:lineRule="exact"/>
        <w:ind w:firstLine="584" w:firstLineChars="200"/>
        <w:rPr>
          <w:rFonts w:ascii="宋体" w:hAnsi="宋体"/>
          <w:color w:val="auto"/>
          <w:spacing w:val="6"/>
          <w:sz w:val="28"/>
          <w:szCs w:val="28"/>
          <w:highlight w:val="none"/>
        </w:rPr>
      </w:pPr>
      <w:r>
        <w:rPr>
          <w:rFonts w:ascii="宋体" w:hAnsi="宋体"/>
          <w:color w:val="auto"/>
          <w:spacing w:val="6"/>
          <w:sz w:val="28"/>
          <w:szCs w:val="28"/>
          <w:highlight w:val="none"/>
          <w:u w:val="single"/>
        </w:rPr>
        <w:t>XXXX</w:t>
      </w:r>
      <w:r>
        <w:rPr>
          <w:rFonts w:hint="eastAsia" w:ascii="宋体" w:hAnsi="宋体"/>
          <w:color w:val="auto"/>
          <w:spacing w:val="6"/>
          <w:sz w:val="28"/>
          <w:szCs w:val="28"/>
          <w:highlight w:val="none"/>
          <w:u w:val="single"/>
        </w:rPr>
        <w:t>（标的名称）</w:t>
      </w:r>
      <w:r>
        <w:rPr>
          <w:rFonts w:hint="eastAsia" w:ascii="宋体" w:hAnsi="宋体"/>
          <w:color w:val="auto"/>
          <w:spacing w:val="6"/>
          <w:sz w:val="28"/>
          <w:szCs w:val="28"/>
          <w:highlight w:val="none"/>
        </w:rPr>
        <w:t>，属于</w:t>
      </w:r>
      <w:r>
        <w:rPr>
          <w:rFonts w:ascii="宋体" w:hAnsi="宋体"/>
          <w:color w:val="auto"/>
          <w:spacing w:val="6"/>
          <w:sz w:val="28"/>
          <w:szCs w:val="28"/>
          <w:highlight w:val="none"/>
          <w:u w:val="single"/>
        </w:rPr>
        <w:t>XXXX</w:t>
      </w:r>
      <w:r>
        <w:rPr>
          <w:rFonts w:hint="eastAsia" w:ascii="宋体" w:hAnsi="宋体"/>
          <w:color w:val="auto"/>
          <w:spacing w:val="6"/>
          <w:sz w:val="28"/>
          <w:szCs w:val="28"/>
          <w:highlight w:val="none"/>
          <w:u w:val="single"/>
        </w:rPr>
        <w:t>（采购文件中明确的所属行业）</w:t>
      </w:r>
      <w:r>
        <w:rPr>
          <w:rFonts w:hint="eastAsia" w:ascii="宋体" w:hAnsi="宋体"/>
          <w:color w:val="auto"/>
          <w:spacing w:val="6"/>
          <w:sz w:val="28"/>
          <w:szCs w:val="28"/>
          <w:highlight w:val="none"/>
        </w:rPr>
        <w:t>；承接企业为</w:t>
      </w:r>
      <w:r>
        <w:rPr>
          <w:rFonts w:ascii="宋体" w:hAnsi="宋体"/>
          <w:color w:val="auto"/>
          <w:spacing w:val="6"/>
          <w:sz w:val="28"/>
          <w:szCs w:val="28"/>
          <w:highlight w:val="none"/>
          <w:u w:val="single"/>
        </w:rPr>
        <w:t>XXX</w:t>
      </w:r>
      <w:r>
        <w:rPr>
          <w:rFonts w:hint="eastAsia" w:ascii="宋体" w:hAnsi="宋体"/>
          <w:color w:val="auto"/>
          <w:spacing w:val="6"/>
          <w:sz w:val="28"/>
          <w:szCs w:val="28"/>
          <w:highlight w:val="none"/>
          <w:u w:val="single"/>
        </w:rPr>
        <w:t>X</w:t>
      </w:r>
      <w:r>
        <w:rPr>
          <w:rFonts w:ascii="宋体" w:hAnsi="宋体"/>
          <w:color w:val="auto"/>
          <w:spacing w:val="6"/>
          <w:sz w:val="28"/>
          <w:szCs w:val="28"/>
          <w:highlight w:val="none"/>
          <w:u w:val="single"/>
        </w:rPr>
        <w:t>（企业名称）</w:t>
      </w:r>
      <w:r>
        <w:rPr>
          <w:rFonts w:hint="eastAsia" w:ascii="宋体" w:hAnsi="宋体"/>
          <w:color w:val="auto"/>
          <w:spacing w:val="6"/>
          <w:sz w:val="28"/>
          <w:szCs w:val="28"/>
          <w:highlight w:val="none"/>
        </w:rPr>
        <w:t>，从业人员</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人，营业收入为</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万元，资产总额为</w:t>
      </w:r>
      <w:r>
        <w:rPr>
          <w:rFonts w:ascii="宋体" w:hAnsi="宋体"/>
          <w:color w:val="auto"/>
          <w:spacing w:val="6"/>
          <w:sz w:val="28"/>
          <w:szCs w:val="28"/>
          <w:highlight w:val="none"/>
          <w:u w:val="single"/>
        </w:rPr>
        <w:t>XX</w:t>
      </w:r>
      <w:r>
        <w:rPr>
          <w:rFonts w:hint="eastAsia" w:ascii="宋体" w:hAnsi="宋体"/>
          <w:color w:val="auto"/>
          <w:spacing w:val="6"/>
          <w:sz w:val="28"/>
          <w:szCs w:val="28"/>
          <w:highlight w:val="none"/>
        </w:rPr>
        <w:t>万元，属于</w:t>
      </w:r>
      <w:r>
        <w:rPr>
          <w:rFonts w:ascii="宋体" w:hAnsi="宋体"/>
          <w:color w:val="auto"/>
          <w:spacing w:val="6"/>
          <w:sz w:val="28"/>
          <w:szCs w:val="28"/>
          <w:highlight w:val="none"/>
          <w:u w:val="single"/>
        </w:rPr>
        <w:t>XXXX（中型企业、小型企业、微型企业）</w:t>
      </w:r>
      <w:r>
        <w:rPr>
          <w:rFonts w:hint="eastAsia" w:ascii="宋体" w:hAnsi="宋体"/>
          <w:color w:val="auto"/>
          <w:spacing w:val="6"/>
          <w:sz w:val="28"/>
          <w:szCs w:val="28"/>
          <w:highlight w:val="none"/>
        </w:rPr>
        <w:t>。</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本企业对上述声明内容的真实性负责。如有虚假，将依法承担相应责任。</w:t>
      </w:r>
    </w:p>
    <w:p>
      <w:pPr>
        <w:spacing w:line="500" w:lineRule="exact"/>
        <w:ind w:firstLine="586" w:firstLineChars="200"/>
        <w:rPr>
          <w:rFonts w:ascii="宋体" w:hAnsi="宋体"/>
          <w:b/>
          <w:color w:val="auto"/>
          <w:spacing w:val="6"/>
          <w:sz w:val="28"/>
          <w:szCs w:val="28"/>
          <w:highlight w:val="none"/>
        </w:rPr>
      </w:pPr>
    </w:p>
    <w:p>
      <w:pPr>
        <w:spacing w:line="500" w:lineRule="exact"/>
        <w:ind w:firstLine="586" w:firstLineChars="200"/>
        <w:rPr>
          <w:rFonts w:ascii="宋体" w:hAnsi="宋体"/>
          <w:b/>
          <w:color w:val="auto"/>
          <w:spacing w:val="6"/>
          <w:sz w:val="28"/>
          <w:szCs w:val="28"/>
          <w:highlight w:val="none"/>
        </w:rPr>
      </w:pPr>
    </w:p>
    <w:p>
      <w:pPr>
        <w:spacing w:line="500" w:lineRule="exact"/>
        <w:ind w:firstLine="586" w:firstLineChars="200"/>
        <w:rPr>
          <w:rFonts w:ascii="宋体" w:hAnsi="宋体"/>
          <w:b/>
          <w:color w:val="auto"/>
          <w:spacing w:val="6"/>
          <w:sz w:val="28"/>
          <w:szCs w:val="28"/>
          <w:highlight w:val="none"/>
        </w:rPr>
      </w:pPr>
    </w:p>
    <w:p>
      <w:pPr>
        <w:spacing w:line="500" w:lineRule="exact"/>
        <w:ind w:firstLine="586" w:firstLineChars="200"/>
        <w:rPr>
          <w:rFonts w:ascii="宋体" w:hAnsi="宋体"/>
          <w:b/>
          <w:color w:val="auto"/>
          <w:spacing w:val="6"/>
          <w:sz w:val="28"/>
          <w:szCs w:val="28"/>
          <w:highlight w:val="none"/>
        </w:rPr>
      </w:pPr>
    </w:p>
    <w:p>
      <w:pPr>
        <w:tabs>
          <w:tab w:val="left" w:pos="3969"/>
        </w:tabs>
        <w:spacing w:line="500" w:lineRule="exact"/>
        <w:ind w:right="-58" w:firstLine="584" w:firstLineChars="200"/>
        <w:jc w:val="left"/>
        <w:rPr>
          <w:rFonts w:ascii="宋体" w:hAnsi="宋体"/>
          <w:color w:val="auto"/>
          <w:spacing w:val="6"/>
          <w:sz w:val="28"/>
          <w:szCs w:val="28"/>
          <w:highlight w:val="none"/>
        </w:rPr>
      </w:pPr>
      <w:r>
        <w:rPr>
          <w:rFonts w:hint="eastAsia" w:ascii="宋体" w:hAnsi="宋体"/>
          <w:color w:val="auto"/>
          <w:spacing w:val="6"/>
          <w:sz w:val="28"/>
          <w:szCs w:val="28"/>
          <w:highlight w:val="none"/>
        </w:rPr>
        <w:t>企业名称：</w:t>
      </w:r>
      <w:r>
        <w:rPr>
          <w:rFonts w:ascii="宋体" w:hAnsi="宋体"/>
          <w:color w:val="auto"/>
          <w:sz w:val="28"/>
          <w:szCs w:val="28"/>
          <w:highlight w:val="none"/>
          <w:u w:val="single"/>
        </w:rPr>
        <w:t>XXXX</w:t>
      </w:r>
      <w:r>
        <w:rPr>
          <w:rFonts w:ascii="宋体" w:hAnsi="宋体"/>
          <w:color w:val="auto"/>
          <w:spacing w:val="6"/>
          <w:sz w:val="28"/>
          <w:szCs w:val="28"/>
          <w:highlight w:val="none"/>
        </w:rPr>
        <w:t xml:space="preserve"> </w:t>
      </w:r>
    </w:p>
    <w:p>
      <w:pPr>
        <w:tabs>
          <w:tab w:val="left" w:pos="3969"/>
        </w:tabs>
        <w:spacing w:line="500" w:lineRule="exact"/>
        <w:ind w:right="-58" w:firstLine="584" w:firstLineChars="200"/>
        <w:jc w:val="left"/>
        <w:rPr>
          <w:color w:val="auto"/>
          <w:sz w:val="28"/>
          <w:szCs w:val="28"/>
          <w:highlight w:val="none"/>
        </w:rPr>
      </w:pPr>
      <w:r>
        <w:rPr>
          <w:rFonts w:hint="eastAsia" w:ascii="宋体" w:hAnsi="宋体"/>
          <w:color w:val="auto"/>
          <w:spacing w:val="6"/>
          <w:sz w:val="28"/>
          <w:szCs w:val="28"/>
          <w:highlight w:val="none"/>
        </w:rPr>
        <w:t>日</w:t>
      </w:r>
      <w:r>
        <w:rPr>
          <w:rFonts w:ascii="宋体" w:hAnsi="宋体"/>
          <w:color w:val="auto"/>
          <w:spacing w:val="6"/>
          <w:sz w:val="28"/>
          <w:szCs w:val="28"/>
          <w:highlight w:val="none"/>
        </w:rPr>
        <w:t xml:space="preserve">  </w:t>
      </w:r>
      <w:r>
        <w:rPr>
          <w:rFonts w:hint="eastAsia" w:ascii="宋体" w:hAnsi="宋体"/>
          <w:color w:val="auto"/>
          <w:spacing w:val="6"/>
          <w:sz w:val="28"/>
          <w:szCs w:val="28"/>
          <w:highlight w:val="none"/>
        </w:rPr>
        <w:t>期：</w:t>
      </w:r>
      <w:r>
        <w:rPr>
          <w:rFonts w:ascii="宋体" w:hAnsi="宋体"/>
          <w:color w:val="auto"/>
          <w:sz w:val="28"/>
          <w:szCs w:val="28"/>
          <w:highlight w:val="none"/>
        </w:rPr>
        <w:t>20</w:t>
      </w:r>
      <w:r>
        <w:rPr>
          <w:rFonts w:ascii="宋体" w:hAnsi="宋体"/>
          <w:color w:val="auto"/>
          <w:sz w:val="28"/>
          <w:szCs w:val="28"/>
          <w:highlight w:val="none"/>
          <w:u w:val="single"/>
        </w:rPr>
        <w:t>XX</w:t>
      </w:r>
      <w:r>
        <w:rPr>
          <w:rFonts w:ascii="宋体" w:hAnsi="宋体"/>
          <w:color w:val="auto"/>
          <w:sz w:val="28"/>
          <w:szCs w:val="28"/>
          <w:highlight w:val="none"/>
        </w:rPr>
        <w:t>年</w:t>
      </w:r>
      <w:r>
        <w:rPr>
          <w:rFonts w:ascii="宋体" w:hAnsi="宋体"/>
          <w:color w:val="auto"/>
          <w:sz w:val="28"/>
          <w:szCs w:val="28"/>
          <w:highlight w:val="none"/>
          <w:u w:val="single"/>
        </w:rPr>
        <w:t>XX</w:t>
      </w:r>
      <w:r>
        <w:rPr>
          <w:rFonts w:ascii="宋体" w:hAnsi="宋体"/>
          <w:color w:val="auto"/>
          <w:sz w:val="28"/>
          <w:szCs w:val="28"/>
          <w:highlight w:val="none"/>
        </w:rPr>
        <w:t>月</w:t>
      </w:r>
      <w:r>
        <w:rPr>
          <w:rFonts w:ascii="宋体" w:hAnsi="宋体"/>
          <w:color w:val="auto"/>
          <w:sz w:val="28"/>
          <w:szCs w:val="28"/>
          <w:highlight w:val="none"/>
          <w:u w:val="single"/>
        </w:rPr>
        <w:t>XX</w:t>
      </w:r>
      <w:r>
        <w:rPr>
          <w:rFonts w:ascii="宋体" w:hAnsi="宋体"/>
          <w:color w:val="auto"/>
          <w:sz w:val="28"/>
          <w:szCs w:val="28"/>
          <w:highlight w:val="none"/>
        </w:rPr>
        <w:t>日</w:t>
      </w:r>
    </w:p>
    <w:p>
      <w:pPr>
        <w:pStyle w:val="86"/>
        <w:tabs>
          <w:tab w:val="left" w:pos="567"/>
          <w:tab w:val="left" w:pos="709"/>
          <w:tab w:val="left" w:pos="851"/>
        </w:tabs>
        <w:spacing w:before="60" w:line="360" w:lineRule="auto"/>
        <w:ind w:firstLine="562"/>
        <w:rPr>
          <w:rFonts w:ascii="宋体" w:hAnsi="宋体"/>
          <w:b/>
          <w:color w:val="auto"/>
          <w:sz w:val="28"/>
          <w:szCs w:val="28"/>
          <w:highlight w:val="none"/>
        </w:rPr>
      </w:pPr>
      <w:r>
        <w:rPr>
          <w:rFonts w:hint="eastAsia" w:ascii="宋体" w:hAnsi="宋体"/>
          <w:b/>
          <w:color w:val="auto"/>
          <w:kern w:val="0"/>
          <w:sz w:val="28"/>
          <w:szCs w:val="28"/>
          <w:highlight w:val="none"/>
        </w:rPr>
        <w:t>说明：</w:t>
      </w:r>
      <w:r>
        <w:rPr>
          <w:rFonts w:ascii="宋体" w:hAnsi="宋体"/>
          <w:b/>
          <w:color w:val="auto"/>
          <w:sz w:val="28"/>
          <w:szCs w:val="28"/>
          <w:highlight w:val="none"/>
        </w:rPr>
        <w:t>从业人员、营业收入、资产总额填报上</w:t>
      </w:r>
      <w:r>
        <w:rPr>
          <w:rFonts w:hint="eastAsia" w:ascii="宋体" w:hAnsi="宋体"/>
          <w:b/>
          <w:color w:val="auto"/>
          <w:sz w:val="28"/>
          <w:szCs w:val="28"/>
          <w:highlight w:val="none"/>
        </w:rPr>
        <w:t>一</w:t>
      </w:r>
      <w:r>
        <w:rPr>
          <w:rFonts w:ascii="宋体" w:hAnsi="宋体"/>
          <w:b/>
          <w:color w:val="auto"/>
          <w:sz w:val="28"/>
          <w:szCs w:val="28"/>
          <w:highlight w:val="none"/>
        </w:rPr>
        <w:t>年度数据，无上一年度</w:t>
      </w:r>
      <w:r>
        <w:rPr>
          <w:rFonts w:hint="eastAsia" w:ascii="宋体" w:hAnsi="宋体"/>
          <w:b/>
          <w:color w:val="auto"/>
          <w:sz w:val="28"/>
          <w:szCs w:val="28"/>
          <w:highlight w:val="none"/>
        </w:rPr>
        <w:t>数据</w:t>
      </w:r>
      <w:r>
        <w:rPr>
          <w:rFonts w:ascii="宋体" w:hAnsi="宋体"/>
          <w:b/>
          <w:color w:val="auto"/>
          <w:sz w:val="28"/>
          <w:szCs w:val="28"/>
          <w:highlight w:val="none"/>
        </w:rPr>
        <w:t>的新成立企业可不填报。</w:t>
      </w:r>
    </w:p>
    <w:p>
      <w:pPr>
        <w:pStyle w:val="86"/>
        <w:tabs>
          <w:tab w:val="left" w:pos="567"/>
          <w:tab w:val="left" w:pos="709"/>
          <w:tab w:val="left" w:pos="851"/>
        </w:tabs>
        <w:spacing w:line="500" w:lineRule="exact"/>
        <w:ind w:firstLine="548" w:firstLineChars="195"/>
        <w:rPr>
          <w:rFonts w:ascii="宋体" w:hAnsi="宋体"/>
          <w:b/>
          <w:color w:val="auto"/>
          <w:kern w:val="0"/>
          <w:sz w:val="28"/>
          <w:szCs w:val="28"/>
          <w:highlight w:val="none"/>
        </w:rPr>
      </w:pPr>
    </w:p>
    <w:p>
      <w:pPr>
        <w:tabs>
          <w:tab w:val="left" w:pos="567"/>
          <w:tab w:val="left" w:pos="709"/>
          <w:tab w:val="left" w:pos="851"/>
        </w:tabs>
        <w:spacing w:line="500" w:lineRule="exact"/>
        <w:rPr>
          <w:rFonts w:ascii="宋体" w:hAnsi="宋体"/>
          <w:b/>
          <w:color w:val="auto"/>
          <w:kern w:val="0"/>
          <w:sz w:val="28"/>
          <w:szCs w:val="28"/>
          <w:highlight w:val="none"/>
        </w:rPr>
      </w:pPr>
    </w:p>
    <w:p>
      <w:pPr>
        <w:pStyle w:val="6"/>
        <w:numPr>
          <w:ilvl w:val="2"/>
          <w:numId w:val="5"/>
        </w:numPr>
        <w:spacing w:after="200" w:line="240" w:lineRule="auto"/>
        <w:ind w:left="851"/>
        <w:rPr>
          <w:color w:val="auto"/>
          <w:highlight w:val="none"/>
        </w:rPr>
      </w:pPr>
      <w:r>
        <w:rPr>
          <w:rFonts w:hint="eastAsia"/>
          <w:color w:val="auto"/>
          <w:highlight w:val="none"/>
        </w:rPr>
        <w:t>残疾人福利性单位声明函</w:t>
      </w:r>
    </w:p>
    <w:p>
      <w:pPr>
        <w:spacing w:line="500" w:lineRule="exact"/>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残疾人福利性单位声明函</w:t>
      </w:r>
    </w:p>
    <w:p>
      <w:pPr>
        <w:spacing w:line="440" w:lineRule="exact"/>
        <w:rPr>
          <w:rFonts w:ascii="仿宋_GB2312" w:eastAsia="仿宋_GB2312"/>
          <w:b/>
          <w:color w:val="auto"/>
          <w:spacing w:val="6"/>
          <w:sz w:val="30"/>
          <w:szCs w:val="30"/>
          <w:highlight w:val="none"/>
        </w:rPr>
      </w:pP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auto"/>
          <w:spacing w:val="6"/>
          <w:sz w:val="28"/>
          <w:szCs w:val="28"/>
          <w:highlight w:val="none"/>
          <w:u w:val="single"/>
        </w:rPr>
        <w:t>XXXX</w:t>
      </w:r>
      <w:r>
        <w:rPr>
          <w:rFonts w:hint="eastAsia" w:ascii="宋体" w:hAnsi="宋体"/>
          <w:color w:val="auto"/>
          <w:spacing w:val="6"/>
          <w:sz w:val="28"/>
          <w:szCs w:val="28"/>
          <w:highlight w:val="none"/>
        </w:rPr>
        <w:t>单位的</w:t>
      </w:r>
      <w:r>
        <w:rPr>
          <w:rFonts w:hint="eastAsia" w:ascii="宋体" w:hAnsi="宋体"/>
          <w:color w:val="auto"/>
          <w:spacing w:val="6"/>
          <w:sz w:val="28"/>
          <w:szCs w:val="28"/>
          <w:highlight w:val="none"/>
          <w:u w:val="single"/>
        </w:rPr>
        <w:t>XXXX</w:t>
      </w:r>
      <w:r>
        <w:rPr>
          <w:rFonts w:hint="eastAsia" w:ascii="宋体" w:hAnsi="宋体"/>
          <w:color w:val="auto"/>
          <w:spacing w:val="6"/>
          <w:sz w:val="28"/>
          <w:szCs w:val="28"/>
          <w:highlight w:val="none"/>
        </w:rPr>
        <w:t>项目采购活动由本单位提供服务。</w:t>
      </w:r>
    </w:p>
    <w:p>
      <w:pPr>
        <w:tabs>
          <w:tab w:val="left" w:pos="1134"/>
        </w:tabs>
        <w:spacing w:line="500" w:lineRule="exact"/>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overflowPunct w:val="0"/>
        <w:spacing w:line="546" w:lineRule="exact"/>
        <w:ind w:firstLine="560" w:firstLineChars="200"/>
        <w:rPr>
          <w:rFonts w:ascii="Times New Roman" w:hAnsi="Times New Roman" w:eastAsia="仿宋_GB2312"/>
          <w:bCs/>
          <w:color w:val="auto"/>
          <w:sz w:val="28"/>
          <w:szCs w:val="28"/>
          <w:highlight w:val="none"/>
        </w:rPr>
      </w:pPr>
    </w:p>
    <w:p>
      <w:pPr>
        <w:tabs>
          <w:tab w:val="left" w:pos="3969"/>
        </w:tabs>
        <w:spacing w:line="500" w:lineRule="exact"/>
        <w:ind w:right="-58" w:firstLine="584" w:firstLineChars="200"/>
        <w:jc w:val="left"/>
        <w:rPr>
          <w:rFonts w:ascii="宋体" w:hAnsi="宋体"/>
          <w:color w:val="auto"/>
          <w:spacing w:val="6"/>
          <w:sz w:val="28"/>
          <w:szCs w:val="28"/>
          <w:highlight w:val="none"/>
        </w:rPr>
      </w:pPr>
      <w:r>
        <w:rPr>
          <w:rFonts w:hint="eastAsia" w:ascii="宋体" w:hAnsi="宋体"/>
          <w:color w:val="auto"/>
          <w:spacing w:val="6"/>
          <w:sz w:val="28"/>
          <w:szCs w:val="28"/>
          <w:highlight w:val="none"/>
        </w:rPr>
        <w:t>单位名称：</w:t>
      </w:r>
      <w:r>
        <w:rPr>
          <w:rFonts w:ascii="宋体" w:hAnsi="宋体"/>
          <w:color w:val="auto"/>
          <w:sz w:val="28"/>
          <w:szCs w:val="28"/>
          <w:highlight w:val="none"/>
          <w:u w:val="single"/>
        </w:rPr>
        <w:t>XXXX</w:t>
      </w:r>
      <w:r>
        <w:rPr>
          <w:rFonts w:ascii="宋体" w:hAnsi="宋体"/>
          <w:color w:val="auto"/>
          <w:spacing w:val="6"/>
          <w:sz w:val="28"/>
          <w:szCs w:val="28"/>
          <w:highlight w:val="none"/>
        </w:rPr>
        <w:t xml:space="preserve"> </w:t>
      </w:r>
    </w:p>
    <w:p>
      <w:pPr>
        <w:tabs>
          <w:tab w:val="left" w:pos="3969"/>
        </w:tabs>
        <w:spacing w:line="500" w:lineRule="exact"/>
        <w:ind w:right="-58" w:firstLine="584" w:firstLineChars="200"/>
        <w:jc w:val="left"/>
        <w:rPr>
          <w:color w:val="auto"/>
          <w:sz w:val="28"/>
          <w:szCs w:val="28"/>
          <w:highlight w:val="none"/>
        </w:rPr>
      </w:pPr>
      <w:r>
        <w:rPr>
          <w:rFonts w:hint="eastAsia" w:ascii="宋体" w:hAnsi="宋体"/>
          <w:color w:val="auto"/>
          <w:spacing w:val="6"/>
          <w:sz w:val="28"/>
          <w:szCs w:val="28"/>
          <w:highlight w:val="none"/>
        </w:rPr>
        <w:t>日</w:t>
      </w:r>
      <w:r>
        <w:rPr>
          <w:rFonts w:ascii="宋体" w:hAnsi="宋体"/>
          <w:color w:val="auto"/>
          <w:spacing w:val="6"/>
          <w:sz w:val="28"/>
          <w:szCs w:val="28"/>
          <w:highlight w:val="none"/>
        </w:rPr>
        <w:t xml:space="preserve">  </w:t>
      </w:r>
      <w:r>
        <w:rPr>
          <w:rFonts w:hint="eastAsia" w:ascii="宋体" w:hAnsi="宋体"/>
          <w:color w:val="auto"/>
          <w:spacing w:val="6"/>
          <w:sz w:val="28"/>
          <w:szCs w:val="28"/>
          <w:highlight w:val="none"/>
        </w:rPr>
        <w:t>期：</w:t>
      </w:r>
      <w:r>
        <w:rPr>
          <w:rFonts w:ascii="宋体" w:hAnsi="宋体"/>
          <w:color w:val="auto"/>
          <w:sz w:val="28"/>
          <w:szCs w:val="28"/>
          <w:highlight w:val="none"/>
        </w:rPr>
        <w:t>20</w:t>
      </w:r>
      <w:r>
        <w:rPr>
          <w:rFonts w:ascii="宋体" w:hAnsi="宋体"/>
          <w:color w:val="auto"/>
          <w:sz w:val="28"/>
          <w:szCs w:val="28"/>
          <w:highlight w:val="none"/>
          <w:u w:val="single"/>
        </w:rPr>
        <w:t>XX</w:t>
      </w:r>
      <w:r>
        <w:rPr>
          <w:rFonts w:ascii="宋体" w:hAnsi="宋体"/>
          <w:color w:val="auto"/>
          <w:sz w:val="28"/>
          <w:szCs w:val="28"/>
          <w:highlight w:val="none"/>
        </w:rPr>
        <w:t>年</w:t>
      </w:r>
      <w:r>
        <w:rPr>
          <w:rFonts w:ascii="宋体" w:hAnsi="宋体"/>
          <w:color w:val="auto"/>
          <w:sz w:val="28"/>
          <w:szCs w:val="28"/>
          <w:highlight w:val="none"/>
          <w:u w:val="single"/>
        </w:rPr>
        <w:t>XX</w:t>
      </w:r>
      <w:r>
        <w:rPr>
          <w:rFonts w:ascii="宋体" w:hAnsi="宋体"/>
          <w:color w:val="auto"/>
          <w:sz w:val="28"/>
          <w:szCs w:val="28"/>
          <w:highlight w:val="none"/>
        </w:rPr>
        <w:t>月</w:t>
      </w:r>
      <w:r>
        <w:rPr>
          <w:rFonts w:ascii="宋体" w:hAnsi="宋体"/>
          <w:color w:val="auto"/>
          <w:sz w:val="28"/>
          <w:szCs w:val="28"/>
          <w:highlight w:val="none"/>
          <w:u w:val="single"/>
        </w:rPr>
        <w:t>XX</w:t>
      </w:r>
      <w:r>
        <w:rPr>
          <w:rFonts w:ascii="宋体" w:hAnsi="宋体"/>
          <w:color w:val="auto"/>
          <w:sz w:val="28"/>
          <w:szCs w:val="28"/>
          <w:highlight w:val="none"/>
        </w:rPr>
        <w:t>日</w:t>
      </w:r>
    </w:p>
    <w:p>
      <w:pPr>
        <w:ind w:firstLine="563"/>
        <w:rPr>
          <w:rFonts w:ascii="宋体" w:hAnsi="宋体"/>
          <w:b/>
          <w:color w:val="auto"/>
          <w:kern w:val="0"/>
          <w:sz w:val="28"/>
          <w:szCs w:val="28"/>
          <w:highlight w:val="none"/>
        </w:rPr>
      </w:pPr>
    </w:p>
    <w:p>
      <w:pPr>
        <w:pStyle w:val="210"/>
        <w:rPr>
          <w:color w:val="auto"/>
          <w:highlight w:val="none"/>
        </w:rPr>
      </w:pPr>
    </w:p>
    <w:p>
      <w:pPr>
        <w:pStyle w:val="210"/>
        <w:rPr>
          <w:color w:val="auto"/>
          <w:highlight w:val="none"/>
        </w:rPr>
      </w:pPr>
    </w:p>
    <w:p>
      <w:pPr>
        <w:pStyle w:val="210"/>
        <w:rPr>
          <w:color w:val="auto"/>
          <w:highlight w:val="none"/>
        </w:rPr>
      </w:pPr>
    </w:p>
    <w:p>
      <w:pPr>
        <w:pStyle w:val="210"/>
        <w:rPr>
          <w:color w:val="auto"/>
          <w:highlight w:val="none"/>
        </w:rPr>
      </w:pPr>
    </w:p>
    <w:p>
      <w:pPr>
        <w:widowControl/>
        <w:jc w:val="left"/>
        <w:rPr>
          <w:color w:val="auto"/>
          <w:highlight w:val="none"/>
        </w:rPr>
      </w:pPr>
      <w:r>
        <w:rPr>
          <w:color w:val="auto"/>
          <w:highlight w:val="none"/>
        </w:rPr>
        <w:br w:type="page"/>
      </w:r>
    </w:p>
    <w:p>
      <w:pPr>
        <w:pStyle w:val="6"/>
        <w:numPr>
          <w:ilvl w:val="2"/>
          <w:numId w:val="5"/>
        </w:numPr>
        <w:spacing w:after="200" w:line="240" w:lineRule="auto"/>
        <w:ind w:left="851"/>
        <w:rPr>
          <w:color w:val="auto"/>
          <w:highlight w:val="none"/>
        </w:rPr>
      </w:pPr>
      <w:r>
        <w:rPr>
          <w:rFonts w:hint="eastAsia"/>
          <w:color w:val="auto"/>
          <w:highlight w:val="none"/>
        </w:rPr>
        <w:t>由省级以上监狱管理局、戒毒管理局（含新疆生产建设兵团）出具的投标人属于监狱企业的证明文件复印件（说明：提供了《中小企业声明函》或《残疾人福利性单位声明函》的不需提供）；</w:t>
      </w:r>
    </w:p>
    <w:p>
      <w:pPr>
        <w:rPr>
          <w:color w:val="auto"/>
          <w:highlight w:val="none"/>
        </w:rPr>
      </w:pPr>
    </w:p>
    <w:p>
      <w:pPr>
        <w:rPr>
          <w:color w:val="auto"/>
          <w:highlight w:val="none"/>
        </w:rPr>
      </w:pPr>
    </w:p>
    <w:p>
      <w:pPr>
        <w:rPr>
          <w:color w:val="auto"/>
          <w:highlight w:val="none"/>
        </w:rPr>
      </w:pPr>
      <w:bookmarkStart w:id="236" w:name="_Toc5111"/>
      <w:r>
        <w:rPr>
          <w:rFonts w:hint="eastAsia"/>
          <w:color w:val="auto"/>
          <w:highlight w:val="none"/>
        </w:rPr>
        <w:br w:type="page"/>
      </w:r>
    </w:p>
    <w:p>
      <w:pPr>
        <w:pStyle w:val="4"/>
        <w:numPr>
          <w:ilvl w:val="0"/>
          <w:numId w:val="5"/>
        </w:numPr>
        <w:spacing w:before="0" w:after="0" w:line="500" w:lineRule="exact"/>
        <w:rPr>
          <w:color w:val="auto"/>
          <w:highlight w:val="none"/>
        </w:rPr>
      </w:pPr>
      <w:r>
        <w:rPr>
          <w:rFonts w:hint="eastAsia"/>
          <w:color w:val="auto"/>
          <w:highlight w:val="none"/>
        </w:rPr>
        <w:t>招标项目服务、商务及其他要求</w:t>
      </w:r>
      <w:bookmarkEnd w:id="229"/>
      <w:bookmarkEnd w:id="230"/>
      <w:bookmarkEnd w:id="231"/>
      <w:bookmarkEnd w:id="232"/>
      <w:bookmarkEnd w:id="233"/>
      <w:bookmarkEnd w:id="236"/>
    </w:p>
    <w:bookmarkEnd w:id="234"/>
    <w:bookmarkEnd w:id="235"/>
    <w:p>
      <w:pPr>
        <w:pStyle w:val="5"/>
        <w:numPr>
          <w:ilvl w:val="1"/>
          <w:numId w:val="5"/>
        </w:numPr>
        <w:tabs>
          <w:tab w:val="left" w:pos="0"/>
          <w:tab w:val="left" w:pos="426"/>
          <w:tab w:val="left" w:pos="576"/>
          <w:tab w:val="left" w:pos="786"/>
        </w:tabs>
        <w:spacing w:before="0" w:after="0" w:line="500" w:lineRule="exact"/>
        <w:ind w:left="0" w:firstLine="0"/>
        <w:jc w:val="both"/>
        <w:rPr>
          <w:color w:val="auto"/>
          <w:highlight w:val="none"/>
        </w:rPr>
      </w:pPr>
      <w:bookmarkStart w:id="237" w:name="_Toc54857461"/>
      <w:bookmarkStart w:id="238" w:name="_Toc15162"/>
      <w:bookmarkStart w:id="239" w:name="_Toc24101"/>
      <w:bookmarkStart w:id="240" w:name="_Toc8639"/>
      <w:bookmarkStart w:id="241" w:name="_Toc26497"/>
      <w:bookmarkStart w:id="242" w:name="_Toc5355"/>
      <w:bookmarkStart w:id="243" w:name="_Toc21821"/>
      <w:r>
        <w:rPr>
          <w:rFonts w:hint="eastAsia"/>
          <w:color w:val="auto"/>
          <w:highlight w:val="none"/>
        </w:rPr>
        <w:t>项目概况</w:t>
      </w:r>
      <w:bookmarkEnd w:id="237"/>
      <w:bookmarkEnd w:id="238"/>
    </w:p>
    <w:p>
      <w:pPr>
        <w:pStyle w:val="157"/>
        <w:spacing w:line="360" w:lineRule="auto"/>
        <w:ind w:firstLineChars="0"/>
        <w:rPr>
          <w:rFonts w:ascii="宋体" w:hAnsi="宋体"/>
          <w:color w:val="auto"/>
          <w:sz w:val="28"/>
          <w:szCs w:val="28"/>
          <w:highlight w:val="none"/>
        </w:rPr>
      </w:pPr>
      <w:r>
        <w:rPr>
          <w:rFonts w:hint="eastAsia"/>
          <w:color w:val="auto"/>
          <w:sz w:val="28"/>
          <w:highlight w:val="none"/>
        </w:rPr>
        <w:t>成都高新区新政务服务中心项目位于成都市高新区益州大道中段999号。服务面积为53187平米(暂以此数据，待房屋产权证明办理后，以房屋产权面积为准)，共7层(地下1层、地上6层)。服务内容包含：会议接待服务、秩序维护服务、保洁服务、设施设备维保及日常维修服务、植物租摆及养护服务、阶段性服务。</w:t>
      </w:r>
    </w:p>
    <w:p>
      <w:pPr>
        <w:pStyle w:val="5"/>
        <w:numPr>
          <w:ilvl w:val="1"/>
          <w:numId w:val="5"/>
        </w:numPr>
        <w:tabs>
          <w:tab w:val="left" w:pos="0"/>
          <w:tab w:val="left" w:pos="426"/>
          <w:tab w:val="left" w:pos="576"/>
          <w:tab w:val="left" w:pos="786"/>
        </w:tabs>
        <w:spacing w:before="0" w:after="0" w:line="520" w:lineRule="exact"/>
        <w:ind w:left="0" w:firstLine="0"/>
        <w:jc w:val="both"/>
        <w:rPr>
          <w:color w:val="auto"/>
          <w:highlight w:val="none"/>
        </w:rPr>
      </w:pPr>
      <w:bookmarkStart w:id="244" w:name="_Toc4509118"/>
      <w:bookmarkStart w:id="245" w:name="_Toc31844"/>
      <w:bookmarkStart w:id="246" w:name="_Toc3868"/>
      <w:bookmarkStart w:id="247" w:name="_Toc4576"/>
      <w:bookmarkStart w:id="248" w:name="_Toc30090"/>
      <w:bookmarkStart w:id="249" w:name="_Toc13016"/>
      <w:bookmarkStart w:id="250" w:name="_Toc54857462"/>
      <w:bookmarkStart w:id="251" w:name="_Toc513796935"/>
      <w:bookmarkStart w:id="252" w:name="_Toc24356540"/>
      <w:bookmarkStart w:id="253" w:name="_Toc1246"/>
      <w:r>
        <w:rPr>
          <w:rFonts w:hint="eastAsia"/>
          <w:color w:val="auto"/>
          <w:sz w:val="24"/>
          <w:highlight w:val="none"/>
        </w:rPr>
        <w:t>★</w:t>
      </w:r>
      <w:r>
        <w:rPr>
          <w:rFonts w:hint="eastAsia"/>
          <w:color w:val="auto"/>
          <w:highlight w:val="none"/>
        </w:rPr>
        <w:t>服务内容及要求</w:t>
      </w:r>
      <w:bookmarkEnd w:id="244"/>
      <w:bookmarkEnd w:id="245"/>
      <w:bookmarkEnd w:id="246"/>
      <w:bookmarkEnd w:id="247"/>
      <w:bookmarkEnd w:id="248"/>
      <w:bookmarkEnd w:id="249"/>
      <w:bookmarkEnd w:id="250"/>
      <w:bookmarkEnd w:id="251"/>
      <w:bookmarkEnd w:id="252"/>
      <w:r>
        <w:rPr>
          <w:rFonts w:hint="eastAsia"/>
          <w:color w:val="auto"/>
          <w:highlight w:val="none"/>
        </w:rPr>
        <w:t>（注：按第3章3.3.5提供书面承诺函原件）。</w:t>
      </w:r>
      <w:bookmarkEnd w:id="253"/>
    </w:p>
    <w:p>
      <w:pPr>
        <w:tabs>
          <w:tab w:val="left" w:pos="0"/>
        </w:tabs>
        <w:spacing w:line="440" w:lineRule="exact"/>
        <w:ind w:firstLine="482" w:firstLineChars="200"/>
        <w:outlineLvl w:val="2"/>
        <w:rPr>
          <w:rFonts w:ascii="宋体" w:hAnsi="宋体" w:cs="宋体"/>
          <w:b/>
          <w:color w:val="auto"/>
          <w:sz w:val="24"/>
          <w:highlight w:val="none"/>
        </w:rPr>
      </w:pPr>
      <w:bookmarkStart w:id="254" w:name="_Toc9486"/>
      <w:bookmarkStart w:id="255" w:name="_Toc24356563"/>
      <w:bookmarkStart w:id="256" w:name="_Toc12170"/>
      <w:bookmarkStart w:id="257" w:name="_Toc24972"/>
      <w:bookmarkStart w:id="258" w:name="_Toc27442"/>
      <w:bookmarkStart w:id="259" w:name="_Toc4509120"/>
      <w:bookmarkStart w:id="260" w:name="_Toc54857463"/>
      <w:bookmarkStart w:id="261" w:name="_Toc513796936"/>
      <w:bookmarkStart w:id="262" w:name="_Toc19248"/>
      <w:r>
        <w:rPr>
          <w:rFonts w:hint="eastAsia" w:ascii="宋体" w:hAnsi="宋体" w:cs="宋体"/>
          <w:b/>
          <w:color w:val="auto"/>
          <w:sz w:val="24"/>
          <w:highlight w:val="none"/>
        </w:rPr>
        <w:t>(一)会议接待服务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1.服务内容及范围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为新政务服务中心5楼6间会议室（以实际使用情况为准）提供会议服务。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(1)会议服务要求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1)会服人员做好定期会务培训、以及会议场所的消防安全及设备检查工作，保障会议室资源不流失，完成规定的日巡视工作。</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2)会服人员须严格按照各项规章制度，做好服务及协调工作，保障各类会议、接待活动的正常进行。</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3)会场布置包括按照会议要求搬运摆放桌椅，现场设备调试调控、负责茶水，要按照会场时间提前布置好。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4)会议涉及的基本用具、茶叶、矿泉水、纸巾(干、湿)等由投标人提供。</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5)会服人员要做到服务热情、有礼有节、稳重大方。</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6)遵循保密制度。</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7)完成紧急性、临时性工作任务。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(2)会议服务标准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1)仪容仪表</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①着装统一整洁，佩戴服务标志，不背包及穿拖鞋、响钉鞋上岗。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②服务人员发长不遮眼，后发不披肩(盘发)，要求画淡妆，不浓妆艳抹，不佩戴首饰。</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③坐站规范端庄，不翘腿。</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2)语言</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①语调温和亲切，音量适中，普通话规范。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②语言文明礼貌，适时应用文明用语。</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③对服务对象主动打招呼，不漫不经心，不粗言粗语，不大声喧哗。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3)态度</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①敬业、勤业、乐业，精神饱满，彬彬有礼。</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②微笑服务，态度诚恳、热情、周到。</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③工作差错失误及时纠正并当面赔礼道歉。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4)纪律</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①上班前不饮酒，不吃异味食品。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②不准擅自脱岗，漏岗，不在服务场所大声喧哗及使用通讯设备。</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③服务过程中不打哈欠、喷嚏、不挖耳鼻、剪指甲、抠鼻子。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④严格遵守职业道德。</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5)卫生形象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①工作服固定，干净整洁。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②定期进行体检，健康合格方可上岗。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③勤理发洗手，勤修指甲。</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④用品、用具分类保管，及时清洗、消毒，摆放整齐。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6)会前服务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根据采购人的要求，明确会议服务要求，并协助提前落实会议场所及会场主席台、发言席、话筒、签到席、横幅(会标)、背景音乐、鲜花摆放、领导休息室等，并提前检测音响、话筒、电脑投影仪等设备及会议各项要求的落实情况。</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②及时做好会场卫生，整理打扫桌面、抽屉、座椅、地面、门窗等，检查会议用品，面巾纸等物品。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③在会议入场口醒目位置安放会议指示牌，室内座位指示牌摆放整齐。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④会服人员应提前1小时进场，检查会场整体效果，确保各项准备工作到位，同时打开安全门，照明灯及通道门，做好引导工作，如需使用空调，提前半小时开启。</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7)会中服务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会服人员在与会人员入场前，应站立在会议服务厅门口，有礼貌的向宾客致意，并说“早上(中午、下午、晚上)好”，或“欢迎光临”等文明用语，同时对已入座的客人、及时递上茶水、湿巾，茶水应控制在八九分满，上茶水应遵循从左至右的原则，从宾客侧翼依次加水，原则上每10-15分钟加水一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②会服人员时刻注意观测和随听音响设备运行情况。按照厉行节约和舒适合宜原则，注意会场情况及室内温度，发现问题及时报告和处理。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8)会后服务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①会议结束时，会服人员应及时打开通道门，站立两侧，礼貌送客，向客人微笑点头，并说“慢走，再见”，会后及时做好会场清理工作。若发现客人遗留物品迅速与主办方联系并上交。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②严格做好保密工作，不询问、议论、外传会议内容和领导讲话内容，不带无关人员进入工作间。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③关闭会议场所门窗、音响设备、空调、灯光。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④协调整理会场。</w:t>
      </w:r>
    </w:p>
    <w:p>
      <w:pPr>
        <w:tabs>
          <w:tab w:val="left" w:pos="0"/>
        </w:tabs>
        <w:spacing w:line="44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(二)秩序维护服务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1.服务内容及范围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负责高新区新政务服务中心所有区域的安全治安管理，包括防火、防盗、防爆、打架斗殴、盗窃抢劫、中介引导、安全值勤、巡逻检查、进出办公区域及楼栋、车库电梯及设备功能房等相关区域的人员和物品盘查、疫情防控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(2)负责高新区新政务服务中心一至六楼及负一楼区域内有消防设施的日常巡查管理和维护。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(3)负责处置高新区新政务服务中心办公楼内的突发事件，包含群体安全、非法聚会、地震疏散等。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(4)负责监控室的日常管理及维护，负责遗失物品事件受理。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(5)完成采购人交办临时性、紧急性安保任务。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(1)按照“统一指挥、统一检查、统一考核、统筹安排、信息共享、联合布点、分工合作，形成合力”的总体要求，在采购人相关部门的指导、监督下，做好责任区域内的安全管理、应急管理和消防设施维护。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(2)安全管理工作由采购人总体负责，统筹进行监督和考核。</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(3)在新政务服务中心办公区处于紧急状态时，接受采购人的统一调度，协助处理突发事件。</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(4)负责安全管理岗位人员，必须按合同约定的人数，除不可抗力原因，100%在岗。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3.服务标准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(1)安全管理服务标准的基本要求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1)安全管理制度健全并上墙，相关应急预案完善，建立完善相关安全记录台账，安全标识设置合理、规范、完整。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2)安全值勤岗位设置合理，巡查路线不留死角，人员配置方案科学(以上三项均需报采购人相关部门审定后方可实施)。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3)人员配备应以男性为主(90%以上)，配备人员应具有高中以上文化程度，品行端正，无犯罪记录，身体健康，五官端正，无传染病；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巡逻人员按规定时间进行巡逻检查，并在相关地方有签到记录，每周将各岗位点巡逻签到表汇总报高新政务中心相关部门。(电子巡更系统启用后进行根据业主需求选择存档方式)具体巡查线路及巡查频次报采购人相关部门批准后严格实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①巡查要求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前台值班人员与安保人员轮流交替，必须按时间按路线巡查签到，严禁提前或事后补签、代签；每个岗位之间签到时间控制在30分钟以内，按巡查时间秩序循环签到；</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巡查时，注意防火、防盗、防漏、外来人员进出盘查，如有异常情况立即处理并如实上报。</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岗位人员24小时在岗，上岗期间精神饱满、着装整洁、标识佩带齐全，且熟练在岗楼幢结构和内部分布情况，会操作使用消防和监控设备；上岗期间严禁打瞌睡，吃东西，做与工作无关的事情；遇到突发事件或不能处理的问题必须按报告程序及时上报。</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②上下班要求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上班前着装整洁、佩戴工牌、头发梳理整齐，提前10分钟接班；查看交接班记录本和其它登记本，不明之处及时向上班值班人员问清楚；</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下班前做好值班岗位的定置管理和清洁卫生，检查交接班记录、各类使用登记表并及时补上物品遗漏记录，遗留问题书面交接清楚，必要时还需口头说明交接。</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③安保值勤要求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实行24小时值班，外来可疑人员进入办公区域以及大件物品出入，必须严格控制并有相关记录；</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禁止无关人员和动物宠物进入，严禁推、促销人员和商贩进入办公区内叫卖；</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重要会议的领导、参会人员到访，均需值班人员做好接待和站立迎送工作；</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对外来参观团，经相关部门准许后方可进入，在做好责任区域的情况介绍的同时，一定要注意安全(严禁泄密)工作，并事后做好记录工作；</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对出门的大型物资进行检查和登记；</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在规定时间内进行清场；</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 xml:space="preserve"> 制止影响和干扰正常工作秩序的人和事；</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进行防火、防盗巡查，防止火灾、盗窃等案件的发生；</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劝离非吸烟区吸烟者；</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熟悉掌握本区域的分布情况</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做好巡查工作内容要求，防范安全事故的发生。</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③监控室管理要求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实行24小时值班。</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做好值班记录，发现异常情况及时检查处理，同时报采购人相关部门。</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在采购人相关部门同意的情况下，调取监控资料。</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对监控室的计算机、投影仪、显示屏、办公桌椅建立设施设备台账，对其设施设备要进行维护。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5)根据安全管理的实际要求，制订高新政务中心的应急处理预案，报采购人相关部门批准后，严格实施。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按高新政务中心相关部门的要求，实行每周报告制度，包括责任范围的安全设备设施运行情况、治安状况分析及整改措施等，同时上交每周安全管理岗位值勤、巡逻签到表和值勤记录表。对责任范围发生的重大突发事件，实行第一时间上报制度。</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7)如因岗位人员资质不达标或因其工作疏漏导致强制性临检不合格而造成损失的，相关损失及执法监管部门的处罚均由供应商承担。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(2)消防设施维护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1)消防设施台帐详实，标识规范，维护使用制度健全(在主要作业地点上墙)。</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2)确保对移交的消防设施、设备、器材完好，出现损坏、丢失立即向高新政务中心相关部门报告，对因投标人失职导致的损坏、丢失进行维修、补足。</w:t>
      </w:r>
    </w:p>
    <w:p>
      <w:pPr>
        <w:tabs>
          <w:tab w:val="left" w:pos="0"/>
        </w:tabs>
        <w:spacing w:line="440" w:lineRule="exact"/>
        <w:ind w:firstLine="480" w:firstLineChars="200"/>
        <w:rPr>
          <w:rFonts w:cs="宋体"/>
          <w:color w:val="auto"/>
          <w:highlight w:val="none"/>
        </w:rPr>
      </w:pPr>
      <w:r>
        <w:rPr>
          <w:rFonts w:hint="eastAsia" w:ascii="宋体" w:hAnsi="宋体" w:cs="宋体"/>
          <w:color w:val="auto"/>
          <w:sz w:val="24"/>
          <w:highlight w:val="none"/>
        </w:rPr>
        <w:t>消防设施进行定期巡查</w:t>
      </w:r>
    </w:p>
    <w:tbl>
      <w:tblPr>
        <w:tblStyle w:val="45"/>
        <w:tblW w:w="4996" w:type="pct"/>
        <w:jc w:val="center"/>
        <w:tblLayout w:type="autofit"/>
        <w:tblCellMar>
          <w:top w:w="0" w:type="dxa"/>
          <w:left w:w="108" w:type="dxa"/>
          <w:bottom w:w="0" w:type="dxa"/>
          <w:right w:w="108" w:type="dxa"/>
        </w:tblCellMar>
      </w:tblPr>
      <w:tblGrid>
        <w:gridCol w:w="833"/>
        <w:gridCol w:w="1530"/>
        <w:gridCol w:w="1813"/>
        <w:gridCol w:w="1201"/>
        <w:gridCol w:w="3138"/>
      </w:tblGrid>
      <w:tr>
        <w:tblPrEx>
          <w:tblCellMar>
            <w:top w:w="0" w:type="dxa"/>
            <w:left w:w="108" w:type="dxa"/>
            <w:bottom w:w="0" w:type="dxa"/>
            <w:right w:w="108" w:type="dxa"/>
          </w:tblCellMar>
        </w:tblPrEx>
        <w:trPr>
          <w:tblHeade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bookmarkStart w:id="263" w:name="_Toc514509407"/>
            <w:bookmarkStart w:id="264" w:name="_Toc514424376"/>
            <w:bookmarkStart w:id="265" w:name="_Toc514509178"/>
            <w:r>
              <w:rPr>
                <w:rFonts w:hint="eastAsia" w:ascii="宋体" w:hAnsi="宋体" w:cs="宋体"/>
                <w:b/>
                <w:bCs/>
                <w:color w:val="auto"/>
                <w:szCs w:val="21"/>
                <w:highlight w:val="none"/>
              </w:rPr>
              <w:t>序号</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巡查项目</w:t>
            </w:r>
            <w:bookmarkEnd w:id="263"/>
            <w:bookmarkEnd w:id="264"/>
            <w:bookmarkEnd w:id="265"/>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bookmarkStart w:id="266" w:name="_Toc514509179"/>
            <w:bookmarkStart w:id="267" w:name="_Toc514424377"/>
            <w:bookmarkStart w:id="268" w:name="_Toc514509408"/>
            <w:r>
              <w:rPr>
                <w:rFonts w:hint="eastAsia" w:ascii="宋体" w:hAnsi="宋体" w:cs="宋体"/>
                <w:b/>
                <w:bCs/>
                <w:color w:val="auto"/>
                <w:szCs w:val="21"/>
                <w:highlight w:val="none"/>
              </w:rPr>
              <w:t>巡查内容</w:t>
            </w:r>
            <w:bookmarkEnd w:id="266"/>
            <w:bookmarkEnd w:id="267"/>
            <w:bookmarkEnd w:id="268"/>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bookmarkStart w:id="269" w:name="_Toc514424378"/>
            <w:bookmarkStart w:id="270" w:name="_Toc514509409"/>
            <w:bookmarkStart w:id="271" w:name="_Toc514509180"/>
            <w:r>
              <w:rPr>
                <w:rFonts w:hint="eastAsia" w:ascii="宋体" w:hAnsi="宋体" w:cs="宋体"/>
                <w:b/>
                <w:bCs/>
                <w:color w:val="auto"/>
                <w:szCs w:val="21"/>
                <w:highlight w:val="none"/>
              </w:rPr>
              <w:t>频次</w:t>
            </w:r>
            <w:bookmarkEnd w:id="269"/>
            <w:bookmarkEnd w:id="270"/>
            <w:bookmarkEnd w:id="271"/>
          </w:p>
        </w:tc>
        <w:tc>
          <w:tcPr>
            <w:tcW w:w="1842"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bookmarkStart w:id="272" w:name="_Toc514509181"/>
            <w:bookmarkStart w:id="273" w:name="_Toc514509410"/>
            <w:bookmarkStart w:id="274" w:name="_Toc514424379"/>
            <w:r>
              <w:rPr>
                <w:rFonts w:hint="eastAsia" w:ascii="宋体" w:hAnsi="宋体" w:cs="宋体"/>
                <w:b/>
                <w:bCs/>
                <w:color w:val="auto"/>
                <w:szCs w:val="21"/>
                <w:highlight w:val="none"/>
              </w:rPr>
              <w:t>巡查标准</w:t>
            </w:r>
            <w:bookmarkEnd w:id="272"/>
            <w:bookmarkEnd w:id="273"/>
            <w:bookmarkEnd w:id="274"/>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275" w:name="_Toc514424380"/>
            <w:bookmarkStart w:id="276" w:name="_Toc514509411"/>
            <w:bookmarkStart w:id="277" w:name="_Toc514509182"/>
            <w:r>
              <w:rPr>
                <w:rFonts w:hint="eastAsia" w:ascii="宋体" w:hAnsi="宋体" w:cs="宋体"/>
                <w:color w:val="auto"/>
                <w:szCs w:val="21"/>
                <w:highlight w:val="none"/>
              </w:rPr>
              <w:t>1</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应急照明</w:t>
            </w:r>
            <w:bookmarkEnd w:id="275"/>
            <w:bookmarkEnd w:id="276"/>
            <w:bookmarkEnd w:id="277"/>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278" w:name="_Toc514509183"/>
            <w:bookmarkStart w:id="279" w:name="_Toc514424381"/>
            <w:bookmarkStart w:id="280" w:name="_Toc514509412"/>
            <w:r>
              <w:rPr>
                <w:rFonts w:hint="eastAsia" w:ascii="宋体" w:hAnsi="宋体" w:cs="宋体"/>
                <w:color w:val="auto"/>
                <w:szCs w:val="21"/>
                <w:highlight w:val="none"/>
              </w:rPr>
              <w:t>灯具、灯泡</w:t>
            </w:r>
            <w:bookmarkEnd w:id="278"/>
            <w:bookmarkEnd w:id="279"/>
            <w:bookmarkEnd w:id="280"/>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281" w:name="_Toc514424382"/>
            <w:bookmarkStart w:id="282" w:name="_Toc514509184"/>
            <w:bookmarkStart w:id="283" w:name="_Toc514509413"/>
            <w:r>
              <w:rPr>
                <w:rFonts w:hint="eastAsia" w:ascii="宋体" w:hAnsi="宋体" w:cs="宋体"/>
                <w:color w:val="auto"/>
                <w:szCs w:val="21"/>
                <w:highlight w:val="none"/>
              </w:rPr>
              <w:t>每周不少于1次</w:t>
            </w:r>
            <w:bookmarkEnd w:id="281"/>
            <w:bookmarkEnd w:id="282"/>
            <w:bookmarkEnd w:id="283"/>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284" w:name="_Toc514509414"/>
            <w:bookmarkStart w:id="285" w:name="_Toc514509185"/>
            <w:bookmarkStart w:id="286" w:name="_Toc514424383"/>
            <w:r>
              <w:rPr>
                <w:rFonts w:hint="eastAsia" w:ascii="宋体" w:hAnsi="宋体" w:cs="宋体"/>
                <w:color w:val="auto"/>
                <w:szCs w:val="21"/>
                <w:highlight w:val="none"/>
              </w:rPr>
              <w:t>安装到位，运行可靠，表面无破损，安全。</w:t>
            </w:r>
            <w:bookmarkEnd w:id="284"/>
            <w:bookmarkEnd w:id="285"/>
            <w:bookmarkEnd w:id="286"/>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287" w:name="_Toc514509186"/>
            <w:bookmarkStart w:id="288" w:name="_Toc514509415"/>
            <w:bookmarkStart w:id="289" w:name="_Toc514424384"/>
            <w:r>
              <w:rPr>
                <w:rFonts w:hint="eastAsia" w:ascii="宋体" w:hAnsi="宋体" w:cs="宋体"/>
                <w:color w:val="auto"/>
                <w:szCs w:val="21"/>
                <w:highlight w:val="none"/>
              </w:rPr>
              <w:t>2</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消防泵电控柜</w:t>
            </w:r>
            <w:bookmarkEnd w:id="287"/>
            <w:bookmarkEnd w:id="288"/>
            <w:bookmarkEnd w:id="289"/>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290" w:name="_Toc514424385"/>
            <w:bookmarkStart w:id="291" w:name="_Toc514509187"/>
            <w:bookmarkStart w:id="292" w:name="_Toc514509416"/>
            <w:r>
              <w:rPr>
                <w:rFonts w:hint="eastAsia" w:ascii="宋体" w:hAnsi="宋体" w:cs="宋体"/>
                <w:color w:val="auto"/>
                <w:szCs w:val="21"/>
                <w:highlight w:val="none"/>
              </w:rPr>
              <w:t>电源指示、日常保洁状况</w:t>
            </w:r>
            <w:bookmarkEnd w:id="290"/>
            <w:bookmarkEnd w:id="291"/>
            <w:bookmarkEnd w:id="292"/>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293" w:name="_Toc514424386"/>
            <w:bookmarkStart w:id="294" w:name="_Toc514509188"/>
            <w:bookmarkStart w:id="295" w:name="_Toc514509417"/>
            <w:r>
              <w:rPr>
                <w:rFonts w:hint="eastAsia" w:ascii="宋体" w:hAnsi="宋体" w:cs="宋体"/>
                <w:color w:val="auto"/>
                <w:szCs w:val="21"/>
                <w:highlight w:val="none"/>
              </w:rPr>
              <w:t>每天不少于1次</w:t>
            </w:r>
            <w:bookmarkEnd w:id="293"/>
            <w:bookmarkEnd w:id="294"/>
            <w:bookmarkEnd w:id="295"/>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296" w:name="_Toc514509418"/>
            <w:bookmarkStart w:id="297" w:name="_Toc514509189"/>
            <w:bookmarkStart w:id="298" w:name="_Toc514424387"/>
            <w:r>
              <w:rPr>
                <w:rFonts w:hint="eastAsia" w:ascii="宋体" w:hAnsi="宋体" w:cs="宋体"/>
                <w:color w:val="auto"/>
                <w:szCs w:val="21"/>
                <w:highlight w:val="none"/>
              </w:rPr>
              <w:t>安全，接触良好、接头无变色、线路整洁、反应灵敏、动作可靠。</w:t>
            </w:r>
            <w:bookmarkEnd w:id="296"/>
            <w:bookmarkEnd w:id="297"/>
            <w:bookmarkEnd w:id="298"/>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299" w:name="_Toc514424388"/>
            <w:bookmarkStart w:id="300" w:name="_Toc514509419"/>
            <w:bookmarkStart w:id="301" w:name="_Toc514509190"/>
            <w:r>
              <w:rPr>
                <w:rFonts w:hint="eastAsia" w:ascii="宋体" w:hAnsi="宋体" w:cs="宋体"/>
                <w:color w:val="auto"/>
                <w:szCs w:val="21"/>
                <w:highlight w:val="none"/>
              </w:rPr>
              <w:t>3</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消防水池</w:t>
            </w:r>
            <w:bookmarkEnd w:id="299"/>
            <w:bookmarkEnd w:id="300"/>
            <w:bookmarkEnd w:id="301"/>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02" w:name="_Toc514509420"/>
            <w:bookmarkStart w:id="303" w:name="_Toc514424389"/>
            <w:bookmarkStart w:id="304" w:name="_Toc514509191"/>
            <w:r>
              <w:rPr>
                <w:rFonts w:hint="eastAsia" w:ascii="宋体" w:hAnsi="宋体" w:cs="宋体"/>
                <w:color w:val="auto"/>
                <w:szCs w:val="21"/>
                <w:highlight w:val="none"/>
              </w:rPr>
              <w:t>浮球阀、水位、进水阀、水池</w:t>
            </w:r>
            <w:bookmarkEnd w:id="302"/>
            <w:bookmarkEnd w:id="303"/>
            <w:bookmarkEnd w:id="304"/>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05" w:name="_Toc514424390"/>
            <w:bookmarkStart w:id="306" w:name="_Toc514509192"/>
            <w:bookmarkStart w:id="307" w:name="_Toc514509421"/>
            <w:r>
              <w:rPr>
                <w:rFonts w:hint="eastAsia" w:ascii="宋体" w:hAnsi="宋体" w:cs="宋体"/>
                <w:color w:val="auto"/>
                <w:szCs w:val="21"/>
                <w:highlight w:val="none"/>
              </w:rPr>
              <w:t>每天不少于1次</w:t>
            </w:r>
            <w:bookmarkEnd w:id="305"/>
            <w:bookmarkEnd w:id="306"/>
            <w:bookmarkEnd w:id="307"/>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308" w:name="_Toc514509193"/>
            <w:bookmarkStart w:id="309" w:name="_Toc514424391"/>
            <w:bookmarkStart w:id="310" w:name="_Toc514509422"/>
            <w:r>
              <w:rPr>
                <w:rFonts w:hint="eastAsia" w:ascii="宋体" w:hAnsi="宋体" w:cs="宋体"/>
                <w:color w:val="auto"/>
                <w:szCs w:val="21"/>
                <w:highlight w:val="none"/>
              </w:rPr>
              <w:t>检查浮球阀开闭功能是否正常，检查水位是否在2/3以上，进水阀是否正常开启，水箱有无溢水。</w:t>
            </w:r>
            <w:bookmarkEnd w:id="308"/>
            <w:bookmarkEnd w:id="309"/>
            <w:bookmarkEnd w:id="310"/>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11" w:name="_Toc514424392"/>
            <w:bookmarkStart w:id="312" w:name="_Toc514509423"/>
            <w:bookmarkStart w:id="313" w:name="_Toc514509194"/>
            <w:r>
              <w:rPr>
                <w:rFonts w:hint="eastAsia" w:ascii="宋体" w:hAnsi="宋体" w:cs="宋体"/>
                <w:color w:val="auto"/>
                <w:szCs w:val="21"/>
                <w:highlight w:val="none"/>
              </w:rPr>
              <w:t>4</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消防报警主机</w:t>
            </w:r>
            <w:bookmarkEnd w:id="311"/>
            <w:bookmarkEnd w:id="312"/>
            <w:bookmarkEnd w:id="313"/>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14" w:name="_Toc514509195"/>
            <w:bookmarkStart w:id="315" w:name="_Toc514509424"/>
            <w:bookmarkStart w:id="316" w:name="_Toc514424393"/>
            <w:r>
              <w:rPr>
                <w:rFonts w:hint="eastAsia" w:ascii="宋体" w:hAnsi="宋体" w:cs="宋体"/>
                <w:color w:val="auto"/>
                <w:szCs w:val="21"/>
                <w:highlight w:val="none"/>
              </w:rPr>
              <w:t>报警点、主机</w:t>
            </w:r>
            <w:bookmarkEnd w:id="314"/>
            <w:bookmarkEnd w:id="315"/>
            <w:bookmarkEnd w:id="316"/>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17" w:name="_Toc514424394"/>
            <w:bookmarkStart w:id="318" w:name="_Toc514509425"/>
            <w:bookmarkStart w:id="319" w:name="_Toc514509196"/>
            <w:r>
              <w:rPr>
                <w:rFonts w:hint="eastAsia" w:ascii="宋体" w:hAnsi="宋体" w:cs="宋体"/>
                <w:color w:val="auto"/>
                <w:szCs w:val="21"/>
                <w:highlight w:val="none"/>
              </w:rPr>
              <w:t>每天不少于1次</w:t>
            </w:r>
            <w:bookmarkEnd w:id="317"/>
            <w:bookmarkEnd w:id="318"/>
            <w:bookmarkEnd w:id="319"/>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320" w:name="_Toc514424395"/>
            <w:bookmarkStart w:id="321" w:name="_Toc514509426"/>
            <w:bookmarkStart w:id="322" w:name="_Toc514509197"/>
            <w:r>
              <w:rPr>
                <w:rFonts w:hint="eastAsia" w:ascii="宋体" w:hAnsi="宋体" w:cs="宋体"/>
                <w:color w:val="auto"/>
                <w:szCs w:val="21"/>
                <w:highlight w:val="none"/>
              </w:rPr>
              <w:t>检查报警点位是否准确，楼显报警、主机工作是否正常，清洁保养。</w:t>
            </w:r>
            <w:bookmarkEnd w:id="320"/>
            <w:bookmarkEnd w:id="321"/>
            <w:bookmarkEnd w:id="322"/>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23" w:name="_Toc514509427"/>
            <w:bookmarkStart w:id="324" w:name="_Toc514424396"/>
            <w:bookmarkStart w:id="325" w:name="_Toc514509198"/>
            <w:r>
              <w:rPr>
                <w:rFonts w:hint="eastAsia" w:ascii="宋体" w:hAnsi="宋体" w:cs="宋体"/>
                <w:color w:val="auto"/>
                <w:szCs w:val="21"/>
                <w:highlight w:val="none"/>
              </w:rPr>
              <w:t>5</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消防水泵</w:t>
            </w:r>
            <w:bookmarkEnd w:id="323"/>
            <w:bookmarkEnd w:id="324"/>
            <w:bookmarkEnd w:id="325"/>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26" w:name="_Toc514509428"/>
            <w:bookmarkStart w:id="327" w:name="_Toc514424397"/>
            <w:bookmarkStart w:id="328" w:name="_Toc514509199"/>
            <w:r>
              <w:rPr>
                <w:rFonts w:hint="eastAsia" w:ascii="宋体" w:hAnsi="宋体" w:cs="宋体"/>
                <w:color w:val="auto"/>
                <w:szCs w:val="21"/>
                <w:highlight w:val="none"/>
              </w:rPr>
              <w:t>机体、管道、阀门、压力表等</w:t>
            </w:r>
            <w:bookmarkEnd w:id="326"/>
            <w:bookmarkEnd w:id="327"/>
            <w:bookmarkEnd w:id="328"/>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29" w:name="_Toc514509429"/>
            <w:bookmarkStart w:id="330" w:name="_Toc514509200"/>
            <w:bookmarkStart w:id="331" w:name="_Toc514424398"/>
            <w:r>
              <w:rPr>
                <w:rFonts w:hint="eastAsia" w:ascii="宋体" w:hAnsi="宋体" w:cs="宋体"/>
                <w:color w:val="auto"/>
                <w:szCs w:val="21"/>
                <w:highlight w:val="none"/>
              </w:rPr>
              <w:t>每天不少于1次</w:t>
            </w:r>
            <w:bookmarkEnd w:id="329"/>
            <w:bookmarkEnd w:id="330"/>
            <w:bookmarkEnd w:id="331"/>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332" w:name="_Toc514509201"/>
            <w:bookmarkStart w:id="333" w:name="_Toc514424399"/>
            <w:bookmarkStart w:id="334" w:name="_Toc514509430"/>
            <w:r>
              <w:rPr>
                <w:rFonts w:hint="eastAsia" w:ascii="宋体" w:hAnsi="宋体" w:cs="宋体"/>
                <w:color w:val="auto"/>
                <w:szCs w:val="21"/>
                <w:highlight w:val="none"/>
              </w:rPr>
              <w:t>检查机体、管道有无锈蚀，水泵密封是否完好，显示是否正常。手动盘车，并对泵点动试车。检查气压罐压力是否符合要求，稳压泵是否处于自动状态。</w:t>
            </w:r>
            <w:bookmarkEnd w:id="332"/>
            <w:bookmarkEnd w:id="333"/>
            <w:bookmarkEnd w:id="334"/>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35" w:name="_Toc514509431"/>
            <w:bookmarkStart w:id="336" w:name="_Toc514509202"/>
            <w:bookmarkStart w:id="337" w:name="_Toc514424400"/>
            <w:r>
              <w:rPr>
                <w:rFonts w:hint="eastAsia" w:ascii="宋体" w:hAnsi="宋体" w:cs="宋体"/>
                <w:color w:val="auto"/>
                <w:szCs w:val="21"/>
                <w:highlight w:val="none"/>
              </w:rPr>
              <w:t>6</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报警系统</w:t>
            </w:r>
            <w:bookmarkEnd w:id="335"/>
            <w:bookmarkEnd w:id="336"/>
            <w:bookmarkEnd w:id="337"/>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38" w:name="_Toc514509432"/>
            <w:bookmarkStart w:id="339" w:name="_Toc514509203"/>
            <w:bookmarkStart w:id="340" w:name="_Toc514424401"/>
            <w:r>
              <w:rPr>
                <w:rFonts w:hint="eastAsia" w:ascii="宋体" w:hAnsi="宋体" w:cs="宋体"/>
                <w:color w:val="auto"/>
                <w:szCs w:val="21"/>
                <w:highlight w:val="none"/>
              </w:rPr>
              <w:t>烟、温感探头、消火栓按钮</w:t>
            </w:r>
            <w:bookmarkEnd w:id="338"/>
            <w:bookmarkEnd w:id="339"/>
            <w:bookmarkEnd w:id="340"/>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41" w:name="_Toc514509204"/>
            <w:bookmarkStart w:id="342" w:name="_Toc514424402"/>
            <w:bookmarkStart w:id="343" w:name="_Toc514509433"/>
            <w:r>
              <w:rPr>
                <w:rFonts w:hint="eastAsia" w:ascii="宋体" w:hAnsi="宋体" w:cs="宋体"/>
                <w:color w:val="auto"/>
                <w:szCs w:val="21"/>
                <w:highlight w:val="none"/>
              </w:rPr>
              <w:t>每天不少于1次</w:t>
            </w:r>
            <w:bookmarkEnd w:id="341"/>
            <w:bookmarkEnd w:id="342"/>
            <w:bookmarkEnd w:id="343"/>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344" w:name="_Toc514424403"/>
            <w:bookmarkStart w:id="345" w:name="_Toc514509434"/>
            <w:bookmarkStart w:id="346" w:name="_Toc514509205"/>
            <w:r>
              <w:rPr>
                <w:rFonts w:hint="eastAsia" w:ascii="宋体" w:hAnsi="宋体" w:cs="宋体"/>
                <w:color w:val="auto"/>
                <w:szCs w:val="21"/>
                <w:highlight w:val="none"/>
              </w:rPr>
              <w:t>检查烟、温感探头、手报、消火栓按钮报警功能是否正常，消防通讯设备、警报设备是否正常。(维保范畴</w:t>
            </w:r>
            <w:bookmarkEnd w:id="344"/>
            <w:bookmarkEnd w:id="345"/>
            <w:bookmarkEnd w:id="346"/>
            <w:r>
              <w:rPr>
                <w:rFonts w:hint="eastAsia" w:ascii="宋体" w:hAnsi="宋体" w:cs="宋体"/>
                <w:color w:val="auto"/>
                <w:szCs w:val="21"/>
                <w:highlight w:val="none"/>
              </w:rPr>
              <w:t>)</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47" w:name="_Toc514509435"/>
            <w:bookmarkStart w:id="348" w:name="_Toc514509206"/>
            <w:bookmarkStart w:id="349" w:name="_Toc514424404"/>
            <w:r>
              <w:rPr>
                <w:rFonts w:hint="eastAsia" w:ascii="宋体" w:hAnsi="宋体" w:cs="宋体"/>
                <w:color w:val="auto"/>
                <w:szCs w:val="21"/>
                <w:highlight w:val="none"/>
              </w:rPr>
              <w:t>7</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防火门</w:t>
            </w:r>
            <w:bookmarkEnd w:id="347"/>
            <w:bookmarkEnd w:id="348"/>
            <w:bookmarkEnd w:id="349"/>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50" w:name="_Toc514509207"/>
            <w:bookmarkStart w:id="351" w:name="_Toc514509436"/>
            <w:bookmarkStart w:id="352" w:name="_Toc514424405"/>
            <w:r>
              <w:rPr>
                <w:rFonts w:hint="eastAsia" w:ascii="宋体" w:hAnsi="宋体" w:cs="宋体"/>
                <w:color w:val="auto"/>
                <w:szCs w:val="21"/>
                <w:highlight w:val="none"/>
              </w:rPr>
              <w:t>防火门、铰链、拉手</w:t>
            </w:r>
            <w:bookmarkEnd w:id="350"/>
            <w:bookmarkEnd w:id="351"/>
            <w:bookmarkEnd w:id="352"/>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53" w:name="_Toc514509437"/>
            <w:bookmarkStart w:id="354" w:name="_Toc514424406"/>
            <w:bookmarkStart w:id="355" w:name="_Toc514509208"/>
            <w:r>
              <w:rPr>
                <w:rFonts w:hint="eastAsia" w:ascii="宋体" w:hAnsi="宋体" w:cs="宋体"/>
                <w:color w:val="auto"/>
                <w:szCs w:val="21"/>
                <w:highlight w:val="none"/>
              </w:rPr>
              <w:t>每周不少于1次</w:t>
            </w:r>
            <w:bookmarkEnd w:id="353"/>
            <w:bookmarkEnd w:id="354"/>
            <w:bookmarkEnd w:id="355"/>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356" w:name="_Toc514509209"/>
            <w:bookmarkStart w:id="357" w:name="_Toc514424407"/>
            <w:bookmarkStart w:id="358" w:name="_Toc514509438"/>
            <w:r>
              <w:rPr>
                <w:rFonts w:hint="eastAsia" w:ascii="宋体" w:hAnsi="宋体" w:cs="宋体"/>
                <w:color w:val="auto"/>
                <w:szCs w:val="21"/>
                <w:highlight w:val="none"/>
              </w:rPr>
              <w:t>无破损，无大面积脱漆，开关灵活。</w:t>
            </w:r>
            <w:bookmarkEnd w:id="356"/>
            <w:bookmarkEnd w:id="357"/>
            <w:bookmarkEnd w:id="358"/>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59" w:name="_Toc514424408"/>
            <w:bookmarkStart w:id="360" w:name="_Toc514509210"/>
            <w:bookmarkStart w:id="361" w:name="_Toc514509439"/>
            <w:r>
              <w:rPr>
                <w:rFonts w:hint="eastAsia" w:ascii="宋体" w:hAnsi="宋体" w:cs="宋体"/>
                <w:color w:val="auto"/>
                <w:szCs w:val="21"/>
                <w:highlight w:val="none"/>
              </w:rPr>
              <w:t>8</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消防联动系统</w:t>
            </w:r>
            <w:bookmarkEnd w:id="359"/>
            <w:bookmarkEnd w:id="360"/>
            <w:bookmarkEnd w:id="361"/>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62" w:name="_Toc514509440"/>
            <w:bookmarkStart w:id="363" w:name="_Toc514509211"/>
            <w:bookmarkStart w:id="364" w:name="_Toc514424409"/>
            <w:r>
              <w:rPr>
                <w:rFonts w:hint="eastAsia" w:ascii="宋体" w:hAnsi="宋体" w:cs="宋体"/>
                <w:color w:val="auto"/>
                <w:szCs w:val="21"/>
                <w:highlight w:val="none"/>
              </w:rPr>
              <w:t>消防联动系统</w:t>
            </w:r>
            <w:bookmarkEnd w:id="362"/>
            <w:bookmarkEnd w:id="363"/>
            <w:bookmarkEnd w:id="364"/>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bookmarkStart w:id="365" w:name="_Toc514424410"/>
            <w:bookmarkStart w:id="366" w:name="_Toc514509441"/>
            <w:bookmarkStart w:id="367" w:name="_Toc514509212"/>
            <w:r>
              <w:rPr>
                <w:rFonts w:hint="eastAsia" w:ascii="宋体" w:hAnsi="宋体" w:cs="宋体"/>
                <w:color w:val="auto"/>
                <w:szCs w:val="21"/>
                <w:highlight w:val="none"/>
              </w:rPr>
              <w:t>每季不少于1次</w:t>
            </w:r>
            <w:bookmarkEnd w:id="365"/>
            <w:bookmarkEnd w:id="366"/>
            <w:bookmarkEnd w:id="367"/>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bookmarkStart w:id="368" w:name="_Toc514509442"/>
            <w:bookmarkStart w:id="369" w:name="_Toc514424411"/>
            <w:bookmarkStart w:id="370" w:name="_Toc514509213"/>
            <w:r>
              <w:rPr>
                <w:rFonts w:hint="eastAsia" w:ascii="宋体" w:hAnsi="宋体" w:cs="宋体"/>
                <w:color w:val="auto"/>
                <w:szCs w:val="21"/>
                <w:highlight w:val="none"/>
              </w:rPr>
              <w:t>每季消防联动设备测试：模块动作是否准确、联动设备工作是否正常，主机回授信号是否正常。(维保范畴</w:t>
            </w:r>
            <w:bookmarkEnd w:id="368"/>
            <w:bookmarkEnd w:id="369"/>
            <w:bookmarkEnd w:id="370"/>
            <w:r>
              <w:rPr>
                <w:rFonts w:hint="eastAsia" w:ascii="宋体" w:hAnsi="宋体" w:cs="宋体"/>
                <w:color w:val="auto"/>
                <w:szCs w:val="21"/>
                <w:highlight w:val="none"/>
              </w:rPr>
              <w:t>)</w:t>
            </w:r>
          </w:p>
        </w:tc>
      </w:tr>
    </w:tbl>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3)灭火器材盘点清查并留存相应记录，灭火器(月检)、消火栓(季检)、器材类(月检)等；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4)对防雷设施每年雷雨季节到来之前进行全面检查和保养，雷雨季节每周检查2次，确保防雷设施完好；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5)每周对所有消防通道和安全出口检查 1次。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6)消防设施、设备和器材的正常消耗由采购人负责补充。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消防水系统控制室操作制度规范、健全并上墙，每天对运行情况进行检查并记录，每周消防栓水压状况进行检查并登记，对消防水系统按要求进行日常维护，联系维保公司进行定期维保，出现不良状况及时向报告。</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8)投标人配备的管理人员应掌握消防知识。熟悉本工作(种)岗位的火灾危险性，熟悉预防火灾措施，熟悉扑救初期火灾的方法。发生火灾后，会报警、会使用各种消防器材、会扑救初期火灾。</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9)协助高新政务中心开展消防法律、法规及消防安全知识的宣传教育。</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10)组织相关人员参与火灾应急处置。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(3)参与应急处置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全面服从采购人相关部门统一指挥，组织有力，反应迅速，效果良好。</w:t>
      </w:r>
    </w:p>
    <w:p>
      <w:pPr>
        <w:tabs>
          <w:tab w:val="left" w:pos="0"/>
        </w:tabs>
        <w:spacing w:line="44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(三)保洁服务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1.服务内容及范围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(1)楼宇、室内场所的清洁卫生、日常保洁、垃圾的收集、清运服务(不含厨余垃圾清运)。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(1)服务区域设备功能房等相关区域、楼内走廊、楼梯道、卫生间、公共活动室、会议室、指定房间、阳台、天台等公共区域的清洁卫生。</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(1)负责责任区域的地面清扫、墙面保洁及各种设施设备保洁。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(2)保洁服务包括对保洁范围内进行清扫、保洁、乱张乱贴清理、垃圾清运、消毒等保持采购人办公环境整洁的内容。</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(3)按工作程序对责任区域进行日常定期清扫或不定期保洁，做到按标准全天候、全方位保洁。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(4)垃圾清运要及时、环保。</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(5)按照相关要求，配备公共区域分类垃圾箱(桶)、雨伞架等便民服务设备、相关保洁用品(包括但不限于保洁消毒液、洗手液、卫生间区域纸巾)及保洁人员使用的相关工具等，均由投标人提供并维护。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3.服务标准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(1)楼宇入口及大厅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基本标准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1)门窗(玻璃、窗框、窗台、门把手)无手印、无污渍，保持光洁明亮；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2)地面、地脚线、指示牌、座地烟灰缸无污迹、水迹、尘迹，保持光洁明亮；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3)灯饰、通风口、空调风口、天花顶无蛛丝、无污尘。</w:t>
      </w:r>
    </w:p>
    <w:p>
      <w:pPr>
        <w:tabs>
          <w:tab w:val="left" w:pos="0"/>
        </w:tabs>
        <w:spacing w:line="440" w:lineRule="exact"/>
        <w:ind w:firstLine="480" w:firstLineChars="200"/>
        <w:rPr>
          <w:rFonts w:cs="宋体"/>
          <w:color w:val="auto"/>
          <w:highlight w:val="none"/>
        </w:rPr>
      </w:pPr>
      <w:r>
        <w:rPr>
          <w:rFonts w:hint="eastAsia" w:ascii="宋体" w:hAnsi="宋体"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3543"/>
        <w:gridCol w:w="2052"/>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序号</w:t>
            </w:r>
          </w:p>
        </w:tc>
        <w:tc>
          <w:tcPr>
            <w:tcW w:w="2079"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项目</w:t>
            </w:r>
          </w:p>
        </w:tc>
        <w:tc>
          <w:tcPr>
            <w:tcW w:w="1204"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保洁方式</w:t>
            </w:r>
          </w:p>
        </w:tc>
        <w:tc>
          <w:tcPr>
            <w:tcW w:w="1258"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tcBorders>
              <w:tl2br w:val="nil"/>
              <w:tr2bl w:val="nil"/>
            </w:tcBorders>
            <w:vAlign w:val="center"/>
          </w:tcPr>
          <w:p>
            <w:pPr>
              <w:widowControl/>
              <w:tabs>
                <w:tab w:val="left" w:pos="0"/>
              </w:tabs>
              <w:rPr>
                <w:rFonts w:cs="宋体"/>
                <w:color w:val="auto"/>
                <w:szCs w:val="21"/>
                <w:highlight w:val="none"/>
              </w:rPr>
            </w:pPr>
          </w:p>
        </w:tc>
        <w:tc>
          <w:tcPr>
            <w:tcW w:w="2079" w:type="pct"/>
            <w:vMerge w:val="continue"/>
            <w:tcBorders>
              <w:tl2br w:val="nil"/>
              <w:tr2bl w:val="nil"/>
            </w:tcBorders>
            <w:vAlign w:val="center"/>
          </w:tcPr>
          <w:p>
            <w:pPr>
              <w:widowControl/>
              <w:tabs>
                <w:tab w:val="left" w:pos="0"/>
              </w:tabs>
              <w:rPr>
                <w:rFonts w:cs="宋体"/>
                <w:color w:val="auto"/>
                <w:szCs w:val="21"/>
                <w:highlight w:val="none"/>
              </w:rPr>
            </w:pPr>
          </w:p>
        </w:tc>
        <w:tc>
          <w:tcPr>
            <w:tcW w:w="1204" w:type="pct"/>
            <w:vMerge w:val="continue"/>
            <w:tcBorders>
              <w:tl2br w:val="nil"/>
              <w:tr2bl w:val="nil"/>
            </w:tcBorders>
            <w:vAlign w:val="center"/>
          </w:tcPr>
          <w:p>
            <w:pPr>
              <w:widowControl/>
              <w:tabs>
                <w:tab w:val="left" w:pos="0"/>
              </w:tabs>
              <w:rPr>
                <w:rFonts w:cs="宋体"/>
                <w:color w:val="auto"/>
                <w:szCs w:val="21"/>
                <w:highlight w:val="none"/>
              </w:rPr>
            </w:pPr>
          </w:p>
        </w:tc>
        <w:tc>
          <w:tcPr>
            <w:tcW w:w="1258" w:type="pct"/>
            <w:vMerge w:val="continue"/>
            <w:tcBorders>
              <w:tl2br w:val="nil"/>
              <w:tr2bl w:val="nil"/>
            </w:tcBorders>
            <w:vAlign w:val="center"/>
          </w:tcPr>
          <w:p>
            <w:pPr>
              <w:widowControl/>
              <w:tabs>
                <w:tab w:val="left" w:pos="0"/>
              </w:tabs>
              <w:rPr>
                <w:rFonts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1</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门窗(窗框、窗台、门把手)</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2</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玻璃</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3</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地面</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清扫尘推点拖</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4</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地脚线</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5</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座地垃圾桶</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7</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墙面</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8</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指示牌、开关</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9</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通风口、空调风口、天花顶</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打蛛网</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楼层过道保洁</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基本标准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指示牌、悬挂牌光洁明亮，保持消防通道无杂物。</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地面、墙面、消防器材、果皮箱、垃圾筒无污溃、无痰溃、无尘迹。</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天花吊顶、送排风口无蜘蛛网和灰尘污渍。</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门把、镜子无水渍、无印迹，明亮照人。</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3540"/>
        <w:gridCol w:w="2052"/>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序号</w:t>
            </w:r>
          </w:p>
        </w:tc>
        <w:tc>
          <w:tcPr>
            <w:tcW w:w="2077"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项目</w:t>
            </w:r>
          </w:p>
        </w:tc>
        <w:tc>
          <w:tcPr>
            <w:tcW w:w="1204"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保洁方式</w:t>
            </w:r>
          </w:p>
        </w:tc>
        <w:tc>
          <w:tcPr>
            <w:tcW w:w="1260"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rPr>
                <w:rFonts w:cs="宋体"/>
                <w:color w:val="auto"/>
                <w:szCs w:val="21"/>
                <w:highlight w:val="none"/>
              </w:rPr>
            </w:pPr>
          </w:p>
        </w:tc>
        <w:tc>
          <w:tcPr>
            <w:tcW w:w="1204" w:type="pct"/>
            <w:vMerge w:val="continue"/>
            <w:vAlign w:val="center"/>
          </w:tcPr>
          <w:p>
            <w:pPr>
              <w:widowControl/>
              <w:tabs>
                <w:tab w:val="left" w:pos="0"/>
              </w:tabs>
              <w:rPr>
                <w:rFonts w:cs="宋体"/>
                <w:color w:val="auto"/>
                <w:szCs w:val="21"/>
                <w:highlight w:val="none"/>
              </w:rPr>
            </w:pPr>
          </w:p>
        </w:tc>
        <w:tc>
          <w:tcPr>
            <w:tcW w:w="1260" w:type="pct"/>
            <w:vMerge w:val="continue"/>
            <w:vAlign w:val="center"/>
          </w:tcPr>
          <w:p>
            <w:pPr>
              <w:widowControl/>
              <w:tabs>
                <w:tab w:val="left" w:pos="0"/>
              </w:tabs>
              <w:jc w:val="center"/>
              <w:rPr>
                <w:rFonts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1</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指示牌、悬挂牌</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擦拭</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2</w:t>
            </w:r>
          </w:p>
        </w:tc>
        <w:tc>
          <w:tcPr>
            <w:tcW w:w="207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地面</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清扫</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jc w:val="center"/>
              <w:rPr>
                <w:rFonts w:cs="宋体"/>
                <w:color w:val="auto"/>
                <w:szCs w:val="21"/>
                <w:highlight w:val="none"/>
              </w:rPr>
            </w:pP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尘推</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jc w:val="center"/>
              <w:rPr>
                <w:rFonts w:cs="宋体"/>
                <w:color w:val="auto"/>
                <w:szCs w:val="21"/>
                <w:highlight w:val="none"/>
              </w:rPr>
            </w:pP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点拖</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3</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墙面</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4</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灯饰、开关</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5</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消防器材</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6</w:t>
            </w:r>
          </w:p>
        </w:tc>
        <w:tc>
          <w:tcPr>
            <w:tcW w:w="207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垃圾桶、果皮箱</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清收</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jc w:val="center"/>
              <w:rPr>
                <w:rFonts w:cs="宋体"/>
                <w:color w:val="auto"/>
                <w:szCs w:val="21"/>
                <w:highlight w:val="none"/>
              </w:rPr>
            </w:pP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抺净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7</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天花吊顶、防火门</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除尘</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8</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低处通风口</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9</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门把、镜子</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10</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护栏、通道扶手</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11</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楼内管道</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除尘</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卫生间保洁</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基本标准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地面、墙面、门、窗、玻璃镜面、隔板无灰尘污渍和其它杂物；</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小便器、蹲便器、洗手盆无污渍、无积水、无垢、无臭,瓷器光洁明亮；</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厕所小便器内需随时搁置除臭剂，确保厕所无异味；</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保持下水管道水流畅通。</w:t>
      </w:r>
    </w:p>
    <w:p>
      <w:pPr>
        <w:tabs>
          <w:tab w:val="left" w:pos="0"/>
        </w:tabs>
        <w:spacing w:line="440" w:lineRule="exact"/>
        <w:ind w:firstLine="480" w:firstLineChars="200"/>
        <w:rPr>
          <w:rFonts w:cs="宋体"/>
          <w:color w:val="auto"/>
          <w:highlight w:val="none"/>
        </w:rPr>
      </w:pPr>
      <w:r>
        <w:rPr>
          <w:rFonts w:hint="eastAsia"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872"/>
        <w:gridCol w:w="2454"/>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2"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685"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1440"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保洁方式</w:t>
            </w:r>
          </w:p>
        </w:tc>
        <w:tc>
          <w:tcPr>
            <w:tcW w:w="1302"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685"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440"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30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restar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w:t>
            </w:r>
          </w:p>
        </w:tc>
        <w:tc>
          <w:tcPr>
            <w:tcW w:w="1685" w:type="pct"/>
            <w:vMerge w:val="restar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地面</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清扫</w:t>
            </w:r>
          </w:p>
        </w:tc>
        <w:tc>
          <w:tcPr>
            <w:tcW w:w="1302" w:type="pct"/>
            <w:vMerge w:val="restar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685"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尘推</w:t>
            </w:r>
          </w:p>
        </w:tc>
        <w:tc>
          <w:tcPr>
            <w:tcW w:w="130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685"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点拖</w:t>
            </w:r>
          </w:p>
        </w:tc>
        <w:tc>
          <w:tcPr>
            <w:tcW w:w="130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2</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墙面</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除尘</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3</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门、窗</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4</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玻璃镜面</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5</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隔板</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6</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小便器、蹲便器、洗手盆</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7</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废物箱</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清理</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8</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下水管道</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清理</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9</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灯饰</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10</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天花板</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11</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客卫品</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摆放</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功能房(会议室、接待室、茶水间、办公室)保洁</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基本标准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地面无尘迹；</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桌椅、沙发、烟灰缸干净无尘；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门窗无印迹、灰尘；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家具、电器设施无尘；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垃圾桶清理干净。</w:t>
      </w:r>
    </w:p>
    <w:p>
      <w:pPr>
        <w:tabs>
          <w:tab w:val="left" w:pos="0"/>
        </w:tabs>
        <w:spacing w:line="440" w:lineRule="exact"/>
        <w:ind w:firstLine="480" w:firstLineChars="200"/>
        <w:rPr>
          <w:rFonts w:cs="宋体"/>
          <w:color w:val="auto"/>
          <w:highlight w:val="none"/>
        </w:rPr>
      </w:pPr>
      <w:r>
        <w:rPr>
          <w:rFonts w:hint="eastAsia"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2991"/>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4"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755"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1250"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保洁方式</w:t>
            </w:r>
          </w:p>
        </w:tc>
        <w:tc>
          <w:tcPr>
            <w:tcW w:w="1250"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4" w:type="pct"/>
            <w:vMerge w:val="continue"/>
            <w:vAlign w:val="center"/>
          </w:tcPr>
          <w:p>
            <w:pPr>
              <w:widowControl/>
              <w:tabs>
                <w:tab w:val="left" w:pos="0"/>
              </w:tabs>
              <w:jc w:val="center"/>
              <w:rPr>
                <w:rFonts w:ascii="宋体" w:hAnsi="宋体" w:cs="宋体"/>
                <w:color w:val="auto"/>
                <w:szCs w:val="21"/>
                <w:highlight w:val="none"/>
              </w:rPr>
            </w:pPr>
          </w:p>
        </w:tc>
        <w:tc>
          <w:tcPr>
            <w:tcW w:w="1755" w:type="pct"/>
            <w:vMerge w:val="continue"/>
            <w:vAlign w:val="center"/>
          </w:tcPr>
          <w:p>
            <w:pPr>
              <w:widowControl/>
              <w:tabs>
                <w:tab w:val="left" w:pos="0"/>
              </w:tabs>
              <w:jc w:val="center"/>
              <w:rPr>
                <w:rFonts w:ascii="宋体" w:hAnsi="宋体" w:cs="宋体"/>
                <w:color w:val="auto"/>
                <w:szCs w:val="21"/>
                <w:highlight w:val="none"/>
              </w:rPr>
            </w:pPr>
          </w:p>
        </w:tc>
        <w:tc>
          <w:tcPr>
            <w:tcW w:w="1250" w:type="pct"/>
            <w:vMerge w:val="continue"/>
            <w:vAlign w:val="center"/>
          </w:tcPr>
          <w:p>
            <w:pPr>
              <w:widowControl/>
              <w:tabs>
                <w:tab w:val="left" w:pos="0"/>
              </w:tabs>
              <w:jc w:val="center"/>
              <w:rPr>
                <w:rFonts w:ascii="宋体" w:hAnsi="宋体" w:cs="宋体"/>
                <w:color w:val="auto"/>
                <w:szCs w:val="21"/>
                <w:highlight w:val="none"/>
              </w:rPr>
            </w:pPr>
          </w:p>
        </w:tc>
        <w:tc>
          <w:tcPr>
            <w:tcW w:w="1250" w:type="pct"/>
            <w:vMerge w:val="continue"/>
            <w:vAlign w:val="center"/>
          </w:tcPr>
          <w:p>
            <w:pPr>
              <w:widowControl/>
              <w:tabs>
                <w:tab w:val="left" w:pos="0"/>
              </w:tabs>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w:t>
            </w:r>
          </w:p>
        </w:tc>
        <w:tc>
          <w:tcPr>
            <w:tcW w:w="1755"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地面</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拖拭</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Merge w:val="continue"/>
            <w:vAlign w:val="center"/>
          </w:tcPr>
          <w:p>
            <w:pPr>
              <w:widowControl/>
              <w:tabs>
                <w:tab w:val="left" w:pos="0"/>
              </w:tabs>
              <w:jc w:val="center"/>
              <w:rPr>
                <w:rFonts w:ascii="宋体" w:hAnsi="宋体" w:cs="宋体"/>
                <w:color w:val="auto"/>
                <w:szCs w:val="21"/>
                <w:highlight w:val="none"/>
              </w:rPr>
            </w:pPr>
          </w:p>
        </w:tc>
        <w:tc>
          <w:tcPr>
            <w:tcW w:w="1755" w:type="pct"/>
            <w:vMerge w:val="continue"/>
            <w:vAlign w:val="center"/>
          </w:tcPr>
          <w:p>
            <w:pPr>
              <w:widowControl/>
              <w:tabs>
                <w:tab w:val="left" w:pos="0"/>
              </w:tabs>
              <w:jc w:val="center"/>
              <w:rPr>
                <w:rFonts w:ascii="宋体" w:hAnsi="宋体" w:cs="宋体"/>
                <w:color w:val="auto"/>
                <w:szCs w:val="21"/>
                <w:highlight w:val="none"/>
              </w:rPr>
            </w:pP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除尘</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2</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桌椅、沙发、烟灰缸</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3</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门窗</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4</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家具、电器设施</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每周不少于2次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5</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物品整理</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清理</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6</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墙面</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除尘</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7</w:t>
            </w:r>
          </w:p>
        </w:tc>
        <w:tc>
          <w:tcPr>
            <w:tcW w:w="1755"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垃圾桶</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清收</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44" w:type="pct"/>
            <w:vMerge w:val="continue"/>
            <w:vAlign w:val="center"/>
          </w:tcPr>
          <w:p>
            <w:pPr>
              <w:widowControl/>
              <w:tabs>
                <w:tab w:val="left" w:pos="0"/>
              </w:tabs>
              <w:jc w:val="center"/>
              <w:rPr>
                <w:rFonts w:ascii="宋体" w:hAnsi="宋体" w:cs="宋体"/>
                <w:color w:val="auto"/>
                <w:szCs w:val="21"/>
                <w:highlight w:val="none"/>
              </w:rPr>
            </w:pPr>
          </w:p>
        </w:tc>
        <w:tc>
          <w:tcPr>
            <w:tcW w:w="1755" w:type="pct"/>
            <w:vMerge w:val="continue"/>
            <w:vAlign w:val="center"/>
          </w:tcPr>
          <w:p>
            <w:pPr>
              <w:widowControl/>
              <w:tabs>
                <w:tab w:val="left" w:pos="0"/>
              </w:tabs>
              <w:jc w:val="center"/>
              <w:rPr>
                <w:rFonts w:ascii="宋体" w:hAnsi="宋体" w:cs="宋体"/>
                <w:color w:val="auto"/>
                <w:szCs w:val="21"/>
                <w:highlight w:val="none"/>
              </w:rPr>
            </w:pP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垃圾清运</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垃圾箱、筒的垃圾存量不超过上缘，做到日产日清，定期清洗消毒，无明显积水，无蚊蝇飞舞，垃圾不在筒箱内过夜。垃圾清运工具应保持清洁无破损，清运过程中不产生二次污染，垃圾日产日清。</w:t>
      </w:r>
    </w:p>
    <w:p>
      <w:pPr>
        <w:tabs>
          <w:tab w:val="left" w:pos="0"/>
        </w:tabs>
        <w:spacing w:line="440" w:lineRule="exact"/>
        <w:ind w:firstLine="482" w:firstLineChars="200"/>
        <w:outlineLvl w:val="2"/>
        <w:rPr>
          <w:rFonts w:cs="宋体"/>
          <w:b/>
          <w:color w:val="auto"/>
          <w:sz w:val="24"/>
          <w:highlight w:val="none"/>
        </w:rPr>
      </w:pPr>
      <w:r>
        <w:rPr>
          <w:rFonts w:hint="eastAsia" w:cs="宋体"/>
          <w:b/>
          <w:color w:val="auto"/>
          <w:sz w:val="24"/>
          <w:highlight w:val="none"/>
        </w:rPr>
        <w:t>(四)设施设备维保及日常维修服务</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1.服务内容及范围</w:t>
      </w:r>
    </w:p>
    <w:p>
      <w:pPr>
        <w:tabs>
          <w:tab w:val="left" w:pos="0"/>
        </w:tabs>
        <w:spacing w:line="440" w:lineRule="exact"/>
        <w:ind w:firstLine="480" w:firstLineChars="200"/>
        <w:rPr>
          <w:color w:val="auto"/>
          <w:sz w:val="24"/>
          <w:highlight w:val="none"/>
        </w:rPr>
      </w:pPr>
      <w:r>
        <w:rPr>
          <w:rFonts w:hint="eastAsia" w:cs="宋体"/>
          <w:color w:val="auto"/>
          <w:sz w:val="24"/>
          <w:highlight w:val="none"/>
        </w:rPr>
        <w:t>对办公楼公共建筑物除主体结构以外的装饰装修部分，包括(设备功能房等相关区域)，房屋的吊顶、门窗、室内外地面、内墙、外墙等部位进行日常养护、维修和报修。</w:t>
      </w:r>
      <w:r>
        <w:rPr>
          <w:rFonts w:hint="eastAsia"/>
          <w:color w:val="auto"/>
          <w:sz w:val="24"/>
          <w:highlight w:val="none"/>
        </w:rPr>
        <w:t>对办公区域的电子设施设备进行基础安装、维修。</w:t>
      </w:r>
    </w:p>
    <w:tbl>
      <w:tblPr>
        <w:tblStyle w:val="4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108" w:type="dxa"/>
          <w:bottom w:w="0" w:type="dxa"/>
          <w:right w:w="108" w:type="dxa"/>
        </w:tblCellMar>
      </w:tblPr>
      <w:tblGrid>
        <w:gridCol w:w="1306"/>
        <w:gridCol w:w="656"/>
        <w:gridCol w:w="2594"/>
        <w:gridCol w:w="1619"/>
        <w:gridCol w:w="2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766"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系统</w:t>
            </w:r>
          </w:p>
        </w:tc>
        <w:tc>
          <w:tcPr>
            <w:tcW w:w="385"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1522"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服务项目</w:t>
            </w:r>
          </w:p>
        </w:tc>
        <w:tc>
          <w:tcPr>
            <w:tcW w:w="2327" w:type="pct"/>
            <w:gridSpan w:val="2"/>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数量及维保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1522"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2327" w:type="pct"/>
            <w:gridSpan w:val="2"/>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供配电系统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供配电系统维护</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6套</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灭火器</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1973个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消防系统(含年度检测)</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1000套</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空调系统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卫生间排气扇</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23个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空调主机</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1台</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电梯机房空调</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4台</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锅炉</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1台</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电梯系统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维保及检测</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政务办证中心直梯</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政务办证中心扶梯</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14</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照明系统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政务办证中心照明(LED)</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14411个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政务办证中心卫生间照明</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23个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政务办证中心泛光照明</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智能楼宇系统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门禁系统</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1套</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监控系统</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1套</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建筑及装饰</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其它</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建筑五金零星费</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49337个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bl>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2.基本要求</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楼面地面养护。维持楼地面、地面及粘贴的磁砖(地板砖)完好无损，对楼内公共地面防潮，墙地砖损坏及时维修破损的磁砖(地板砖)。</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墙台面和吊顶养护。保持墙台面清洁，无污渍，无脚印，及时报修吊顶破损部位，每半年对墙面损坏部分粉补一次。</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门窗养护。加强门窗日常检查和维修，确保门窗正常使用。</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防雷设施养护。定期对防雷设施进行巡查，并进行维修、养护。</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设置限制性进入区域。根据物业管理行规和采购人资产管理要求，设置并标识限制性进入区域，严禁超负荷物品进入。</w:t>
      </w:r>
    </w:p>
    <w:p>
      <w:pPr>
        <w:tabs>
          <w:tab w:val="left" w:pos="0"/>
        </w:tabs>
        <w:spacing w:line="440" w:lineRule="exact"/>
        <w:ind w:firstLine="480" w:firstLineChars="200"/>
        <w:rPr>
          <w:rFonts w:ascii="宋体"/>
          <w:color w:val="auto"/>
          <w:sz w:val="24"/>
          <w:highlight w:val="none"/>
        </w:rPr>
      </w:pPr>
      <w:r>
        <w:rPr>
          <w:rFonts w:hint="eastAsia" w:ascii="宋体" w:hAnsi="宋体" w:cs="宋体"/>
          <w:color w:val="auto"/>
          <w:sz w:val="24"/>
          <w:highlight w:val="none"/>
        </w:rPr>
        <w:t>(6)</w:t>
      </w:r>
      <w:r>
        <w:rPr>
          <w:rFonts w:hint="eastAsia" w:ascii="宋体"/>
          <w:color w:val="auto"/>
          <w:sz w:val="24"/>
          <w:highlight w:val="none"/>
        </w:rPr>
        <w:t>对办公区域的电子设施设备进行基础安装、维修。</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3.服务标准</w:t>
      </w:r>
    </w:p>
    <w:p>
      <w:pPr>
        <w:numPr>
          <w:ins w:id="0" w:author="53174" w:date="2021-07-30T12:50:00Z"/>
        </w:numPr>
        <w:tabs>
          <w:tab w:val="left" w:pos="0"/>
        </w:tabs>
        <w:spacing w:line="440" w:lineRule="exact"/>
        <w:rPr>
          <w:color w:val="auto"/>
          <w:highlight w:val="none"/>
        </w:rPr>
      </w:pPr>
      <w:r>
        <w:rPr>
          <w:rFonts w:hint="eastAsia" w:cs="宋体"/>
          <w:color w:val="auto"/>
          <w:sz w:val="24"/>
          <w:highlight w:val="none"/>
        </w:rPr>
        <w:t>认真贯彻以预防为主的方针,确保房屋装饰装修部分完好。加强对房屋本体的修缮管理，保持建筑物及周围环境达到相关标准，充分发挥其使用功能。</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825"/>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8" w:type="pct"/>
            <w:vAlign w:val="center"/>
          </w:tcPr>
          <w:p>
            <w:pPr>
              <w:tabs>
                <w:tab w:val="left" w:pos="0"/>
              </w:tabs>
              <w:jc w:val="center"/>
              <w:outlineLvl w:val="2"/>
              <w:rPr>
                <w:rFonts w:cs="宋体"/>
                <w:b/>
                <w:bCs/>
                <w:color w:val="auto"/>
                <w:szCs w:val="21"/>
                <w:highlight w:val="none"/>
              </w:rPr>
            </w:pPr>
            <w:bookmarkStart w:id="371" w:name="_Toc514509214"/>
            <w:bookmarkStart w:id="372" w:name="_Toc514509443"/>
            <w:bookmarkStart w:id="373" w:name="_Toc514424412"/>
            <w:r>
              <w:rPr>
                <w:rFonts w:hint="eastAsia" w:cs="宋体"/>
                <w:b/>
                <w:bCs/>
                <w:color w:val="auto"/>
                <w:szCs w:val="21"/>
                <w:highlight w:val="none"/>
              </w:rPr>
              <w:t>项目</w:t>
            </w:r>
            <w:bookmarkEnd w:id="371"/>
            <w:bookmarkEnd w:id="372"/>
            <w:bookmarkEnd w:id="373"/>
          </w:p>
        </w:tc>
        <w:tc>
          <w:tcPr>
            <w:tcW w:w="1071" w:type="pct"/>
            <w:vAlign w:val="center"/>
          </w:tcPr>
          <w:p>
            <w:pPr>
              <w:tabs>
                <w:tab w:val="left" w:pos="0"/>
              </w:tabs>
              <w:jc w:val="center"/>
              <w:outlineLvl w:val="2"/>
              <w:rPr>
                <w:rFonts w:cs="宋体"/>
                <w:b/>
                <w:bCs/>
                <w:color w:val="auto"/>
                <w:szCs w:val="21"/>
                <w:highlight w:val="none"/>
              </w:rPr>
            </w:pPr>
            <w:bookmarkStart w:id="374" w:name="_Toc514424413"/>
            <w:bookmarkStart w:id="375" w:name="_Toc514509215"/>
            <w:bookmarkStart w:id="376" w:name="_Toc514509444"/>
            <w:r>
              <w:rPr>
                <w:rFonts w:hint="eastAsia" w:cs="宋体"/>
                <w:b/>
                <w:bCs/>
                <w:color w:val="auto"/>
                <w:szCs w:val="21"/>
                <w:highlight w:val="none"/>
              </w:rPr>
              <w:t>巡查周期</w:t>
            </w:r>
            <w:bookmarkEnd w:id="374"/>
            <w:bookmarkEnd w:id="375"/>
            <w:bookmarkEnd w:id="376"/>
          </w:p>
        </w:tc>
        <w:tc>
          <w:tcPr>
            <w:tcW w:w="2820" w:type="pct"/>
            <w:vAlign w:val="center"/>
          </w:tcPr>
          <w:p>
            <w:pPr>
              <w:tabs>
                <w:tab w:val="left" w:pos="0"/>
              </w:tabs>
              <w:jc w:val="center"/>
              <w:outlineLvl w:val="2"/>
              <w:rPr>
                <w:rFonts w:cs="宋体"/>
                <w:b/>
                <w:bCs/>
                <w:color w:val="auto"/>
                <w:szCs w:val="21"/>
                <w:highlight w:val="none"/>
              </w:rPr>
            </w:pPr>
            <w:bookmarkStart w:id="377" w:name="_Toc514424414"/>
            <w:bookmarkStart w:id="378" w:name="_Toc514509216"/>
            <w:bookmarkStart w:id="379" w:name="_Toc514509445"/>
            <w:r>
              <w:rPr>
                <w:rFonts w:hint="eastAsia" w:cs="宋体"/>
                <w:b/>
                <w:bCs/>
                <w:color w:val="auto"/>
                <w:szCs w:val="21"/>
                <w:highlight w:val="none"/>
              </w:rPr>
              <w:t>运行标准</w:t>
            </w:r>
            <w:bookmarkEnd w:id="377"/>
            <w:bookmarkEnd w:id="378"/>
            <w:bookmarkEnd w:id="37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08" w:type="pct"/>
            <w:vAlign w:val="center"/>
          </w:tcPr>
          <w:p>
            <w:pPr>
              <w:tabs>
                <w:tab w:val="left" w:pos="0"/>
              </w:tabs>
              <w:jc w:val="center"/>
              <w:outlineLvl w:val="2"/>
              <w:rPr>
                <w:rFonts w:cs="宋体"/>
                <w:color w:val="auto"/>
                <w:szCs w:val="21"/>
                <w:highlight w:val="none"/>
              </w:rPr>
            </w:pPr>
            <w:bookmarkStart w:id="380" w:name="_Toc514509459"/>
            <w:bookmarkStart w:id="381" w:name="_Toc514509230"/>
            <w:bookmarkStart w:id="382" w:name="_Toc514424428"/>
            <w:r>
              <w:rPr>
                <w:rFonts w:hint="eastAsia" w:cs="宋体"/>
                <w:color w:val="auto"/>
                <w:szCs w:val="21"/>
                <w:highlight w:val="none"/>
              </w:rPr>
              <w:t>楼地面、粘贴的磁砖(地板砖</w:t>
            </w:r>
            <w:bookmarkEnd w:id="380"/>
            <w:bookmarkEnd w:id="381"/>
            <w:bookmarkEnd w:id="382"/>
            <w:r>
              <w:rPr>
                <w:rFonts w:hint="eastAsia" w:cs="宋体"/>
                <w:color w:val="auto"/>
                <w:szCs w:val="21"/>
                <w:highlight w:val="none"/>
              </w:rPr>
              <w:t>)</w:t>
            </w:r>
          </w:p>
        </w:tc>
        <w:tc>
          <w:tcPr>
            <w:tcW w:w="1071" w:type="pct"/>
            <w:vAlign w:val="center"/>
          </w:tcPr>
          <w:p>
            <w:pPr>
              <w:tabs>
                <w:tab w:val="left" w:pos="0"/>
              </w:tabs>
              <w:jc w:val="center"/>
              <w:outlineLvl w:val="2"/>
              <w:rPr>
                <w:rFonts w:cs="宋体"/>
                <w:color w:val="auto"/>
                <w:szCs w:val="21"/>
                <w:highlight w:val="none"/>
              </w:rPr>
            </w:pPr>
            <w:bookmarkStart w:id="383" w:name="_Toc514509460"/>
            <w:bookmarkStart w:id="384" w:name="_Toc514424429"/>
            <w:bookmarkStart w:id="385" w:name="_Toc514509231"/>
            <w:r>
              <w:rPr>
                <w:rFonts w:hint="eastAsia" w:cs="宋体"/>
                <w:color w:val="auto"/>
                <w:szCs w:val="21"/>
                <w:highlight w:val="none"/>
              </w:rPr>
              <w:t>每周不少于1次</w:t>
            </w:r>
            <w:bookmarkEnd w:id="383"/>
            <w:bookmarkEnd w:id="384"/>
            <w:bookmarkEnd w:id="385"/>
          </w:p>
        </w:tc>
        <w:tc>
          <w:tcPr>
            <w:tcW w:w="2820" w:type="pct"/>
            <w:vAlign w:val="center"/>
          </w:tcPr>
          <w:p>
            <w:pPr>
              <w:tabs>
                <w:tab w:val="left" w:pos="0"/>
              </w:tabs>
              <w:outlineLvl w:val="2"/>
              <w:rPr>
                <w:rFonts w:cs="宋体"/>
                <w:color w:val="auto"/>
                <w:szCs w:val="21"/>
                <w:highlight w:val="none"/>
              </w:rPr>
            </w:pPr>
            <w:bookmarkStart w:id="386" w:name="_Toc514509461"/>
            <w:bookmarkStart w:id="387" w:name="_Toc514509232"/>
            <w:bookmarkStart w:id="388" w:name="_Toc514424430"/>
            <w:r>
              <w:rPr>
                <w:rFonts w:hint="eastAsia" w:cs="宋体"/>
                <w:color w:val="auto"/>
                <w:szCs w:val="21"/>
                <w:highlight w:val="none"/>
              </w:rPr>
              <w:t>完好无损，室内、外地面受潮，破损的磁砖(地板砖)及时维修。</w:t>
            </w:r>
            <w:bookmarkEnd w:id="386"/>
            <w:bookmarkEnd w:id="387"/>
            <w:bookmarkEnd w:id="3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08" w:type="pct"/>
            <w:vAlign w:val="center"/>
          </w:tcPr>
          <w:p>
            <w:pPr>
              <w:tabs>
                <w:tab w:val="left" w:pos="0"/>
              </w:tabs>
              <w:jc w:val="center"/>
              <w:outlineLvl w:val="2"/>
              <w:rPr>
                <w:rFonts w:cs="宋体"/>
                <w:color w:val="auto"/>
                <w:szCs w:val="21"/>
                <w:highlight w:val="none"/>
              </w:rPr>
            </w:pPr>
            <w:bookmarkStart w:id="389" w:name="_Toc514509233"/>
            <w:bookmarkStart w:id="390" w:name="_Toc514509462"/>
            <w:bookmarkStart w:id="391" w:name="_Toc514424431"/>
            <w:r>
              <w:rPr>
                <w:rFonts w:hint="eastAsia" w:cs="宋体"/>
                <w:color w:val="auto"/>
                <w:szCs w:val="21"/>
                <w:highlight w:val="none"/>
              </w:rPr>
              <w:t>墙台面</w:t>
            </w:r>
            <w:bookmarkEnd w:id="389"/>
            <w:bookmarkEnd w:id="390"/>
            <w:bookmarkEnd w:id="391"/>
          </w:p>
        </w:tc>
        <w:tc>
          <w:tcPr>
            <w:tcW w:w="1071" w:type="pct"/>
            <w:vAlign w:val="center"/>
          </w:tcPr>
          <w:p>
            <w:pPr>
              <w:tabs>
                <w:tab w:val="left" w:pos="0"/>
              </w:tabs>
              <w:jc w:val="center"/>
              <w:outlineLvl w:val="2"/>
              <w:rPr>
                <w:rFonts w:cs="宋体"/>
                <w:color w:val="auto"/>
                <w:szCs w:val="21"/>
                <w:highlight w:val="none"/>
              </w:rPr>
            </w:pPr>
            <w:bookmarkStart w:id="392" w:name="_Toc514509234"/>
            <w:bookmarkStart w:id="393" w:name="_Toc514509463"/>
            <w:bookmarkStart w:id="394" w:name="_Toc514424432"/>
            <w:r>
              <w:rPr>
                <w:rFonts w:hint="eastAsia" w:cs="宋体"/>
                <w:color w:val="auto"/>
                <w:szCs w:val="21"/>
                <w:highlight w:val="none"/>
              </w:rPr>
              <w:t>每周不少于1次</w:t>
            </w:r>
            <w:bookmarkEnd w:id="392"/>
            <w:bookmarkEnd w:id="393"/>
            <w:bookmarkEnd w:id="394"/>
          </w:p>
        </w:tc>
        <w:tc>
          <w:tcPr>
            <w:tcW w:w="2820" w:type="pct"/>
            <w:vAlign w:val="center"/>
          </w:tcPr>
          <w:p>
            <w:pPr>
              <w:tabs>
                <w:tab w:val="left" w:pos="0"/>
              </w:tabs>
              <w:outlineLvl w:val="2"/>
              <w:rPr>
                <w:rFonts w:cs="宋体"/>
                <w:color w:val="auto"/>
                <w:szCs w:val="21"/>
                <w:highlight w:val="none"/>
              </w:rPr>
            </w:pPr>
            <w:bookmarkStart w:id="395" w:name="_Toc514509464"/>
            <w:bookmarkStart w:id="396" w:name="_Toc514509235"/>
            <w:bookmarkStart w:id="397" w:name="_Toc514424433"/>
            <w:r>
              <w:rPr>
                <w:rFonts w:hint="eastAsia" w:cs="宋体"/>
                <w:color w:val="auto"/>
                <w:szCs w:val="21"/>
                <w:highlight w:val="none"/>
              </w:rPr>
              <w:t>保持墙台面的清洁工作，无污渍，无脚印，每半年对墙面损坏部分粉补一次。</w:t>
            </w:r>
            <w:bookmarkEnd w:id="395"/>
            <w:bookmarkEnd w:id="396"/>
            <w:bookmarkEnd w:id="3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08" w:type="pct"/>
            <w:vAlign w:val="center"/>
          </w:tcPr>
          <w:p>
            <w:pPr>
              <w:tabs>
                <w:tab w:val="left" w:pos="0"/>
              </w:tabs>
              <w:jc w:val="center"/>
              <w:outlineLvl w:val="2"/>
              <w:rPr>
                <w:rFonts w:cs="宋体"/>
                <w:color w:val="auto"/>
                <w:szCs w:val="21"/>
                <w:highlight w:val="none"/>
              </w:rPr>
            </w:pPr>
            <w:bookmarkStart w:id="398" w:name="_Toc514509465"/>
            <w:bookmarkStart w:id="399" w:name="_Toc514424434"/>
            <w:bookmarkStart w:id="400" w:name="_Toc514509236"/>
            <w:r>
              <w:rPr>
                <w:rFonts w:hint="eastAsia" w:cs="宋体"/>
                <w:color w:val="auto"/>
                <w:szCs w:val="21"/>
                <w:highlight w:val="none"/>
              </w:rPr>
              <w:t>吊顶</w:t>
            </w:r>
            <w:bookmarkEnd w:id="398"/>
            <w:bookmarkEnd w:id="399"/>
            <w:bookmarkEnd w:id="400"/>
          </w:p>
        </w:tc>
        <w:tc>
          <w:tcPr>
            <w:tcW w:w="1071" w:type="pct"/>
            <w:vAlign w:val="center"/>
          </w:tcPr>
          <w:p>
            <w:pPr>
              <w:tabs>
                <w:tab w:val="left" w:pos="0"/>
              </w:tabs>
              <w:jc w:val="center"/>
              <w:outlineLvl w:val="2"/>
              <w:rPr>
                <w:rFonts w:cs="宋体"/>
                <w:color w:val="auto"/>
                <w:szCs w:val="21"/>
                <w:highlight w:val="none"/>
              </w:rPr>
            </w:pPr>
            <w:bookmarkStart w:id="401" w:name="_Toc514509466"/>
            <w:bookmarkStart w:id="402" w:name="_Toc514509237"/>
            <w:bookmarkStart w:id="403" w:name="_Toc514424435"/>
            <w:r>
              <w:rPr>
                <w:rFonts w:hint="eastAsia" w:cs="宋体"/>
                <w:color w:val="auto"/>
                <w:szCs w:val="21"/>
                <w:highlight w:val="none"/>
              </w:rPr>
              <w:t>每周不少于1次</w:t>
            </w:r>
            <w:bookmarkEnd w:id="401"/>
            <w:bookmarkEnd w:id="402"/>
            <w:bookmarkEnd w:id="403"/>
          </w:p>
        </w:tc>
        <w:tc>
          <w:tcPr>
            <w:tcW w:w="2820" w:type="pct"/>
            <w:vAlign w:val="center"/>
          </w:tcPr>
          <w:p>
            <w:pPr>
              <w:tabs>
                <w:tab w:val="left" w:pos="0"/>
              </w:tabs>
              <w:outlineLvl w:val="2"/>
              <w:rPr>
                <w:rFonts w:cs="宋体"/>
                <w:color w:val="auto"/>
                <w:szCs w:val="21"/>
                <w:highlight w:val="none"/>
              </w:rPr>
            </w:pPr>
            <w:bookmarkStart w:id="404" w:name="_Toc514424436"/>
            <w:bookmarkStart w:id="405" w:name="_Toc514509467"/>
            <w:bookmarkStart w:id="406" w:name="_Toc514509238"/>
            <w:r>
              <w:rPr>
                <w:rFonts w:hint="eastAsia" w:cs="宋体"/>
                <w:color w:val="auto"/>
                <w:szCs w:val="21"/>
                <w:highlight w:val="none"/>
              </w:rPr>
              <w:t>及时处理破损部位。</w:t>
            </w:r>
            <w:bookmarkEnd w:id="404"/>
            <w:bookmarkEnd w:id="405"/>
            <w:bookmarkEnd w:id="40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08" w:type="pct"/>
            <w:vAlign w:val="center"/>
          </w:tcPr>
          <w:p>
            <w:pPr>
              <w:tabs>
                <w:tab w:val="left" w:pos="0"/>
              </w:tabs>
              <w:jc w:val="center"/>
              <w:outlineLvl w:val="2"/>
              <w:rPr>
                <w:rFonts w:cs="宋体"/>
                <w:color w:val="auto"/>
                <w:szCs w:val="21"/>
                <w:highlight w:val="none"/>
              </w:rPr>
            </w:pPr>
            <w:bookmarkStart w:id="407" w:name="_Toc514509239"/>
            <w:bookmarkStart w:id="408" w:name="_Toc514509468"/>
            <w:bookmarkStart w:id="409" w:name="_Toc514424437"/>
            <w:r>
              <w:rPr>
                <w:rFonts w:hint="eastAsia" w:cs="宋体"/>
                <w:color w:val="auto"/>
                <w:szCs w:val="21"/>
                <w:highlight w:val="none"/>
              </w:rPr>
              <w:t>门窗、玻璃</w:t>
            </w:r>
            <w:bookmarkEnd w:id="407"/>
            <w:bookmarkEnd w:id="408"/>
            <w:bookmarkEnd w:id="409"/>
          </w:p>
        </w:tc>
        <w:tc>
          <w:tcPr>
            <w:tcW w:w="1071" w:type="pct"/>
            <w:vAlign w:val="center"/>
          </w:tcPr>
          <w:p>
            <w:pPr>
              <w:tabs>
                <w:tab w:val="left" w:pos="0"/>
              </w:tabs>
              <w:jc w:val="center"/>
              <w:outlineLvl w:val="2"/>
              <w:rPr>
                <w:rFonts w:cs="宋体"/>
                <w:color w:val="auto"/>
                <w:szCs w:val="21"/>
                <w:highlight w:val="none"/>
              </w:rPr>
            </w:pPr>
            <w:bookmarkStart w:id="410" w:name="_Toc514509469"/>
            <w:bookmarkStart w:id="411" w:name="_Toc514424438"/>
            <w:bookmarkStart w:id="412" w:name="_Toc514509240"/>
            <w:r>
              <w:rPr>
                <w:rFonts w:hint="eastAsia" w:cs="宋体"/>
                <w:color w:val="auto"/>
                <w:szCs w:val="21"/>
                <w:highlight w:val="none"/>
              </w:rPr>
              <w:t>及时发现损坏情况，每月不少于1次集中查检</w:t>
            </w:r>
            <w:bookmarkEnd w:id="410"/>
            <w:bookmarkEnd w:id="411"/>
            <w:bookmarkEnd w:id="412"/>
          </w:p>
        </w:tc>
        <w:tc>
          <w:tcPr>
            <w:tcW w:w="2820" w:type="pct"/>
            <w:vAlign w:val="center"/>
          </w:tcPr>
          <w:p>
            <w:pPr>
              <w:tabs>
                <w:tab w:val="left" w:pos="0"/>
              </w:tabs>
              <w:outlineLvl w:val="2"/>
              <w:rPr>
                <w:rFonts w:cs="宋体"/>
                <w:color w:val="auto"/>
                <w:szCs w:val="21"/>
                <w:highlight w:val="none"/>
              </w:rPr>
            </w:pPr>
            <w:bookmarkStart w:id="413" w:name="_Toc514424439"/>
            <w:bookmarkStart w:id="414" w:name="_Toc514509241"/>
            <w:bookmarkStart w:id="415" w:name="_Toc514509470"/>
            <w:r>
              <w:rPr>
                <w:rFonts w:hint="eastAsia" w:cs="宋体"/>
                <w:color w:val="auto"/>
                <w:szCs w:val="21"/>
                <w:highlight w:val="none"/>
              </w:rPr>
              <w:t>门窗损坏24小时内修复；门窗密实度合适，开启关闭顺畅，门框、窗框边缘等易受撞击处密实，没有缝隙。</w:t>
            </w:r>
            <w:bookmarkEnd w:id="413"/>
            <w:bookmarkEnd w:id="414"/>
            <w:bookmarkEnd w:id="4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08" w:type="pct"/>
            <w:vAlign w:val="center"/>
          </w:tcPr>
          <w:p>
            <w:pPr>
              <w:tabs>
                <w:tab w:val="left" w:pos="0"/>
              </w:tabs>
              <w:jc w:val="center"/>
              <w:outlineLvl w:val="2"/>
              <w:rPr>
                <w:rFonts w:cs="宋体"/>
                <w:color w:val="auto"/>
                <w:szCs w:val="21"/>
                <w:highlight w:val="none"/>
              </w:rPr>
            </w:pPr>
            <w:bookmarkStart w:id="416" w:name="_Toc514424440"/>
            <w:bookmarkStart w:id="417" w:name="_Toc514509242"/>
            <w:bookmarkStart w:id="418" w:name="_Toc514509471"/>
            <w:r>
              <w:rPr>
                <w:rFonts w:hint="eastAsia" w:cs="宋体"/>
                <w:color w:val="auto"/>
                <w:szCs w:val="21"/>
                <w:highlight w:val="none"/>
              </w:rPr>
              <w:t>屋顶</w:t>
            </w:r>
            <w:bookmarkEnd w:id="416"/>
            <w:bookmarkEnd w:id="417"/>
            <w:bookmarkEnd w:id="418"/>
          </w:p>
        </w:tc>
        <w:tc>
          <w:tcPr>
            <w:tcW w:w="1071" w:type="pct"/>
            <w:vAlign w:val="center"/>
          </w:tcPr>
          <w:p>
            <w:pPr>
              <w:tabs>
                <w:tab w:val="left" w:pos="0"/>
              </w:tabs>
              <w:jc w:val="center"/>
              <w:outlineLvl w:val="2"/>
              <w:rPr>
                <w:rFonts w:cs="宋体"/>
                <w:color w:val="auto"/>
                <w:szCs w:val="21"/>
                <w:highlight w:val="none"/>
              </w:rPr>
            </w:pPr>
            <w:bookmarkStart w:id="419" w:name="_Toc514509243"/>
            <w:bookmarkStart w:id="420" w:name="_Toc514509472"/>
            <w:bookmarkStart w:id="421" w:name="_Toc514424441"/>
            <w:r>
              <w:rPr>
                <w:rFonts w:hint="eastAsia" w:cs="宋体"/>
                <w:color w:val="auto"/>
                <w:szCs w:val="21"/>
                <w:highlight w:val="none"/>
              </w:rPr>
              <w:t>每季不少于1次</w:t>
            </w:r>
            <w:bookmarkEnd w:id="419"/>
            <w:bookmarkEnd w:id="420"/>
            <w:bookmarkEnd w:id="421"/>
          </w:p>
        </w:tc>
        <w:tc>
          <w:tcPr>
            <w:tcW w:w="2820" w:type="pct"/>
            <w:vAlign w:val="center"/>
          </w:tcPr>
          <w:p>
            <w:pPr>
              <w:tabs>
                <w:tab w:val="left" w:pos="0"/>
              </w:tabs>
              <w:outlineLvl w:val="2"/>
              <w:rPr>
                <w:rFonts w:cs="宋体"/>
                <w:color w:val="auto"/>
                <w:szCs w:val="21"/>
                <w:highlight w:val="none"/>
              </w:rPr>
            </w:pPr>
            <w:bookmarkStart w:id="422" w:name="_Toc514424442"/>
            <w:bookmarkStart w:id="423" w:name="_Toc514509473"/>
            <w:bookmarkStart w:id="424" w:name="_Toc514509244"/>
            <w:r>
              <w:rPr>
                <w:rFonts w:hint="eastAsia" w:cs="宋体"/>
                <w:color w:val="auto"/>
                <w:szCs w:val="21"/>
                <w:highlight w:val="none"/>
              </w:rPr>
              <w:t>及时对屋顶(不含玻璃屋顶)清扫，确保屋面排水畅通。</w:t>
            </w:r>
            <w:bookmarkEnd w:id="422"/>
            <w:bookmarkEnd w:id="423"/>
            <w:bookmarkEnd w:id="424"/>
          </w:p>
        </w:tc>
      </w:tr>
    </w:tbl>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4. 设施设备的日常运行、养护，协助采购人开展专项维保(包括消防设施设备、信息化设备、高低压线路)。</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委托范围</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建筑红线范围内设施设备的日常运行管理、维修、养护。</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负责处理采购人水、电、气费的代缴服务(费用由采购人负责)。</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基本要求</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投标人对采购人移交的所有设施进行看管，确保其不丢失和不被人为损坏,能发挥正常使用功能。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设施设备移交需采购人(或采购人设施设备管理责任部门)和投标人双方在设施清单签字确认并加盖公章(须明确完好状态及存在问题，未达到法规验收手续的不得移交)。</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 xml:space="preserve"> 投标人对管护的设施设备需按照采购人资产管理的相关规定建立相应的台帐(此台帐内由投标人填报，合同结束时需完好地移交给采购人，自然损耗除外)。</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 xml:space="preserve"> 投标人要制定设施设备安全运行的管理规定、操作流程、岗位责任、定期巡回检查、维护保养、运行记录管理、应急预案及维修档案等管理制度并执行。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配备具备相关资质所需的专业技术人员，由专业人员负责管理 (开启、关闭、保洁、维修和保养)，严格执行操作规程，确保设施设备正常运行。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6)</w:t>
      </w:r>
      <w:r>
        <w:rPr>
          <w:rFonts w:hint="eastAsia" w:cs="宋体"/>
          <w:color w:val="auto"/>
          <w:sz w:val="24"/>
          <w:highlight w:val="none"/>
        </w:rPr>
        <w:t>对已经移交的设施设备，投标人均需按照相关设施设备保养规定进行日常性、专业化的日常保养和维护，确保其正常运行。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7)</w:t>
      </w:r>
      <w:r>
        <w:rPr>
          <w:rFonts w:hint="eastAsia" w:cs="宋体"/>
          <w:color w:val="auto"/>
          <w:sz w:val="24"/>
          <w:highlight w:val="none"/>
        </w:rPr>
        <w:t>对各类设施设备要建立日常检查制度，建立相应的检查档案。对水电气供应设施设备、电梯、空调建立定期巡查制度，如实记录其运行状况。</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8)</w:t>
      </w:r>
      <w:r>
        <w:rPr>
          <w:rFonts w:hint="eastAsia" w:cs="宋体"/>
          <w:color w:val="auto"/>
          <w:sz w:val="24"/>
          <w:highlight w:val="none"/>
        </w:rPr>
        <w:t>保证设施设备状况良好，运行正常，合同期限内无重大管理责任事故，无重大设备运行事故隐患。如发现设备异常或故障，应及时向采购人上报情况，同时采取相关措施以防止故障扩大并组织专业人员进行修复。</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9)</w:t>
      </w:r>
      <w:r>
        <w:rPr>
          <w:rFonts w:hint="eastAsia" w:cs="宋体"/>
          <w:color w:val="auto"/>
          <w:sz w:val="24"/>
          <w:highlight w:val="none"/>
        </w:rPr>
        <w:t>如因岗位人员资质不达标或因其工作疏漏导致强制性临检不合格而造成损失的，相关损失及执法监管部门的处罚均由供应商承担。</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服务标准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供电设施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负责各配电室、楼宇内强电井及后端线路、照明灯具的管理和维护(配备相应上岗资质的人员)。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对责任区域内的照明设备每天进行巡查，发现问题及时维修，保证灯泡明亮，灯罩、灯具安装到位、无松动，无大面积锈蚀；</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强电井进行钥匙管理(未达到安装设置标准的除外)，标识清晰，开启快捷(5分钟内能打开)；</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④</w:t>
      </w:r>
      <w:r>
        <w:rPr>
          <w:rFonts w:hint="eastAsia" w:cs="宋体"/>
          <w:color w:val="auto"/>
          <w:sz w:val="24"/>
          <w:highlight w:val="none"/>
        </w:rPr>
        <w:t>照明线路损坏及时维修(一般不超过12小时)，灯具更换及时(2小时以内)，办公室的灯管根据损坏数量一般安排在周六、周日或者晚间更换。</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⑤</w:t>
      </w:r>
      <w:r>
        <w:rPr>
          <w:rFonts w:hint="eastAsia" w:cs="宋体"/>
          <w:color w:val="auto"/>
          <w:sz w:val="24"/>
          <w:highlight w:val="none"/>
        </w:rPr>
        <w:t>负责采购人配电室24小时运行监管。</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⑥</w:t>
      </w:r>
      <w:r>
        <w:rPr>
          <w:rFonts w:hint="eastAsia" w:cs="宋体"/>
          <w:color w:val="auto"/>
          <w:sz w:val="24"/>
          <w:highlight w:val="none"/>
        </w:rPr>
        <w:t>办公楼内限电、停电由投标人及时沟通联系供电局，并由投标人告知采购人相关部门。</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⑦</w:t>
      </w:r>
      <w:r>
        <w:rPr>
          <w:rFonts w:hint="eastAsia" w:cs="宋体"/>
          <w:color w:val="auto"/>
          <w:sz w:val="24"/>
          <w:highlight w:val="none"/>
        </w:rPr>
        <w:t>制定临时用电管理措施与停电应急处理措施并严格执行。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⑧</w:t>
      </w:r>
      <w:r>
        <w:rPr>
          <w:rFonts w:hint="eastAsia" w:cs="宋体"/>
          <w:color w:val="auto"/>
          <w:sz w:val="24"/>
          <w:highlight w:val="none"/>
        </w:rPr>
        <w:t>根据季节时令与气候情况及时开启用电负荷情况，积极响应配合用电节能要求，避免浪费。</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⑨</w:t>
      </w:r>
      <w:r>
        <w:rPr>
          <w:rFonts w:hint="eastAsia" w:cs="宋体"/>
          <w:color w:val="auto"/>
          <w:sz w:val="24"/>
          <w:highlight w:val="none"/>
        </w:rPr>
        <w:t>工作人员应当熟悉物业区内供电线路分布及走向。</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⑩</w:t>
      </w:r>
      <w:r>
        <w:rPr>
          <w:rFonts w:hint="eastAsia" w:cs="宋体"/>
          <w:color w:val="auto"/>
          <w:sz w:val="24"/>
          <w:highlight w:val="none"/>
        </w:rPr>
        <w:t>突然停电反应时间为5分钟内到达停电现场并进行处理及检修(报修)，并启动应急电源供电(柴发机组)。</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fldChar w:fldCharType="begin"/>
      </w:r>
      <w:r>
        <w:rPr>
          <w:rFonts w:hint="eastAsia" w:cs="宋体"/>
          <w:color w:val="auto"/>
          <w:sz w:val="24"/>
          <w:highlight w:val="none"/>
        </w:rPr>
        <w:instrText xml:space="preserve"> EQ \o\ac(○,</w:instrText>
      </w:r>
      <w:r>
        <w:rPr>
          <w:rFonts w:hint="eastAsia" w:cs="宋体"/>
          <w:color w:val="auto"/>
          <w:position w:val="3"/>
          <w:sz w:val="16"/>
          <w:highlight w:val="none"/>
        </w:rPr>
        <w:instrText xml:space="preserve">11</w:instrText>
      </w:r>
      <w:r>
        <w:rPr>
          <w:rFonts w:hint="eastAsia" w:cs="宋体"/>
          <w:color w:val="auto"/>
          <w:sz w:val="24"/>
          <w:highlight w:val="none"/>
        </w:rPr>
        <w:instrText xml:space="preserve">)</w:instrText>
      </w:r>
      <w:r>
        <w:rPr>
          <w:rFonts w:hint="eastAsia" w:cs="宋体"/>
          <w:color w:val="auto"/>
          <w:sz w:val="24"/>
          <w:highlight w:val="none"/>
        </w:rPr>
        <w:fldChar w:fldCharType="end"/>
      </w:r>
      <w:r>
        <w:rPr>
          <w:rFonts w:hint="eastAsia" w:cs="宋体"/>
          <w:color w:val="auto"/>
          <w:sz w:val="24"/>
          <w:highlight w:val="none"/>
        </w:rPr>
        <w:t>照明灯具完好率95%。</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弱电设施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弱电设施在采购人的指导下实施运行管理。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负责弱电井(间)的日常管理，包括供电、门窗维护、主锁等配套设施。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协助室内弱电线路、设备的管理维护，发现故障及时处置并向采购人报告。</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④</w:t>
      </w:r>
      <w:r>
        <w:rPr>
          <w:rFonts w:hint="eastAsia" w:cs="宋体"/>
          <w:color w:val="auto"/>
          <w:sz w:val="24"/>
          <w:highlight w:val="none"/>
        </w:rPr>
        <w:t>及时通告停电等电力供应故障信息，以便做应急处置安排。</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⑤</w:t>
      </w:r>
      <w:r>
        <w:rPr>
          <w:rFonts w:hint="eastAsia" w:cs="宋体"/>
          <w:color w:val="auto"/>
          <w:sz w:val="24"/>
          <w:highlight w:val="none"/>
        </w:rPr>
        <w:t>负责对建设投入使用的网络系统中各圈存点及其设备的安保、巡查。</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⑥</w:t>
      </w:r>
      <w:r>
        <w:rPr>
          <w:rFonts w:hint="eastAsia" w:cs="宋体"/>
          <w:color w:val="auto"/>
          <w:sz w:val="24"/>
          <w:highlight w:val="none"/>
        </w:rPr>
        <w:t>负责对楼宇配套的监控、车库道闸、会议多媒体系统进行管理维护保养，发现故障及时维修，并向采购人报告。</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空调及中央空调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熟悉服务范围内所有空调型号和规格，熟悉中央空调的运行相关程序。</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负责空调日常巡查管理，并作好巡查纪录。</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日常空调移机、安装、改造及维修配件由采购人与物业方协商确认后委托专业单位实施。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④</w:t>
      </w:r>
      <w:r>
        <w:rPr>
          <w:rFonts w:hint="eastAsia" w:cs="宋体"/>
          <w:color w:val="auto"/>
          <w:sz w:val="24"/>
          <w:highlight w:val="none"/>
        </w:rPr>
        <w:t>对空调维保方进行监督管理，保障空调系统正常运行。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⑤</w:t>
      </w:r>
      <w:r>
        <w:rPr>
          <w:rFonts w:hint="eastAsia" w:cs="宋体"/>
          <w:color w:val="auto"/>
          <w:sz w:val="24"/>
          <w:highlight w:val="none"/>
        </w:rPr>
        <w:t>制订空调及中央空调系统日常检查巡视规定和风机房管理规定，报采购人批准后严格执行。建立巡检制度。</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⑥</w:t>
      </w:r>
      <w:r>
        <w:rPr>
          <w:rFonts w:hint="eastAsia" w:cs="宋体"/>
          <w:color w:val="auto"/>
          <w:sz w:val="24"/>
          <w:highlight w:val="none"/>
        </w:rPr>
        <w:t>熟练掌握空调维修和中央空调系统开关机程序，严禁无关人员操作中央空调各项控制系统。</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⑦</w:t>
      </w:r>
      <w:r>
        <w:rPr>
          <w:rFonts w:hint="eastAsia" w:cs="宋体"/>
          <w:color w:val="auto"/>
          <w:sz w:val="24"/>
          <w:highlight w:val="none"/>
        </w:rPr>
        <w:t>每天详实填写《中央空调运行状况记录表》，严格记录空调运行期间各项运行参数，不得擅自更改运行参数。</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⑧</w:t>
      </w:r>
      <w:r>
        <w:rPr>
          <w:rFonts w:hint="eastAsia" w:cs="宋体"/>
          <w:color w:val="auto"/>
          <w:sz w:val="24"/>
          <w:highlight w:val="none"/>
        </w:rPr>
        <w:t>拟订中央空调系统运行时间表，报采购人批准后执行；在不影响空调运行的情况下，积极探索并实施有效的节能方法。</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办公家具</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负责办公家具的日常小型维修。配置具有相应维修技能的人员。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建立巡检制度，填写《家具检查记录表》，报修后10分钟内到达现场处置。</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负责每年进行一次集中检查，报采购人维修计划。</w:t>
      </w:r>
    </w:p>
    <w:p>
      <w:pPr>
        <w:pStyle w:val="19"/>
        <w:tabs>
          <w:tab w:val="left" w:pos="0"/>
        </w:tabs>
        <w:spacing w:line="440" w:lineRule="exact"/>
        <w:ind w:left="420" w:leftChars="200"/>
        <w:rPr>
          <w:rFonts w:ascii="宋体" w:cs="宋体"/>
          <w:color w:val="auto"/>
          <w:sz w:val="24"/>
          <w:highlight w:val="none"/>
        </w:rPr>
      </w:pPr>
      <w:r>
        <w:rPr>
          <w:rFonts w:hint="eastAsia" w:ascii="宋体" w:hAnsi="宋体" w:cs="宋体"/>
          <w:color w:val="auto"/>
          <w:sz w:val="24"/>
          <w:highlight w:val="none"/>
        </w:rPr>
        <w:t>5)</w:t>
      </w:r>
      <w:r>
        <w:rPr>
          <w:rFonts w:hint="eastAsia" w:ascii="宋体" w:cs="宋体"/>
          <w:color w:val="auto"/>
          <w:sz w:val="24"/>
          <w:highlight w:val="none"/>
        </w:rPr>
        <w:t>电扶梯/直梯系统</w:t>
      </w:r>
    </w:p>
    <w:p>
      <w:pPr>
        <w:pStyle w:val="19"/>
        <w:tabs>
          <w:tab w:val="left" w:pos="0"/>
        </w:tabs>
        <w:spacing w:line="440" w:lineRule="exact"/>
        <w:ind w:left="420" w:leftChars="200"/>
        <w:rPr>
          <w:rFonts w:ascii="宋体" w:cs="宋体"/>
          <w:color w:val="auto"/>
          <w:sz w:val="24"/>
          <w:highlight w:val="none"/>
        </w:rPr>
      </w:pPr>
      <w:r>
        <w:rPr>
          <w:rFonts w:hint="eastAsia" w:ascii="宋体" w:hAnsi="宋体" w:cs="宋体"/>
          <w:color w:val="auto"/>
          <w:sz w:val="24"/>
          <w:highlight w:val="none"/>
        </w:rPr>
        <w:t>①</w:t>
      </w:r>
      <w:r>
        <w:rPr>
          <w:rFonts w:hint="eastAsia" w:ascii="宋体" w:cs="宋体"/>
          <w:color w:val="auto"/>
          <w:sz w:val="24"/>
          <w:highlight w:val="none"/>
        </w:rPr>
        <w:t>24小时正常运行。</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②</w:t>
      </w:r>
      <w:r>
        <w:rPr>
          <w:rFonts w:hint="eastAsia" w:ascii="宋体" w:cs="宋体"/>
          <w:color w:val="auto"/>
          <w:sz w:val="24"/>
          <w:highlight w:val="none"/>
        </w:rPr>
        <w:t>建立电梯日运行管理、设备管理、安全管理制度，确保电梯按规定时间运行，安全设备齐全有效，通风、照明及其它附属设施完好。</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③</w:t>
      </w:r>
      <w:r>
        <w:rPr>
          <w:rFonts w:hint="eastAsia" w:ascii="宋体" w:cs="宋体"/>
          <w:color w:val="auto"/>
          <w:sz w:val="24"/>
          <w:highlight w:val="none"/>
        </w:rPr>
        <w:t>严格执行国家有关电梯管理规定和安全规程，电梯准用证、年检合格证、维修保养合同完备。</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④</w:t>
      </w:r>
      <w:r>
        <w:rPr>
          <w:rFonts w:hint="eastAsia" w:ascii="宋体" w:cs="宋体"/>
          <w:color w:val="auto"/>
          <w:sz w:val="24"/>
          <w:highlight w:val="none"/>
        </w:rPr>
        <w:t>轿厢、井道保持清洁。警铃或其它救助设备功能完备，称重装置可靠，安全装置有效无缺损，电梯运行无异常。</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⑤</w:t>
      </w:r>
      <w:r>
        <w:rPr>
          <w:rFonts w:hint="eastAsia" w:ascii="宋体" w:cs="宋体"/>
          <w:color w:val="auto"/>
          <w:sz w:val="24"/>
          <w:highlight w:val="none"/>
        </w:rPr>
        <w:t>电梯由专业公司维修保养，维修。</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⑥</w:t>
      </w:r>
      <w:r>
        <w:rPr>
          <w:rFonts w:hint="eastAsia" w:ascii="宋体" w:cs="宋体"/>
          <w:color w:val="auto"/>
          <w:sz w:val="24"/>
          <w:highlight w:val="none"/>
        </w:rPr>
        <w:t>电梯出现故障，接到报修后专业维修人员应在30分钟内到达现场抢修，及时排除故障。</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⑦</w:t>
      </w:r>
      <w:r>
        <w:rPr>
          <w:rFonts w:hint="eastAsia" w:ascii="宋体" w:cs="宋体"/>
          <w:color w:val="auto"/>
          <w:sz w:val="24"/>
          <w:highlight w:val="none"/>
        </w:rPr>
        <w:t>配合专业维保单位每15天对电梯进行正常维修保养。</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6)</w:t>
      </w:r>
      <w:r>
        <w:rPr>
          <w:rFonts w:hint="eastAsia" w:cs="宋体"/>
          <w:color w:val="auto"/>
          <w:sz w:val="24"/>
          <w:highlight w:val="none"/>
        </w:rPr>
        <w:t>设施设备巡查内容及运行标准</w:t>
      </w:r>
    </w:p>
    <w:tbl>
      <w:tblPr>
        <w:tblStyle w:val="4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3094"/>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6" w:type="pct"/>
            <w:vAlign w:val="center"/>
          </w:tcPr>
          <w:p>
            <w:pPr>
              <w:tabs>
                <w:tab w:val="left" w:pos="0"/>
              </w:tabs>
              <w:jc w:val="center"/>
              <w:outlineLvl w:val="2"/>
              <w:rPr>
                <w:rFonts w:ascii="宋体" w:hAnsi="宋体" w:cs="宋体"/>
                <w:b/>
                <w:bCs/>
                <w:color w:val="auto"/>
                <w:szCs w:val="21"/>
                <w:highlight w:val="none"/>
              </w:rPr>
            </w:pPr>
            <w:bookmarkStart w:id="425" w:name="_Toc514509477"/>
            <w:bookmarkStart w:id="426" w:name="_Toc514509248"/>
            <w:bookmarkStart w:id="427" w:name="_Toc514424446"/>
            <w:r>
              <w:rPr>
                <w:rFonts w:hint="eastAsia" w:ascii="宋体" w:hAnsi="宋体" w:cs="宋体"/>
                <w:b/>
                <w:bCs/>
                <w:color w:val="auto"/>
                <w:szCs w:val="21"/>
                <w:highlight w:val="none"/>
              </w:rPr>
              <w:t>设施名称</w:t>
            </w:r>
            <w:bookmarkEnd w:id="425"/>
            <w:bookmarkEnd w:id="426"/>
            <w:bookmarkEnd w:id="427"/>
          </w:p>
        </w:tc>
        <w:tc>
          <w:tcPr>
            <w:tcW w:w="1815" w:type="pct"/>
            <w:vAlign w:val="center"/>
          </w:tcPr>
          <w:p>
            <w:pPr>
              <w:tabs>
                <w:tab w:val="left" w:pos="0"/>
              </w:tabs>
              <w:jc w:val="center"/>
              <w:outlineLvl w:val="2"/>
              <w:rPr>
                <w:rFonts w:ascii="宋体" w:hAnsi="宋体" w:cs="宋体"/>
                <w:b/>
                <w:bCs/>
                <w:color w:val="auto"/>
                <w:szCs w:val="21"/>
                <w:highlight w:val="none"/>
              </w:rPr>
            </w:pPr>
            <w:bookmarkStart w:id="428" w:name="_Toc514424447"/>
            <w:bookmarkStart w:id="429" w:name="_Toc514509478"/>
            <w:bookmarkStart w:id="430" w:name="_Toc514509249"/>
            <w:r>
              <w:rPr>
                <w:rFonts w:hint="eastAsia" w:ascii="宋体" w:hAnsi="宋体" w:cs="宋体"/>
                <w:b/>
                <w:bCs/>
                <w:color w:val="auto"/>
                <w:szCs w:val="21"/>
                <w:highlight w:val="none"/>
              </w:rPr>
              <w:t>巡查内容</w:t>
            </w:r>
            <w:bookmarkEnd w:id="428"/>
            <w:bookmarkEnd w:id="429"/>
            <w:bookmarkEnd w:id="430"/>
          </w:p>
        </w:tc>
        <w:tc>
          <w:tcPr>
            <w:tcW w:w="2067" w:type="pct"/>
            <w:vAlign w:val="center"/>
          </w:tcPr>
          <w:p>
            <w:pPr>
              <w:tabs>
                <w:tab w:val="left" w:pos="0"/>
              </w:tabs>
              <w:jc w:val="center"/>
              <w:outlineLvl w:val="2"/>
              <w:rPr>
                <w:rFonts w:ascii="宋体" w:hAnsi="宋体" w:cs="宋体"/>
                <w:b/>
                <w:bCs/>
                <w:color w:val="auto"/>
                <w:szCs w:val="21"/>
                <w:highlight w:val="none"/>
              </w:rPr>
            </w:pPr>
            <w:bookmarkStart w:id="431" w:name="_Toc514509479"/>
            <w:bookmarkStart w:id="432" w:name="_Toc514424448"/>
            <w:bookmarkStart w:id="433" w:name="_Toc514509250"/>
            <w:r>
              <w:rPr>
                <w:rFonts w:hint="eastAsia" w:ascii="宋体" w:hAnsi="宋体" w:cs="宋体"/>
                <w:b/>
                <w:bCs/>
                <w:color w:val="auto"/>
                <w:szCs w:val="21"/>
                <w:highlight w:val="none"/>
              </w:rPr>
              <w:t>运行标准</w:t>
            </w:r>
            <w:bookmarkEnd w:id="431"/>
            <w:bookmarkEnd w:id="432"/>
            <w:bookmarkEnd w:id="4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16" w:type="pct"/>
            <w:vAlign w:val="center"/>
          </w:tcPr>
          <w:p>
            <w:pPr>
              <w:tabs>
                <w:tab w:val="left" w:pos="0"/>
              </w:tabs>
              <w:jc w:val="center"/>
              <w:outlineLvl w:val="2"/>
              <w:rPr>
                <w:rFonts w:ascii="宋体" w:hAnsi="宋体" w:cs="宋体"/>
                <w:color w:val="auto"/>
                <w:szCs w:val="21"/>
                <w:highlight w:val="none"/>
              </w:rPr>
            </w:pPr>
            <w:bookmarkStart w:id="434" w:name="_Toc514509480"/>
            <w:bookmarkStart w:id="435" w:name="_Toc514509251"/>
            <w:bookmarkStart w:id="436" w:name="_Toc514424449"/>
            <w:r>
              <w:rPr>
                <w:rFonts w:hint="eastAsia" w:ascii="宋体" w:hAnsi="宋体" w:cs="宋体"/>
                <w:color w:val="auto"/>
                <w:szCs w:val="21"/>
                <w:highlight w:val="none"/>
              </w:rPr>
              <w:t>供电系统</w:t>
            </w:r>
            <w:bookmarkEnd w:id="434"/>
            <w:bookmarkEnd w:id="435"/>
            <w:bookmarkEnd w:id="436"/>
          </w:p>
        </w:tc>
        <w:tc>
          <w:tcPr>
            <w:tcW w:w="1815" w:type="pct"/>
            <w:vAlign w:val="center"/>
          </w:tcPr>
          <w:p>
            <w:pPr>
              <w:tabs>
                <w:tab w:val="left" w:pos="0"/>
              </w:tabs>
              <w:jc w:val="center"/>
              <w:outlineLvl w:val="2"/>
              <w:rPr>
                <w:rFonts w:ascii="宋体" w:hAnsi="宋体" w:cs="宋体"/>
                <w:color w:val="auto"/>
                <w:szCs w:val="21"/>
                <w:highlight w:val="none"/>
              </w:rPr>
            </w:pPr>
            <w:bookmarkStart w:id="437" w:name="_Toc514424450"/>
            <w:bookmarkStart w:id="438" w:name="_Toc514509481"/>
            <w:bookmarkStart w:id="439" w:name="_Toc514509252"/>
            <w:r>
              <w:rPr>
                <w:rFonts w:hint="eastAsia" w:ascii="宋体" w:hAnsi="宋体" w:cs="宋体"/>
                <w:color w:val="auto"/>
                <w:szCs w:val="21"/>
                <w:highlight w:val="none"/>
              </w:rPr>
              <w:t>每天不少于2次。巡查内容：温控器、各型断路器及开关、仪表等</w:t>
            </w:r>
            <w:bookmarkEnd w:id="437"/>
            <w:bookmarkEnd w:id="438"/>
            <w:bookmarkEnd w:id="439"/>
          </w:p>
        </w:tc>
        <w:tc>
          <w:tcPr>
            <w:tcW w:w="2067" w:type="pct"/>
            <w:vAlign w:val="center"/>
          </w:tcPr>
          <w:p>
            <w:pPr>
              <w:tabs>
                <w:tab w:val="left" w:pos="0"/>
              </w:tabs>
              <w:jc w:val="center"/>
              <w:outlineLvl w:val="2"/>
              <w:rPr>
                <w:rFonts w:ascii="宋体" w:hAnsi="宋体" w:cs="宋体"/>
                <w:color w:val="auto"/>
                <w:szCs w:val="21"/>
                <w:highlight w:val="none"/>
              </w:rPr>
            </w:pPr>
            <w:bookmarkStart w:id="440" w:name="_Toc514424451"/>
            <w:bookmarkStart w:id="441" w:name="_Toc514509253"/>
            <w:bookmarkStart w:id="442" w:name="_Toc514509482"/>
            <w:r>
              <w:rPr>
                <w:rFonts w:hint="eastAsia" w:ascii="宋体" w:hAnsi="宋体" w:cs="宋体"/>
                <w:color w:val="auto"/>
                <w:szCs w:val="21"/>
                <w:highlight w:val="none"/>
              </w:rPr>
              <w:t>安全可靠，运行正常，操作灵活，反应灵敏，接触良好，环境整洁，控制、显示准确。</w:t>
            </w:r>
            <w:bookmarkEnd w:id="440"/>
            <w:bookmarkEnd w:id="441"/>
            <w:bookmarkEnd w:id="4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16" w:type="pct"/>
            <w:vAlign w:val="center"/>
          </w:tcPr>
          <w:p>
            <w:pPr>
              <w:tabs>
                <w:tab w:val="left" w:pos="0"/>
              </w:tabs>
              <w:jc w:val="center"/>
              <w:outlineLvl w:val="2"/>
              <w:rPr>
                <w:rFonts w:ascii="宋体" w:hAnsi="宋体" w:cs="宋体"/>
                <w:color w:val="auto"/>
                <w:szCs w:val="21"/>
                <w:highlight w:val="none"/>
              </w:rPr>
            </w:pPr>
            <w:bookmarkStart w:id="443" w:name="_Toc514509483"/>
            <w:bookmarkStart w:id="444" w:name="_Toc514424452"/>
            <w:bookmarkStart w:id="445" w:name="_Toc514509254"/>
            <w:r>
              <w:rPr>
                <w:rFonts w:hint="eastAsia" w:ascii="宋体" w:hAnsi="宋体" w:cs="宋体"/>
                <w:color w:val="auto"/>
                <w:szCs w:val="21"/>
                <w:highlight w:val="none"/>
              </w:rPr>
              <w:t>给</w:t>
            </w:r>
            <w:bookmarkEnd w:id="443"/>
            <w:bookmarkEnd w:id="444"/>
            <w:bookmarkEnd w:id="445"/>
            <w:bookmarkStart w:id="446" w:name="_Toc514424453"/>
            <w:bookmarkStart w:id="447" w:name="_Toc514509255"/>
            <w:bookmarkStart w:id="448" w:name="_Toc514509484"/>
            <w:r>
              <w:rPr>
                <w:rFonts w:hint="eastAsia" w:ascii="宋体" w:hAnsi="宋体" w:cs="宋体"/>
                <w:color w:val="auto"/>
                <w:szCs w:val="21"/>
                <w:highlight w:val="none"/>
              </w:rPr>
              <w:t>排</w:t>
            </w:r>
            <w:bookmarkEnd w:id="446"/>
            <w:bookmarkEnd w:id="447"/>
            <w:bookmarkEnd w:id="448"/>
            <w:bookmarkStart w:id="449" w:name="_Toc514509256"/>
            <w:bookmarkStart w:id="450" w:name="_Toc514424454"/>
            <w:bookmarkStart w:id="451" w:name="_Toc514509485"/>
            <w:r>
              <w:rPr>
                <w:rFonts w:hint="eastAsia" w:ascii="宋体" w:hAnsi="宋体" w:cs="宋体"/>
                <w:color w:val="auto"/>
                <w:szCs w:val="21"/>
                <w:highlight w:val="none"/>
              </w:rPr>
              <w:t>水</w:t>
            </w:r>
            <w:bookmarkEnd w:id="449"/>
            <w:bookmarkEnd w:id="450"/>
            <w:bookmarkEnd w:id="451"/>
            <w:bookmarkStart w:id="452" w:name="_Toc514424455"/>
            <w:bookmarkStart w:id="453" w:name="_Toc514509486"/>
            <w:bookmarkStart w:id="454" w:name="_Toc514509257"/>
            <w:r>
              <w:rPr>
                <w:rFonts w:hint="eastAsia" w:ascii="宋体" w:hAnsi="宋体" w:cs="宋体"/>
                <w:color w:val="auto"/>
                <w:szCs w:val="21"/>
                <w:highlight w:val="none"/>
              </w:rPr>
              <w:t>系</w:t>
            </w:r>
            <w:bookmarkEnd w:id="452"/>
            <w:bookmarkEnd w:id="453"/>
            <w:bookmarkEnd w:id="454"/>
            <w:bookmarkStart w:id="455" w:name="_Toc514424456"/>
            <w:bookmarkStart w:id="456" w:name="_Toc514509487"/>
            <w:bookmarkStart w:id="457" w:name="_Toc514509258"/>
            <w:r>
              <w:rPr>
                <w:rFonts w:hint="eastAsia" w:ascii="宋体" w:hAnsi="宋体" w:cs="宋体"/>
                <w:color w:val="auto"/>
                <w:szCs w:val="21"/>
                <w:highlight w:val="none"/>
              </w:rPr>
              <w:t>统</w:t>
            </w:r>
          </w:p>
          <w:bookmarkEnd w:id="455"/>
          <w:bookmarkEnd w:id="456"/>
          <w:bookmarkEnd w:id="457"/>
          <w:p>
            <w:pPr>
              <w:tabs>
                <w:tab w:val="left" w:pos="0"/>
              </w:tabs>
              <w:jc w:val="center"/>
              <w:outlineLvl w:val="2"/>
              <w:rPr>
                <w:rFonts w:ascii="宋体" w:hAnsi="宋体" w:cs="宋体"/>
                <w:color w:val="auto"/>
                <w:szCs w:val="21"/>
                <w:highlight w:val="none"/>
              </w:rPr>
            </w:pPr>
            <w:bookmarkStart w:id="458" w:name="_Toc514509488"/>
            <w:bookmarkStart w:id="459" w:name="_Toc514424457"/>
            <w:bookmarkStart w:id="460" w:name="_Toc514509259"/>
            <w:r>
              <w:rPr>
                <w:rFonts w:hint="eastAsia" w:ascii="宋体" w:hAnsi="宋体" w:cs="宋体"/>
                <w:color w:val="auto"/>
                <w:szCs w:val="21"/>
                <w:highlight w:val="none"/>
              </w:rPr>
              <w:t>卫生间供水</w:t>
            </w:r>
            <w:bookmarkEnd w:id="458"/>
            <w:bookmarkEnd w:id="459"/>
            <w:bookmarkEnd w:id="460"/>
          </w:p>
        </w:tc>
        <w:tc>
          <w:tcPr>
            <w:tcW w:w="1815" w:type="pct"/>
            <w:vAlign w:val="center"/>
          </w:tcPr>
          <w:p>
            <w:pPr>
              <w:tabs>
                <w:tab w:val="left" w:pos="0"/>
              </w:tabs>
              <w:jc w:val="center"/>
              <w:outlineLvl w:val="2"/>
              <w:rPr>
                <w:rFonts w:ascii="宋体" w:hAnsi="宋体" w:cs="宋体"/>
                <w:color w:val="auto"/>
                <w:szCs w:val="21"/>
                <w:highlight w:val="none"/>
              </w:rPr>
            </w:pPr>
            <w:bookmarkStart w:id="461" w:name="_Toc514424458"/>
            <w:bookmarkStart w:id="462" w:name="_Toc514509260"/>
            <w:bookmarkStart w:id="463" w:name="_Toc514509489"/>
            <w:r>
              <w:rPr>
                <w:rFonts w:hint="eastAsia" w:ascii="宋体" w:hAnsi="宋体" w:cs="宋体"/>
                <w:color w:val="auto"/>
                <w:szCs w:val="21"/>
                <w:highlight w:val="none"/>
              </w:rPr>
              <w:t>每天不少于1次。巡查内容：管道固定、表面锈蚀、接头泄漏、堵塞情况、安装到位、接头泄漏、阀门失灵</w:t>
            </w:r>
            <w:bookmarkEnd w:id="461"/>
            <w:bookmarkEnd w:id="462"/>
            <w:bookmarkEnd w:id="463"/>
          </w:p>
        </w:tc>
        <w:tc>
          <w:tcPr>
            <w:tcW w:w="2067" w:type="pct"/>
            <w:vAlign w:val="center"/>
          </w:tcPr>
          <w:p>
            <w:pPr>
              <w:tabs>
                <w:tab w:val="left" w:pos="0"/>
              </w:tabs>
              <w:jc w:val="center"/>
              <w:outlineLvl w:val="2"/>
              <w:rPr>
                <w:rFonts w:ascii="宋体" w:hAnsi="宋体" w:cs="宋体"/>
                <w:color w:val="auto"/>
                <w:szCs w:val="21"/>
                <w:highlight w:val="none"/>
              </w:rPr>
            </w:pPr>
            <w:bookmarkStart w:id="464" w:name="_Toc514424459"/>
            <w:bookmarkStart w:id="465" w:name="_Toc514509261"/>
            <w:bookmarkStart w:id="466" w:name="_Toc514509490"/>
            <w:r>
              <w:rPr>
                <w:rFonts w:hint="eastAsia" w:ascii="宋体" w:hAnsi="宋体" w:cs="宋体"/>
                <w:color w:val="auto"/>
                <w:szCs w:val="21"/>
                <w:highlight w:val="none"/>
              </w:rPr>
              <w:t>安装可靠、安全、无泄漏，表面无明显锈蚀、穿孔隐患，供水通畅；安装到位，无跑、冒、滴、漏现象，开启灵活，供水通畅。</w:t>
            </w:r>
            <w:bookmarkEnd w:id="464"/>
            <w:bookmarkEnd w:id="465"/>
            <w:bookmarkEnd w:id="4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116" w:type="pct"/>
            <w:vAlign w:val="center"/>
          </w:tcPr>
          <w:p>
            <w:pPr>
              <w:tabs>
                <w:tab w:val="left" w:pos="0"/>
              </w:tabs>
              <w:jc w:val="center"/>
              <w:outlineLvl w:val="2"/>
              <w:rPr>
                <w:rFonts w:ascii="宋体" w:hAnsi="宋体" w:cs="宋体"/>
                <w:color w:val="auto"/>
                <w:szCs w:val="21"/>
                <w:highlight w:val="none"/>
              </w:rPr>
            </w:pPr>
            <w:bookmarkStart w:id="467" w:name="_Toc514509274"/>
            <w:bookmarkStart w:id="468" w:name="_Toc514509503"/>
            <w:bookmarkStart w:id="469" w:name="_Toc514424472"/>
            <w:r>
              <w:rPr>
                <w:rFonts w:hint="eastAsia" w:ascii="宋体" w:hAnsi="宋体" w:cs="宋体"/>
                <w:color w:val="auto"/>
                <w:szCs w:val="21"/>
                <w:highlight w:val="none"/>
              </w:rPr>
              <w:t>供气系统</w:t>
            </w:r>
            <w:bookmarkEnd w:id="467"/>
            <w:bookmarkEnd w:id="468"/>
            <w:bookmarkEnd w:id="469"/>
          </w:p>
        </w:tc>
        <w:tc>
          <w:tcPr>
            <w:tcW w:w="1815" w:type="pct"/>
            <w:vAlign w:val="center"/>
          </w:tcPr>
          <w:p>
            <w:pPr>
              <w:tabs>
                <w:tab w:val="left" w:pos="0"/>
              </w:tabs>
              <w:jc w:val="center"/>
              <w:outlineLvl w:val="2"/>
              <w:rPr>
                <w:rFonts w:ascii="宋体" w:hAnsi="宋体" w:cs="宋体"/>
                <w:color w:val="auto"/>
                <w:szCs w:val="21"/>
                <w:highlight w:val="none"/>
              </w:rPr>
            </w:pPr>
            <w:bookmarkStart w:id="470" w:name="_Toc514509275"/>
            <w:bookmarkStart w:id="471" w:name="_Toc514424473"/>
            <w:bookmarkStart w:id="472" w:name="_Toc514509504"/>
            <w:r>
              <w:rPr>
                <w:rFonts w:hint="eastAsia" w:ascii="宋体" w:hAnsi="宋体" w:cs="宋体"/>
                <w:color w:val="auto"/>
                <w:szCs w:val="21"/>
                <w:highlight w:val="none"/>
              </w:rPr>
              <w:t>定期巡查(每周不少于1次)。巡查内容：运行情况</w:t>
            </w:r>
            <w:bookmarkEnd w:id="470"/>
            <w:bookmarkEnd w:id="471"/>
            <w:bookmarkEnd w:id="472"/>
          </w:p>
        </w:tc>
        <w:tc>
          <w:tcPr>
            <w:tcW w:w="2067" w:type="pct"/>
            <w:vAlign w:val="center"/>
          </w:tcPr>
          <w:p>
            <w:pPr>
              <w:tabs>
                <w:tab w:val="left" w:pos="0"/>
              </w:tabs>
              <w:jc w:val="center"/>
              <w:outlineLvl w:val="2"/>
              <w:rPr>
                <w:rFonts w:ascii="宋体" w:hAnsi="宋体" w:cs="宋体"/>
                <w:color w:val="auto"/>
                <w:szCs w:val="21"/>
                <w:highlight w:val="none"/>
              </w:rPr>
            </w:pPr>
            <w:bookmarkStart w:id="473" w:name="_Toc514424474"/>
            <w:bookmarkStart w:id="474" w:name="_Toc514509505"/>
            <w:bookmarkStart w:id="475" w:name="_Toc514509276"/>
            <w:r>
              <w:rPr>
                <w:rFonts w:hint="eastAsia" w:ascii="宋体" w:hAnsi="宋体" w:cs="宋体"/>
                <w:color w:val="auto"/>
                <w:szCs w:val="21"/>
                <w:highlight w:val="none"/>
              </w:rPr>
              <w:t>建立供气设备系统日常检查制度，对相应的安全隐患及时报告使用人和供气单位，并负责联系供气单位进行维修。</w:t>
            </w:r>
            <w:bookmarkEnd w:id="473"/>
            <w:bookmarkEnd w:id="474"/>
            <w:bookmarkEnd w:id="4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16" w:type="pct"/>
            <w:vAlign w:val="center"/>
          </w:tcPr>
          <w:p>
            <w:pPr>
              <w:tabs>
                <w:tab w:val="left" w:pos="0"/>
              </w:tabs>
              <w:jc w:val="center"/>
              <w:outlineLvl w:val="2"/>
              <w:rPr>
                <w:rFonts w:ascii="宋体" w:hAnsi="宋体" w:cs="宋体"/>
                <w:color w:val="auto"/>
                <w:szCs w:val="21"/>
                <w:highlight w:val="none"/>
              </w:rPr>
            </w:pPr>
            <w:bookmarkStart w:id="476" w:name="_Toc514424475"/>
            <w:bookmarkStart w:id="477" w:name="_Toc514509506"/>
            <w:bookmarkStart w:id="478" w:name="_Toc514509277"/>
            <w:r>
              <w:rPr>
                <w:rFonts w:hint="eastAsia" w:ascii="宋体" w:hAnsi="宋体" w:cs="宋体"/>
                <w:color w:val="auto"/>
                <w:szCs w:val="21"/>
                <w:highlight w:val="none"/>
              </w:rPr>
              <w:t>弱电系统</w:t>
            </w:r>
            <w:bookmarkEnd w:id="476"/>
            <w:bookmarkEnd w:id="477"/>
            <w:bookmarkEnd w:id="478"/>
          </w:p>
        </w:tc>
        <w:tc>
          <w:tcPr>
            <w:tcW w:w="1815" w:type="pct"/>
            <w:vAlign w:val="center"/>
          </w:tcPr>
          <w:p>
            <w:pPr>
              <w:tabs>
                <w:tab w:val="left" w:pos="0"/>
              </w:tabs>
              <w:jc w:val="center"/>
              <w:outlineLvl w:val="2"/>
              <w:rPr>
                <w:rFonts w:ascii="宋体" w:hAnsi="宋体" w:cs="宋体"/>
                <w:color w:val="auto"/>
                <w:szCs w:val="21"/>
                <w:highlight w:val="none"/>
              </w:rPr>
            </w:pPr>
            <w:bookmarkStart w:id="479" w:name="_Toc514509278"/>
            <w:bookmarkStart w:id="480" w:name="_Toc514509507"/>
            <w:bookmarkStart w:id="481" w:name="_Toc514424476"/>
            <w:r>
              <w:rPr>
                <w:rFonts w:hint="eastAsia" w:ascii="宋体" w:hAnsi="宋体" w:cs="宋体"/>
                <w:color w:val="auto"/>
                <w:szCs w:val="21"/>
                <w:highlight w:val="none"/>
              </w:rPr>
              <w:t>每周不少于1次。巡查内容：运行情况</w:t>
            </w:r>
            <w:bookmarkEnd w:id="479"/>
            <w:bookmarkEnd w:id="480"/>
            <w:bookmarkEnd w:id="481"/>
          </w:p>
        </w:tc>
        <w:tc>
          <w:tcPr>
            <w:tcW w:w="2067" w:type="pct"/>
            <w:vAlign w:val="center"/>
          </w:tcPr>
          <w:p>
            <w:pPr>
              <w:tabs>
                <w:tab w:val="left" w:pos="0"/>
              </w:tabs>
              <w:jc w:val="center"/>
              <w:outlineLvl w:val="2"/>
              <w:rPr>
                <w:rFonts w:ascii="宋体" w:hAnsi="宋体" w:cs="宋体"/>
                <w:color w:val="auto"/>
                <w:szCs w:val="21"/>
                <w:highlight w:val="none"/>
              </w:rPr>
            </w:pPr>
            <w:bookmarkStart w:id="482" w:name="_Toc514509508"/>
            <w:bookmarkStart w:id="483" w:name="_Toc514424477"/>
            <w:bookmarkStart w:id="484" w:name="_Toc514509279"/>
            <w:r>
              <w:rPr>
                <w:rFonts w:hint="eastAsia" w:ascii="宋体" w:hAnsi="宋体" w:cs="宋体"/>
                <w:color w:val="auto"/>
                <w:szCs w:val="21"/>
                <w:highlight w:val="none"/>
              </w:rPr>
              <w:t>运行正常，发现问题及时进行维修。</w:t>
            </w:r>
            <w:bookmarkEnd w:id="482"/>
            <w:bookmarkEnd w:id="483"/>
            <w:bookmarkEnd w:id="4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116" w:type="pct"/>
            <w:vAlign w:val="center"/>
          </w:tcPr>
          <w:p>
            <w:pPr>
              <w:tabs>
                <w:tab w:val="left" w:pos="0"/>
              </w:tabs>
              <w:jc w:val="center"/>
              <w:outlineLvl w:val="2"/>
              <w:rPr>
                <w:rFonts w:ascii="宋体" w:hAnsi="宋体" w:cs="宋体"/>
                <w:color w:val="auto"/>
                <w:szCs w:val="21"/>
                <w:highlight w:val="none"/>
              </w:rPr>
            </w:pPr>
            <w:bookmarkStart w:id="485" w:name="_Toc514509280"/>
            <w:bookmarkStart w:id="486" w:name="_Toc514509509"/>
            <w:bookmarkStart w:id="487" w:name="_Toc514424478"/>
            <w:r>
              <w:rPr>
                <w:rFonts w:hint="eastAsia" w:ascii="宋体" w:hAnsi="宋体" w:cs="宋体"/>
                <w:color w:val="auto"/>
                <w:szCs w:val="21"/>
                <w:highlight w:val="none"/>
              </w:rPr>
              <w:t>办公家具</w:t>
            </w:r>
            <w:bookmarkEnd w:id="485"/>
            <w:bookmarkEnd w:id="486"/>
            <w:bookmarkEnd w:id="487"/>
          </w:p>
        </w:tc>
        <w:tc>
          <w:tcPr>
            <w:tcW w:w="1815" w:type="pct"/>
            <w:vAlign w:val="center"/>
          </w:tcPr>
          <w:p>
            <w:pPr>
              <w:tabs>
                <w:tab w:val="left" w:pos="0"/>
              </w:tabs>
              <w:jc w:val="center"/>
              <w:outlineLvl w:val="2"/>
              <w:rPr>
                <w:rFonts w:ascii="宋体" w:hAnsi="宋体" w:cs="宋体"/>
                <w:color w:val="auto"/>
                <w:szCs w:val="21"/>
                <w:highlight w:val="none"/>
              </w:rPr>
            </w:pPr>
            <w:bookmarkStart w:id="488" w:name="_Toc514424479"/>
            <w:bookmarkStart w:id="489" w:name="_Toc514509281"/>
            <w:bookmarkStart w:id="490" w:name="_Toc514509510"/>
            <w:r>
              <w:rPr>
                <w:rFonts w:hint="eastAsia" w:ascii="宋体" w:hAnsi="宋体" w:cs="宋体"/>
                <w:color w:val="auto"/>
                <w:szCs w:val="21"/>
                <w:highlight w:val="none"/>
              </w:rPr>
              <w:t>每月不少于1次。巡查内容：家具的完好情况，安全性。</w:t>
            </w:r>
            <w:bookmarkEnd w:id="488"/>
            <w:bookmarkEnd w:id="489"/>
            <w:bookmarkEnd w:id="490"/>
          </w:p>
        </w:tc>
        <w:tc>
          <w:tcPr>
            <w:tcW w:w="2067" w:type="pct"/>
            <w:vAlign w:val="center"/>
          </w:tcPr>
          <w:p>
            <w:pPr>
              <w:tabs>
                <w:tab w:val="left" w:pos="0"/>
              </w:tabs>
              <w:jc w:val="center"/>
              <w:outlineLvl w:val="2"/>
              <w:rPr>
                <w:rFonts w:ascii="宋体" w:hAnsi="宋体" w:cs="宋体"/>
                <w:color w:val="auto"/>
                <w:szCs w:val="21"/>
                <w:highlight w:val="none"/>
              </w:rPr>
            </w:pPr>
            <w:bookmarkStart w:id="491" w:name="_Toc514424480"/>
            <w:bookmarkStart w:id="492" w:name="_Toc514509282"/>
            <w:bookmarkStart w:id="493" w:name="_Toc514509511"/>
            <w:r>
              <w:rPr>
                <w:rFonts w:hint="eastAsia" w:ascii="宋体" w:hAnsi="宋体" w:cs="宋体"/>
                <w:color w:val="auto"/>
                <w:szCs w:val="21"/>
                <w:highlight w:val="none"/>
              </w:rPr>
              <w:t>完好，无安全隐患，发现问题及时进行维修。</w:t>
            </w:r>
            <w:bookmarkEnd w:id="491"/>
            <w:bookmarkEnd w:id="492"/>
            <w:bookmarkEnd w:id="4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电梯系统</w:t>
            </w:r>
          </w:p>
        </w:tc>
        <w:tc>
          <w:tcPr>
            <w:tcW w:w="1815" w:type="pct"/>
            <w:vAlign w:val="center"/>
          </w:tcPr>
          <w:p>
            <w:pPr>
              <w:tabs>
                <w:tab w:val="left" w:pos="0"/>
              </w:tabs>
              <w:jc w:val="center"/>
              <w:outlineLvl w:val="2"/>
              <w:rPr>
                <w:rFonts w:ascii="宋体" w:hAnsi="宋体" w:cs="宋体"/>
                <w:color w:val="auto"/>
                <w:szCs w:val="21"/>
                <w:highlight w:val="none"/>
              </w:rPr>
            </w:pPr>
            <w:bookmarkStart w:id="494" w:name="_Toc514509513"/>
            <w:bookmarkStart w:id="495" w:name="_Toc514424482"/>
            <w:bookmarkStart w:id="496" w:name="_Toc514509284"/>
            <w:r>
              <w:rPr>
                <w:rFonts w:hint="eastAsia" w:ascii="宋体" w:hAnsi="宋体" w:cs="宋体"/>
                <w:color w:val="auto"/>
                <w:szCs w:val="21"/>
                <w:highlight w:val="none"/>
              </w:rPr>
              <w:t>每天不少于1次。巡查内容：设备使用情况，是否安全。</w:t>
            </w:r>
            <w:bookmarkEnd w:id="494"/>
            <w:bookmarkEnd w:id="495"/>
            <w:bookmarkEnd w:id="496"/>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16" w:type="pct"/>
            <w:vAlign w:val="center"/>
          </w:tcPr>
          <w:p>
            <w:pPr>
              <w:tabs>
                <w:tab w:val="left" w:pos="0"/>
              </w:tabs>
              <w:jc w:val="center"/>
              <w:outlineLvl w:val="2"/>
              <w:rPr>
                <w:rFonts w:ascii="宋体" w:hAnsi="宋体" w:cs="宋体"/>
                <w:color w:val="auto"/>
                <w:szCs w:val="21"/>
                <w:highlight w:val="none"/>
              </w:rPr>
            </w:pPr>
            <w:bookmarkStart w:id="497" w:name="_Toc514509289"/>
            <w:bookmarkStart w:id="498" w:name="_Toc514424487"/>
            <w:bookmarkStart w:id="499" w:name="_Toc514509518"/>
            <w:r>
              <w:rPr>
                <w:rFonts w:hint="eastAsia" w:ascii="宋体" w:hAnsi="宋体" w:cs="宋体"/>
                <w:color w:val="auto"/>
                <w:szCs w:val="21"/>
                <w:highlight w:val="none"/>
              </w:rPr>
              <w:t>中央空调系统</w:t>
            </w:r>
            <w:bookmarkEnd w:id="497"/>
            <w:bookmarkEnd w:id="498"/>
            <w:bookmarkEnd w:id="499"/>
          </w:p>
        </w:tc>
        <w:tc>
          <w:tcPr>
            <w:tcW w:w="1815" w:type="pct"/>
            <w:vAlign w:val="center"/>
          </w:tcPr>
          <w:p>
            <w:pPr>
              <w:tabs>
                <w:tab w:val="left" w:pos="0"/>
              </w:tabs>
              <w:jc w:val="center"/>
              <w:outlineLvl w:val="2"/>
              <w:rPr>
                <w:rFonts w:ascii="宋体" w:hAnsi="宋体" w:cs="宋体"/>
                <w:color w:val="auto"/>
                <w:szCs w:val="21"/>
                <w:highlight w:val="none"/>
              </w:rPr>
            </w:pPr>
            <w:bookmarkStart w:id="500" w:name="_Toc514509519"/>
            <w:bookmarkStart w:id="501" w:name="_Toc514424488"/>
            <w:bookmarkStart w:id="502" w:name="_Toc514509290"/>
            <w:r>
              <w:rPr>
                <w:rFonts w:hint="eastAsia" w:ascii="宋体" w:hAnsi="宋体" w:cs="宋体"/>
                <w:color w:val="auto"/>
                <w:szCs w:val="21"/>
                <w:highlight w:val="none"/>
              </w:rPr>
              <w:t>每天不少于1次。巡查内容：运行噪音、制冷、制热、排水效果</w:t>
            </w:r>
            <w:bookmarkEnd w:id="500"/>
            <w:bookmarkEnd w:id="501"/>
            <w:bookmarkEnd w:id="502"/>
          </w:p>
        </w:tc>
        <w:tc>
          <w:tcPr>
            <w:tcW w:w="2067" w:type="pct"/>
            <w:vAlign w:val="center"/>
          </w:tcPr>
          <w:p>
            <w:pPr>
              <w:tabs>
                <w:tab w:val="left" w:pos="0"/>
              </w:tabs>
              <w:jc w:val="center"/>
              <w:outlineLvl w:val="2"/>
              <w:rPr>
                <w:rFonts w:ascii="宋体" w:hAnsi="宋体" w:cs="宋体"/>
                <w:color w:val="auto"/>
                <w:szCs w:val="21"/>
                <w:highlight w:val="none"/>
              </w:rPr>
            </w:pPr>
            <w:bookmarkStart w:id="503" w:name="_Toc514424489"/>
            <w:bookmarkStart w:id="504" w:name="_Toc514509520"/>
            <w:bookmarkStart w:id="505" w:name="_Toc514509291"/>
            <w:r>
              <w:rPr>
                <w:rFonts w:hint="eastAsia" w:ascii="宋体" w:hAnsi="宋体" w:cs="宋体"/>
                <w:color w:val="auto"/>
                <w:szCs w:val="21"/>
                <w:highlight w:val="none"/>
              </w:rPr>
              <w:t>运行正常。</w:t>
            </w:r>
            <w:bookmarkEnd w:id="503"/>
            <w:bookmarkEnd w:id="504"/>
            <w:bookmarkEnd w:id="505"/>
          </w:p>
        </w:tc>
      </w:tr>
    </w:tbl>
    <w:p>
      <w:pPr>
        <w:tabs>
          <w:tab w:val="left" w:pos="0"/>
        </w:tabs>
        <w:spacing w:line="440" w:lineRule="exact"/>
        <w:ind w:firstLine="482" w:firstLineChars="200"/>
        <w:outlineLvl w:val="2"/>
        <w:rPr>
          <w:rFonts w:cs="宋体"/>
          <w:b/>
          <w:color w:val="auto"/>
          <w:sz w:val="24"/>
          <w:highlight w:val="none"/>
        </w:rPr>
      </w:pPr>
      <w:r>
        <w:rPr>
          <w:rFonts w:hint="eastAsia" w:cs="宋体"/>
          <w:b/>
          <w:color w:val="auto"/>
          <w:sz w:val="24"/>
          <w:highlight w:val="none"/>
        </w:rPr>
        <w:t>(五)植物租摆及养护服务</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1.植物布置清单</w:t>
      </w:r>
    </w:p>
    <w:tbl>
      <w:tblPr>
        <w:tblStyle w:val="45"/>
        <w:tblW w:w="4998" w:type="pct"/>
        <w:jc w:val="center"/>
        <w:tblLayout w:type="autofit"/>
        <w:tblCellMar>
          <w:top w:w="0" w:type="dxa"/>
          <w:left w:w="108" w:type="dxa"/>
          <w:bottom w:w="0" w:type="dxa"/>
          <w:right w:w="108" w:type="dxa"/>
        </w:tblCellMar>
      </w:tblPr>
      <w:tblGrid>
        <w:gridCol w:w="853"/>
        <w:gridCol w:w="1166"/>
        <w:gridCol w:w="1998"/>
        <w:gridCol w:w="2262"/>
        <w:gridCol w:w="2240"/>
      </w:tblGrid>
      <w:tr>
        <w:tblPrEx>
          <w:tblCellMar>
            <w:top w:w="0" w:type="dxa"/>
            <w:left w:w="108" w:type="dxa"/>
            <w:bottom w:w="0" w:type="dxa"/>
            <w:right w:w="108" w:type="dxa"/>
          </w:tblCellMar>
        </w:tblPrEx>
        <w:trPr>
          <w:trHeight w:val="464" w:hRule="atLeast"/>
          <w:tblHeader/>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楼层</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品种</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数量（盆）</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图片</w:t>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负一楼</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螺纹铁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59264" behindDoc="0" locked="0" layoutInCell="1" allowOverlap="1">
                  <wp:simplePos x="0" y="0"/>
                  <wp:positionH relativeFrom="column">
                    <wp:posOffset>66040</wp:posOffset>
                  </wp:positionH>
                  <wp:positionV relativeFrom="paragraph">
                    <wp:posOffset>79375</wp:posOffset>
                  </wp:positionV>
                  <wp:extent cx="1101725" cy="1108710"/>
                  <wp:effectExtent l="0" t="0" r="3175" b="15240"/>
                  <wp:wrapNone/>
                  <wp:docPr id="20" name="图片_29"/>
                  <wp:cNvGraphicFramePr/>
                  <a:graphic xmlns:a="http://schemas.openxmlformats.org/drawingml/2006/main">
                    <a:graphicData uri="http://schemas.openxmlformats.org/drawingml/2006/picture">
                      <pic:pic xmlns:pic="http://schemas.openxmlformats.org/drawingml/2006/picture">
                        <pic:nvPicPr>
                          <pic:cNvPr id="20" name="图片_29"/>
                          <pic:cNvPicPr/>
                        </pic:nvPicPr>
                        <pic:blipFill>
                          <a:blip r:embed="rId6"/>
                          <a:stretch>
                            <a:fillRect/>
                          </a:stretch>
                        </pic:blipFill>
                        <pic:spPr>
                          <a:xfrm>
                            <a:off x="0" y="0"/>
                            <a:ext cx="1101725" cy="11087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新叶藤</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0288" behindDoc="0" locked="0" layoutInCell="1" allowOverlap="1">
                  <wp:simplePos x="0" y="0"/>
                  <wp:positionH relativeFrom="column">
                    <wp:posOffset>228600</wp:posOffset>
                  </wp:positionH>
                  <wp:positionV relativeFrom="paragraph">
                    <wp:posOffset>75565</wp:posOffset>
                  </wp:positionV>
                  <wp:extent cx="895350" cy="1106170"/>
                  <wp:effectExtent l="0" t="0" r="0" b="17780"/>
                  <wp:wrapNone/>
                  <wp:docPr id="21" name="图片_16"/>
                  <wp:cNvGraphicFramePr/>
                  <a:graphic xmlns:a="http://schemas.openxmlformats.org/drawingml/2006/main">
                    <a:graphicData uri="http://schemas.openxmlformats.org/drawingml/2006/picture">
                      <pic:pic xmlns:pic="http://schemas.openxmlformats.org/drawingml/2006/picture">
                        <pic:nvPicPr>
                          <pic:cNvPr id="21" name="图片_16"/>
                          <pic:cNvPicPr/>
                        </pic:nvPicPr>
                        <pic:blipFill>
                          <a:blip r:embed="rId7"/>
                          <a:stretch>
                            <a:fillRect/>
                          </a:stretch>
                        </pic:blipFill>
                        <pic:spPr>
                          <a:xfrm>
                            <a:off x="0" y="0"/>
                            <a:ext cx="895350" cy="11061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富贵竹</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1312" behindDoc="0" locked="0" layoutInCell="1" allowOverlap="1">
                  <wp:simplePos x="0" y="0"/>
                  <wp:positionH relativeFrom="column">
                    <wp:posOffset>133350</wp:posOffset>
                  </wp:positionH>
                  <wp:positionV relativeFrom="paragraph">
                    <wp:posOffset>50800</wp:posOffset>
                  </wp:positionV>
                  <wp:extent cx="1038225" cy="1188085"/>
                  <wp:effectExtent l="0" t="0" r="9525" b="12065"/>
                  <wp:wrapNone/>
                  <wp:docPr id="22" name="图片_9"/>
                  <wp:cNvGraphicFramePr/>
                  <a:graphic xmlns:a="http://schemas.openxmlformats.org/drawingml/2006/main">
                    <a:graphicData uri="http://schemas.openxmlformats.org/drawingml/2006/picture">
                      <pic:pic xmlns:pic="http://schemas.openxmlformats.org/drawingml/2006/picture">
                        <pic:nvPicPr>
                          <pic:cNvPr id="22" name="图片_9"/>
                          <pic:cNvPicPr/>
                        </pic:nvPicPr>
                        <pic:blipFill>
                          <a:blip r:embed="rId8"/>
                          <a:stretch>
                            <a:fillRect/>
                          </a:stretch>
                        </pic:blipFill>
                        <pic:spPr>
                          <a:xfrm>
                            <a:off x="0" y="0"/>
                            <a:ext cx="1038225" cy="11880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2336" behindDoc="0" locked="0" layoutInCell="1" allowOverlap="1">
                  <wp:simplePos x="0" y="0"/>
                  <wp:positionH relativeFrom="column">
                    <wp:posOffset>95250</wp:posOffset>
                  </wp:positionH>
                  <wp:positionV relativeFrom="paragraph">
                    <wp:posOffset>155575</wp:posOffset>
                  </wp:positionV>
                  <wp:extent cx="1123950" cy="962025"/>
                  <wp:effectExtent l="0" t="0" r="0" b="9525"/>
                  <wp:wrapNone/>
                  <wp:docPr id="23" name="图片_1"/>
                  <wp:cNvGraphicFramePr/>
                  <a:graphic xmlns:a="http://schemas.openxmlformats.org/drawingml/2006/main">
                    <a:graphicData uri="http://schemas.openxmlformats.org/drawingml/2006/picture">
                      <pic:pic xmlns:pic="http://schemas.openxmlformats.org/drawingml/2006/picture">
                        <pic:nvPicPr>
                          <pic:cNvPr id="23" name="图片_1"/>
                          <pic:cNvPicPr/>
                        </pic:nvPicPr>
                        <pic:blipFill>
                          <a:blip r:embed="rId9"/>
                          <a:stretch>
                            <a:fillRect/>
                          </a:stretch>
                        </pic:blipFill>
                        <pic:spPr>
                          <a:xfrm>
                            <a:off x="0" y="0"/>
                            <a:ext cx="112395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1楼</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幸福树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3360" behindDoc="0" locked="0" layoutInCell="1" allowOverlap="1">
                  <wp:simplePos x="0" y="0"/>
                  <wp:positionH relativeFrom="column">
                    <wp:posOffset>170180</wp:posOffset>
                  </wp:positionH>
                  <wp:positionV relativeFrom="paragraph">
                    <wp:posOffset>46990</wp:posOffset>
                  </wp:positionV>
                  <wp:extent cx="1010920" cy="1160780"/>
                  <wp:effectExtent l="0" t="0" r="17780" b="1270"/>
                  <wp:wrapNone/>
                  <wp:docPr id="24" name="图片_114"/>
                  <wp:cNvGraphicFramePr/>
                  <a:graphic xmlns:a="http://schemas.openxmlformats.org/drawingml/2006/main">
                    <a:graphicData uri="http://schemas.openxmlformats.org/drawingml/2006/picture">
                      <pic:pic xmlns:pic="http://schemas.openxmlformats.org/drawingml/2006/picture">
                        <pic:nvPicPr>
                          <pic:cNvPr id="24" name="图片_114"/>
                          <pic:cNvPicPr/>
                        </pic:nvPicPr>
                        <pic:blipFill>
                          <a:blip r:embed="rId10"/>
                          <a:stretch>
                            <a:fillRect/>
                          </a:stretch>
                        </pic:blipFill>
                        <pic:spPr>
                          <a:xfrm>
                            <a:off x="0" y="0"/>
                            <a:ext cx="1010920" cy="11607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变叶木</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4384" behindDoc="0" locked="0" layoutInCell="1" allowOverlap="1">
                  <wp:simplePos x="0" y="0"/>
                  <wp:positionH relativeFrom="column">
                    <wp:posOffset>161925</wp:posOffset>
                  </wp:positionH>
                  <wp:positionV relativeFrom="paragraph">
                    <wp:posOffset>133350</wp:posOffset>
                  </wp:positionV>
                  <wp:extent cx="1002665" cy="1018540"/>
                  <wp:effectExtent l="0" t="0" r="6985" b="10160"/>
                  <wp:wrapNone/>
                  <wp:docPr id="25" name="图片_112"/>
                  <wp:cNvGraphicFramePr/>
                  <a:graphic xmlns:a="http://schemas.openxmlformats.org/drawingml/2006/main">
                    <a:graphicData uri="http://schemas.openxmlformats.org/drawingml/2006/picture">
                      <pic:pic xmlns:pic="http://schemas.openxmlformats.org/drawingml/2006/picture">
                        <pic:nvPicPr>
                          <pic:cNvPr id="25" name="图片_112"/>
                          <pic:cNvPicPr/>
                        </pic:nvPicPr>
                        <pic:blipFill>
                          <a:blip r:embed="rId11"/>
                          <a:stretch>
                            <a:fillRect/>
                          </a:stretch>
                        </pic:blipFill>
                        <pic:spPr>
                          <a:xfrm>
                            <a:off x="0" y="0"/>
                            <a:ext cx="1002665" cy="10185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杜鹃花</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5408" behindDoc="0" locked="0" layoutInCell="1" allowOverlap="1">
                  <wp:simplePos x="0" y="0"/>
                  <wp:positionH relativeFrom="column">
                    <wp:posOffset>161290</wp:posOffset>
                  </wp:positionH>
                  <wp:positionV relativeFrom="paragraph">
                    <wp:posOffset>133350</wp:posOffset>
                  </wp:positionV>
                  <wp:extent cx="1028700" cy="1032510"/>
                  <wp:effectExtent l="0" t="0" r="0" b="15240"/>
                  <wp:wrapNone/>
                  <wp:docPr id="26" name="图片_113"/>
                  <wp:cNvGraphicFramePr/>
                  <a:graphic xmlns:a="http://schemas.openxmlformats.org/drawingml/2006/main">
                    <a:graphicData uri="http://schemas.openxmlformats.org/drawingml/2006/picture">
                      <pic:pic xmlns:pic="http://schemas.openxmlformats.org/drawingml/2006/picture">
                        <pic:nvPicPr>
                          <pic:cNvPr id="26" name="图片_113"/>
                          <pic:cNvPicPr/>
                        </pic:nvPicPr>
                        <pic:blipFill>
                          <a:blip r:embed="rId12"/>
                          <a:stretch>
                            <a:fillRect/>
                          </a:stretch>
                        </pic:blipFill>
                        <pic:spPr>
                          <a:xfrm>
                            <a:off x="0" y="0"/>
                            <a:ext cx="1028700" cy="10325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6432" behindDoc="0" locked="0" layoutInCell="1" allowOverlap="1">
                  <wp:simplePos x="0" y="0"/>
                  <wp:positionH relativeFrom="column">
                    <wp:posOffset>161925</wp:posOffset>
                  </wp:positionH>
                  <wp:positionV relativeFrom="paragraph">
                    <wp:posOffset>165100</wp:posOffset>
                  </wp:positionV>
                  <wp:extent cx="1123950" cy="962025"/>
                  <wp:effectExtent l="0" t="0" r="0" b="9525"/>
                  <wp:wrapNone/>
                  <wp:docPr id="27" name="图片_1_SpCnt_1"/>
                  <wp:cNvGraphicFramePr/>
                  <a:graphic xmlns:a="http://schemas.openxmlformats.org/drawingml/2006/main">
                    <a:graphicData uri="http://schemas.openxmlformats.org/drawingml/2006/picture">
                      <pic:pic xmlns:pic="http://schemas.openxmlformats.org/drawingml/2006/picture">
                        <pic:nvPicPr>
                          <pic:cNvPr id="27" name="图片_1_SpCnt_1"/>
                          <pic:cNvPicPr/>
                        </pic:nvPicPr>
                        <pic:blipFill>
                          <a:blip r:embed="rId9"/>
                          <a:stretch>
                            <a:fillRect/>
                          </a:stretch>
                        </pic:blipFill>
                        <pic:spPr>
                          <a:xfrm>
                            <a:off x="0" y="0"/>
                            <a:ext cx="112395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花卉组合</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7456" behindDoc="0" locked="0" layoutInCell="1" allowOverlap="1">
                  <wp:simplePos x="0" y="0"/>
                  <wp:positionH relativeFrom="column">
                    <wp:posOffset>92075</wp:posOffset>
                  </wp:positionH>
                  <wp:positionV relativeFrom="paragraph">
                    <wp:posOffset>95250</wp:posOffset>
                  </wp:positionV>
                  <wp:extent cx="1136015" cy="1092200"/>
                  <wp:effectExtent l="0" t="0" r="6985" b="12700"/>
                  <wp:wrapNone/>
                  <wp:docPr id="28" name="图片_115"/>
                  <wp:cNvGraphicFramePr/>
                  <a:graphic xmlns:a="http://schemas.openxmlformats.org/drawingml/2006/main">
                    <a:graphicData uri="http://schemas.openxmlformats.org/drawingml/2006/picture">
                      <pic:pic xmlns:pic="http://schemas.openxmlformats.org/drawingml/2006/picture">
                        <pic:nvPicPr>
                          <pic:cNvPr id="28" name="图片_115"/>
                          <pic:cNvPicPr/>
                        </pic:nvPicPr>
                        <pic:blipFill>
                          <a:blip r:embed="rId13"/>
                          <a:stretch>
                            <a:fillRect/>
                          </a:stretch>
                        </pic:blipFill>
                        <pic:spPr>
                          <a:xfrm>
                            <a:off x="0" y="0"/>
                            <a:ext cx="1136015" cy="10922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8480" behindDoc="0" locked="0" layoutInCell="1" allowOverlap="1">
                  <wp:simplePos x="0" y="0"/>
                  <wp:positionH relativeFrom="column">
                    <wp:posOffset>152400</wp:posOffset>
                  </wp:positionH>
                  <wp:positionV relativeFrom="paragraph">
                    <wp:posOffset>107950</wp:posOffset>
                  </wp:positionV>
                  <wp:extent cx="1019175" cy="1019175"/>
                  <wp:effectExtent l="0" t="0" r="9525" b="9525"/>
                  <wp:wrapNone/>
                  <wp:docPr id="29" name="图片_26"/>
                  <wp:cNvGraphicFramePr/>
                  <a:graphic xmlns:a="http://schemas.openxmlformats.org/drawingml/2006/main">
                    <a:graphicData uri="http://schemas.openxmlformats.org/drawingml/2006/picture">
                      <pic:pic xmlns:pic="http://schemas.openxmlformats.org/drawingml/2006/picture">
                        <pic:nvPicPr>
                          <pic:cNvPr id="29" name="图片_26"/>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巴西木</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69504" behindDoc="0" locked="0" layoutInCell="1" allowOverlap="1">
                  <wp:simplePos x="0" y="0"/>
                  <wp:positionH relativeFrom="column">
                    <wp:posOffset>200025</wp:posOffset>
                  </wp:positionH>
                  <wp:positionV relativeFrom="paragraph">
                    <wp:posOffset>60325</wp:posOffset>
                  </wp:positionV>
                  <wp:extent cx="960755" cy="1162050"/>
                  <wp:effectExtent l="0" t="0" r="10795" b="0"/>
                  <wp:wrapNone/>
                  <wp:docPr id="30" name="图片_10"/>
                  <wp:cNvGraphicFramePr/>
                  <a:graphic xmlns:a="http://schemas.openxmlformats.org/drawingml/2006/main">
                    <a:graphicData uri="http://schemas.openxmlformats.org/drawingml/2006/picture">
                      <pic:pic xmlns:pic="http://schemas.openxmlformats.org/drawingml/2006/picture">
                        <pic:nvPicPr>
                          <pic:cNvPr id="30" name="图片_10"/>
                          <pic:cNvPicPr/>
                        </pic:nvPicPr>
                        <pic:blipFill>
                          <a:blip r:embed="rId15"/>
                          <a:stretch>
                            <a:fillRect/>
                          </a:stretch>
                        </pic:blipFill>
                        <pic:spPr>
                          <a:xfrm>
                            <a:off x="0" y="0"/>
                            <a:ext cx="960755" cy="116205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粉掌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0528" behindDoc="0" locked="0" layoutInCell="1" allowOverlap="1">
                  <wp:simplePos x="0" y="0"/>
                  <wp:positionH relativeFrom="column">
                    <wp:posOffset>133350</wp:posOffset>
                  </wp:positionH>
                  <wp:positionV relativeFrom="paragraph">
                    <wp:posOffset>107950</wp:posOffset>
                  </wp:positionV>
                  <wp:extent cx="1091565" cy="1018540"/>
                  <wp:effectExtent l="0" t="0" r="13335" b="10160"/>
                  <wp:wrapNone/>
                  <wp:docPr id="31" name="图片_27"/>
                  <wp:cNvGraphicFramePr/>
                  <a:graphic xmlns:a="http://schemas.openxmlformats.org/drawingml/2006/main">
                    <a:graphicData uri="http://schemas.openxmlformats.org/drawingml/2006/picture">
                      <pic:pic xmlns:pic="http://schemas.openxmlformats.org/drawingml/2006/picture">
                        <pic:nvPicPr>
                          <pic:cNvPr id="31" name="图片_27"/>
                          <pic:cNvPicPr/>
                        </pic:nvPicPr>
                        <pic:blipFill>
                          <a:blip r:embed="rId16"/>
                          <a:stretch>
                            <a:fillRect/>
                          </a:stretch>
                        </pic:blipFill>
                        <pic:spPr>
                          <a:xfrm>
                            <a:off x="0" y="0"/>
                            <a:ext cx="1091565" cy="10185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1552" behindDoc="0" locked="0" layoutInCell="1" allowOverlap="1">
                  <wp:simplePos x="0" y="0"/>
                  <wp:positionH relativeFrom="column">
                    <wp:posOffset>76200</wp:posOffset>
                  </wp:positionH>
                  <wp:positionV relativeFrom="paragraph">
                    <wp:posOffset>88900</wp:posOffset>
                  </wp:positionV>
                  <wp:extent cx="1123950" cy="1114425"/>
                  <wp:effectExtent l="0" t="0" r="0" b="9525"/>
                  <wp:wrapNone/>
                  <wp:docPr id="32" name="图片_23"/>
                  <wp:cNvGraphicFramePr/>
                  <a:graphic xmlns:a="http://schemas.openxmlformats.org/drawingml/2006/main">
                    <a:graphicData uri="http://schemas.openxmlformats.org/drawingml/2006/picture">
                      <pic:pic xmlns:pic="http://schemas.openxmlformats.org/drawingml/2006/picture">
                        <pic:nvPicPr>
                          <pic:cNvPr id="32" name="图片_23"/>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金叶也门铁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2576" behindDoc="0" locked="0" layoutInCell="1" allowOverlap="1">
                  <wp:simplePos x="0" y="0"/>
                  <wp:positionH relativeFrom="column">
                    <wp:posOffset>157480</wp:posOffset>
                  </wp:positionH>
                  <wp:positionV relativeFrom="paragraph">
                    <wp:posOffset>60325</wp:posOffset>
                  </wp:positionV>
                  <wp:extent cx="1032510" cy="1120775"/>
                  <wp:effectExtent l="0" t="0" r="15240" b="3175"/>
                  <wp:wrapNone/>
                  <wp:docPr id="33" name="图片_37"/>
                  <wp:cNvGraphicFramePr/>
                  <a:graphic xmlns:a="http://schemas.openxmlformats.org/drawingml/2006/main">
                    <a:graphicData uri="http://schemas.openxmlformats.org/drawingml/2006/picture">
                      <pic:pic xmlns:pic="http://schemas.openxmlformats.org/drawingml/2006/picture">
                        <pic:nvPicPr>
                          <pic:cNvPr id="33" name="图片_37"/>
                          <pic:cNvPicPr/>
                        </pic:nvPicPr>
                        <pic:blipFill>
                          <a:blip r:embed="rId18"/>
                          <a:stretch>
                            <a:fillRect/>
                          </a:stretch>
                        </pic:blipFill>
                        <pic:spPr>
                          <a:xfrm>
                            <a:off x="0" y="0"/>
                            <a:ext cx="1032510" cy="11207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3600" behindDoc="0" locked="0" layoutInCell="1" allowOverlap="1">
                  <wp:simplePos x="0" y="0"/>
                  <wp:positionH relativeFrom="column">
                    <wp:posOffset>104775</wp:posOffset>
                  </wp:positionH>
                  <wp:positionV relativeFrom="paragraph">
                    <wp:posOffset>60325</wp:posOffset>
                  </wp:positionV>
                  <wp:extent cx="1123950" cy="1114425"/>
                  <wp:effectExtent l="0" t="0" r="0" b="9525"/>
                  <wp:wrapNone/>
                  <wp:docPr id="34" name="图片_23_SpCnt_1"/>
                  <wp:cNvGraphicFramePr/>
                  <a:graphic xmlns:a="http://schemas.openxmlformats.org/drawingml/2006/main">
                    <a:graphicData uri="http://schemas.openxmlformats.org/drawingml/2006/picture">
                      <pic:pic xmlns:pic="http://schemas.openxmlformats.org/drawingml/2006/picture">
                        <pic:nvPicPr>
                          <pic:cNvPr id="34" name="图片_23_SpCnt_1"/>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虎皮兰</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4624" behindDoc="0" locked="0" layoutInCell="1" allowOverlap="1">
                  <wp:simplePos x="0" y="0"/>
                  <wp:positionH relativeFrom="column">
                    <wp:posOffset>162560</wp:posOffset>
                  </wp:positionH>
                  <wp:positionV relativeFrom="paragraph">
                    <wp:posOffset>60960</wp:posOffset>
                  </wp:positionV>
                  <wp:extent cx="998855" cy="1137285"/>
                  <wp:effectExtent l="0" t="0" r="10795" b="5715"/>
                  <wp:wrapNone/>
                  <wp:docPr id="36" name="图片_30"/>
                  <wp:cNvGraphicFramePr/>
                  <a:graphic xmlns:a="http://schemas.openxmlformats.org/drawingml/2006/main">
                    <a:graphicData uri="http://schemas.openxmlformats.org/drawingml/2006/picture">
                      <pic:pic xmlns:pic="http://schemas.openxmlformats.org/drawingml/2006/picture">
                        <pic:nvPicPr>
                          <pic:cNvPr id="36" name="图片_30"/>
                          <pic:cNvPicPr/>
                        </pic:nvPicPr>
                        <pic:blipFill>
                          <a:blip r:embed="rId19"/>
                          <a:stretch>
                            <a:fillRect/>
                          </a:stretch>
                        </pic:blipFill>
                        <pic:spPr>
                          <a:xfrm>
                            <a:off x="0" y="0"/>
                            <a:ext cx="998855" cy="11372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5648" behindDoc="0" locked="0" layoutInCell="1" allowOverlap="1">
                  <wp:simplePos x="0" y="0"/>
                  <wp:positionH relativeFrom="column">
                    <wp:posOffset>142875</wp:posOffset>
                  </wp:positionH>
                  <wp:positionV relativeFrom="paragraph">
                    <wp:posOffset>1266825</wp:posOffset>
                  </wp:positionV>
                  <wp:extent cx="1190625" cy="1193165"/>
                  <wp:effectExtent l="0" t="0" r="9525" b="6985"/>
                  <wp:wrapNone/>
                  <wp:docPr id="37" name="图片_65"/>
                  <wp:cNvGraphicFramePr/>
                  <a:graphic xmlns:a="http://schemas.openxmlformats.org/drawingml/2006/main">
                    <a:graphicData uri="http://schemas.openxmlformats.org/drawingml/2006/picture">
                      <pic:pic xmlns:pic="http://schemas.openxmlformats.org/drawingml/2006/picture">
                        <pic:nvPicPr>
                          <pic:cNvPr id="37" name="图片_65"/>
                          <pic:cNvPicPr/>
                        </pic:nvPicPr>
                        <pic:blipFill>
                          <a:blip r:embed="rId20"/>
                          <a:stretch>
                            <a:fillRect/>
                          </a:stretch>
                        </pic:blipFill>
                        <pic:spPr>
                          <a:xfrm>
                            <a:off x="0" y="0"/>
                            <a:ext cx="1190625" cy="1193165"/>
                          </a:xfrm>
                          <a:prstGeom prst="rect">
                            <a:avLst/>
                          </a:prstGeom>
                          <a:noFill/>
                          <a:ln>
                            <a:noFill/>
                          </a:ln>
                        </pic:spPr>
                      </pic:pic>
                    </a:graphicData>
                  </a:graphic>
                </wp:anchor>
              </w:drawing>
            </w:r>
            <w:r>
              <w:rPr>
                <w:rFonts w:hint="eastAsia" w:ascii="宋体" w:hAnsi="宋体" w:cs="宋体"/>
                <w:color w:val="auto"/>
                <w:kern w:val="0"/>
                <w:szCs w:val="21"/>
                <w:highlight w:val="none"/>
                <w:bdr w:val="single" w:color="000000" w:sz="4" w:space="0"/>
              </w:rPr>
              <w:drawing>
                <wp:anchor distT="0" distB="0" distL="114300" distR="114300" simplePos="0" relativeHeight="251676672" behindDoc="0" locked="0" layoutInCell="1" allowOverlap="1">
                  <wp:simplePos x="0" y="0"/>
                  <wp:positionH relativeFrom="column">
                    <wp:posOffset>161925</wp:posOffset>
                  </wp:positionH>
                  <wp:positionV relativeFrom="paragraph">
                    <wp:posOffset>107950</wp:posOffset>
                  </wp:positionV>
                  <wp:extent cx="1019175" cy="1019175"/>
                  <wp:effectExtent l="0" t="0" r="9525" b="9525"/>
                  <wp:wrapNone/>
                  <wp:docPr id="38" name="图片_25"/>
                  <wp:cNvGraphicFramePr/>
                  <a:graphic xmlns:a="http://schemas.openxmlformats.org/drawingml/2006/main">
                    <a:graphicData uri="http://schemas.openxmlformats.org/drawingml/2006/picture">
                      <pic:pic xmlns:pic="http://schemas.openxmlformats.org/drawingml/2006/picture">
                        <pic:nvPicPr>
                          <pic:cNvPr id="38" name="图片_25"/>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万年青</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19</w:t>
            </w:r>
          </w:p>
        </w:tc>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2楼</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7696" behindDoc="0" locked="0" layoutInCell="1" allowOverlap="1">
                  <wp:simplePos x="0" y="0"/>
                  <wp:positionH relativeFrom="column">
                    <wp:posOffset>219075</wp:posOffset>
                  </wp:positionH>
                  <wp:positionV relativeFrom="paragraph">
                    <wp:posOffset>60325</wp:posOffset>
                  </wp:positionV>
                  <wp:extent cx="962660" cy="1185545"/>
                  <wp:effectExtent l="0" t="0" r="8890" b="14605"/>
                  <wp:wrapNone/>
                  <wp:docPr id="39" name="图片_25_SpCnt_1"/>
                  <wp:cNvGraphicFramePr/>
                  <a:graphic xmlns:a="http://schemas.openxmlformats.org/drawingml/2006/main">
                    <a:graphicData uri="http://schemas.openxmlformats.org/drawingml/2006/picture">
                      <pic:pic xmlns:pic="http://schemas.openxmlformats.org/drawingml/2006/picture">
                        <pic:nvPicPr>
                          <pic:cNvPr id="39" name="图片_25_SpCnt_1"/>
                          <pic:cNvPicPr/>
                        </pic:nvPicPr>
                        <pic:blipFill>
                          <a:blip r:embed="rId21"/>
                          <a:stretch>
                            <a:fillRect/>
                          </a:stretch>
                        </pic:blipFill>
                        <pic:spPr>
                          <a:xfrm>
                            <a:off x="0" y="0"/>
                            <a:ext cx="962660" cy="11855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8720" behindDoc="0" locked="0" layoutInCell="1" allowOverlap="1">
                  <wp:simplePos x="0" y="0"/>
                  <wp:positionH relativeFrom="column">
                    <wp:posOffset>104775</wp:posOffset>
                  </wp:positionH>
                  <wp:positionV relativeFrom="paragraph">
                    <wp:posOffset>146050</wp:posOffset>
                  </wp:positionV>
                  <wp:extent cx="1123950" cy="962025"/>
                  <wp:effectExtent l="0" t="0" r="0" b="9525"/>
                  <wp:wrapNone/>
                  <wp:docPr id="40" name="图片_1_SpCnt_2"/>
                  <wp:cNvGraphicFramePr/>
                  <a:graphic xmlns:a="http://schemas.openxmlformats.org/drawingml/2006/main">
                    <a:graphicData uri="http://schemas.openxmlformats.org/drawingml/2006/picture">
                      <pic:pic xmlns:pic="http://schemas.openxmlformats.org/drawingml/2006/picture">
                        <pic:nvPicPr>
                          <pic:cNvPr id="40" name="图片_1_SpCnt_2"/>
                          <pic:cNvPicPr/>
                        </pic:nvPicPr>
                        <pic:blipFill>
                          <a:blip r:embed="rId9"/>
                          <a:stretch>
                            <a:fillRect/>
                          </a:stretch>
                        </pic:blipFill>
                        <pic:spPr>
                          <a:xfrm>
                            <a:off x="0" y="0"/>
                            <a:ext cx="112395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一帆风顺</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79744" behindDoc="0" locked="0" layoutInCell="1" allowOverlap="1">
                  <wp:simplePos x="0" y="0"/>
                  <wp:positionH relativeFrom="column">
                    <wp:posOffset>85725</wp:posOffset>
                  </wp:positionH>
                  <wp:positionV relativeFrom="paragraph">
                    <wp:posOffset>50800</wp:posOffset>
                  </wp:positionV>
                  <wp:extent cx="1190625" cy="1095375"/>
                  <wp:effectExtent l="0" t="0" r="9525" b="9525"/>
                  <wp:wrapNone/>
                  <wp:docPr id="41" name="图片_21"/>
                  <wp:cNvGraphicFramePr/>
                  <a:graphic xmlns:a="http://schemas.openxmlformats.org/drawingml/2006/main">
                    <a:graphicData uri="http://schemas.openxmlformats.org/drawingml/2006/picture">
                      <pic:pic xmlns:pic="http://schemas.openxmlformats.org/drawingml/2006/picture">
                        <pic:nvPicPr>
                          <pic:cNvPr id="41" name="图片_21"/>
                          <pic:cNvPicPr/>
                        </pic:nvPicPr>
                        <pic:blipFill>
                          <a:blip r:embed="rId22"/>
                          <a:stretch>
                            <a:fillRect/>
                          </a:stretch>
                        </pic:blipFill>
                        <pic:spPr>
                          <a:xfrm>
                            <a:off x="0" y="0"/>
                            <a:ext cx="1190625" cy="1095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富贵竹</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0768" behindDoc="0" locked="0" layoutInCell="1" allowOverlap="1">
                  <wp:simplePos x="0" y="0"/>
                  <wp:positionH relativeFrom="column">
                    <wp:posOffset>161925</wp:posOffset>
                  </wp:positionH>
                  <wp:positionV relativeFrom="paragraph">
                    <wp:posOffset>50800</wp:posOffset>
                  </wp:positionV>
                  <wp:extent cx="1038225" cy="1188085"/>
                  <wp:effectExtent l="0" t="0" r="9525" b="12065"/>
                  <wp:wrapNone/>
                  <wp:docPr id="42" name="图片_9_SpCnt_1"/>
                  <wp:cNvGraphicFramePr/>
                  <a:graphic xmlns:a="http://schemas.openxmlformats.org/drawingml/2006/main">
                    <a:graphicData uri="http://schemas.openxmlformats.org/drawingml/2006/picture">
                      <pic:pic xmlns:pic="http://schemas.openxmlformats.org/drawingml/2006/picture">
                        <pic:nvPicPr>
                          <pic:cNvPr id="42" name="图片_9_SpCnt_1"/>
                          <pic:cNvPicPr/>
                        </pic:nvPicPr>
                        <pic:blipFill>
                          <a:blip r:embed="rId8"/>
                          <a:stretch>
                            <a:fillRect/>
                          </a:stretch>
                        </pic:blipFill>
                        <pic:spPr>
                          <a:xfrm>
                            <a:off x="0" y="0"/>
                            <a:ext cx="1038225" cy="11880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1792" behindDoc="0" locked="0" layoutInCell="1" allowOverlap="1">
                  <wp:simplePos x="0" y="0"/>
                  <wp:positionH relativeFrom="column">
                    <wp:posOffset>209550</wp:posOffset>
                  </wp:positionH>
                  <wp:positionV relativeFrom="paragraph">
                    <wp:posOffset>50800</wp:posOffset>
                  </wp:positionV>
                  <wp:extent cx="885825" cy="1129665"/>
                  <wp:effectExtent l="0" t="0" r="9525" b="13335"/>
                  <wp:wrapNone/>
                  <wp:docPr id="43" name="图片_37_SpCnt_1"/>
                  <wp:cNvGraphicFramePr/>
                  <a:graphic xmlns:a="http://schemas.openxmlformats.org/drawingml/2006/main">
                    <a:graphicData uri="http://schemas.openxmlformats.org/drawingml/2006/picture">
                      <pic:pic xmlns:pic="http://schemas.openxmlformats.org/drawingml/2006/picture">
                        <pic:nvPicPr>
                          <pic:cNvPr id="43" name="图片_37_SpCnt_1"/>
                          <pic:cNvPicPr/>
                        </pic:nvPicPr>
                        <pic:blipFill>
                          <a:blip r:embed="rId23"/>
                          <a:stretch>
                            <a:fillRect/>
                          </a:stretch>
                        </pic:blipFill>
                        <pic:spPr>
                          <a:xfrm>
                            <a:off x="0" y="0"/>
                            <a:ext cx="885825" cy="1129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24</w:t>
            </w:r>
          </w:p>
        </w:tc>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3楼</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2816" behindDoc="0" locked="0" layoutInCell="1" allowOverlap="1">
                  <wp:simplePos x="0" y="0"/>
                  <wp:positionH relativeFrom="column">
                    <wp:posOffset>161925</wp:posOffset>
                  </wp:positionH>
                  <wp:positionV relativeFrom="paragraph">
                    <wp:posOffset>41275</wp:posOffset>
                  </wp:positionV>
                  <wp:extent cx="962660" cy="1185545"/>
                  <wp:effectExtent l="0" t="0" r="8890" b="14605"/>
                  <wp:wrapNone/>
                  <wp:docPr id="44" name="图片_25_SpCnt_2"/>
                  <wp:cNvGraphicFramePr/>
                  <a:graphic xmlns:a="http://schemas.openxmlformats.org/drawingml/2006/main">
                    <a:graphicData uri="http://schemas.openxmlformats.org/drawingml/2006/picture">
                      <pic:pic xmlns:pic="http://schemas.openxmlformats.org/drawingml/2006/picture">
                        <pic:nvPicPr>
                          <pic:cNvPr id="44" name="图片_25_SpCnt_2"/>
                          <pic:cNvPicPr/>
                        </pic:nvPicPr>
                        <pic:blipFill>
                          <a:blip r:embed="rId21"/>
                          <a:stretch>
                            <a:fillRect/>
                          </a:stretch>
                        </pic:blipFill>
                        <pic:spPr>
                          <a:xfrm>
                            <a:off x="0" y="0"/>
                            <a:ext cx="962660" cy="11855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3840" behindDoc="0" locked="0" layoutInCell="1" allowOverlap="1">
                  <wp:simplePos x="0" y="0"/>
                  <wp:positionH relativeFrom="column">
                    <wp:posOffset>85725</wp:posOffset>
                  </wp:positionH>
                  <wp:positionV relativeFrom="paragraph">
                    <wp:posOffset>88900</wp:posOffset>
                  </wp:positionV>
                  <wp:extent cx="1123950" cy="1095375"/>
                  <wp:effectExtent l="0" t="0" r="0" b="9525"/>
                  <wp:wrapNone/>
                  <wp:docPr id="45" name="图片_1_SpCnt_3"/>
                  <wp:cNvGraphicFramePr/>
                  <a:graphic xmlns:a="http://schemas.openxmlformats.org/drawingml/2006/main">
                    <a:graphicData uri="http://schemas.openxmlformats.org/drawingml/2006/picture">
                      <pic:pic xmlns:pic="http://schemas.openxmlformats.org/drawingml/2006/picture">
                        <pic:nvPicPr>
                          <pic:cNvPr id="45" name="图片_1_SpCnt_3"/>
                          <pic:cNvPicPr/>
                        </pic:nvPicPr>
                        <pic:blipFill>
                          <a:blip r:embed="rId24"/>
                          <a:stretch>
                            <a:fillRect/>
                          </a:stretch>
                        </pic:blipFill>
                        <pic:spPr>
                          <a:xfrm>
                            <a:off x="0" y="0"/>
                            <a:ext cx="1123950" cy="1095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豆瓣绿</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4864" behindDoc="0" locked="0" layoutInCell="1" allowOverlap="1">
                  <wp:simplePos x="0" y="0"/>
                  <wp:positionH relativeFrom="column">
                    <wp:posOffset>152400</wp:posOffset>
                  </wp:positionH>
                  <wp:positionV relativeFrom="paragraph">
                    <wp:posOffset>146050</wp:posOffset>
                  </wp:positionV>
                  <wp:extent cx="1035050" cy="982345"/>
                  <wp:effectExtent l="0" t="0" r="12700" b="8255"/>
                  <wp:wrapNone/>
                  <wp:docPr id="46" name="图片_22"/>
                  <wp:cNvGraphicFramePr/>
                  <a:graphic xmlns:a="http://schemas.openxmlformats.org/drawingml/2006/main">
                    <a:graphicData uri="http://schemas.openxmlformats.org/drawingml/2006/picture">
                      <pic:pic xmlns:pic="http://schemas.openxmlformats.org/drawingml/2006/picture">
                        <pic:nvPicPr>
                          <pic:cNvPr id="46" name="图片_22"/>
                          <pic:cNvPicPr/>
                        </pic:nvPicPr>
                        <pic:blipFill>
                          <a:blip r:embed="rId25"/>
                          <a:stretch>
                            <a:fillRect/>
                          </a:stretch>
                        </pic:blipFill>
                        <pic:spPr>
                          <a:xfrm>
                            <a:off x="0" y="0"/>
                            <a:ext cx="1035050" cy="9823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新叶藤</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5888" behindDoc="0" locked="0" layoutInCell="1" allowOverlap="1">
                  <wp:simplePos x="0" y="0"/>
                  <wp:positionH relativeFrom="column">
                    <wp:posOffset>227330</wp:posOffset>
                  </wp:positionH>
                  <wp:positionV relativeFrom="paragraph">
                    <wp:posOffset>46990</wp:posOffset>
                  </wp:positionV>
                  <wp:extent cx="998220" cy="1137920"/>
                  <wp:effectExtent l="0" t="0" r="11430" b="5080"/>
                  <wp:wrapNone/>
                  <wp:docPr id="47" name="图片_31"/>
                  <wp:cNvGraphicFramePr/>
                  <a:graphic xmlns:a="http://schemas.openxmlformats.org/drawingml/2006/main">
                    <a:graphicData uri="http://schemas.openxmlformats.org/drawingml/2006/picture">
                      <pic:pic xmlns:pic="http://schemas.openxmlformats.org/drawingml/2006/picture">
                        <pic:nvPicPr>
                          <pic:cNvPr id="47" name="图片_31"/>
                          <pic:cNvPicPr/>
                        </pic:nvPicPr>
                        <pic:blipFill>
                          <a:blip r:embed="rId26"/>
                          <a:stretch>
                            <a:fillRect/>
                          </a:stretch>
                        </pic:blipFill>
                        <pic:spPr>
                          <a:xfrm>
                            <a:off x="0" y="0"/>
                            <a:ext cx="998220" cy="11379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6912" behindDoc="0" locked="0" layoutInCell="1" allowOverlap="1">
                  <wp:simplePos x="0" y="0"/>
                  <wp:positionH relativeFrom="column">
                    <wp:posOffset>266065</wp:posOffset>
                  </wp:positionH>
                  <wp:positionV relativeFrom="paragraph">
                    <wp:posOffset>57150</wp:posOffset>
                  </wp:positionV>
                  <wp:extent cx="885825" cy="1129665"/>
                  <wp:effectExtent l="0" t="0" r="9525" b="13335"/>
                  <wp:wrapNone/>
                  <wp:docPr id="48" name="图片_36"/>
                  <wp:cNvGraphicFramePr/>
                  <a:graphic xmlns:a="http://schemas.openxmlformats.org/drawingml/2006/main">
                    <a:graphicData uri="http://schemas.openxmlformats.org/drawingml/2006/picture">
                      <pic:pic xmlns:pic="http://schemas.openxmlformats.org/drawingml/2006/picture">
                        <pic:nvPicPr>
                          <pic:cNvPr id="48" name="图片_36"/>
                          <pic:cNvPicPr/>
                        </pic:nvPicPr>
                        <pic:blipFill>
                          <a:blip r:embed="rId23"/>
                          <a:stretch>
                            <a:fillRect/>
                          </a:stretch>
                        </pic:blipFill>
                        <pic:spPr>
                          <a:xfrm>
                            <a:off x="0" y="0"/>
                            <a:ext cx="885825" cy="1129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7936" behindDoc="0" locked="0" layoutInCell="1" allowOverlap="1">
                  <wp:simplePos x="0" y="0"/>
                  <wp:positionH relativeFrom="column">
                    <wp:posOffset>208915</wp:posOffset>
                  </wp:positionH>
                  <wp:positionV relativeFrom="paragraph">
                    <wp:posOffset>127000</wp:posOffset>
                  </wp:positionV>
                  <wp:extent cx="1019175" cy="1019175"/>
                  <wp:effectExtent l="0" t="0" r="9525" b="9525"/>
                  <wp:wrapNone/>
                  <wp:docPr id="49" name="图片_24"/>
                  <wp:cNvGraphicFramePr/>
                  <a:graphic xmlns:a="http://schemas.openxmlformats.org/drawingml/2006/main">
                    <a:graphicData uri="http://schemas.openxmlformats.org/drawingml/2006/picture">
                      <pic:pic xmlns:pic="http://schemas.openxmlformats.org/drawingml/2006/picture">
                        <pic:nvPicPr>
                          <pic:cNvPr id="49" name="图片_24"/>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螺纹铁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8960" behindDoc="0" locked="0" layoutInCell="1" allowOverlap="1">
                  <wp:simplePos x="0" y="0"/>
                  <wp:positionH relativeFrom="column">
                    <wp:posOffset>152400</wp:posOffset>
                  </wp:positionH>
                  <wp:positionV relativeFrom="paragraph">
                    <wp:posOffset>76200</wp:posOffset>
                  </wp:positionV>
                  <wp:extent cx="1129665" cy="1133475"/>
                  <wp:effectExtent l="0" t="0" r="13335" b="9525"/>
                  <wp:wrapNone/>
                  <wp:docPr id="50" name="图片_28"/>
                  <wp:cNvGraphicFramePr/>
                  <a:graphic xmlns:a="http://schemas.openxmlformats.org/drawingml/2006/main">
                    <a:graphicData uri="http://schemas.openxmlformats.org/drawingml/2006/picture">
                      <pic:pic xmlns:pic="http://schemas.openxmlformats.org/drawingml/2006/picture">
                        <pic:nvPicPr>
                          <pic:cNvPr id="50" name="图片_28"/>
                          <pic:cNvPicPr/>
                        </pic:nvPicPr>
                        <pic:blipFill>
                          <a:blip r:embed="rId27"/>
                          <a:stretch>
                            <a:fillRect/>
                          </a:stretch>
                        </pic:blipFill>
                        <pic:spPr>
                          <a:xfrm>
                            <a:off x="0" y="0"/>
                            <a:ext cx="1129665" cy="11334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31</w:t>
            </w:r>
          </w:p>
        </w:tc>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4楼</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89984" behindDoc="0" locked="0" layoutInCell="1" allowOverlap="1">
                  <wp:simplePos x="0" y="0"/>
                  <wp:positionH relativeFrom="column">
                    <wp:posOffset>219075</wp:posOffset>
                  </wp:positionH>
                  <wp:positionV relativeFrom="paragraph">
                    <wp:posOffset>69850</wp:posOffset>
                  </wp:positionV>
                  <wp:extent cx="895985" cy="1103630"/>
                  <wp:effectExtent l="0" t="0" r="18415" b="1270"/>
                  <wp:wrapNone/>
                  <wp:docPr id="51" name="图片_25_SpCnt_3"/>
                  <wp:cNvGraphicFramePr/>
                  <a:graphic xmlns:a="http://schemas.openxmlformats.org/drawingml/2006/main">
                    <a:graphicData uri="http://schemas.openxmlformats.org/drawingml/2006/picture">
                      <pic:pic xmlns:pic="http://schemas.openxmlformats.org/drawingml/2006/picture">
                        <pic:nvPicPr>
                          <pic:cNvPr id="51" name="图片_25_SpCnt_3"/>
                          <pic:cNvPicPr/>
                        </pic:nvPicPr>
                        <pic:blipFill>
                          <a:blip r:embed="rId28"/>
                          <a:stretch>
                            <a:fillRect/>
                          </a:stretch>
                        </pic:blipFill>
                        <pic:spPr>
                          <a:xfrm>
                            <a:off x="0" y="0"/>
                            <a:ext cx="895985" cy="110363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1008" behindDoc="0" locked="0" layoutInCell="1" allowOverlap="1">
                  <wp:simplePos x="0" y="0"/>
                  <wp:positionH relativeFrom="column">
                    <wp:posOffset>76200</wp:posOffset>
                  </wp:positionH>
                  <wp:positionV relativeFrom="paragraph">
                    <wp:posOffset>98425</wp:posOffset>
                  </wp:positionV>
                  <wp:extent cx="1123950" cy="1095375"/>
                  <wp:effectExtent l="0" t="0" r="0" b="9525"/>
                  <wp:wrapNone/>
                  <wp:docPr id="52" name="图片_1_SpCnt_4"/>
                  <wp:cNvGraphicFramePr/>
                  <a:graphic xmlns:a="http://schemas.openxmlformats.org/drawingml/2006/main">
                    <a:graphicData uri="http://schemas.openxmlformats.org/drawingml/2006/picture">
                      <pic:pic xmlns:pic="http://schemas.openxmlformats.org/drawingml/2006/picture">
                        <pic:nvPicPr>
                          <pic:cNvPr id="52" name="图片_1_SpCnt_4"/>
                          <pic:cNvPicPr/>
                        </pic:nvPicPr>
                        <pic:blipFill>
                          <a:blip r:embed="rId24"/>
                          <a:stretch>
                            <a:fillRect/>
                          </a:stretch>
                        </pic:blipFill>
                        <pic:spPr>
                          <a:xfrm>
                            <a:off x="0" y="0"/>
                            <a:ext cx="1123950" cy="1095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玛丽安</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2032" behindDoc="0" locked="0" layoutInCell="1" allowOverlap="1">
                  <wp:simplePos x="0" y="0"/>
                  <wp:positionH relativeFrom="column">
                    <wp:posOffset>199390</wp:posOffset>
                  </wp:positionH>
                  <wp:positionV relativeFrom="paragraph">
                    <wp:posOffset>79375</wp:posOffset>
                  </wp:positionV>
                  <wp:extent cx="867410" cy="1086485"/>
                  <wp:effectExtent l="0" t="0" r="8890" b="18415"/>
                  <wp:wrapNone/>
                  <wp:docPr id="53" name="图片_50"/>
                  <wp:cNvGraphicFramePr/>
                  <a:graphic xmlns:a="http://schemas.openxmlformats.org/drawingml/2006/main">
                    <a:graphicData uri="http://schemas.openxmlformats.org/drawingml/2006/picture">
                      <pic:pic xmlns:pic="http://schemas.openxmlformats.org/drawingml/2006/picture">
                        <pic:nvPicPr>
                          <pic:cNvPr id="53" name="图片_50"/>
                          <pic:cNvPicPr/>
                        </pic:nvPicPr>
                        <pic:blipFill>
                          <a:blip r:embed="rId29"/>
                          <a:stretch>
                            <a:fillRect/>
                          </a:stretch>
                        </pic:blipFill>
                        <pic:spPr>
                          <a:xfrm>
                            <a:off x="0" y="0"/>
                            <a:ext cx="867410" cy="10864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3056" behindDoc="0" locked="0" layoutInCell="1" allowOverlap="1">
                  <wp:simplePos x="0" y="0"/>
                  <wp:positionH relativeFrom="column">
                    <wp:posOffset>170815</wp:posOffset>
                  </wp:positionH>
                  <wp:positionV relativeFrom="paragraph">
                    <wp:posOffset>95250</wp:posOffset>
                  </wp:positionV>
                  <wp:extent cx="1038860" cy="1042035"/>
                  <wp:effectExtent l="0" t="0" r="8890" b="5715"/>
                  <wp:wrapNone/>
                  <wp:docPr id="54" name="图片_35"/>
                  <wp:cNvGraphicFramePr/>
                  <a:graphic xmlns:a="http://schemas.openxmlformats.org/drawingml/2006/main">
                    <a:graphicData uri="http://schemas.openxmlformats.org/drawingml/2006/picture">
                      <pic:pic xmlns:pic="http://schemas.openxmlformats.org/drawingml/2006/picture">
                        <pic:nvPicPr>
                          <pic:cNvPr id="54" name="图片_35"/>
                          <pic:cNvPicPr/>
                        </pic:nvPicPr>
                        <pic:blipFill>
                          <a:blip r:embed="rId30"/>
                          <a:stretch>
                            <a:fillRect/>
                          </a:stretch>
                        </pic:blipFill>
                        <pic:spPr>
                          <a:xfrm>
                            <a:off x="0" y="0"/>
                            <a:ext cx="1038860" cy="10420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35</w:t>
            </w:r>
          </w:p>
        </w:tc>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5楼</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4080" behindDoc="0" locked="0" layoutInCell="1" allowOverlap="1">
                  <wp:simplePos x="0" y="0"/>
                  <wp:positionH relativeFrom="column">
                    <wp:posOffset>219075</wp:posOffset>
                  </wp:positionH>
                  <wp:positionV relativeFrom="paragraph">
                    <wp:posOffset>69850</wp:posOffset>
                  </wp:positionV>
                  <wp:extent cx="885825" cy="1129665"/>
                  <wp:effectExtent l="0" t="0" r="9525" b="13335"/>
                  <wp:wrapNone/>
                  <wp:docPr id="55" name="图片_38"/>
                  <wp:cNvGraphicFramePr/>
                  <a:graphic xmlns:a="http://schemas.openxmlformats.org/drawingml/2006/main">
                    <a:graphicData uri="http://schemas.openxmlformats.org/drawingml/2006/picture">
                      <pic:pic xmlns:pic="http://schemas.openxmlformats.org/drawingml/2006/picture">
                        <pic:nvPicPr>
                          <pic:cNvPr id="55" name="图片_38"/>
                          <pic:cNvPicPr/>
                        </pic:nvPicPr>
                        <pic:blipFill>
                          <a:blip r:embed="rId23"/>
                          <a:stretch>
                            <a:fillRect/>
                          </a:stretch>
                        </pic:blipFill>
                        <pic:spPr>
                          <a:xfrm>
                            <a:off x="0" y="0"/>
                            <a:ext cx="885825" cy="1129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5104" behindDoc="0" locked="0" layoutInCell="1" allowOverlap="1">
                  <wp:simplePos x="0" y="0"/>
                  <wp:positionH relativeFrom="column">
                    <wp:posOffset>104775</wp:posOffset>
                  </wp:positionH>
                  <wp:positionV relativeFrom="paragraph">
                    <wp:posOffset>88900</wp:posOffset>
                  </wp:positionV>
                  <wp:extent cx="1123950" cy="1114425"/>
                  <wp:effectExtent l="0" t="0" r="0" b="9525"/>
                  <wp:wrapNone/>
                  <wp:docPr id="56" name="图片_23_SpCnt_2"/>
                  <wp:cNvGraphicFramePr/>
                  <a:graphic xmlns:a="http://schemas.openxmlformats.org/drawingml/2006/main">
                    <a:graphicData uri="http://schemas.openxmlformats.org/drawingml/2006/picture">
                      <pic:pic xmlns:pic="http://schemas.openxmlformats.org/drawingml/2006/picture">
                        <pic:nvPicPr>
                          <pic:cNvPr id="56" name="图片_23_SpCnt_2"/>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6128" behindDoc="0" locked="0" layoutInCell="1" allowOverlap="1">
                  <wp:simplePos x="0" y="0"/>
                  <wp:positionH relativeFrom="column">
                    <wp:posOffset>142875</wp:posOffset>
                  </wp:positionH>
                  <wp:positionV relativeFrom="paragraph">
                    <wp:posOffset>107950</wp:posOffset>
                  </wp:positionV>
                  <wp:extent cx="1019175" cy="1019175"/>
                  <wp:effectExtent l="0" t="0" r="9525" b="9525"/>
                  <wp:wrapNone/>
                  <wp:docPr id="57" name="图片_40"/>
                  <wp:cNvGraphicFramePr/>
                  <a:graphic xmlns:a="http://schemas.openxmlformats.org/drawingml/2006/main">
                    <a:graphicData uri="http://schemas.openxmlformats.org/drawingml/2006/picture">
                      <pic:pic xmlns:pic="http://schemas.openxmlformats.org/drawingml/2006/picture">
                        <pic:nvPicPr>
                          <pic:cNvPr id="57" name="图片_40"/>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一帆风顺</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7152" behindDoc="0" locked="0" layoutInCell="1" allowOverlap="1">
                  <wp:simplePos x="0" y="0"/>
                  <wp:positionH relativeFrom="column">
                    <wp:posOffset>76200</wp:posOffset>
                  </wp:positionH>
                  <wp:positionV relativeFrom="paragraph">
                    <wp:posOffset>88900</wp:posOffset>
                  </wp:positionV>
                  <wp:extent cx="1190625" cy="1095375"/>
                  <wp:effectExtent l="0" t="0" r="9525" b="9525"/>
                  <wp:wrapNone/>
                  <wp:docPr id="58" name="图片_21_SpCnt_1"/>
                  <wp:cNvGraphicFramePr/>
                  <a:graphic xmlns:a="http://schemas.openxmlformats.org/drawingml/2006/main">
                    <a:graphicData uri="http://schemas.openxmlformats.org/drawingml/2006/picture">
                      <pic:pic xmlns:pic="http://schemas.openxmlformats.org/drawingml/2006/picture">
                        <pic:nvPicPr>
                          <pic:cNvPr id="58" name="图片_21_SpCnt_1"/>
                          <pic:cNvPicPr/>
                        </pic:nvPicPr>
                        <pic:blipFill>
                          <a:blip r:embed="rId22"/>
                          <a:stretch>
                            <a:fillRect/>
                          </a:stretch>
                        </pic:blipFill>
                        <pic:spPr>
                          <a:xfrm>
                            <a:off x="0" y="0"/>
                            <a:ext cx="1190625" cy="1095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8176" behindDoc="0" locked="0" layoutInCell="1" allowOverlap="1">
                  <wp:simplePos x="0" y="0"/>
                  <wp:positionH relativeFrom="column">
                    <wp:posOffset>180975</wp:posOffset>
                  </wp:positionH>
                  <wp:positionV relativeFrom="paragraph">
                    <wp:posOffset>127000</wp:posOffset>
                  </wp:positionV>
                  <wp:extent cx="971550" cy="1038225"/>
                  <wp:effectExtent l="0" t="0" r="0" b="9525"/>
                  <wp:wrapNone/>
                  <wp:docPr id="59" name="图片_3"/>
                  <wp:cNvGraphicFramePr/>
                  <a:graphic xmlns:a="http://schemas.openxmlformats.org/drawingml/2006/main">
                    <a:graphicData uri="http://schemas.openxmlformats.org/drawingml/2006/picture">
                      <pic:pic xmlns:pic="http://schemas.openxmlformats.org/drawingml/2006/picture">
                        <pic:nvPicPr>
                          <pic:cNvPr id="59" name="图片_3"/>
                          <pic:cNvPicPr/>
                        </pic:nvPicPr>
                        <pic:blipFill>
                          <a:blip r:embed="rId31"/>
                          <a:stretch>
                            <a:fillRect/>
                          </a:stretch>
                        </pic:blipFill>
                        <pic:spPr>
                          <a:xfrm>
                            <a:off x="0" y="0"/>
                            <a:ext cx="971550" cy="10382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699200" behindDoc="0" locked="0" layoutInCell="1" allowOverlap="1">
                  <wp:simplePos x="0" y="0"/>
                  <wp:positionH relativeFrom="column">
                    <wp:posOffset>142875</wp:posOffset>
                  </wp:positionH>
                  <wp:positionV relativeFrom="paragraph">
                    <wp:posOffset>117475</wp:posOffset>
                  </wp:positionV>
                  <wp:extent cx="1019175" cy="1019175"/>
                  <wp:effectExtent l="0" t="0" r="9525" b="9525"/>
                  <wp:wrapNone/>
                  <wp:docPr id="60" name="图片_42"/>
                  <wp:cNvGraphicFramePr/>
                  <a:graphic xmlns:a="http://schemas.openxmlformats.org/drawingml/2006/main">
                    <a:graphicData uri="http://schemas.openxmlformats.org/drawingml/2006/picture">
                      <pic:pic xmlns:pic="http://schemas.openxmlformats.org/drawingml/2006/picture">
                        <pic:nvPicPr>
                          <pic:cNvPr id="60" name="图片_42"/>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0224" behindDoc="0" locked="0" layoutInCell="1" allowOverlap="1">
                  <wp:simplePos x="0" y="0"/>
                  <wp:positionH relativeFrom="column">
                    <wp:posOffset>113665</wp:posOffset>
                  </wp:positionH>
                  <wp:positionV relativeFrom="paragraph">
                    <wp:posOffset>77470</wp:posOffset>
                  </wp:positionV>
                  <wp:extent cx="1081405" cy="1131570"/>
                  <wp:effectExtent l="0" t="0" r="4445" b="11430"/>
                  <wp:wrapNone/>
                  <wp:docPr id="61" name="图片_44"/>
                  <wp:cNvGraphicFramePr/>
                  <a:graphic xmlns:a="http://schemas.openxmlformats.org/drawingml/2006/main">
                    <a:graphicData uri="http://schemas.openxmlformats.org/drawingml/2006/picture">
                      <pic:pic xmlns:pic="http://schemas.openxmlformats.org/drawingml/2006/picture">
                        <pic:nvPicPr>
                          <pic:cNvPr id="61" name="图片_44"/>
                          <pic:cNvPicPr/>
                        </pic:nvPicPr>
                        <pic:blipFill>
                          <a:blip r:embed="rId32"/>
                          <a:stretch>
                            <a:fillRect/>
                          </a:stretch>
                        </pic:blipFill>
                        <pic:spPr>
                          <a:xfrm>
                            <a:off x="0" y="0"/>
                            <a:ext cx="1081405" cy="11315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豆瓣绿</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1248" behindDoc="0" locked="0" layoutInCell="1" allowOverlap="1">
                  <wp:simplePos x="0" y="0"/>
                  <wp:positionH relativeFrom="column">
                    <wp:posOffset>171450</wp:posOffset>
                  </wp:positionH>
                  <wp:positionV relativeFrom="paragraph">
                    <wp:posOffset>165100</wp:posOffset>
                  </wp:positionV>
                  <wp:extent cx="1035050" cy="982345"/>
                  <wp:effectExtent l="0" t="0" r="12700" b="8255"/>
                  <wp:wrapNone/>
                  <wp:docPr id="62" name="图片_45"/>
                  <wp:cNvGraphicFramePr/>
                  <a:graphic xmlns:a="http://schemas.openxmlformats.org/drawingml/2006/main">
                    <a:graphicData uri="http://schemas.openxmlformats.org/drawingml/2006/picture">
                      <pic:pic xmlns:pic="http://schemas.openxmlformats.org/drawingml/2006/picture">
                        <pic:nvPicPr>
                          <pic:cNvPr id="62" name="图片_45"/>
                          <pic:cNvPicPr/>
                        </pic:nvPicPr>
                        <pic:blipFill>
                          <a:blip r:embed="rId25"/>
                          <a:stretch>
                            <a:fillRect/>
                          </a:stretch>
                        </pic:blipFill>
                        <pic:spPr>
                          <a:xfrm>
                            <a:off x="0" y="0"/>
                            <a:ext cx="1035050" cy="9823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2272" behindDoc="0" locked="0" layoutInCell="1" allowOverlap="1">
                  <wp:simplePos x="0" y="0"/>
                  <wp:positionH relativeFrom="column">
                    <wp:posOffset>161925</wp:posOffset>
                  </wp:positionH>
                  <wp:positionV relativeFrom="paragraph">
                    <wp:posOffset>117475</wp:posOffset>
                  </wp:positionV>
                  <wp:extent cx="1019175" cy="1019175"/>
                  <wp:effectExtent l="0" t="0" r="9525" b="9525"/>
                  <wp:wrapNone/>
                  <wp:docPr id="63" name="图片_46"/>
                  <wp:cNvGraphicFramePr/>
                  <a:graphic xmlns:a="http://schemas.openxmlformats.org/drawingml/2006/main">
                    <a:graphicData uri="http://schemas.openxmlformats.org/drawingml/2006/picture">
                      <pic:pic xmlns:pic="http://schemas.openxmlformats.org/drawingml/2006/picture">
                        <pic:nvPicPr>
                          <pic:cNvPr id="63" name="图片_46"/>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3296" behindDoc="0" locked="0" layoutInCell="1" allowOverlap="1">
                  <wp:simplePos x="0" y="0"/>
                  <wp:positionH relativeFrom="column">
                    <wp:posOffset>76200</wp:posOffset>
                  </wp:positionH>
                  <wp:positionV relativeFrom="paragraph">
                    <wp:posOffset>69850</wp:posOffset>
                  </wp:positionV>
                  <wp:extent cx="1123950" cy="1114425"/>
                  <wp:effectExtent l="0" t="0" r="0" b="9525"/>
                  <wp:wrapNone/>
                  <wp:docPr id="64" name="图片_23_SpCnt_3"/>
                  <wp:cNvGraphicFramePr/>
                  <a:graphic xmlns:a="http://schemas.openxmlformats.org/drawingml/2006/main">
                    <a:graphicData uri="http://schemas.openxmlformats.org/drawingml/2006/picture">
                      <pic:pic xmlns:pic="http://schemas.openxmlformats.org/drawingml/2006/picture">
                        <pic:nvPicPr>
                          <pic:cNvPr id="64" name="图片_23_SpCnt_3"/>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琴叶榕</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4320" behindDoc="0" locked="0" layoutInCell="1" allowOverlap="1">
                  <wp:simplePos x="0" y="0"/>
                  <wp:positionH relativeFrom="column">
                    <wp:posOffset>171450</wp:posOffset>
                  </wp:positionH>
                  <wp:positionV relativeFrom="paragraph">
                    <wp:posOffset>136525</wp:posOffset>
                  </wp:positionV>
                  <wp:extent cx="992505" cy="993140"/>
                  <wp:effectExtent l="0" t="0" r="17145" b="16510"/>
                  <wp:wrapNone/>
                  <wp:docPr id="65" name="图片_48"/>
                  <wp:cNvGraphicFramePr/>
                  <a:graphic xmlns:a="http://schemas.openxmlformats.org/drawingml/2006/main">
                    <a:graphicData uri="http://schemas.openxmlformats.org/drawingml/2006/picture">
                      <pic:pic xmlns:pic="http://schemas.openxmlformats.org/drawingml/2006/picture">
                        <pic:nvPicPr>
                          <pic:cNvPr id="65" name="图片_48"/>
                          <pic:cNvPicPr/>
                        </pic:nvPicPr>
                        <pic:blipFill>
                          <a:blip r:embed="rId33"/>
                          <a:stretch>
                            <a:fillRect/>
                          </a:stretch>
                        </pic:blipFill>
                        <pic:spPr>
                          <a:xfrm>
                            <a:off x="0" y="0"/>
                            <a:ext cx="992505" cy="9931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5344" behindDoc="0" locked="0" layoutInCell="1" allowOverlap="1">
                  <wp:simplePos x="0" y="0"/>
                  <wp:positionH relativeFrom="column">
                    <wp:posOffset>123825</wp:posOffset>
                  </wp:positionH>
                  <wp:positionV relativeFrom="paragraph">
                    <wp:posOffset>60325</wp:posOffset>
                  </wp:positionV>
                  <wp:extent cx="1081405" cy="1131570"/>
                  <wp:effectExtent l="0" t="0" r="4445" b="11430"/>
                  <wp:wrapNone/>
                  <wp:docPr id="66" name="图片_49"/>
                  <wp:cNvGraphicFramePr/>
                  <a:graphic xmlns:a="http://schemas.openxmlformats.org/drawingml/2006/main">
                    <a:graphicData uri="http://schemas.openxmlformats.org/drawingml/2006/picture">
                      <pic:pic xmlns:pic="http://schemas.openxmlformats.org/drawingml/2006/picture">
                        <pic:nvPicPr>
                          <pic:cNvPr id="66" name="图片_49"/>
                          <pic:cNvPicPr/>
                        </pic:nvPicPr>
                        <pic:blipFill>
                          <a:blip r:embed="rId32"/>
                          <a:stretch>
                            <a:fillRect/>
                          </a:stretch>
                        </pic:blipFill>
                        <pic:spPr>
                          <a:xfrm>
                            <a:off x="0" y="0"/>
                            <a:ext cx="1081405" cy="11315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6368" behindDoc="0" locked="0" layoutInCell="1" allowOverlap="1">
                  <wp:simplePos x="0" y="0"/>
                  <wp:positionH relativeFrom="column">
                    <wp:posOffset>180975</wp:posOffset>
                  </wp:positionH>
                  <wp:positionV relativeFrom="paragraph">
                    <wp:posOffset>107950</wp:posOffset>
                  </wp:positionV>
                  <wp:extent cx="971550" cy="1038225"/>
                  <wp:effectExtent l="0" t="0" r="0" b="9525"/>
                  <wp:wrapNone/>
                  <wp:docPr id="67" name="图片_3_SpCnt_1"/>
                  <wp:cNvGraphicFramePr/>
                  <a:graphic xmlns:a="http://schemas.openxmlformats.org/drawingml/2006/main">
                    <a:graphicData uri="http://schemas.openxmlformats.org/drawingml/2006/picture">
                      <pic:pic xmlns:pic="http://schemas.openxmlformats.org/drawingml/2006/picture">
                        <pic:nvPicPr>
                          <pic:cNvPr id="67" name="图片_3_SpCnt_1"/>
                          <pic:cNvPicPr/>
                        </pic:nvPicPr>
                        <pic:blipFill>
                          <a:blip r:embed="rId31"/>
                          <a:stretch>
                            <a:fillRect/>
                          </a:stretch>
                        </pic:blipFill>
                        <pic:spPr>
                          <a:xfrm>
                            <a:off x="0" y="0"/>
                            <a:ext cx="971550" cy="10382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7392" behindDoc="0" locked="0" layoutInCell="1" allowOverlap="1">
                  <wp:simplePos x="0" y="0"/>
                  <wp:positionH relativeFrom="column">
                    <wp:posOffset>219075</wp:posOffset>
                  </wp:positionH>
                  <wp:positionV relativeFrom="paragraph">
                    <wp:posOffset>69850</wp:posOffset>
                  </wp:positionV>
                  <wp:extent cx="885825" cy="1129665"/>
                  <wp:effectExtent l="0" t="0" r="9525" b="13335"/>
                  <wp:wrapNone/>
                  <wp:docPr id="68" name="图片_51"/>
                  <wp:cNvGraphicFramePr/>
                  <a:graphic xmlns:a="http://schemas.openxmlformats.org/drawingml/2006/main">
                    <a:graphicData uri="http://schemas.openxmlformats.org/drawingml/2006/picture">
                      <pic:pic xmlns:pic="http://schemas.openxmlformats.org/drawingml/2006/picture">
                        <pic:nvPicPr>
                          <pic:cNvPr id="68" name="图片_51"/>
                          <pic:cNvPicPr/>
                        </pic:nvPicPr>
                        <pic:blipFill>
                          <a:blip r:embed="rId23"/>
                          <a:stretch>
                            <a:fillRect/>
                          </a:stretch>
                        </pic:blipFill>
                        <pic:spPr>
                          <a:xfrm>
                            <a:off x="0" y="0"/>
                            <a:ext cx="885825" cy="1129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一帆风顺</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8416" behindDoc="0" locked="0" layoutInCell="1" allowOverlap="1">
                  <wp:simplePos x="0" y="0"/>
                  <wp:positionH relativeFrom="column">
                    <wp:posOffset>85725</wp:posOffset>
                  </wp:positionH>
                  <wp:positionV relativeFrom="paragraph">
                    <wp:posOffset>60325</wp:posOffset>
                  </wp:positionV>
                  <wp:extent cx="1190625" cy="1095375"/>
                  <wp:effectExtent l="0" t="0" r="9525" b="9525"/>
                  <wp:wrapNone/>
                  <wp:docPr id="69" name="图片_21_SpCnt_2"/>
                  <wp:cNvGraphicFramePr/>
                  <a:graphic xmlns:a="http://schemas.openxmlformats.org/drawingml/2006/main">
                    <a:graphicData uri="http://schemas.openxmlformats.org/drawingml/2006/picture">
                      <pic:pic xmlns:pic="http://schemas.openxmlformats.org/drawingml/2006/picture">
                        <pic:nvPicPr>
                          <pic:cNvPr id="69" name="图片_21_SpCnt_2"/>
                          <pic:cNvPicPr/>
                        </pic:nvPicPr>
                        <pic:blipFill>
                          <a:blip r:embed="rId22"/>
                          <a:stretch>
                            <a:fillRect/>
                          </a:stretch>
                        </pic:blipFill>
                        <pic:spPr>
                          <a:xfrm>
                            <a:off x="0" y="0"/>
                            <a:ext cx="1190625" cy="1095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09440" behindDoc="0" locked="0" layoutInCell="1" allowOverlap="1">
                  <wp:simplePos x="0" y="0"/>
                  <wp:positionH relativeFrom="column">
                    <wp:posOffset>133350</wp:posOffset>
                  </wp:positionH>
                  <wp:positionV relativeFrom="paragraph">
                    <wp:posOffset>127000</wp:posOffset>
                  </wp:positionV>
                  <wp:extent cx="1019175" cy="1019175"/>
                  <wp:effectExtent l="0" t="0" r="9525" b="9525"/>
                  <wp:wrapNone/>
                  <wp:docPr id="70" name="图片_53"/>
                  <wp:cNvGraphicFramePr/>
                  <a:graphic xmlns:a="http://schemas.openxmlformats.org/drawingml/2006/main">
                    <a:graphicData uri="http://schemas.openxmlformats.org/drawingml/2006/picture">
                      <pic:pic xmlns:pic="http://schemas.openxmlformats.org/drawingml/2006/picture">
                        <pic:nvPicPr>
                          <pic:cNvPr id="70" name="图片_53"/>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螺纹铁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0464" behindDoc="0" locked="0" layoutInCell="1" allowOverlap="1">
                  <wp:simplePos x="0" y="0"/>
                  <wp:positionH relativeFrom="column">
                    <wp:posOffset>104775</wp:posOffset>
                  </wp:positionH>
                  <wp:positionV relativeFrom="paragraph">
                    <wp:posOffset>69850</wp:posOffset>
                  </wp:positionV>
                  <wp:extent cx="1129665" cy="1133475"/>
                  <wp:effectExtent l="0" t="0" r="13335" b="9525"/>
                  <wp:wrapNone/>
                  <wp:docPr id="71" name="图片_54"/>
                  <wp:cNvGraphicFramePr/>
                  <a:graphic xmlns:a="http://schemas.openxmlformats.org/drawingml/2006/main">
                    <a:graphicData uri="http://schemas.openxmlformats.org/drawingml/2006/picture">
                      <pic:pic xmlns:pic="http://schemas.openxmlformats.org/drawingml/2006/picture">
                        <pic:nvPicPr>
                          <pic:cNvPr id="71" name="图片_54"/>
                          <pic:cNvPicPr/>
                        </pic:nvPicPr>
                        <pic:blipFill>
                          <a:blip r:embed="rId27"/>
                          <a:stretch>
                            <a:fillRect/>
                          </a:stretch>
                        </pic:blipFill>
                        <pic:spPr>
                          <a:xfrm>
                            <a:off x="0" y="0"/>
                            <a:ext cx="1129665" cy="11334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1488" behindDoc="0" locked="0" layoutInCell="1" allowOverlap="1">
                  <wp:simplePos x="0" y="0"/>
                  <wp:positionH relativeFrom="column">
                    <wp:posOffset>76200</wp:posOffset>
                  </wp:positionH>
                  <wp:positionV relativeFrom="paragraph">
                    <wp:posOffset>69850</wp:posOffset>
                  </wp:positionV>
                  <wp:extent cx="1123950" cy="1114425"/>
                  <wp:effectExtent l="0" t="0" r="0" b="9525"/>
                  <wp:wrapNone/>
                  <wp:docPr id="72" name="图片_23_SpCnt_4"/>
                  <wp:cNvGraphicFramePr/>
                  <a:graphic xmlns:a="http://schemas.openxmlformats.org/drawingml/2006/main">
                    <a:graphicData uri="http://schemas.openxmlformats.org/drawingml/2006/picture">
                      <pic:pic xmlns:pic="http://schemas.openxmlformats.org/drawingml/2006/picture">
                        <pic:nvPicPr>
                          <pic:cNvPr id="72" name="图片_23_SpCnt_4"/>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天堂鸟</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2512" behindDoc="0" locked="0" layoutInCell="1" allowOverlap="1">
                  <wp:simplePos x="0" y="0"/>
                  <wp:positionH relativeFrom="column">
                    <wp:posOffset>123825</wp:posOffset>
                  </wp:positionH>
                  <wp:positionV relativeFrom="paragraph">
                    <wp:posOffset>69850</wp:posOffset>
                  </wp:positionV>
                  <wp:extent cx="1114425" cy="1117600"/>
                  <wp:effectExtent l="0" t="0" r="9525" b="6350"/>
                  <wp:wrapNone/>
                  <wp:docPr id="73" name="图片_56"/>
                  <wp:cNvGraphicFramePr/>
                  <a:graphic xmlns:a="http://schemas.openxmlformats.org/drawingml/2006/main">
                    <a:graphicData uri="http://schemas.openxmlformats.org/drawingml/2006/picture">
                      <pic:pic xmlns:pic="http://schemas.openxmlformats.org/drawingml/2006/picture">
                        <pic:nvPicPr>
                          <pic:cNvPr id="73" name="图片_56"/>
                          <pic:cNvPicPr/>
                        </pic:nvPicPr>
                        <pic:blipFill>
                          <a:blip r:embed="rId34"/>
                          <a:stretch>
                            <a:fillRect/>
                          </a:stretch>
                        </pic:blipFill>
                        <pic:spPr>
                          <a:xfrm>
                            <a:off x="0" y="0"/>
                            <a:ext cx="1114425" cy="11176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3536" behindDoc="0" locked="0" layoutInCell="1" allowOverlap="1">
                  <wp:simplePos x="0" y="0"/>
                  <wp:positionH relativeFrom="column">
                    <wp:posOffset>85725</wp:posOffset>
                  </wp:positionH>
                  <wp:positionV relativeFrom="paragraph">
                    <wp:posOffset>50800</wp:posOffset>
                  </wp:positionV>
                  <wp:extent cx="1081405" cy="1131570"/>
                  <wp:effectExtent l="0" t="0" r="4445" b="11430"/>
                  <wp:wrapNone/>
                  <wp:docPr id="74" name="图片_57"/>
                  <wp:cNvGraphicFramePr/>
                  <a:graphic xmlns:a="http://schemas.openxmlformats.org/drawingml/2006/main">
                    <a:graphicData uri="http://schemas.openxmlformats.org/drawingml/2006/picture">
                      <pic:pic xmlns:pic="http://schemas.openxmlformats.org/drawingml/2006/picture">
                        <pic:nvPicPr>
                          <pic:cNvPr id="74" name="图片_57"/>
                          <pic:cNvPicPr/>
                        </pic:nvPicPr>
                        <pic:blipFill>
                          <a:blip r:embed="rId32"/>
                          <a:stretch>
                            <a:fillRect/>
                          </a:stretch>
                        </pic:blipFill>
                        <pic:spPr>
                          <a:xfrm>
                            <a:off x="0" y="0"/>
                            <a:ext cx="1081405" cy="11315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4560" behindDoc="0" locked="0" layoutInCell="1" allowOverlap="1">
                  <wp:simplePos x="0" y="0"/>
                  <wp:positionH relativeFrom="column">
                    <wp:posOffset>95250</wp:posOffset>
                  </wp:positionH>
                  <wp:positionV relativeFrom="paragraph">
                    <wp:posOffset>174625</wp:posOffset>
                  </wp:positionV>
                  <wp:extent cx="1123950" cy="962025"/>
                  <wp:effectExtent l="0" t="0" r="0" b="9525"/>
                  <wp:wrapNone/>
                  <wp:docPr id="75" name="图片_1_SpCnt_5"/>
                  <wp:cNvGraphicFramePr/>
                  <a:graphic xmlns:a="http://schemas.openxmlformats.org/drawingml/2006/main">
                    <a:graphicData uri="http://schemas.openxmlformats.org/drawingml/2006/picture">
                      <pic:pic xmlns:pic="http://schemas.openxmlformats.org/drawingml/2006/picture">
                        <pic:nvPicPr>
                          <pic:cNvPr id="75" name="图片_1_SpCnt_5"/>
                          <pic:cNvPicPr/>
                        </pic:nvPicPr>
                        <pic:blipFill>
                          <a:blip r:embed="rId9"/>
                          <a:stretch>
                            <a:fillRect/>
                          </a:stretch>
                        </pic:blipFill>
                        <pic:spPr>
                          <a:xfrm>
                            <a:off x="0" y="0"/>
                            <a:ext cx="112395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999"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巴西木</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5584" behindDoc="0" locked="0" layoutInCell="1" allowOverlap="1">
                  <wp:simplePos x="0" y="0"/>
                  <wp:positionH relativeFrom="column">
                    <wp:posOffset>219075</wp:posOffset>
                  </wp:positionH>
                  <wp:positionV relativeFrom="paragraph">
                    <wp:posOffset>60325</wp:posOffset>
                  </wp:positionV>
                  <wp:extent cx="923925" cy="1149985"/>
                  <wp:effectExtent l="0" t="0" r="9525" b="12065"/>
                  <wp:wrapNone/>
                  <wp:docPr id="76" name="图片_10_SpCnt_1"/>
                  <wp:cNvGraphicFramePr/>
                  <a:graphic xmlns:a="http://schemas.openxmlformats.org/drawingml/2006/main">
                    <a:graphicData uri="http://schemas.openxmlformats.org/drawingml/2006/picture">
                      <pic:pic xmlns:pic="http://schemas.openxmlformats.org/drawingml/2006/picture">
                        <pic:nvPicPr>
                          <pic:cNvPr id="76" name="图片_10_SpCnt_1"/>
                          <pic:cNvPicPr/>
                        </pic:nvPicPr>
                        <pic:blipFill>
                          <a:blip r:embed="rId35"/>
                          <a:stretch>
                            <a:fillRect/>
                          </a:stretch>
                        </pic:blipFill>
                        <pic:spPr>
                          <a:xfrm>
                            <a:off x="0" y="0"/>
                            <a:ext cx="923925" cy="114998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金叶也门铁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5584" behindDoc="0" locked="0" layoutInCell="1" allowOverlap="1">
                  <wp:simplePos x="0" y="0"/>
                  <wp:positionH relativeFrom="column">
                    <wp:posOffset>104775</wp:posOffset>
                  </wp:positionH>
                  <wp:positionV relativeFrom="paragraph">
                    <wp:posOffset>95250</wp:posOffset>
                  </wp:positionV>
                  <wp:extent cx="1162050" cy="1165225"/>
                  <wp:effectExtent l="0" t="0" r="0" b="15875"/>
                  <wp:wrapNone/>
                  <wp:docPr id="77" name="图片_60"/>
                  <wp:cNvGraphicFramePr/>
                  <a:graphic xmlns:a="http://schemas.openxmlformats.org/drawingml/2006/main">
                    <a:graphicData uri="http://schemas.openxmlformats.org/drawingml/2006/picture">
                      <pic:pic xmlns:pic="http://schemas.openxmlformats.org/drawingml/2006/picture">
                        <pic:nvPicPr>
                          <pic:cNvPr id="77" name="图片_60"/>
                          <pic:cNvPicPr/>
                        </pic:nvPicPr>
                        <pic:blipFill>
                          <a:blip r:embed="rId36"/>
                          <a:stretch>
                            <a:fillRect/>
                          </a:stretch>
                        </pic:blipFill>
                        <pic:spPr>
                          <a:xfrm>
                            <a:off x="0" y="0"/>
                            <a:ext cx="1162050" cy="11652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白玉虎皮兰</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6608" behindDoc="0" locked="0" layoutInCell="1" allowOverlap="1">
                  <wp:simplePos x="0" y="0"/>
                  <wp:positionH relativeFrom="column">
                    <wp:posOffset>75565</wp:posOffset>
                  </wp:positionH>
                  <wp:positionV relativeFrom="paragraph">
                    <wp:posOffset>62230</wp:posOffset>
                  </wp:positionV>
                  <wp:extent cx="1163320" cy="1172210"/>
                  <wp:effectExtent l="0" t="0" r="17780" b="8890"/>
                  <wp:wrapNone/>
                  <wp:docPr id="78" name="图片_61"/>
                  <wp:cNvGraphicFramePr/>
                  <a:graphic xmlns:a="http://schemas.openxmlformats.org/drawingml/2006/main">
                    <a:graphicData uri="http://schemas.openxmlformats.org/drawingml/2006/picture">
                      <pic:pic xmlns:pic="http://schemas.openxmlformats.org/drawingml/2006/picture">
                        <pic:nvPicPr>
                          <pic:cNvPr id="78" name="图片_61"/>
                          <pic:cNvPicPr/>
                        </pic:nvPicPr>
                        <pic:blipFill>
                          <a:blip r:embed="rId37"/>
                          <a:stretch>
                            <a:fillRect/>
                          </a:stretch>
                        </pic:blipFill>
                        <pic:spPr>
                          <a:xfrm>
                            <a:off x="0" y="0"/>
                            <a:ext cx="1163320" cy="117221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龙须树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7632" behindDoc="0" locked="0" layoutInCell="1" allowOverlap="1">
                  <wp:simplePos x="0" y="0"/>
                  <wp:positionH relativeFrom="column">
                    <wp:posOffset>123825</wp:posOffset>
                  </wp:positionH>
                  <wp:positionV relativeFrom="paragraph">
                    <wp:posOffset>95250</wp:posOffset>
                  </wp:positionV>
                  <wp:extent cx="1073150" cy="1075690"/>
                  <wp:effectExtent l="0" t="0" r="12700" b="10160"/>
                  <wp:wrapNone/>
                  <wp:docPr id="79" name="图片_64"/>
                  <wp:cNvGraphicFramePr/>
                  <a:graphic xmlns:a="http://schemas.openxmlformats.org/drawingml/2006/main">
                    <a:graphicData uri="http://schemas.openxmlformats.org/drawingml/2006/picture">
                      <pic:pic xmlns:pic="http://schemas.openxmlformats.org/drawingml/2006/picture">
                        <pic:nvPicPr>
                          <pic:cNvPr id="79" name="图片_64"/>
                          <pic:cNvPicPr/>
                        </pic:nvPicPr>
                        <pic:blipFill>
                          <a:blip r:embed="rId38"/>
                          <a:stretch>
                            <a:fillRect/>
                          </a:stretch>
                        </pic:blipFill>
                        <pic:spPr>
                          <a:xfrm>
                            <a:off x="0" y="0"/>
                            <a:ext cx="1073150" cy="10756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万年青</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8656" behindDoc="0" locked="0" layoutInCell="1" allowOverlap="1">
                  <wp:simplePos x="0" y="0"/>
                  <wp:positionH relativeFrom="column">
                    <wp:posOffset>95885</wp:posOffset>
                  </wp:positionH>
                  <wp:positionV relativeFrom="paragraph">
                    <wp:posOffset>86360</wp:posOffset>
                  </wp:positionV>
                  <wp:extent cx="1111885" cy="1158240"/>
                  <wp:effectExtent l="0" t="0" r="12065" b="3810"/>
                  <wp:wrapNone/>
                  <wp:docPr id="80" name="图片_66"/>
                  <wp:cNvGraphicFramePr/>
                  <a:graphic xmlns:a="http://schemas.openxmlformats.org/drawingml/2006/main">
                    <a:graphicData uri="http://schemas.openxmlformats.org/drawingml/2006/picture">
                      <pic:pic xmlns:pic="http://schemas.openxmlformats.org/drawingml/2006/picture">
                        <pic:nvPicPr>
                          <pic:cNvPr id="80" name="图片_66"/>
                          <pic:cNvPicPr/>
                        </pic:nvPicPr>
                        <pic:blipFill>
                          <a:blip r:embed="rId39"/>
                          <a:stretch>
                            <a:fillRect/>
                          </a:stretch>
                        </pic:blipFill>
                        <pic:spPr>
                          <a:xfrm>
                            <a:off x="0" y="0"/>
                            <a:ext cx="1111885" cy="11582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八角金盘</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19680" behindDoc="0" locked="0" layoutInCell="1" allowOverlap="1">
                  <wp:simplePos x="0" y="0"/>
                  <wp:positionH relativeFrom="column">
                    <wp:posOffset>132715</wp:posOffset>
                  </wp:positionH>
                  <wp:positionV relativeFrom="paragraph">
                    <wp:posOffset>37465</wp:posOffset>
                  </wp:positionV>
                  <wp:extent cx="1103630" cy="1206500"/>
                  <wp:effectExtent l="0" t="0" r="1270" b="12700"/>
                  <wp:wrapNone/>
                  <wp:docPr id="81" name="图片_63"/>
                  <wp:cNvGraphicFramePr/>
                  <a:graphic xmlns:a="http://schemas.openxmlformats.org/drawingml/2006/main">
                    <a:graphicData uri="http://schemas.openxmlformats.org/drawingml/2006/picture">
                      <pic:pic xmlns:pic="http://schemas.openxmlformats.org/drawingml/2006/picture">
                        <pic:nvPicPr>
                          <pic:cNvPr id="81" name="图片_63"/>
                          <pic:cNvPicPr/>
                        </pic:nvPicPr>
                        <pic:blipFill>
                          <a:blip r:embed="rId40"/>
                          <a:stretch>
                            <a:fillRect/>
                          </a:stretch>
                        </pic:blipFill>
                        <pic:spPr>
                          <a:xfrm>
                            <a:off x="0" y="0"/>
                            <a:ext cx="1103630" cy="12065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虎皮兰</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0704" behindDoc="0" locked="0" layoutInCell="1" allowOverlap="1">
                  <wp:simplePos x="0" y="0"/>
                  <wp:positionH relativeFrom="column">
                    <wp:posOffset>85090</wp:posOffset>
                  </wp:positionH>
                  <wp:positionV relativeFrom="paragraph">
                    <wp:posOffset>95250</wp:posOffset>
                  </wp:positionV>
                  <wp:extent cx="1142365" cy="1150620"/>
                  <wp:effectExtent l="0" t="0" r="635" b="11430"/>
                  <wp:wrapNone/>
                  <wp:docPr id="82" name="图片_62"/>
                  <wp:cNvGraphicFramePr/>
                  <a:graphic xmlns:a="http://schemas.openxmlformats.org/drawingml/2006/main">
                    <a:graphicData uri="http://schemas.openxmlformats.org/drawingml/2006/picture">
                      <pic:pic xmlns:pic="http://schemas.openxmlformats.org/drawingml/2006/picture">
                        <pic:nvPicPr>
                          <pic:cNvPr id="82" name="图片_62"/>
                          <pic:cNvPicPr/>
                        </pic:nvPicPr>
                        <pic:blipFill>
                          <a:blip r:embed="rId41"/>
                          <a:stretch>
                            <a:fillRect/>
                          </a:stretch>
                        </pic:blipFill>
                        <pic:spPr>
                          <a:xfrm>
                            <a:off x="0" y="0"/>
                            <a:ext cx="1142365" cy="11506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琴叶榕</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1728" behindDoc="0" locked="0" layoutInCell="1" allowOverlap="1">
                  <wp:simplePos x="0" y="0"/>
                  <wp:positionH relativeFrom="column">
                    <wp:posOffset>161925</wp:posOffset>
                  </wp:positionH>
                  <wp:positionV relativeFrom="paragraph">
                    <wp:posOffset>187325</wp:posOffset>
                  </wp:positionV>
                  <wp:extent cx="992505" cy="993140"/>
                  <wp:effectExtent l="0" t="0" r="17145" b="16510"/>
                  <wp:wrapNone/>
                  <wp:docPr id="83" name="图片_67"/>
                  <wp:cNvGraphicFramePr/>
                  <a:graphic xmlns:a="http://schemas.openxmlformats.org/drawingml/2006/main">
                    <a:graphicData uri="http://schemas.openxmlformats.org/drawingml/2006/picture">
                      <pic:pic xmlns:pic="http://schemas.openxmlformats.org/drawingml/2006/picture">
                        <pic:nvPicPr>
                          <pic:cNvPr id="83" name="图片_67"/>
                          <pic:cNvPicPr/>
                        </pic:nvPicPr>
                        <pic:blipFill>
                          <a:blip r:embed="rId33"/>
                          <a:stretch>
                            <a:fillRect/>
                          </a:stretch>
                        </pic:blipFill>
                        <pic:spPr>
                          <a:xfrm>
                            <a:off x="0" y="0"/>
                            <a:ext cx="992505" cy="9931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2752" behindDoc="0" locked="0" layoutInCell="1" allowOverlap="1">
                  <wp:simplePos x="0" y="0"/>
                  <wp:positionH relativeFrom="column">
                    <wp:posOffset>123825</wp:posOffset>
                  </wp:positionH>
                  <wp:positionV relativeFrom="paragraph">
                    <wp:posOffset>158750</wp:posOffset>
                  </wp:positionV>
                  <wp:extent cx="1123950" cy="962025"/>
                  <wp:effectExtent l="0" t="0" r="0" b="9525"/>
                  <wp:wrapNone/>
                  <wp:docPr id="84" name="图片_1_SpCnt_6"/>
                  <wp:cNvGraphicFramePr/>
                  <a:graphic xmlns:a="http://schemas.openxmlformats.org/drawingml/2006/main">
                    <a:graphicData uri="http://schemas.openxmlformats.org/drawingml/2006/picture">
                      <pic:pic xmlns:pic="http://schemas.openxmlformats.org/drawingml/2006/picture">
                        <pic:nvPicPr>
                          <pic:cNvPr id="84" name="图片_1_SpCnt_6"/>
                          <pic:cNvPicPr/>
                        </pic:nvPicPr>
                        <pic:blipFill>
                          <a:blip r:embed="rId9"/>
                          <a:stretch>
                            <a:fillRect/>
                          </a:stretch>
                        </pic:blipFill>
                        <pic:spPr>
                          <a:xfrm>
                            <a:off x="0" y="0"/>
                            <a:ext cx="112395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3776" behindDoc="0" locked="0" layoutInCell="1" allowOverlap="1">
                  <wp:simplePos x="0" y="0"/>
                  <wp:positionH relativeFrom="column">
                    <wp:posOffset>123825</wp:posOffset>
                  </wp:positionH>
                  <wp:positionV relativeFrom="paragraph">
                    <wp:posOffset>168275</wp:posOffset>
                  </wp:positionV>
                  <wp:extent cx="1019175" cy="1019175"/>
                  <wp:effectExtent l="0" t="0" r="9525" b="9525"/>
                  <wp:wrapNone/>
                  <wp:docPr id="85" name="图片_69"/>
                  <wp:cNvGraphicFramePr/>
                  <a:graphic xmlns:a="http://schemas.openxmlformats.org/drawingml/2006/main">
                    <a:graphicData uri="http://schemas.openxmlformats.org/drawingml/2006/picture">
                      <pic:pic xmlns:pic="http://schemas.openxmlformats.org/drawingml/2006/picture">
                        <pic:nvPicPr>
                          <pic:cNvPr id="85" name="图片_69"/>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粉掌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4800" behindDoc="0" locked="0" layoutInCell="1" allowOverlap="1">
                  <wp:simplePos x="0" y="0"/>
                  <wp:positionH relativeFrom="column">
                    <wp:posOffset>93980</wp:posOffset>
                  </wp:positionH>
                  <wp:positionV relativeFrom="paragraph">
                    <wp:posOffset>114300</wp:posOffset>
                  </wp:positionV>
                  <wp:extent cx="1101725" cy="1146175"/>
                  <wp:effectExtent l="0" t="0" r="3175" b="15875"/>
                  <wp:wrapNone/>
                  <wp:docPr id="86" name="图片_70"/>
                  <wp:cNvGraphicFramePr/>
                  <a:graphic xmlns:a="http://schemas.openxmlformats.org/drawingml/2006/main">
                    <a:graphicData uri="http://schemas.openxmlformats.org/drawingml/2006/picture">
                      <pic:pic xmlns:pic="http://schemas.openxmlformats.org/drawingml/2006/picture">
                        <pic:nvPicPr>
                          <pic:cNvPr id="86" name="图片_70"/>
                          <pic:cNvPicPr/>
                        </pic:nvPicPr>
                        <pic:blipFill>
                          <a:blip r:embed="rId42"/>
                          <a:stretch>
                            <a:fillRect/>
                          </a:stretch>
                        </pic:blipFill>
                        <pic:spPr>
                          <a:xfrm>
                            <a:off x="0" y="0"/>
                            <a:ext cx="1101725" cy="1146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5824" behindDoc="0" locked="0" layoutInCell="1" allowOverlap="1">
                  <wp:simplePos x="0" y="0"/>
                  <wp:positionH relativeFrom="column">
                    <wp:posOffset>152400</wp:posOffset>
                  </wp:positionH>
                  <wp:positionV relativeFrom="paragraph">
                    <wp:posOffset>158750</wp:posOffset>
                  </wp:positionV>
                  <wp:extent cx="1019175" cy="1019175"/>
                  <wp:effectExtent l="0" t="0" r="9525" b="9525"/>
                  <wp:wrapNone/>
                  <wp:docPr id="87" name="图片_71"/>
                  <wp:cNvGraphicFramePr/>
                  <a:graphic xmlns:a="http://schemas.openxmlformats.org/drawingml/2006/main">
                    <a:graphicData uri="http://schemas.openxmlformats.org/drawingml/2006/picture">
                      <pic:pic xmlns:pic="http://schemas.openxmlformats.org/drawingml/2006/picture">
                        <pic:nvPicPr>
                          <pic:cNvPr id="87" name="图片_71"/>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6848" behindDoc="0" locked="0" layoutInCell="1" allowOverlap="1">
                  <wp:simplePos x="0" y="0"/>
                  <wp:positionH relativeFrom="column">
                    <wp:posOffset>95250</wp:posOffset>
                  </wp:positionH>
                  <wp:positionV relativeFrom="paragraph">
                    <wp:posOffset>82550</wp:posOffset>
                  </wp:positionV>
                  <wp:extent cx="1123950" cy="1114425"/>
                  <wp:effectExtent l="0" t="0" r="0" b="9525"/>
                  <wp:wrapNone/>
                  <wp:docPr id="88" name="图片_23_SpCnt_5"/>
                  <wp:cNvGraphicFramePr/>
                  <a:graphic xmlns:a="http://schemas.openxmlformats.org/drawingml/2006/main">
                    <a:graphicData uri="http://schemas.openxmlformats.org/drawingml/2006/picture">
                      <pic:pic xmlns:pic="http://schemas.openxmlformats.org/drawingml/2006/picture">
                        <pic:nvPicPr>
                          <pic:cNvPr id="88" name="图片_23_SpCnt_5"/>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7872" behindDoc="0" locked="0" layoutInCell="1" allowOverlap="1">
                  <wp:simplePos x="0" y="0"/>
                  <wp:positionH relativeFrom="column">
                    <wp:posOffset>161925</wp:posOffset>
                  </wp:positionH>
                  <wp:positionV relativeFrom="paragraph">
                    <wp:posOffset>196850</wp:posOffset>
                  </wp:positionV>
                  <wp:extent cx="971550" cy="1038225"/>
                  <wp:effectExtent l="0" t="0" r="0" b="9525"/>
                  <wp:wrapNone/>
                  <wp:docPr id="89" name="图片_3_SpCnt_2"/>
                  <wp:cNvGraphicFramePr/>
                  <a:graphic xmlns:a="http://schemas.openxmlformats.org/drawingml/2006/main">
                    <a:graphicData uri="http://schemas.openxmlformats.org/drawingml/2006/picture">
                      <pic:pic xmlns:pic="http://schemas.openxmlformats.org/drawingml/2006/picture">
                        <pic:nvPicPr>
                          <pic:cNvPr id="89" name="图片_3_SpCnt_2"/>
                          <pic:cNvPicPr/>
                        </pic:nvPicPr>
                        <pic:blipFill>
                          <a:blip r:embed="rId31"/>
                          <a:stretch>
                            <a:fillRect/>
                          </a:stretch>
                        </pic:blipFill>
                        <pic:spPr>
                          <a:xfrm>
                            <a:off x="0" y="0"/>
                            <a:ext cx="971550" cy="10382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8896" behindDoc="0" locked="0" layoutInCell="1" allowOverlap="1">
                  <wp:simplePos x="0" y="0"/>
                  <wp:positionH relativeFrom="column">
                    <wp:posOffset>123825</wp:posOffset>
                  </wp:positionH>
                  <wp:positionV relativeFrom="paragraph">
                    <wp:posOffset>177800</wp:posOffset>
                  </wp:positionV>
                  <wp:extent cx="1019175" cy="1019175"/>
                  <wp:effectExtent l="0" t="0" r="9525" b="9525"/>
                  <wp:wrapNone/>
                  <wp:docPr id="90" name="图片_74"/>
                  <wp:cNvGraphicFramePr/>
                  <a:graphic xmlns:a="http://schemas.openxmlformats.org/drawingml/2006/main">
                    <a:graphicData uri="http://schemas.openxmlformats.org/drawingml/2006/picture">
                      <pic:pic xmlns:pic="http://schemas.openxmlformats.org/drawingml/2006/picture">
                        <pic:nvPicPr>
                          <pic:cNvPr id="90" name="图片_74"/>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29920" behindDoc="0" locked="0" layoutInCell="1" allowOverlap="1">
                  <wp:simplePos x="0" y="0"/>
                  <wp:positionH relativeFrom="column">
                    <wp:posOffset>101600</wp:posOffset>
                  </wp:positionH>
                  <wp:positionV relativeFrom="paragraph">
                    <wp:posOffset>92075</wp:posOffset>
                  </wp:positionV>
                  <wp:extent cx="1108710" cy="1236980"/>
                  <wp:effectExtent l="0" t="0" r="15240" b="1270"/>
                  <wp:wrapNone/>
                  <wp:docPr id="91" name="图片_25_SpCnt_4"/>
                  <wp:cNvGraphicFramePr/>
                  <a:graphic xmlns:a="http://schemas.openxmlformats.org/drawingml/2006/main">
                    <a:graphicData uri="http://schemas.openxmlformats.org/drawingml/2006/picture">
                      <pic:pic xmlns:pic="http://schemas.openxmlformats.org/drawingml/2006/picture">
                        <pic:nvPicPr>
                          <pic:cNvPr id="91" name="图片_25_SpCnt_4"/>
                          <pic:cNvPicPr/>
                        </pic:nvPicPr>
                        <pic:blipFill>
                          <a:blip r:embed="rId43"/>
                          <a:stretch>
                            <a:fillRect/>
                          </a:stretch>
                        </pic:blipFill>
                        <pic:spPr>
                          <a:xfrm>
                            <a:off x="0" y="0"/>
                            <a:ext cx="1108710" cy="12369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豆瓣绿</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0944" behindDoc="0" locked="0" layoutInCell="1" allowOverlap="1">
                  <wp:simplePos x="0" y="0"/>
                  <wp:positionH relativeFrom="column">
                    <wp:posOffset>123825</wp:posOffset>
                  </wp:positionH>
                  <wp:positionV relativeFrom="paragraph">
                    <wp:posOffset>139700</wp:posOffset>
                  </wp:positionV>
                  <wp:extent cx="1035050" cy="982345"/>
                  <wp:effectExtent l="0" t="0" r="12700" b="8255"/>
                  <wp:wrapNone/>
                  <wp:docPr id="92" name="图片_76"/>
                  <wp:cNvGraphicFramePr/>
                  <a:graphic xmlns:a="http://schemas.openxmlformats.org/drawingml/2006/main">
                    <a:graphicData uri="http://schemas.openxmlformats.org/drawingml/2006/picture">
                      <pic:pic xmlns:pic="http://schemas.openxmlformats.org/drawingml/2006/picture">
                        <pic:nvPicPr>
                          <pic:cNvPr id="92" name="图片_76"/>
                          <pic:cNvPicPr/>
                        </pic:nvPicPr>
                        <pic:blipFill>
                          <a:blip r:embed="rId25"/>
                          <a:stretch>
                            <a:fillRect/>
                          </a:stretch>
                        </pic:blipFill>
                        <pic:spPr>
                          <a:xfrm>
                            <a:off x="0" y="0"/>
                            <a:ext cx="1035050" cy="9823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1968" behindDoc="0" locked="0" layoutInCell="1" allowOverlap="1">
                  <wp:simplePos x="0" y="0"/>
                  <wp:positionH relativeFrom="column">
                    <wp:posOffset>161925</wp:posOffset>
                  </wp:positionH>
                  <wp:positionV relativeFrom="paragraph">
                    <wp:posOffset>168275</wp:posOffset>
                  </wp:positionV>
                  <wp:extent cx="1019175" cy="1019175"/>
                  <wp:effectExtent l="0" t="0" r="9525" b="9525"/>
                  <wp:wrapNone/>
                  <wp:docPr id="93" name="图片_77"/>
                  <wp:cNvGraphicFramePr/>
                  <a:graphic xmlns:a="http://schemas.openxmlformats.org/drawingml/2006/main">
                    <a:graphicData uri="http://schemas.openxmlformats.org/drawingml/2006/picture">
                      <pic:pic xmlns:pic="http://schemas.openxmlformats.org/drawingml/2006/picture">
                        <pic:nvPicPr>
                          <pic:cNvPr id="93" name="图片_77"/>
                          <pic:cNvPicPr/>
                        </pic:nvPicPr>
                        <pic:blipFill>
                          <a:blip r:embed="rId14"/>
                          <a:stretch>
                            <a:fillRect/>
                          </a:stretch>
                        </pic:blipFill>
                        <pic:spPr>
                          <a:xfrm>
                            <a:off x="0" y="0"/>
                            <a:ext cx="1019175" cy="10191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2992" behindDoc="0" locked="0" layoutInCell="1" allowOverlap="1">
                  <wp:simplePos x="0" y="0"/>
                  <wp:positionH relativeFrom="column">
                    <wp:posOffset>95250</wp:posOffset>
                  </wp:positionH>
                  <wp:positionV relativeFrom="paragraph">
                    <wp:posOffset>130175</wp:posOffset>
                  </wp:positionV>
                  <wp:extent cx="1123950" cy="1114425"/>
                  <wp:effectExtent l="0" t="0" r="0" b="9525"/>
                  <wp:wrapNone/>
                  <wp:docPr id="94" name="图片_23_SpCnt_6"/>
                  <wp:cNvGraphicFramePr/>
                  <a:graphic xmlns:a="http://schemas.openxmlformats.org/drawingml/2006/main">
                    <a:graphicData uri="http://schemas.openxmlformats.org/drawingml/2006/picture">
                      <pic:pic xmlns:pic="http://schemas.openxmlformats.org/drawingml/2006/picture">
                        <pic:nvPicPr>
                          <pic:cNvPr id="94" name="图片_23_SpCnt_6"/>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富贵竹</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4016" behindDoc="0" locked="0" layoutInCell="1" allowOverlap="1">
                  <wp:simplePos x="0" y="0"/>
                  <wp:positionH relativeFrom="column">
                    <wp:posOffset>133350</wp:posOffset>
                  </wp:positionH>
                  <wp:positionV relativeFrom="paragraph">
                    <wp:posOffset>53975</wp:posOffset>
                  </wp:positionV>
                  <wp:extent cx="1095375" cy="1253490"/>
                  <wp:effectExtent l="0" t="0" r="9525" b="3810"/>
                  <wp:wrapNone/>
                  <wp:docPr id="95" name="图片_9_SpCnt_2"/>
                  <wp:cNvGraphicFramePr/>
                  <a:graphic xmlns:a="http://schemas.openxmlformats.org/drawingml/2006/main">
                    <a:graphicData uri="http://schemas.openxmlformats.org/drawingml/2006/picture">
                      <pic:pic xmlns:pic="http://schemas.openxmlformats.org/drawingml/2006/picture">
                        <pic:nvPicPr>
                          <pic:cNvPr id="95" name="图片_9_SpCnt_2"/>
                          <pic:cNvPicPr/>
                        </pic:nvPicPr>
                        <pic:blipFill>
                          <a:blip r:embed="rId44"/>
                          <a:stretch>
                            <a:fillRect/>
                          </a:stretch>
                        </pic:blipFill>
                        <pic:spPr>
                          <a:xfrm>
                            <a:off x="0" y="0"/>
                            <a:ext cx="1095375" cy="12534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天堂鸟</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5040" behindDoc="0" locked="0" layoutInCell="1" allowOverlap="1">
                  <wp:simplePos x="0" y="0"/>
                  <wp:positionH relativeFrom="column">
                    <wp:posOffset>104775</wp:posOffset>
                  </wp:positionH>
                  <wp:positionV relativeFrom="paragraph">
                    <wp:posOffset>120650</wp:posOffset>
                  </wp:positionV>
                  <wp:extent cx="1114425" cy="1117600"/>
                  <wp:effectExtent l="0" t="0" r="9525" b="6350"/>
                  <wp:wrapNone/>
                  <wp:docPr id="96" name="图片_81"/>
                  <wp:cNvGraphicFramePr/>
                  <a:graphic xmlns:a="http://schemas.openxmlformats.org/drawingml/2006/main">
                    <a:graphicData uri="http://schemas.openxmlformats.org/drawingml/2006/picture">
                      <pic:pic xmlns:pic="http://schemas.openxmlformats.org/drawingml/2006/picture">
                        <pic:nvPicPr>
                          <pic:cNvPr id="96" name="图片_81"/>
                          <pic:cNvPicPr/>
                        </pic:nvPicPr>
                        <pic:blipFill>
                          <a:blip r:embed="rId34"/>
                          <a:stretch>
                            <a:fillRect/>
                          </a:stretch>
                        </pic:blipFill>
                        <pic:spPr>
                          <a:xfrm>
                            <a:off x="0" y="0"/>
                            <a:ext cx="1114425" cy="11176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虎皮兰</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6064" behindDoc="0" locked="0" layoutInCell="1" allowOverlap="1">
                  <wp:simplePos x="0" y="0"/>
                  <wp:positionH relativeFrom="column">
                    <wp:posOffset>76200</wp:posOffset>
                  </wp:positionH>
                  <wp:positionV relativeFrom="paragraph">
                    <wp:posOffset>120650</wp:posOffset>
                  </wp:positionV>
                  <wp:extent cx="1142365" cy="1150620"/>
                  <wp:effectExtent l="0" t="0" r="635" b="11430"/>
                  <wp:wrapNone/>
                  <wp:docPr id="97" name="图片_80"/>
                  <wp:cNvGraphicFramePr/>
                  <a:graphic xmlns:a="http://schemas.openxmlformats.org/drawingml/2006/main">
                    <a:graphicData uri="http://schemas.openxmlformats.org/drawingml/2006/picture">
                      <pic:pic xmlns:pic="http://schemas.openxmlformats.org/drawingml/2006/picture">
                        <pic:nvPicPr>
                          <pic:cNvPr id="97" name="图片_80"/>
                          <pic:cNvPicPr/>
                        </pic:nvPicPr>
                        <pic:blipFill>
                          <a:blip r:embed="rId41"/>
                          <a:stretch>
                            <a:fillRect/>
                          </a:stretch>
                        </pic:blipFill>
                        <pic:spPr>
                          <a:xfrm>
                            <a:off x="0" y="0"/>
                            <a:ext cx="1142365" cy="11506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榕树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7088" behindDoc="0" locked="0" layoutInCell="1" allowOverlap="1">
                  <wp:simplePos x="0" y="0"/>
                  <wp:positionH relativeFrom="column">
                    <wp:posOffset>123825</wp:posOffset>
                  </wp:positionH>
                  <wp:positionV relativeFrom="paragraph">
                    <wp:posOffset>158750</wp:posOffset>
                  </wp:positionV>
                  <wp:extent cx="1002030" cy="1015365"/>
                  <wp:effectExtent l="0" t="0" r="7620" b="13335"/>
                  <wp:wrapNone/>
                  <wp:docPr id="98" name="图片_39"/>
                  <wp:cNvGraphicFramePr/>
                  <a:graphic xmlns:a="http://schemas.openxmlformats.org/drawingml/2006/main">
                    <a:graphicData uri="http://schemas.openxmlformats.org/drawingml/2006/picture">
                      <pic:pic xmlns:pic="http://schemas.openxmlformats.org/drawingml/2006/picture">
                        <pic:nvPicPr>
                          <pic:cNvPr id="98" name="图片_39"/>
                          <pic:cNvPicPr/>
                        </pic:nvPicPr>
                        <pic:blipFill>
                          <a:blip r:embed="rId45"/>
                          <a:stretch>
                            <a:fillRect/>
                          </a:stretch>
                        </pic:blipFill>
                        <pic:spPr>
                          <a:xfrm>
                            <a:off x="0" y="0"/>
                            <a:ext cx="1002030" cy="10153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79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螺纹铁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8112" behindDoc="0" locked="0" layoutInCell="1" allowOverlap="1">
                  <wp:simplePos x="0" y="0"/>
                  <wp:positionH relativeFrom="column">
                    <wp:posOffset>95250</wp:posOffset>
                  </wp:positionH>
                  <wp:positionV relativeFrom="paragraph">
                    <wp:posOffset>139700</wp:posOffset>
                  </wp:positionV>
                  <wp:extent cx="1129665" cy="1133475"/>
                  <wp:effectExtent l="0" t="0" r="13335" b="9525"/>
                  <wp:wrapNone/>
                  <wp:docPr id="99" name="图片_83"/>
                  <wp:cNvGraphicFramePr/>
                  <a:graphic xmlns:a="http://schemas.openxmlformats.org/drawingml/2006/main">
                    <a:graphicData uri="http://schemas.openxmlformats.org/drawingml/2006/picture">
                      <pic:pic xmlns:pic="http://schemas.openxmlformats.org/drawingml/2006/picture">
                        <pic:nvPicPr>
                          <pic:cNvPr id="99" name="图片_83"/>
                          <pic:cNvPicPr/>
                        </pic:nvPicPr>
                        <pic:blipFill>
                          <a:blip r:embed="rId27"/>
                          <a:stretch>
                            <a:fillRect/>
                          </a:stretch>
                        </pic:blipFill>
                        <pic:spPr>
                          <a:xfrm>
                            <a:off x="0" y="0"/>
                            <a:ext cx="1129665" cy="11334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一帆风顺</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39136" behindDoc="0" locked="0" layoutInCell="1" allowOverlap="1">
                  <wp:simplePos x="0" y="0"/>
                  <wp:positionH relativeFrom="column">
                    <wp:posOffset>47625</wp:posOffset>
                  </wp:positionH>
                  <wp:positionV relativeFrom="paragraph">
                    <wp:posOffset>130175</wp:posOffset>
                  </wp:positionV>
                  <wp:extent cx="1190625" cy="1095375"/>
                  <wp:effectExtent l="0" t="0" r="9525" b="9525"/>
                  <wp:wrapNone/>
                  <wp:docPr id="111" name="图片_21_SpCnt_3"/>
                  <wp:cNvGraphicFramePr/>
                  <a:graphic xmlns:a="http://schemas.openxmlformats.org/drawingml/2006/main">
                    <a:graphicData uri="http://schemas.openxmlformats.org/drawingml/2006/picture">
                      <pic:pic xmlns:pic="http://schemas.openxmlformats.org/drawingml/2006/picture">
                        <pic:nvPicPr>
                          <pic:cNvPr id="111" name="图片_21_SpCnt_3"/>
                          <pic:cNvPicPr/>
                        </pic:nvPicPr>
                        <pic:blipFill>
                          <a:blip r:embed="rId22"/>
                          <a:stretch>
                            <a:fillRect/>
                          </a:stretch>
                        </pic:blipFill>
                        <pic:spPr>
                          <a:xfrm>
                            <a:off x="0" y="0"/>
                            <a:ext cx="1190625" cy="1095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0160" behindDoc="0" locked="0" layoutInCell="1" allowOverlap="1">
                  <wp:simplePos x="0" y="0"/>
                  <wp:positionH relativeFrom="column">
                    <wp:posOffset>104775</wp:posOffset>
                  </wp:positionH>
                  <wp:positionV relativeFrom="paragraph">
                    <wp:posOffset>158750</wp:posOffset>
                  </wp:positionV>
                  <wp:extent cx="1123950" cy="962025"/>
                  <wp:effectExtent l="0" t="0" r="0" b="9525"/>
                  <wp:wrapNone/>
                  <wp:docPr id="100" name="图片_1_SpCnt_7"/>
                  <wp:cNvGraphicFramePr/>
                  <a:graphic xmlns:a="http://schemas.openxmlformats.org/drawingml/2006/main">
                    <a:graphicData uri="http://schemas.openxmlformats.org/drawingml/2006/picture">
                      <pic:pic xmlns:pic="http://schemas.openxmlformats.org/drawingml/2006/picture">
                        <pic:nvPicPr>
                          <pic:cNvPr id="100" name="图片_1_SpCnt_7"/>
                          <pic:cNvPicPr/>
                        </pic:nvPicPr>
                        <pic:blipFill>
                          <a:blip r:embed="rId9"/>
                          <a:stretch>
                            <a:fillRect/>
                          </a:stretch>
                        </pic:blipFill>
                        <pic:spPr>
                          <a:xfrm>
                            <a:off x="0" y="0"/>
                            <a:ext cx="112395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1184" behindDoc="0" locked="0" layoutInCell="1" allowOverlap="1">
                  <wp:simplePos x="0" y="0"/>
                  <wp:positionH relativeFrom="column">
                    <wp:posOffset>200025</wp:posOffset>
                  </wp:positionH>
                  <wp:positionV relativeFrom="paragraph">
                    <wp:posOffset>130175</wp:posOffset>
                  </wp:positionV>
                  <wp:extent cx="885825" cy="1129665"/>
                  <wp:effectExtent l="0" t="0" r="9525" b="13335"/>
                  <wp:wrapNone/>
                  <wp:docPr id="101" name="图片_86"/>
                  <wp:cNvGraphicFramePr/>
                  <a:graphic xmlns:a="http://schemas.openxmlformats.org/drawingml/2006/main">
                    <a:graphicData uri="http://schemas.openxmlformats.org/drawingml/2006/picture">
                      <pic:pic xmlns:pic="http://schemas.openxmlformats.org/drawingml/2006/picture">
                        <pic:nvPicPr>
                          <pic:cNvPr id="101" name="图片_86"/>
                          <pic:cNvPicPr/>
                        </pic:nvPicPr>
                        <pic:blipFill>
                          <a:blip r:embed="rId23"/>
                          <a:stretch>
                            <a:fillRect/>
                          </a:stretch>
                        </pic:blipFill>
                        <pic:spPr>
                          <a:xfrm>
                            <a:off x="0" y="0"/>
                            <a:ext cx="885825" cy="1129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玛丽安</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2208" behindDoc="0" locked="0" layoutInCell="1" allowOverlap="1">
                  <wp:simplePos x="0" y="0"/>
                  <wp:positionH relativeFrom="column">
                    <wp:posOffset>180975</wp:posOffset>
                  </wp:positionH>
                  <wp:positionV relativeFrom="paragraph">
                    <wp:posOffset>63500</wp:posOffset>
                  </wp:positionV>
                  <wp:extent cx="962660" cy="1205865"/>
                  <wp:effectExtent l="0" t="0" r="8890" b="13335"/>
                  <wp:wrapNone/>
                  <wp:docPr id="102" name="图片_50_SpCnt_1"/>
                  <wp:cNvGraphicFramePr/>
                  <a:graphic xmlns:a="http://schemas.openxmlformats.org/drawingml/2006/main">
                    <a:graphicData uri="http://schemas.openxmlformats.org/drawingml/2006/picture">
                      <pic:pic xmlns:pic="http://schemas.openxmlformats.org/drawingml/2006/picture">
                        <pic:nvPicPr>
                          <pic:cNvPr id="102" name="图片_50_SpCnt_1"/>
                          <pic:cNvPicPr/>
                        </pic:nvPicPr>
                        <pic:blipFill>
                          <a:blip r:embed="rId46"/>
                          <a:stretch>
                            <a:fillRect/>
                          </a:stretch>
                        </pic:blipFill>
                        <pic:spPr>
                          <a:xfrm>
                            <a:off x="0" y="0"/>
                            <a:ext cx="962660" cy="12058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螺纹铁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3232" behindDoc="0" locked="0" layoutInCell="1" allowOverlap="1">
                  <wp:simplePos x="0" y="0"/>
                  <wp:positionH relativeFrom="column">
                    <wp:posOffset>123825</wp:posOffset>
                  </wp:positionH>
                  <wp:positionV relativeFrom="paragraph">
                    <wp:posOffset>130175</wp:posOffset>
                  </wp:positionV>
                  <wp:extent cx="1129665" cy="1133475"/>
                  <wp:effectExtent l="0" t="0" r="13335" b="9525"/>
                  <wp:wrapNone/>
                  <wp:docPr id="103" name="图片_88"/>
                  <wp:cNvGraphicFramePr/>
                  <a:graphic xmlns:a="http://schemas.openxmlformats.org/drawingml/2006/main">
                    <a:graphicData uri="http://schemas.openxmlformats.org/drawingml/2006/picture">
                      <pic:pic xmlns:pic="http://schemas.openxmlformats.org/drawingml/2006/picture">
                        <pic:nvPicPr>
                          <pic:cNvPr id="103" name="图片_88"/>
                          <pic:cNvPicPr/>
                        </pic:nvPicPr>
                        <pic:blipFill>
                          <a:blip r:embed="rId27"/>
                          <a:stretch>
                            <a:fillRect/>
                          </a:stretch>
                        </pic:blipFill>
                        <pic:spPr>
                          <a:xfrm>
                            <a:off x="0" y="0"/>
                            <a:ext cx="1129665" cy="11334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4256" behindDoc="0" locked="0" layoutInCell="1" allowOverlap="1">
                  <wp:simplePos x="0" y="0"/>
                  <wp:positionH relativeFrom="column">
                    <wp:posOffset>85725</wp:posOffset>
                  </wp:positionH>
                  <wp:positionV relativeFrom="paragraph">
                    <wp:posOffset>111125</wp:posOffset>
                  </wp:positionV>
                  <wp:extent cx="1123950" cy="1114425"/>
                  <wp:effectExtent l="0" t="0" r="0" b="9525"/>
                  <wp:wrapNone/>
                  <wp:docPr id="106" name="图片_23_SpCnt_7"/>
                  <wp:cNvGraphicFramePr/>
                  <a:graphic xmlns:a="http://schemas.openxmlformats.org/drawingml/2006/main">
                    <a:graphicData uri="http://schemas.openxmlformats.org/drawingml/2006/picture">
                      <pic:pic xmlns:pic="http://schemas.openxmlformats.org/drawingml/2006/picture">
                        <pic:nvPicPr>
                          <pic:cNvPr id="106" name="图片_23_SpCnt_7"/>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5280" behindDoc="0" locked="0" layoutInCell="1" allowOverlap="1">
                  <wp:simplePos x="0" y="0"/>
                  <wp:positionH relativeFrom="column">
                    <wp:posOffset>153035</wp:posOffset>
                  </wp:positionH>
                  <wp:positionV relativeFrom="paragraph">
                    <wp:posOffset>158750</wp:posOffset>
                  </wp:positionV>
                  <wp:extent cx="1085215" cy="1085215"/>
                  <wp:effectExtent l="0" t="0" r="635" b="635"/>
                  <wp:wrapNone/>
                  <wp:docPr id="104" name="图片_90"/>
                  <wp:cNvGraphicFramePr/>
                  <a:graphic xmlns:a="http://schemas.openxmlformats.org/drawingml/2006/main">
                    <a:graphicData uri="http://schemas.openxmlformats.org/drawingml/2006/picture">
                      <pic:pic xmlns:pic="http://schemas.openxmlformats.org/drawingml/2006/picture">
                        <pic:nvPicPr>
                          <pic:cNvPr id="104" name="图片_90"/>
                          <pic:cNvPicPr/>
                        </pic:nvPicPr>
                        <pic:blipFill>
                          <a:blip r:embed="rId47"/>
                          <a:stretch>
                            <a:fillRect/>
                          </a:stretch>
                        </pic:blipFill>
                        <pic:spPr>
                          <a:xfrm>
                            <a:off x="0" y="0"/>
                            <a:ext cx="1085215" cy="1085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6304" behindDoc="0" locked="0" layoutInCell="1" allowOverlap="1">
                  <wp:simplePos x="0" y="0"/>
                  <wp:positionH relativeFrom="column">
                    <wp:posOffset>123825</wp:posOffset>
                  </wp:positionH>
                  <wp:positionV relativeFrom="paragraph">
                    <wp:posOffset>149225</wp:posOffset>
                  </wp:positionV>
                  <wp:extent cx="1000125" cy="1129665"/>
                  <wp:effectExtent l="0" t="0" r="9525" b="13335"/>
                  <wp:wrapNone/>
                  <wp:docPr id="105" name="图片_91"/>
                  <wp:cNvGraphicFramePr/>
                  <a:graphic xmlns:a="http://schemas.openxmlformats.org/drawingml/2006/main">
                    <a:graphicData uri="http://schemas.openxmlformats.org/drawingml/2006/picture">
                      <pic:pic xmlns:pic="http://schemas.openxmlformats.org/drawingml/2006/picture">
                        <pic:nvPicPr>
                          <pic:cNvPr id="105" name="图片_91"/>
                          <pic:cNvPicPr/>
                        </pic:nvPicPr>
                        <pic:blipFill>
                          <a:blip r:embed="rId48"/>
                          <a:stretch>
                            <a:fillRect/>
                          </a:stretch>
                        </pic:blipFill>
                        <pic:spPr>
                          <a:xfrm>
                            <a:off x="0" y="0"/>
                            <a:ext cx="1000125" cy="11296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凤梨</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7328" behindDoc="0" locked="0" layoutInCell="1" allowOverlap="1">
                  <wp:simplePos x="0" y="0"/>
                  <wp:positionH relativeFrom="column">
                    <wp:posOffset>114935</wp:posOffset>
                  </wp:positionH>
                  <wp:positionV relativeFrom="paragraph">
                    <wp:posOffset>168275</wp:posOffset>
                  </wp:positionV>
                  <wp:extent cx="1142365" cy="1104265"/>
                  <wp:effectExtent l="0" t="0" r="635" b="635"/>
                  <wp:wrapNone/>
                  <wp:docPr id="107" name="图片_32"/>
                  <wp:cNvGraphicFramePr/>
                  <a:graphic xmlns:a="http://schemas.openxmlformats.org/drawingml/2006/main">
                    <a:graphicData uri="http://schemas.openxmlformats.org/drawingml/2006/picture">
                      <pic:pic xmlns:pic="http://schemas.openxmlformats.org/drawingml/2006/picture">
                        <pic:nvPicPr>
                          <pic:cNvPr id="107" name="图片_32"/>
                          <pic:cNvPicPr/>
                        </pic:nvPicPr>
                        <pic:blipFill>
                          <a:blip r:embed="rId49"/>
                          <a:stretch>
                            <a:fillRect/>
                          </a:stretch>
                        </pic:blipFill>
                        <pic:spPr>
                          <a:xfrm>
                            <a:off x="0" y="0"/>
                            <a:ext cx="1142365" cy="110426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8352" behindDoc="0" locked="0" layoutInCell="1" allowOverlap="1">
                  <wp:simplePos x="0" y="0"/>
                  <wp:positionH relativeFrom="column">
                    <wp:posOffset>114300</wp:posOffset>
                  </wp:positionH>
                  <wp:positionV relativeFrom="paragraph">
                    <wp:posOffset>73025</wp:posOffset>
                  </wp:positionV>
                  <wp:extent cx="1113155" cy="1189990"/>
                  <wp:effectExtent l="0" t="0" r="10795" b="10160"/>
                  <wp:wrapNone/>
                  <wp:docPr id="108" name="图片_3_SpCnt_3"/>
                  <wp:cNvGraphicFramePr/>
                  <a:graphic xmlns:a="http://schemas.openxmlformats.org/drawingml/2006/main">
                    <a:graphicData uri="http://schemas.openxmlformats.org/drawingml/2006/picture">
                      <pic:pic xmlns:pic="http://schemas.openxmlformats.org/drawingml/2006/picture">
                        <pic:nvPicPr>
                          <pic:cNvPr id="108" name="图片_3_SpCnt_3"/>
                          <pic:cNvPicPr/>
                        </pic:nvPicPr>
                        <pic:blipFill>
                          <a:blip r:embed="rId50"/>
                          <a:stretch>
                            <a:fillRect/>
                          </a:stretch>
                        </pic:blipFill>
                        <pic:spPr>
                          <a:xfrm>
                            <a:off x="0" y="0"/>
                            <a:ext cx="1113155" cy="11899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49376" behindDoc="0" locked="0" layoutInCell="1" allowOverlap="1">
                  <wp:simplePos x="0" y="0"/>
                  <wp:positionH relativeFrom="column">
                    <wp:posOffset>114300</wp:posOffset>
                  </wp:positionH>
                  <wp:positionV relativeFrom="paragraph">
                    <wp:posOffset>139700</wp:posOffset>
                  </wp:positionV>
                  <wp:extent cx="1085215" cy="1085215"/>
                  <wp:effectExtent l="0" t="0" r="635" b="635"/>
                  <wp:wrapNone/>
                  <wp:docPr id="109" name="图片_94"/>
                  <wp:cNvGraphicFramePr/>
                  <a:graphic xmlns:a="http://schemas.openxmlformats.org/drawingml/2006/main">
                    <a:graphicData uri="http://schemas.openxmlformats.org/drawingml/2006/picture">
                      <pic:pic xmlns:pic="http://schemas.openxmlformats.org/drawingml/2006/picture">
                        <pic:nvPicPr>
                          <pic:cNvPr id="109" name="图片_94"/>
                          <pic:cNvPicPr/>
                        </pic:nvPicPr>
                        <pic:blipFill>
                          <a:blip r:embed="rId47"/>
                          <a:stretch>
                            <a:fillRect/>
                          </a:stretch>
                        </pic:blipFill>
                        <pic:spPr>
                          <a:xfrm>
                            <a:off x="0" y="0"/>
                            <a:ext cx="1085215" cy="1085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0400" behindDoc="0" locked="0" layoutInCell="1" allowOverlap="1">
                  <wp:simplePos x="0" y="0"/>
                  <wp:positionH relativeFrom="column">
                    <wp:posOffset>114300</wp:posOffset>
                  </wp:positionH>
                  <wp:positionV relativeFrom="paragraph">
                    <wp:posOffset>92075</wp:posOffset>
                  </wp:positionV>
                  <wp:extent cx="1108710" cy="1236980"/>
                  <wp:effectExtent l="0" t="0" r="15240" b="1270"/>
                  <wp:wrapNone/>
                  <wp:docPr id="110" name="图片_25_SpCnt_5"/>
                  <wp:cNvGraphicFramePr/>
                  <a:graphic xmlns:a="http://schemas.openxmlformats.org/drawingml/2006/main">
                    <a:graphicData uri="http://schemas.openxmlformats.org/drawingml/2006/picture">
                      <pic:pic xmlns:pic="http://schemas.openxmlformats.org/drawingml/2006/picture">
                        <pic:nvPicPr>
                          <pic:cNvPr id="110" name="图片_25_SpCnt_5"/>
                          <pic:cNvPicPr/>
                        </pic:nvPicPr>
                        <pic:blipFill>
                          <a:blip r:embed="rId43"/>
                          <a:stretch>
                            <a:fillRect/>
                          </a:stretch>
                        </pic:blipFill>
                        <pic:spPr>
                          <a:xfrm>
                            <a:off x="0" y="0"/>
                            <a:ext cx="1108710" cy="12369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23</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1424" behindDoc="0" locked="0" layoutInCell="1" allowOverlap="1">
                  <wp:simplePos x="0" y="0"/>
                  <wp:positionH relativeFrom="column">
                    <wp:posOffset>114300</wp:posOffset>
                  </wp:positionH>
                  <wp:positionV relativeFrom="paragraph">
                    <wp:posOffset>92075</wp:posOffset>
                  </wp:positionV>
                  <wp:extent cx="1081405" cy="1131570"/>
                  <wp:effectExtent l="0" t="0" r="4445" b="11430"/>
                  <wp:wrapNone/>
                  <wp:docPr id="112" name="图片_111"/>
                  <wp:cNvGraphicFramePr/>
                  <a:graphic xmlns:a="http://schemas.openxmlformats.org/drawingml/2006/main">
                    <a:graphicData uri="http://schemas.openxmlformats.org/drawingml/2006/picture">
                      <pic:pic xmlns:pic="http://schemas.openxmlformats.org/drawingml/2006/picture">
                        <pic:nvPicPr>
                          <pic:cNvPr id="112" name="图片_111"/>
                          <pic:cNvPicPr/>
                        </pic:nvPicPr>
                        <pic:blipFill>
                          <a:blip r:embed="rId32"/>
                          <a:stretch>
                            <a:fillRect/>
                          </a:stretch>
                        </pic:blipFill>
                        <pic:spPr>
                          <a:xfrm>
                            <a:off x="0" y="0"/>
                            <a:ext cx="1081405" cy="113157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金叶也门铁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2448" behindDoc="0" locked="0" layoutInCell="1" allowOverlap="1">
                  <wp:simplePos x="0" y="0"/>
                  <wp:positionH relativeFrom="column">
                    <wp:posOffset>85725</wp:posOffset>
                  </wp:positionH>
                  <wp:positionV relativeFrom="paragraph">
                    <wp:posOffset>120650</wp:posOffset>
                  </wp:positionV>
                  <wp:extent cx="1162050" cy="1165225"/>
                  <wp:effectExtent l="0" t="0" r="0" b="15875"/>
                  <wp:wrapNone/>
                  <wp:docPr id="113" name="图片_100"/>
                  <wp:cNvGraphicFramePr/>
                  <a:graphic xmlns:a="http://schemas.openxmlformats.org/drawingml/2006/main">
                    <a:graphicData uri="http://schemas.openxmlformats.org/drawingml/2006/picture">
                      <pic:pic xmlns:pic="http://schemas.openxmlformats.org/drawingml/2006/picture">
                        <pic:nvPicPr>
                          <pic:cNvPr id="113" name="图片_100"/>
                          <pic:cNvPicPr/>
                        </pic:nvPicPr>
                        <pic:blipFill>
                          <a:blip r:embed="rId36"/>
                          <a:stretch>
                            <a:fillRect/>
                          </a:stretch>
                        </pic:blipFill>
                        <pic:spPr>
                          <a:xfrm>
                            <a:off x="0" y="0"/>
                            <a:ext cx="1162050" cy="11652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94</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3472" behindDoc="0" locked="0" layoutInCell="1" allowOverlap="1">
                  <wp:simplePos x="0" y="0"/>
                  <wp:positionH relativeFrom="column">
                    <wp:posOffset>123825</wp:posOffset>
                  </wp:positionH>
                  <wp:positionV relativeFrom="paragraph">
                    <wp:posOffset>177800</wp:posOffset>
                  </wp:positionV>
                  <wp:extent cx="1038860" cy="1042035"/>
                  <wp:effectExtent l="0" t="0" r="8890" b="5715"/>
                  <wp:wrapNone/>
                  <wp:docPr id="114" name="图片_101"/>
                  <wp:cNvGraphicFramePr/>
                  <a:graphic xmlns:a="http://schemas.openxmlformats.org/drawingml/2006/main">
                    <a:graphicData uri="http://schemas.openxmlformats.org/drawingml/2006/picture">
                      <pic:pic xmlns:pic="http://schemas.openxmlformats.org/drawingml/2006/picture">
                        <pic:nvPicPr>
                          <pic:cNvPr id="114" name="图片_101"/>
                          <pic:cNvPicPr/>
                        </pic:nvPicPr>
                        <pic:blipFill>
                          <a:blip r:embed="rId30"/>
                          <a:stretch>
                            <a:fillRect/>
                          </a:stretch>
                        </pic:blipFill>
                        <pic:spPr>
                          <a:xfrm>
                            <a:off x="0" y="0"/>
                            <a:ext cx="1038860" cy="10420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一帆风顺</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4496" behindDoc="0" locked="0" layoutInCell="1" allowOverlap="1">
                  <wp:simplePos x="0" y="0"/>
                  <wp:positionH relativeFrom="column">
                    <wp:posOffset>76200</wp:posOffset>
                  </wp:positionH>
                  <wp:positionV relativeFrom="paragraph">
                    <wp:posOffset>101600</wp:posOffset>
                  </wp:positionV>
                  <wp:extent cx="1190625" cy="1095375"/>
                  <wp:effectExtent l="0" t="0" r="9525" b="9525"/>
                  <wp:wrapNone/>
                  <wp:docPr id="115" name="图片_21_SpCnt_4"/>
                  <wp:cNvGraphicFramePr/>
                  <a:graphic xmlns:a="http://schemas.openxmlformats.org/drawingml/2006/main">
                    <a:graphicData uri="http://schemas.openxmlformats.org/drawingml/2006/picture">
                      <pic:pic xmlns:pic="http://schemas.openxmlformats.org/drawingml/2006/picture">
                        <pic:nvPicPr>
                          <pic:cNvPr id="115" name="图片_21_SpCnt_4"/>
                          <pic:cNvPicPr/>
                        </pic:nvPicPr>
                        <pic:blipFill>
                          <a:blip r:embed="rId22"/>
                          <a:stretch>
                            <a:fillRect/>
                          </a:stretch>
                        </pic:blipFill>
                        <pic:spPr>
                          <a:xfrm>
                            <a:off x="0" y="0"/>
                            <a:ext cx="1190625" cy="109537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发财树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5520" behindDoc="0" locked="0" layoutInCell="1" allowOverlap="1">
                  <wp:simplePos x="0" y="0"/>
                  <wp:positionH relativeFrom="column">
                    <wp:posOffset>114300</wp:posOffset>
                  </wp:positionH>
                  <wp:positionV relativeFrom="paragraph">
                    <wp:posOffset>82550</wp:posOffset>
                  </wp:positionV>
                  <wp:extent cx="1113155" cy="1189990"/>
                  <wp:effectExtent l="0" t="0" r="10795" b="10160"/>
                  <wp:wrapNone/>
                  <wp:docPr id="116" name="图片_3_SpCnt_4"/>
                  <wp:cNvGraphicFramePr/>
                  <a:graphic xmlns:a="http://schemas.openxmlformats.org/drawingml/2006/main">
                    <a:graphicData uri="http://schemas.openxmlformats.org/drawingml/2006/picture">
                      <pic:pic xmlns:pic="http://schemas.openxmlformats.org/drawingml/2006/picture">
                        <pic:nvPicPr>
                          <pic:cNvPr id="116" name="图片_3_SpCnt_4"/>
                          <pic:cNvPicPr/>
                        </pic:nvPicPr>
                        <pic:blipFill>
                          <a:blip r:embed="rId50"/>
                          <a:stretch>
                            <a:fillRect/>
                          </a:stretch>
                        </pic:blipFill>
                        <pic:spPr>
                          <a:xfrm>
                            <a:off x="0" y="0"/>
                            <a:ext cx="1113155" cy="11899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6544" behindDoc="0" locked="0" layoutInCell="1" allowOverlap="1">
                  <wp:simplePos x="0" y="0"/>
                  <wp:positionH relativeFrom="column">
                    <wp:posOffset>95250</wp:posOffset>
                  </wp:positionH>
                  <wp:positionV relativeFrom="paragraph">
                    <wp:posOffset>139700</wp:posOffset>
                  </wp:positionV>
                  <wp:extent cx="1085215" cy="1085215"/>
                  <wp:effectExtent l="0" t="0" r="635" b="635"/>
                  <wp:wrapNone/>
                  <wp:docPr id="117" name="图片_103"/>
                  <wp:cNvGraphicFramePr/>
                  <a:graphic xmlns:a="http://schemas.openxmlformats.org/drawingml/2006/main">
                    <a:graphicData uri="http://schemas.openxmlformats.org/drawingml/2006/picture">
                      <pic:pic xmlns:pic="http://schemas.openxmlformats.org/drawingml/2006/picture">
                        <pic:nvPicPr>
                          <pic:cNvPr id="117" name="图片_103"/>
                          <pic:cNvPicPr/>
                        </pic:nvPicPr>
                        <pic:blipFill>
                          <a:blip r:embed="rId47"/>
                          <a:stretch>
                            <a:fillRect/>
                          </a:stretch>
                        </pic:blipFill>
                        <pic:spPr>
                          <a:xfrm>
                            <a:off x="0" y="0"/>
                            <a:ext cx="1085215" cy="1085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红掌</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7568" behindDoc="0" locked="0" layoutInCell="1" allowOverlap="1">
                  <wp:simplePos x="0" y="0"/>
                  <wp:positionH relativeFrom="column">
                    <wp:posOffset>85725</wp:posOffset>
                  </wp:positionH>
                  <wp:positionV relativeFrom="paragraph">
                    <wp:posOffset>73025</wp:posOffset>
                  </wp:positionV>
                  <wp:extent cx="1108710" cy="1236980"/>
                  <wp:effectExtent l="0" t="0" r="15240" b="1270"/>
                  <wp:wrapNone/>
                  <wp:docPr id="118" name="图片_25_SpCnt_6"/>
                  <wp:cNvGraphicFramePr/>
                  <a:graphic xmlns:a="http://schemas.openxmlformats.org/drawingml/2006/main">
                    <a:graphicData uri="http://schemas.openxmlformats.org/drawingml/2006/picture">
                      <pic:pic xmlns:pic="http://schemas.openxmlformats.org/drawingml/2006/picture">
                        <pic:nvPicPr>
                          <pic:cNvPr id="118" name="图片_25_SpCnt_6"/>
                          <pic:cNvPicPr/>
                        </pic:nvPicPr>
                        <pic:blipFill>
                          <a:blip r:embed="rId43"/>
                          <a:stretch>
                            <a:fillRect/>
                          </a:stretch>
                        </pic:blipFill>
                        <pic:spPr>
                          <a:xfrm>
                            <a:off x="0" y="0"/>
                            <a:ext cx="1108710" cy="123698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八角金盘</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30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8592" behindDoc="0" locked="0" layoutInCell="1" allowOverlap="1">
                  <wp:simplePos x="0" y="0"/>
                  <wp:positionH relativeFrom="column">
                    <wp:posOffset>85725</wp:posOffset>
                  </wp:positionH>
                  <wp:positionV relativeFrom="paragraph">
                    <wp:posOffset>82550</wp:posOffset>
                  </wp:positionV>
                  <wp:extent cx="1103630" cy="1206500"/>
                  <wp:effectExtent l="0" t="0" r="1270" b="12700"/>
                  <wp:wrapNone/>
                  <wp:docPr id="119" name="图片_106"/>
                  <wp:cNvGraphicFramePr/>
                  <a:graphic xmlns:a="http://schemas.openxmlformats.org/drawingml/2006/main">
                    <a:graphicData uri="http://schemas.openxmlformats.org/drawingml/2006/picture">
                      <pic:pic xmlns:pic="http://schemas.openxmlformats.org/drawingml/2006/picture">
                        <pic:nvPicPr>
                          <pic:cNvPr id="119" name="图片_106"/>
                          <pic:cNvPicPr/>
                        </pic:nvPicPr>
                        <pic:blipFill>
                          <a:blip r:embed="rId40"/>
                          <a:stretch>
                            <a:fillRect/>
                          </a:stretch>
                        </pic:blipFill>
                        <pic:spPr>
                          <a:xfrm>
                            <a:off x="0" y="0"/>
                            <a:ext cx="1103630" cy="120650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59616" behindDoc="0" locked="0" layoutInCell="1" allowOverlap="1">
                  <wp:simplePos x="0" y="0"/>
                  <wp:positionH relativeFrom="column">
                    <wp:posOffset>133350</wp:posOffset>
                  </wp:positionH>
                  <wp:positionV relativeFrom="paragraph">
                    <wp:posOffset>187325</wp:posOffset>
                  </wp:positionV>
                  <wp:extent cx="1085215" cy="1085215"/>
                  <wp:effectExtent l="0" t="0" r="635" b="635"/>
                  <wp:wrapNone/>
                  <wp:docPr id="120" name="图片_107"/>
                  <wp:cNvGraphicFramePr/>
                  <a:graphic xmlns:a="http://schemas.openxmlformats.org/drawingml/2006/main">
                    <a:graphicData uri="http://schemas.openxmlformats.org/drawingml/2006/picture">
                      <pic:pic xmlns:pic="http://schemas.openxmlformats.org/drawingml/2006/picture">
                        <pic:nvPicPr>
                          <pic:cNvPr id="120" name="图片_107"/>
                          <pic:cNvPicPr/>
                        </pic:nvPicPr>
                        <pic:blipFill>
                          <a:blip r:embed="rId47"/>
                          <a:stretch>
                            <a:fillRect/>
                          </a:stretch>
                        </pic:blipFill>
                        <pic:spPr>
                          <a:xfrm>
                            <a:off x="0" y="0"/>
                            <a:ext cx="1085215" cy="1085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虎皮兰</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0640" behindDoc="0" locked="0" layoutInCell="1" allowOverlap="1">
                  <wp:simplePos x="0" y="0"/>
                  <wp:positionH relativeFrom="column">
                    <wp:posOffset>76200</wp:posOffset>
                  </wp:positionH>
                  <wp:positionV relativeFrom="paragraph">
                    <wp:posOffset>120650</wp:posOffset>
                  </wp:positionV>
                  <wp:extent cx="1142365" cy="1150620"/>
                  <wp:effectExtent l="0" t="0" r="635" b="11430"/>
                  <wp:wrapNone/>
                  <wp:docPr id="121" name="图片_108"/>
                  <wp:cNvGraphicFramePr/>
                  <a:graphic xmlns:a="http://schemas.openxmlformats.org/drawingml/2006/main">
                    <a:graphicData uri="http://schemas.openxmlformats.org/drawingml/2006/picture">
                      <pic:pic xmlns:pic="http://schemas.openxmlformats.org/drawingml/2006/picture">
                        <pic:nvPicPr>
                          <pic:cNvPr id="121" name="图片_108"/>
                          <pic:cNvPicPr/>
                        </pic:nvPicPr>
                        <pic:blipFill>
                          <a:blip r:embed="rId41"/>
                          <a:stretch>
                            <a:fillRect/>
                          </a:stretch>
                        </pic:blipFill>
                        <pic:spPr>
                          <a:xfrm>
                            <a:off x="0" y="0"/>
                            <a:ext cx="1142365" cy="11506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102</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龙须树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1664" behindDoc="0" locked="0" layoutInCell="1" allowOverlap="1">
                  <wp:simplePos x="0" y="0"/>
                  <wp:positionH relativeFrom="column">
                    <wp:posOffset>114300</wp:posOffset>
                  </wp:positionH>
                  <wp:positionV relativeFrom="paragraph">
                    <wp:posOffset>101600</wp:posOffset>
                  </wp:positionV>
                  <wp:extent cx="1073150" cy="1075690"/>
                  <wp:effectExtent l="0" t="0" r="12700" b="10160"/>
                  <wp:wrapNone/>
                  <wp:docPr id="122" name="图片_109"/>
                  <wp:cNvGraphicFramePr/>
                  <a:graphic xmlns:a="http://schemas.openxmlformats.org/drawingml/2006/main">
                    <a:graphicData uri="http://schemas.openxmlformats.org/drawingml/2006/picture">
                      <pic:pic xmlns:pic="http://schemas.openxmlformats.org/drawingml/2006/picture">
                        <pic:nvPicPr>
                          <pic:cNvPr id="122" name="图片_109"/>
                          <pic:cNvPicPr/>
                        </pic:nvPicPr>
                        <pic:blipFill>
                          <a:blip r:embed="rId38"/>
                          <a:stretch>
                            <a:fillRect/>
                          </a:stretch>
                        </pic:blipFill>
                        <pic:spPr>
                          <a:xfrm>
                            <a:off x="0" y="0"/>
                            <a:ext cx="1073150" cy="10756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103</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小绿萝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9</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2688" behindDoc="0" locked="0" layoutInCell="1" allowOverlap="1">
                  <wp:simplePos x="0" y="0"/>
                  <wp:positionH relativeFrom="column">
                    <wp:posOffset>95250</wp:posOffset>
                  </wp:positionH>
                  <wp:positionV relativeFrom="paragraph">
                    <wp:posOffset>92075</wp:posOffset>
                  </wp:positionV>
                  <wp:extent cx="1123950" cy="1114425"/>
                  <wp:effectExtent l="0" t="0" r="0" b="9525"/>
                  <wp:wrapNone/>
                  <wp:docPr id="123" name="图片_23_SpCnt_8"/>
                  <wp:cNvGraphicFramePr/>
                  <a:graphic xmlns:a="http://schemas.openxmlformats.org/drawingml/2006/main">
                    <a:graphicData uri="http://schemas.openxmlformats.org/drawingml/2006/picture">
                      <pic:pic xmlns:pic="http://schemas.openxmlformats.org/drawingml/2006/picture">
                        <pic:nvPicPr>
                          <pic:cNvPr id="123" name="图片_23_SpCnt_8"/>
                          <pic:cNvPicPr/>
                        </pic:nvPicPr>
                        <pic:blipFill>
                          <a:blip r:embed="rId17"/>
                          <a:stretch>
                            <a:fillRect/>
                          </a:stretch>
                        </pic:blipFill>
                        <pic:spPr>
                          <a:xfrm>
                            <a:off x="0" y="0"/>
                            <a:ext cx="1123950" cy="11144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104</w:t>
            </w:r>
          </w:p>
        </w:tc>
        <w:tc>
          <w:tcPr>
            <w:tcW w:w="6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6楼</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散尾葵</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3712" behindDoc="0" locked="0" layoutInCell="1" allowOverlap="1">
                  <wp:simplePos x="0" y="0"/>
                  <wp:positionH relativeFrom="column">
                    <wp:posOffset>104775</wp:posOffset>
                  </wp:positionH>
                  <wp:positionV relativeFrom="paragraph">
                    <wp:posOffset>225425</wp:posOffset>
                  </wp:positionV>
                  <wp:extent cx="1123950" cy="962025"/>
                  <wp:effectExtent l="0" t="0" r="0" b="9525"/>
                  <wp:wrapNone/>
                  <wp:docPr id="124" name="图片_1_SpCnt_8"/>
                  <wp:cNvGraphicFramePr/>
                  <a:graphic xmlns:a="http://schemas.openxmlformats.org/drawingml/2006/main">
                    <a:graphicData uri="http://schemas.openxmlformats.org/drawingml/2006/picture">
                      <pic:pic xmlns:pic="http://schemas.openxmlformats.org/drawingml/2006/picture">
                        <pic:nvPicPr>
                          <pic:cNvPr id="124" name="图片_1_SpCnt_8"/>
                          <pic:cNvPicPr/>
                        </pic:nvPicPr>
                        <pic:blipFill>
                          <a:blip r:embed="rId9"/>
                          <a:stretch>
                            <a:fillRect/>
                          </a:stretch>
                        </pic:blipFill>
                        <pic:spPr>
                          <a:xfrm>
                            <a:off x="0" y="0"/>
                            <a:ext cx="1123950" cy="9620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105</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4736" behindDoc="0" locked="0" layoutInCell="1" allowOverlap="1">
                  <wp:simplePos x="0" y="0"/>
                  <wp:positionH relativeFrom="column">
                    <wp:posOffset>114300</wp:posOffset>
                  </wp:positionH>
                  <wp:positionV relativeFrom="paragraph">
                    <wp:posOffset>139700</wp:posOffset>
                  </wp:positionV>
                  <wp:extent cx="1038860" cy="1042035"/>
                  <wp:effectExtent l="0" t="0" r="8890" b="5715"/>
                  <wp:wrapNone/>
                  <wp:docPr id="125" name="图片_117"/>
                  <wp:cNvGraphicFramePr/>
                  <a:graphic xmlns:a="http://schemas.openxmlformats.org/drawingml/2006/main">
                    <a:graphicData uri="http://schemas.openxmlformats.org/drawingml/2006/picture">
                      <pic:pic xmlns:pic="http://schemas.openxmlformats.org/drawingml/2006/picture">
                        <pic:nvPicPr>
                          <pic:cNvPr id="125" name="图片_117"/>
                          <pic:cNvPicPr/>
                        </pic:nvPicPr>
                        <pic:blipFill>
                          <a:blip r:embed="rId30"/>
                          <a:stretch>
                            <a:fillRect/>
                          </a:stretch>
                        </pic:blipFill>
                        <pic:spPr>
                          <a:xfrm>
                            <a:off x="0" y="0"/>
                            <a:ext cx="1038860" cy="104203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106</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新叶藤</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5760" behindDoc="0" locked="0" layoutInCell="1" allowOverlap="1">
                  <wp:simplePos x="0" y="0"/>
                  <wp:positionH relativeFrom="column">
                    <wp:posOffset>114300</wp:posOffset>
                  </wp:positionH>
                  <wp:positionV relativeFrom="paragraph">
                    <wp:posOffset>139700</wp:posOffset>
                  </wp:positionV>
                  <wp:extent cx="998220" cy="1137920"/>
                  <wp:effectExtent l="0" t="0" r="11430" b="5080"/>
                  <wp:wrapNone/>
                  <wp:docPr id="126" name="图片_118"/>
                  <wp:cNvGraphicFramePr/>
                  <a:graphic xmlns:a="http://schemas.openxmlformats.org/drawingml/2006/main">
                    <a:graphicData uri="http://schemas.openxmlformats.org/drawingml/2006/picture">
                      <pic:pic xmlns:pic="http://schemas.openxmlformats.org/drawingml/2006/picture">
                        <pic:nvPicPr>
                          <pic:cNvPr id="126" name="图片_118"/>
                          <pic:cNvPicPr/>
                        </pic:nvPicPr>
                        <pic:blipFill>
                          <a:blip r:embed="rId26"/>
                          <a:stretch>
                            <a:fillRect/>
                          </a:stretch>
                        </pic:blipFill>
                        <pic:spPr>
                          <a:xfrm>
                            <a:off x="0" y="0"/>
                            <a:ext cx="998220" cy="113792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107</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龙须树</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6784" behindDoc="0" locked="0" layoutInCell="1" allowOverlap="1">
                  <wp:simplePos x="0" y="0"/>
                  <wp:positionH relativeFrom="column">
                    <wp:posOffset>161925</wp:posOffset>
                  </wp:positionH>
                  <wp:positionV relativeFrom="paragraph">
                    <wp:posOffset>215900</wp:posOffset>
                  </wp:positionV>
                  <wp:extent cx="1073150" cy="1075690"/>
                  <wp:effectExtent l="0" t="0" r="12700" b="10160"/>
                  <wp:wrapNone/>
                  <wp:docPr id="127" name="图片_119"/>
                  <wp:cNvGraphicFramePr/>
                  <a:graphic xmlns:a="http://schemas.openxmlformats.org/drawingml/2006/main">
                    <a:graphicData uri="http://schemas.openxmlformats.org/drawingml/2006/picture">
                      <pic:pic xmlns:pic="http://schemas.openxmlformats.org/drawingml/2006/picture">
                        <pic:nvPicPr>
                          <pic:cNvPr id="127" name="图片_119"/>
                          <pic:cNvPicPr/>
                        </pic:nvPicPr>
                        <pic:blipFill>
                          <a:blip r:embed="rId38"/>
                          <a:stretch>
                            <a:fillRect/>
                          </a:stretch>
                        </pic:blipFill>
                        <pic:spPr>
                          <a:xfrm>
                            <a:off x="0" y="0"/>
                            <a:ext cx="1073150" cy="10756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108</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绿萝</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2</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7808" behindDoc="0" locked="0" layoutInCell="1" allowOverlap="1">
                  <wp:simplePos x="0" y="0"/>
                  <wp:positionH relativeFrom="column">
                    <wp:posOffset>123825</wp:posOffset>
                  </wp:positionH>
                  <wp:positionV relativeFrom="paragraph">
                    <wp:posOffset>120650</wp:posOffset>
                  </wp:positionV>
                  <wp:extent cx="1085215" cy="1085215"/>
                  <wp:effectExtent l="0" t="0" r="635" b="635"/>
                  <wp:wrapNone/>
                  <wp:docPr id="128" name="图片_120"/>
                  <wp:cNvGraphicFramePr/>
                  <a:graphic xmlns:a="http://schemas.openxmlformats.org/drawingml/2006/main">
                    <a:graphicData uri="http://schemas.openxmlformats.org/drawingml/2006/picture">
                      <pic:pic xmlns:pic="http://schemas.openxmlformats.org/drawingml/2006/picture">
                        <pic:nvPicPr>
                          <pic:cNvPr id="128" name="图片_120"/>
                          <pic:cNvPicPr/>
                        </pic:nvPicPr>
                        <pic:blipFill>
                          <a:blip r:embed="rId47"/>
                          <a:stretch>
                            <a:fillRect/>
                          </a:stretch>
                        </pic:blipFill>
                        <pic:spPr>
                          <a:xfrm>
                            <a:off x="0" y="0"/>
                            <a:ext cx="1085215" cy="108521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202"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109</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金叶也门铁</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15</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8832" behindDoc="0" locked="0" layoutInCell="1" allowOverlap="1">
                  <wp:simplePos x="0" y="0"/>
                  <wp:positionH relativeFrom="column">
                    <wp:posOffset>66675</wp:posOffset>
                  </wp:positionH>
                  <wp:positionV relativeFrom="paragraph">
                    <wp:posOffset>73025</wp:posOffset>
                  </wp:positionV>
                  <wp:extent cx="1162050" cy="1165225"/>
                  <wp:effectExtent l="0" t="0" r="0" b="15875"/>
                  <wp:wrapNone/>
                  <wp:docPr id="129" name="图片_121"/>
                  <wp:cNvGraphicFramePr/>
                  <a:graphic xmlns:a="http://schemas.openxmlformats.org/drawingml/2006/main">
                    <a:graphicData uri="http://schemas.openxmlformats.org/drawingml/2006/picture">
                      <pic:pic xmlns:pic="http://schemas.openxmlformats.org/drawingml/2006/picture">
                        <pic:nvPicPr>
                          <pic:cNvPr id="129" name="图片_121"/>
                          <pic:cNvPicPr/>
                        </pic:nvPicPr>
                        <pic:blipFill>
                          <a:blip r:embed="rId36"/>
                          <a:stretch>
                            <a:fillRect/>
                          </a:stretch>
                        </pic:blipFill>
                        <pic:spPr>
                          <a:xfrm>
                            <a:off x="0" y="0"/>
                            <a:ext cx="1162050" cy="116522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160"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110</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琴叶榕</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8</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69856" behindDoc="0" locked="0" layoutInCell="1" allowOverlap="1">
                  <wp:simplePos x="0" y="0"/>
                  <wp:positionH relativeFrom="column">
                    <wp:posOffset>161925</wp:posOffset>
                  </wp:positionH>
                  <wp:positionV relativeFrom="paragraph">
                    <wp:posOffset>263525</wp:posOffset>
                  </wp:positionV>
                  <wp:extent cx="992505" cy="993140"/>
                  <wp:effectExtent l="0" t="0" r="17145" b="16510"/>
                  <wp:wrapNone/>
                  <wp:docPr id="130" name="图片_122"/>
                  <wp:cNvGraphicFramePr/>
                  <a:graphic xmlns:a="http://schemas.openxmlformats.org/drawingml/2006/main">
                    <a:graphicData uri="http://schemas.openxmlformats.org/drawingml/2006/picture">
                      <pic:pic xmlns:pic="http://schemas.openxmlformats.org/drawingml/2006/picture">
                        <pic:nvPicPr>
                          <pic:cNvPr id="130" name="图片_122"/>
                          <pic:cNvPicPr/>
                        </pic:nvPicPr>
                        <pic:blipFill>
                          <a:blip r:embed="rId33"/>
                          <a:stretch>
                            <a:fillRect/>
                          </a:stretch>
                        </pic:blipFill>
                        <pic:spPr>
                          <a:xfrm>
                            <a:off x="0" y="0"/>
                            <a:ext cx="992505" cy="99314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2160" w:hRule="atLeast"/>
          <w:jc w:val="center"/>
        </w:trPr>
        <w:tc>
          <w:tcPr>
            <w:tcW w:w="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111</w:t>
            </w:r>
          </w:p>
        </w:tc>
        <w:tc>
          <w:tcPr>
            <w:tcW w:w="6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Cs w:val="21"/>
                <w:highlight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一帆风顺</w:t>
            </w:r>
          </w:p>
        </w:tc>
        <w:tc>
          <w:tcPr>
            <w:tcW w:w="1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6</w:t>
            </w:r>
          </w:p>
        </w:tc>
        <w:tc>
          <w:tcPr>
            <w:tcW w:w="1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bdr w:val="single" w:color="000000" w:sz="4" w:space="0"/>
              </w:rPr>
              <w:drawing>
                <wp:anchor distT="0" distB="0" distL="114300" distR="114300" simplePos="0" relativeHeight="251770880" behindDoc="0" locked="0" layoutInCell="1" allowOverlap="1">
                  <wp:simplePos x="0" y="0"/>
                  <wp:positionH relativeFrom="column">
                    <wp:posOffset>66675</wp:posOffset>
                  </wp:positionH>
                  <wp:positionV relativeFrom="paragraph">
                    <wp:posOffset>142875</wp:posOffset>
                  </wp:positionV>
                  <wp:extent cx="1190625" cy="1095375"/>
                  <wp:effectExtent l="0" t="0" r="9525" b="9525"/>
                  <wp:wrapNone/>
                  <wp:docPr id="131" name="图片_21_SpCnt_5"/>
                  <wp:cNvGraphicFramePr/>
                  <a:graphic xmlns:a="http://schemas.openxmlformats.org/drawingml/2006/main">
                    <a:graphicData uri="http://schemas.openxmlformats.org/drawingml/2006/picture">
                      <pic:pic xmlns:pic="http://schemas.openxmlformats.org/drawingml/2006/picture">
                        <pic:nvPicPr>
                          <pic:cNvPr id="131" name="图片_21_SpCnt_5"/>
                          <pic:cNvPicPr/>
                        </pic:nvPicPr>
                        <pic:blipFill>
                          <a:blip r:embed="rId22"/>
                          <a:stretch>
                            <a:fillRect/>
                          </a:stretch>
                        </pic:blipFill>
                        <pic:spPr>
                          <a:xfrm>
                            <a:off x="0" y="0"/>
                            <a:ext cx="1190625" cy="1095375"/>
                          </a:xfrm>
                          <a:prstGeom prst="rect">
                            <a:avLst/>
                          </a:prstGeom>
                          <a:noFill/>
                          <a:ln>
                            <a:noFill/>
                          </a:ln>
                        </pic:spPr>
                      </pic:pic>
                    </a:graphicData>
                  </a:graphic>
                </wp:anchor>
              </w:drawing>
            </w:r>
          </w:p>
        </w:tc>
      </w:tr>
    </w:tbl>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2.服务内容及范围</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投标人承担提供采购人绿化所需各类植物以及运输和养护工作，运输、花盆、及损耗费用等本项所涉及的一切费用均由投标人负责。供应商确保按照所提供绿植的生长情况及采购人要求进行养护。投标人应当根据采购人安排摆放调整花卉位置，保障每周至少2次养护工作，并达到采购人绿化养护标准。</w:t>
      </w:r>
    </w:p>
    <w:p>
      <w:pPr>
        <w:tabs>
          <w:tab w:val="left" w:pos="0"/>
        </w:tabs>
        <w:spacing w:line="440" w:lineRule="exact"/>
        <w:ind w:firstLine="480" w:firstLineChars="200"/>
        <w:rPr>
          <w:rFonts w:cs="宋体"/>
          <w:color w:val="auto"/>
          <w:highlight w:val="none"/>
        </w:rPr>
      </w:pPr>
      <w:r>
        <w:rPr>
          <w:rFonts w:hint="eastAsia" w:ascii="宋体" w:hAnsi="宋体" w:cs="宋体"/>
          <w:color w:val="auto"/>
          <w:sz w:val="24"/>
          <w:highlight w:val="none"/>
        </w:rPr>
        <w:t>3.</w:t>
      </w:r>
      <w:r>
        <w:rPr>
          <w:rFonts w:hint="eastAsia" w:cs="宋体"/>
          <w:color w:val="auto"/>
          <w:sz w:val="24"/>
          <w:highlight w:val="none"/>
        </w:rPr>
        <w:t>绿化养护标准</w:t>
      </w:r>
    </w:p>
    <w:tbl>
      <w:tblPr>
        <w:tblStyle w:val="4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7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vAlign w:val="center"/>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养护项目</w:t>
            </w:r>
          </w:p>
        </w:tc>
        <w:tc>
          <w:tcPr>
            <w:tcW w:w="4245" w:type="pct"/>
            <w:vAlign w:val="center"/>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品   种</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品种多样、更换及时、搭配适当、符合环境的要求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叶   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无黄叶、无破损、无病虫害、无灰尘、无泥土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花盆内</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无杂质、无烟头、无黄土裸露(除植物正常生长需要的物质)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花盆外表面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无破损、无灰尘、无泥土、无污迹，呈本色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花盆垫子</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无破损、无积水、无泥土、无青苔、无污迹，呈本色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套盆里面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无杂质、无烟头、无积水、无泥土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套盆外表面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无破损、无灰尘、无泥土、无污迹，呈本色</w:t>
            </w:r>
          </w:p>
        </w:tc>
      </w:tr>
    </w:tbl>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4.现场绿化检查</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检查的方式、方法</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不定期检查，由采购人绿化负责人随时检查；</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定期检查，由采购人绿化负责人会同供应商负责人每月检查一次。</w:t>
      </w:r>
    </w:p>
    <w:p>
      <w:pPr>
        <w:pStyle w:val="240"/>
        <w:spacing w:line="440" w:lineRule="exact"/>
        <w:ind w:left="420" w:leftChars="200" w:firstLine="0" w:firstLineChars="0"/>
        <w:outlineLvl w:val="2"/>
        <w:rPr>
          <w:rFonts w:cs="宋体"/>
          <w:color w:val="auto"/>
          <w:sz w:val="24"/>
          <w:highlight w:val="none"/>
        </w:rPr>
      </w:pPr>
      <w:r>
        <w:rPr>
          <w:rFonts w:hint="eastAsia" w:cs="宋体"/>
          <w:b/>
          <w:bCs/>
          <w:color w:val="auto"/>
          <w:sz w:val="24"/>
          <w:highlight w:val="none"/>
        </w:rPr>
        <w:t>(六)阶段性服务</w:t>
      </w:r>
    </w:p>
    <w:p>
      <w:pPr>
        <w:pStyle w:val="240"/>
        <w:tabs>
          <w:tab w:val="clear" w:pos="0"/>
        </w:tabs>
        <w:wordWrap/>
        <w:spacing w:line="440" w:lineRule="exact"/>
        <w:rPr>
          <w:rFonts w:cs="宋体"/>
          <w:color w:val="auto"/>
          <w:sz w:val="24"/>
          <w:highlight w:val="none"/>
        </w:rPr>
      </w:pPr>
      <w:r>
        <w:rPr>
          <w:rFonts w:hint="eastAsia" w:cs="宋体"/>
          <w:color w:val="auto"/>
          <w:sz w:val="24"/>
          <w:highlight w:val="none"/>
        </w:rPr>
        <w:t>1.承接查验</w:t>
      </w:r>
    </w:p>
    <w:p>
      <w:pPr>
        <w:pStyle w:val="240"/>
        <w:wordWrap/>
        <w:spacing w:line="440" w:lineRule="exact"/>
        <w:rPr>
          <w:rFonts w:cs="宋体"/>
          <w:color w:val="auto"/>
          <w:sz w:val="24"/>
          <w:highlight w:val="none"/>
        </w:rPr>
      </w:pPr>
      <w:r>
        <w:rPr>
          <w:rFonts w:hint="eastAsia" w:cs="宋体"/>
          <w:color w:val="auto"/>
          <w:sz w:val="24"/>
          <w:highlight w:val="none"/>
        </w:rPr>
        <w:t>(1)服务内容：负责服务区域内设施设备承接查验工作。</w:t>
      </w:r>
    </w:p>
    <w:p>
      <w:pPr>
        <w:pStyle w:val="240"/>
        <w:wordWrap/>
        <w:spacing w:line="440" w:lineRule="exact"/>
        <w:rPr>
          <w:rFonts w:cs="宋体"/>
          <w:color w:val="auto"/>
          <w:sz w:val="24"/>
          <w:highlight w:val="none"/>
        </w:rPr>
      </w:pPr>
      <w:r>
        <w:rPr>
          <w:rFonts w:hint="eastAsia" w:cs="宋体"/>
          <w:color w:val="auto"/>
          <w:sz w:val="24"/>
          <w:highlight w:val="none"/>
        </w:rPr>
        <w:t xml:space="preserve">(2)查验范围：负一楼至六楼所有设施设备(不包含餐厅后期购买设备)、装修装饰工程。 </w:t>
      </w:r>
    </w:p>
    <w:p>
      <w:pPr>
        <w:pStyle w:val="240"/>
        <w:wordWrap/>
        <w:spacing w:line="440" w:lineRule="exact"/>
        <w:rPr>
          <w:rFonts w:cs="宋体"/>
          <w:color w:val="auto"/>
          <w:sz w:val="24"/>
          <w:highlight w:val="none"/>
        </w:rPr>
      </w:pPr>
      <w:r>
        <w:rPr>
          <w:rFonts w:hint="eastAsia" w:cs="宋体"/>
          <w:color w:val="auto"/>
          <w:sz w:val="24"/>
          <w:highlight w:val="none"/>
        </w:rPr>
        <w:t>(3)承包方式：采用投标人包人工、包物料的全包方式。</w:t>
      </w:r>
    </w:p>
    <w:p>
      <w:pPr>
        <w:pStyle w:val="240"/>
        <w:wordWrap/>
        <w:spacing w:line="440" w:lineRule="exact"/>
        <w:rPr>
          <w:rFonts w:cs="宋体"/>
          <w:color w:val="auto"/>
          <w:sz w:val="24"/>
          <w:highlight w:val="none"/>
        </w:rPr>
      </w:pPr>
      <w:r>
        <w:rPr>
          <w:rFonts w:hint="eastAsia" w:cs="宋体"/>
          <w:color w:val="auto"/>
          <w:sz w:val="24"/>
          <w:highlight w:val="none"/>
        </w:rPr>
        <w:t>2.项目开荒服务</w:t>
      </w:r>
    </w:p>
    <w:p>
      <w:pPr>
        <w:pStyle w:val="240"/>
        <w:wordWrap/>
        <w:spacing w:line="440" w:lineRule="exact"/>
        <w:rPr>
          <w:rFonts w:cs="宋体"/>
          <w:color w:val="auto"/>
          <w:sz w:val="24"/>
          <w:highlight w:val="none"/>
        </w:rPr>
      </w:pPr>
      <w:r>
        <w:rPr>
          <w:rFonts w:hint="eastAsia" w:cs="宋体"/>
          <w:color w:val="auto"/>
          <w:sz w:val="24"/>
          <w:highlight w:val="none"/>
        </w:rPr>
        <w:t>(1)服务内容：负责服务区域内办公区、卫生间、玻璃、门窗框、办公家具、室顶等开荒清洁工作。</w:t>
      </w:r>
    </w:p>
    <w:p>
      <w:pPr>
        <w:pStyle w:val="240"/>
        <w:wordWrap/>
        <w:spacing w:line="440" w:lineRule="exact"/>
        <w:rPr>
          <w:rFonts w:cs="宋体"/>
          <w:color w:val="auto"/>
          <w:sz w:val="24"/>
          <w:highlight w:val="none"/>
        </w:rPr>
      </w:pPr>
      <w:r>
        <w:rPr>
          <w:rFonts w:hint="eastAsia" w:cs="宋体"/>
          <w:color w:val="auto"/>
          <w:sz w:val="24"/>
          <w:highlight w:val="none"/>
        </w:rPr>
        <w:t>(2)开荒范围：负一楼至六楼，共计53187㎡。</w:t>
      </w:r>
    </w:p>
    <w:p>
      <w:pPr>
        <w:pStyle w:val="240"/>
        <w:wordWrap/>
        <w:spacing w:line="440" w:lineRule="exact"/>
        <w:rPr>
          <w:rFonts w:cs="宋体"/>
          <w:color w:val="auto"/>
          <w:sz w:val="24"/>
          <w:highlight w:val="none"/>
        </w:rPr>
      </w:pPr>
      <w:r>
        <w:rPr>
          <w:rFonts w:hint="eastAsia" w:cs="宋体"/>
          <w:color w:val="auto"/>
          <w:sz w:val="24"/>
          <w:highlight w:val="none"/>
        </w:rPr>
        <w:t>(3)承包方式：采用投标人包人工、包物料的全包方式。</w:t>
      </w:r>
    </w:p>
    <w:p>
      <w:pPr>
        <w:pStyle w:val="240"/>
        <w:wordWrap/>
        <w:spacing w:line="440" w:lineRule="exact"/>
        <w:rPr>
          <w:rFonts w:cs="宋体"/>
          <w:color w:val="auto"/>
          <w:sz w:val="24"/>
          <w:highlight w:val="none"/>
        </w:rPr>
      </w:pPr>
      <w:r>
        <w:rPr>
          <w:rFonts w:hint="eastAsia" w:cs="宋体"/>
          <w:color w:val="auto"/>
          <w:sz w:val="24"/>
          <w:highlight w:val="none"/>
        </w:rPr>
        <w:t>3.除甲醛服务</w:t>
      </w:r>
    </w:p>
    <w:p>
      <w:pPr>
        <w:pStyle w:val="240"/>
        <w:wordWrap/>
        <w:spacing w:line="440" w:lineRule="exact"/>
        <w:rPr>
          <w:rFonts w:cs="宋体"/>
          <w:color w:val="auto"/>
          <w:sz w:val="24"/>
          <w:highlight w:val="none"/>
        </w:rPr>
      </w:pPr>
      <w:r>
        <w:rPr>
          <w:rFonts w:hint="eastAsia" w:cs="宋体"/>
          <w:color w:val="auto"/>
          <w:sz w:val="24"/>
          <w:highlight w:val="none"/>
        </w:rPr>
        <w:t>(1)服务内容：负责服务区域内甲醛治理的工作。</w:t>
      </w:r>
    </w:p>
    <w:p>
      <w:pPr>
        <w:pStyle w:val="240"/>
        <w:wordWrap/>
        <w:spacing w:line="440" w:lineRule="exact"/>
        <w:rPr>
          <w:rFonts w:cs="宋体"/>
          <w:color w:val="auto"/>
          <w:sz w:val="24"/>
          <w:highlight w:val="none"/>
        </w:rPr>
      </w:pPr>
      <w:r>
        <w:rPr>
          <w:rFonts w:hint="eastAsia" w:cs="宋体"/>
          <w:color w:val="auto"/>
          <w:sz w:val="24"/>
          <w:highlight w:val="none"/>
        </w:rPr>
        <w:t>(2)负一楼至六楼，共计53187㎡。</w:t>
      </w:r>
    </w:p>
    <w:p>
      <w:pPr>
        <w:pStyle w:val="240"/>
        <w:wordWrap/>
        <w:spacing w:line="440" w:lineRule="exact"/>
        <w:rPr>
          <w:rFonts w:cs="宋体"/>
          <w:color w:val="auto"/>
          <w:sz w:val="24"/>
          <w:highlight w:val="none"/>
        </w:rPr>
      </w:pPr>
      <w:r>
        <w:rPr>
          <w:rFonts w:hint="eastAsia" w:cs="宋体"/>
          <w:color w:val="auto"/>
          <w:sz w:val="24"/>
          <w:highlight w:val="none"/>
        </w:rPr>
        <w:t>(3)承包方式：采用投标人包人工、包物料的全包方式。</w:t>
      </w:r>
    </w:p>
    <w:p>
      <w:pPr>
        <w:pStyle w:val="240"/>
        <w:wordWrap/>
        <w:spacing w:line="440" w:lineRule="exact"/>
        <w:rPr>
          <w:rFonts w:cs="宋体"/>
          <w:color w:val="auto"/>
          <w:sz w:val="24"/>
          <w:highlight w:val="none"/>
        </w:rPr>
      </w:pPr>
      <w:r>
        <w:rPr>
          <w:rFonts w:hint="eastAsia" w:cs="宋体"/>
          <w:color w:val="auto"/>
          <w:sz w:val="24"/>
          <w:highlight w:val="none"/>
        </w:rPr>
        <w:t>(4)除甲醛服务考核标准</w:t>
      </w:r>
    </w:p>
    <w:p>
      <w:pPr>
        <w:pStyle w:val="240"/>
        <w:wordWrap/>
        <w:spacing w:line="440" w:lineRule="exact"/>
        <w:rPr>
          <w:rFonts w:cs="宋体"/>
          <w:color w:val="auto"/>
          <w:sz w:val="24"/>
          <w:highlight w:val="none"/>
        </w:rPr>
      </w:pPr>
      <w:r>
        <w:rPr>
          <w:rFonts w:hint="eastAsia" w:cs="宋体"/>
          <w:color w:val="auto"/>
          <w:sz w:val="24"/>
          <w:highlight w:val="none"/>
        </w:rPr>
        <w:t>对治理项目检测并出具《室内空气质量检测报告》， 达到GB/50325-2010国家《民用建筑服务室内环境污染控制规范》标准中对甲醛的要求。</w:t>
      </w:r>
    </w:p>
    <w:p>
      <w:pPr>
        <w:pStyle w:val="240"/>
        <w:wordWrap/>
        <w:spacing w:line="440" w:lineRule="exact"/>
        <w:rPr>
          <w:rFonts w:cs="宋体"/>
          <w:color w:val="auto"/>
          <w:highlight w:val="none"/>
        </w:rPr>
      </w:pPr>
      <w:r>
        <w:rPr>
          <w:rFonts w:hint="eastAsia" w:cs="宋体"/>
          <w:color w:val="auto"/>
          <w:sz w:val="24"/>
          <w:highlight w:val="none"/>
        </w:rPr>
        <w:t>除甲醛工作需要在采购人工作人员非正常上班时间或不影响采购人正常工作情况下开展，中标人需在采购人正式入驻前提供不少于2次除甲醛服务，中标人在与采购人签订合同后至正式入驻后的一个月以内提供至少两个点位（点位选择由采购人指定）的除甲醛检测报告。</w:t>
      </w:r>
    </w:p>
    <w:tbl>
      <w:tblPr>
        <w:tblStyle w:val="45"/>
        <w:tblW w:w="4999" w:type="pct"/>
        <w:tblInd w:w="0" w:type="dxa"/>
        <w:tblLayout w:type="autofit"/>
        <w:tblCellMar>
          <w:top w:w="0" w:type="dxa"/>
          <w:left w:w="108" w:type="dxa"/>
          <w:bottom w:w="0" w:type="dxa"/>
          <w:right w:w="108" w:type="dxa"/>
        </w:tblCellMar>
      </w:tblPr>
      <w:tblGrid>
        <w:gridCol w:w="2162"/>
        <w:gridCol w:w="4609"/>
        <w:gridCol w:w="1749"/>
      </w:tblGrid>
      <w:tr>
        <w:tblPrEx>
          <w:tblCellMar>
            <w:top w:w="0" w:type="dxa"/>
            <w:left w:w="108" w:type="dxa"/>
            <w:bottom w:w="0" w:type="dxa"/>
            <w:right w:w="108" w:type="dxa"/>
          </w:tblCellMar>
        </w:tblPrEx>
        <w:trPr>
          <w:trHeight w:val="280" w:hRule="atLeast"/>
        </w:trPr>
        <w:tc>
          <w:tcPr>
            <w:tcW w:w="1269" w:type="pct"/>
            <w:tcBorders>
              <w:top w:val="single" w:color="auto" w:sz="4" w:space="0"/>
              <w:left w:val="single" w:color="auto" w:sz="4" w:space="0"/>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污染物</w:t>
            </w:r>
          </w:p>
        </w:tc>
        <w:tc>
          <w:tcPr>
            <w:tcW w:w="2704" w:type="pct"/>
            <w:tcBorders>
              <w:top w:val="single" w:color="auto" w:sz="4" w:space="0"/>
              <w:left w:val="nil"/>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GB/50325-2010国家室内空气治理标准</w:t>
            </w:r>
          </w:p>
        </w:tc>
        <w:tc>
          <w:tcPr>
            <w:tcW w:w="1026" w:type="pct"/>
            <w:tcBorders>
              <w:top w:val="single" w:color="auto" w:sz="4" w:space="0"/>
              <w:left w:val="nil"/>
              <w:bottom w:val="single" w:color="auto" w:sz="4" w:space="0"/>
              <w:right w:val="single" w:color="auto" w:sz="4" w:space="0"/>
            </w:tcBorders>
            <w:noWrap/>
            <w:vAlign w:val="center"/>
          </w:tcPr>
          <w:p>
            <w:pPr>
              <w:widowControl/>
              <w:tabs>
                <w:tab w:val="left" w:pos="0"/>
              </w:tabs>
              <w:jc w:val="center"/>
              <w:rPr>
                <w:rFonts w:cs="宋体"/>
                <w:color w:val="auto"/>
                <w:kern w:val="0"/>
                <w:highlight w:val="none"/>
              </w:rPr>
            </w:pPr>
            <w:r>
              <w:rPr>
                <w:rFonts w:hint="eastAsia" w:cs="宋体"/>
                <w:color w:val="auto"/>
                <w:kern w:val="0"/>
                <w:highlight w:val="none"/>
              </w:rPr>
              <w:t>备注</w:t>
            </w:r>
          </w:p>
        </w:tc>
      </w:tr>
      <w:tr>
        <w:tblPrEx>
          <w:tblCellMar>
            <w:top w:w="0" w:type="dxa"/>
            <w:left w:w="108" w:type="dxa"/>
            <w:bottom w:w="0" w:type="dxa"/>
            <w:right w:w="108" w:type="dxa"/>
          </w:tblCellMar>
        </w:tblPrEx>
        <w:trPr>
          <w:trHeight w:val="280" w:hRule="atLeast"/>
        </w:trPr>
        <w:tc>
          <w:tcPr>
            <w:tcW w:w="1269" w:type="pct"/>
            <w:tcBorders>
              <w:top w:val="nil"/>
              <w:left w:val="single" w:color="auto" w:sz="4" w:space="0"/>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甲醛(mg/m³)</w:t>
            </w:r>
          </w:p>
        </w:tc>
        <w:tc>
          <w:tcPr>
            <w:tcW w:w="2704" w:type="pct"/>
            <w:tcBorders>
              <w:top w:val="nil"/>
              <w:left w:val="nil"/>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≤0.</w:t>
            </w:r>
            <w:r>
              <w:rPr>
                <w:rFonts w:cs="宋体"/>
                <w:color w:val="auto"/>
                <w:kern w:val="0"/>
                <w:highlight w:val="none"/>
              </w:rPr>
              <w:t>08</w:t>
            </w:r>
          </w:p>
        </w:tc>
        <w:tc>
          <w:tcPr>
            <w:tcW w:w="1026" w:type="pct"/>
            <w:tcBorders>
              <w:top w:val="nil"/>
              <w:left w:val="nil"/>
              <w:bottom w:val="single" w:color="auto" w:sz="4" w:space="0"/>
              <w:right w:val="single" w:color="auto" w:sz="4" w:space="0"/>
            </w:tcBorders>
            <w:noWrap/>
            <w:vAlign w:val="center"/>
          </w:tcPr>
          <w:p>
            <w:pPr>
              <w:widowControl/>
              <w:tabs>
                <w:tab w:val="left" w:pos="0"/>
              </w:tabs>
              <w:rPr>
                <w:rFonts w:cs="宋体"/>
                <w:color w:val="auto"/>
                <w:kern w:val="0"/>
                <w:highlight w:val="none"/>
              </w:rPr>
            </w:pPr>
          </w:p>
        </w:tc>
      </w:tr>
    </w:tbl>
    <w:p>
      <w:pPr>
        <w:rPr>
          <w:color w:val="auto"/>
          <w:highlight w:val="none"/>
        </w:rPr>
      </w:pPr>
      <w:bookmarkStart w:id="506" w:name="_Toc7017"/>
    </w:p>
    <w:p>
      <w:pPr>
        <w:pStyle w:val="240"/>
        <w:spacing w:line="440" w:lineRule="exact"/>
        <w:ind w:left="420" w:leftChars="200" w:firstLine="0" w:firstLineChars="0"/>
        <w:outlineLvl w:val="2"/>
        <w:rPr>
          <w:rFonts w:cs="宋体"/>
          <w:b/>
          <w:bCs/>
          <w:color w:val="auto"/>
          <w:sz w:val="24"/>
          <w:highlight w:val="none"/>
        </w:rPr>
      </w:pPr>
      <w:r>
        <w:rPr>
          <w:rFonts w:hint="eastAsia" w:cs="宋体"/>
          <w:b/>
          <w:bCs/>
          <w:color w:val="auto"/>
          <w:sz w:val="24"/>
          <w:highlight w:val="none"/>
        </w:rPr>
        <w:t>注：按采购人要求，阶段性服务仅承接前期服务，后期如无此项工作，则按照分项报价进行费用扣除即可。</w:t>
      </w:r>
    </w:p>
    <w:p>
      <w:pPr>
        <w:pStyle w:val="240"/>
        <w:spacing w:line="440" w:lineRule="exact"/>
        <w:ind w:left="420" w:leftChars="200" w:firstLine="0" w:firstLineChars="0"/>
        <w:outlineLvl w:val="2"/>
        <w:rPr>
          <w:rFonts w:cs="宋体"/>
          <w:b/>
          <w:bCs/>
          <w:color w:val="auto"/>
          <w:sz w:val="24"/>
          <w:highlight w:val="none"/>
        </w:rPr>
      </w:pPr>
      <w:r>
        <w:rPr>
          <w:rFonts w:hint="eastAsia" w:cs="宋体"/>
          <w:b/>
          <w:bCs/>
          <w:color w:val="auto"/>
          <w:sz w:val="24"/>
          <w:highlight w:val="none"/>
        </w:rPr>
        <w:t>(七)人员配置要求</w:t>
      </w:r>
    </w:p>
    <w:p>
      <w:pPr>
        <w:pStyle w:val="42"/>
        <w:widowControl w:val="0"/>
        <w:spacing w:before="0" w:beforeAutospacing="0" w:after="0" w:afterAutospacing="0" w:line="440" w:lineRule="exact"/>
        <w:ind w:firstLine="480" w:firstLineChars="200"/>
        <w:jc w:val="both"/>
        <w:rPr>
          <w:rFonts w:cs="宋体"/>
          <w:color w:val="auto"/>
          <w:kern w:val="2"/>
          <w:highlight w:val="none"/>
        </w:rPr>
      </w:pPr>
      <w:r>
        <w:rPr>
          <w:rFonts w:hint="eastAsia" w:cs="宋体"/>
          <w:color w:val="auto"/>
          <w:kern w:val="2"/>
          <w:highlight w:val="none"/>
          <w:lang w:bidi="ar"/>
        </w:rPr>
        <w:t>1.投标人派驻的</w:t>
      </w:r>
      <w:r>
        <w:rPr>
          <w:rFonts w:hint="eastAsia"/>
          <w:color w:val="auto"/>
          <w:highlight w:val="none"/>
        </w:rPr>
        <w:t>所有人员经采购人面试合格方可上岗，上岗前需提供体检报告，未经采购人书面同意，供应商不得随意调换服务人员，投标人</w:t>
      </w:r>
      <w:r>
        <w:rPr>
          <w:rFonts w:hint="eastAsia" w:cs="宋体"/>
          <w:color w:val="auto"/>
          <w:kern w:val="2"/>
          <w:highlight w:val="none"/>
          <w:lang w:bidi="ar"/>
        </w:rPr>
        <w:t>应当与本项目配置的员工建立合法劳动用工关系，并按照国家法律法规全员购置社保。</w:t>
      </w:r>
      <w:r>
        <w:rPr>
          <w:rFonts w:hint="eastAsia" w:cs="宋体"/>
          <w:color w:val="auto"/>
          <w:highlight w:val="none"/>
        </w:rPr>
        <w:t>投标人</w:t>
      </w:r>
      <w:r>
        <w:rPr>
          <w:rFonts w:hint="eastAsia" w:cs="宋体"/>
          <w:color w:val="auto"/>
          <w:kern w:val="2"/>
          <w:highlight w:val="none"/>
          <w:lang w:bidi="ar"/>
        </w:rPr>
        <w:t>负责支付所派出全部工作人员工资、社保、残疾人基金、工会基金、住房公积金等费用及各项补助、节日福利等，人员工资标准不得低于本地的最低工资标准，采购人对此不承担任何的法律责任和义务，不得以人工工资价格上涨要求相关补助，采购人不额外向个人支付费用(应采购人实际工作需要，</w:t>
      </w:r>
      <w:r>
        <w:rPr>
          <w:rFonts w:hint="eastAsia" w:cs="宋体"/>
          <w:color w:val="auto"/>
          <w:highlight w:val="none"/>
        </w:rPr>
        <w:t>投标人</w:t>
      </w:r>
      <w:r>
        <w:rPr>
          <w:rFonts w:hint="eastAsia" w:cs="宋体"/>
          <w:color w:val="auto"/>
          <w:kern w:val="2"/>
          <w:highlight w:val="none"/>
          <w:lang w:bidi="ar"/>
        </w:rPr>
        <w:t>要求提供的特约有偿服务或派员参加重大活动协助的除外)。</w:t>
      </w:r>
    </w:p>
    <w:p>
      <w:pPr>
        <w:pStyle w:val="42"/>
        <w:widowControl w:val="0"/>
        <w:spacing w:before="0" w:beforeAutospacing="0" w:after="0" w:afterAutospacing="0" w:line="440" w:lineRule="exact"/>
        <w:ind w:firstLine="480" w:firstLineChars="200"/>
        <w:jc w:val="both"/>
        <w:rPr>
          <w:rFonts w:cs="宋体"/>
          <w:color w:val="auto"/>
          <w:kern w:val="2"/>
          <w:highlight w:val="none"/>
        </w:rPr>
      </w:pPr>
      <w:r>
        <w:rPr>
          <w:rFonts w:hint="eastAsia" w:cs="宋体"/>
          <w:color w:val="auto"/>
          <w:kern w:val="2"/>
          <w:highlight w:val="none"/>
          <w:lang w:bidi="ar"/>
        </w:rPr>
        <w:t>2.采购人不向</w:t>
      </w:r>
      <w:r>
        <w:rPr>
          <w:rFonts w:hint="eastAsia" w:cs="宋体"/>
          <w:color w:val="auto"/>
          <w:highlight w:val="none"/>
        </w:rPr>
        <w:t>投标人</w:t>
      </w:r>
      <w:r>
        <w:rPr>
          <w:rFonts w:hint="eastAsia" w:cs="宋体"/>
          <w:color w:val="auto"/>
          <w:kern w:val="2"/>
          <w:highlight w:val="none"/>
          <w:lang w:bidi="ar"/>
        </w:rPr>
        <w:t>提供员工住宿(因工作需要采购人向</w:t>
      </w:r>
      <w:r>
        <w:rPr>
          <w:rFonts w:hint="eastAsia" w:cs="宋体"/>
          <w:color w:val="auto"/>
          <w:highlight w:val="none"/>
        </w:rPr>
        <w:t>投标人</w:t>
      </w:r>
      <w:r>
        <w:rPr>
          <w:rFonts w:hint="eastAsia" w:cs="宋体"/>
          <w:color w:val="auto"/>
          <w:kern w:val="2"/>
          <w:highlight w:val="none"/>
          <w:lang w:bidi="ar"/>
        </w:rPr>
        <w:t>提供必要备勤室除外)，</w:t>
      </w:r>
      <w:r>
        <w:rPr>
          <w:rFonts w:hint="eastAsia" w:cs="宋体"/>
          <w:color w:val="auto"/>
          <w:highlight w:val="none"/>
        </w:rPr>
        <w:t>投标人</w:t>
      </w:r>
      <w:r>
        <w:rPr>
          <w:rFonts w:hint="eastAsia" w:cs="宋体"/>
          <w:color w:val="auto"/>
          <w:kern w:val="2"/>
          <w:highlight w:val="none"/>
          <w:lang w:bidi="ar"/>
        </w:rPr>
        <w:t>的现场服务人员的工作用餐可以在采购人的食堂用餐，但必须遵守采购人的就餐时间安排，由</w:t>
      </w:r>
      <w:r>
        <w:rPr>
          <w:rFonts w:hint="eastAsia" w:cs="宋体"/>
          <w:color w:val="auto"/>
          <w:highlight w:val="none"/>
        </w:rPr>
        <w:t>投标人</w:t>
      </w:r>
      <w:r>
        <w:rPr>
          <w:rFonts w:hint="eastAsia" w:cs="宋体"/>
          <w:color w:val="auto"/>
          <w:kern w:val="2"/>
          <w:highlight w:val="none"/>
          <w:lang w:bidi="ar"/>
        </w:rPr>
        <w:t>向员工支付误餐补贴，该费用应计入投标报价。</w:t>
      </w:r>
    </w:p>
    <w:p>
      <w:pPr>
        <w:pStyle w:val="42"/>
        <w:widowControl w:val="0"/>
        <w:spacing w:before="0" w:beforeAutospacing="0" w:after="0" w:afterAutospacing="0" w:line="440" w:lineRule="exact"/>
        <w:ind w:firstLine="480" w:firstLineChars="200"/>
        <w:jc w:val="both"/>
        <w:rPr>
          <w:rFonts w:cs="宋体"/>
          <w:color w:val="auto"/>
          <w:kern w:val="2"/>
          <w:highlight w:val="none"/>
        </w:rPr>
      </w:pPr>
      <w:r>
        <w:rPr>
          <w:rFonts w:hint="eastAsia" w:cs="宋体"/>
          <w:color w:val="auto"/>
          <w:kern w:val="2"/>
          <w:highlight w:val="none"/>
          <w:lang w:bidi="ar"/>
        </w:rPr>
        <w:t>3.本项目物业服务人员最低配置人数要求：</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07" w:name="_Toc24664"/>
      <w:r>
        <w:rPr>
          <w:rFonts w:hint="eastAsia" w:ascii="宋体" w:hAnsi="宋体" w:cs="宋体"/>
          <w:b w:val="0"/>
          <w:bCs/>
          <w:color w:val="auto"/>
          <w:sz w:val="24"/>
          <w:highlight w:val="none"/>
        </w:rPr>
        <w:t>(1)项目经理1人：具有本科及以上学历，40周岁以下，无纹身，具有不少于五年物业管理相关工作经验。</w:t>
      </w:r>
      <w:bookmarkEnd w:id="507"/>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08" w:name="_Toc167"/>
      <w:r>
        <w:rPr>
          <w:rFonts w:hint="eastAsia" w:ascii="宋体" w:hAnsi="宋体" w:cs="宋体"/>
          <w:b w:val="0"/>
          <w:bCs/>
          <w:color w:val="auto"/>
          <w:sz w:val="24"/>
          <w:highlight w:val="none"/>
        </w:rPr>
        <w:t>(2)会务服务人员4人：具有大专及以上学历，女性，身高165cm及以上，35周岁及以下。</w:t>
      </w:r>
      <w:bookmarkEnd w:id="508"/>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09" w:name="_Toc13234"/>
      <w:r>
        <w:rPr>
          <w:rFonts w:hint="eastAsia" w:ascii="宋体" w:hAnsi="宋体" w:cs="宋体"/>
          <w:b w:val="0"/>
          <w:bCs/>
          <w:color w:val="auto"/>
          <w:sz w:val="24"/>
          <w:highlight w:val="none"/>
        </w:rPr>
        <w:t>(3)工程领班1人：具有机电或工程相关专业职业资格证书。</w:t>
      </w:r>
      <w:bookmarkEnd w:id="509"/>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10" w:name="_Toc6681"/>
      <w:r>
        <w:rPr>
          <w:rFonts w:hint="eastAsia" w:ascii="宋体" w:hAnsi="宋体" w:cs="宋体"/>
          <w:b w:val="0"/>
          <w:bCs/>
          <w:color w:val="auto"/>
          <w:sz w:val="24"/>
          <w:highlight w:val="none"/>
        </w:rPr>
        <w:t>(4)安全领班1人：具有专科及以上学历，具有不少于五年秩序维护相关工作经验。</w:t>
      </w:r>
      <w:bookmarkEnd w:id="510"/>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11" w:name="_Toc30206"/>
      <w:r>
        <w:rPr>
          <w:rFonts w:hint="eastAsia" w:ascii="宋体" w:hAnsi="宋体" w:cs="宋体"/>
          <w:b w:val="0"/>
          <w:bCs/>
          <w:color w:val="auto"/>
          <w:sz w:val="24"/>
          <w:highlight w:val="none"/>
        </w:rPr>
        <w:t>(5)IT技术人员3人：具有信息化类专业专科及以上学历，40周岁及以下，</w:t>
      </w:r>
      <w:bookmarkEnd w:id="511"/>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12" w:name="_Toc19444"/>
      <w:r>
        <w:rPr>
          <w:rFonts w:hint="eastAsia" w:ascii="宋体" w:hAnsi="宋体" w:cs="宋体"/>
          <w:b w:val="0"/>
          <w:bCs/>
          <w:color w:val="auto"/>
          <w:sz w:val="24"/>
          <w:highlight w:val="none"/>
        </w:rPr>
        <w:t>(6)安全人员19人：具有中专及以上学历，身高173及以上，35周岁及以下。</w:t>
      </w:r>
      <w:bookmarkEnd w:id="512"/>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13" w:name="_Toc2132"/>
      <w:r>
        <w:rPr>
          <w:rFonts w:hint="eastAsia" w:ascii="宋体" w:hAnsi="宋体" w:cs="宋体"/>
          <w:b w:val="0"/>
          <w:bCs/>
          <w:color w:val="auto"/>
          <w:sz w:val="24"/>
          <w:highlight w:val="none"/>
        </w:rPr>
        <w:t>(7)维修人员5人：具有机电或工程相关专业大专及以上学历，40周岁及以下，具有有效的电工类证书。</w:t>
      </w:r>
      <w:bookmarkEnd w:id="513"/>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14" w:name="_Toc26336"/>
      <w:r>
        <w:rPr>
          <w:rFonts w:hint="eastAsia" w:ascii="宋体" w:hAnsi="宋体" w:cs="宋体"/>
          <w:b w:val="0"/>
          <w:bCs/>
          <w:color w:val="auto"/>
          <w:sz w:val="24"/>
          <w:highlight w:val="none"/>
        </w:rPr>
        <w:t>(8)保洁28人：55周岁及以下。</w:t>
      </w:r>
      <w:bookmarkEnd w:id="514"/>
    </w:p>
    <w:p>
      <w:pPr>
        <w:pStyle w:val="241"/>
        <w:numPr>
          <w:ilvl w:val="1"/>
          <w:numId w:val="0"/>
        </w:numPr>
        <w:spacing w:line="440" w:lineRule="exact"/>
        <w:ind w:firstLine="482" w:firstLineChars="200"/>
        <w:outlineLvl w:val="9"/>
        <w:rPr>
          <w:rFonts w:ascii="宋体" w:hAnsi="宋体" w:cs="宋体"/>
          <w:color w:val="auto"/>
          <w:sz w:val="24"/>
          <w:highlight w:val="none"/>
        </w:rPr>
      </w:pPr>
      <w:bookmarkStart w:id="515" w:name="_Toc25827"/>
      <w:r>
        <w:rPr>
          <w:rFonts w:hint="eastAsia" w:ascii="宋体" w:hAnsi="宋体" w:cs="宋体"/>
          <w:color w:val="auto"/>
          <w:sz w:val="24"/>
          <w:highlight w:val="none"/>
        </w:rPr>
        <w:t>注：以上人员均无传染疾病，无纹身和明显疤痕，并在投标文件中提供相关学历、技术职称及相关工作年限的证明材料。。</w:t>
      </w:r>
      <w:bookmarkEnd w:id="515"/>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4.本次采购中的设施设备运行所产生的能耗不计入本次釆购的运行总费用；本采购中涉及的公共设备设施的日常运行、维护及保养由</w:t>
      </w:r>
      <w:r>
        <w:rPr>
          <w:rFonts w:hint="eastAsia" w:cs="宋体"/>
          <w:color w:val="auto"/>
          <w:sz w:val="24"/>
          <w:highlight w:val="none"/>
        </w:rPr>
        <w:t>投标人</w:t>
      </w:r>
      <w:r>
        <w:rPr>
          <w:rFonts w:hint="eastAsia" w:ascii="宋体" w:hAnsi="宋体" w:cs="宋体"/>
          <w:color w:val="auto"/>
          <w:sz w:val="24"/>
          <w:highlight w:val="none"/>
        </w:rPr>
        <w:t>统一组织管理；运行总费用包含单价价格1000元以下的设施设备零部件更换辅材辅料、维修耗材、办公费等支出，1000元以上大件设施设备的维修更换费用由采购人承担；本次采购中的电梯系统、消防系统、监控录像系统等由</w:t>
      </w:r>
      <w:r>
        <w:rPr>
          <w:rFonts w:hint="eastAsia" w:cs="宋体"/>
          <w:color w:val="auto"/>
          <w:sz w:val="24"/>
          <w:highlight w:val="none"/>
        </w:rPr>
        <w:t>投标人</w:t>
      </w:r>
      <w:r>
        <w:rPr>
          <w:rFonts w:hint="eastAsia" w:ascii="宋体" w:hAnsi="宋体" w:cs="宋体"/>
          <w:color w:val="auto"/>
          <w:sz w:val="24"/>
          <w:highlight w:val="none"/>
        </w:rPr>
        <w:t>商或其分包委派的专业维保公司维护，所产生的费用计入合同总费用。</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5.★本项目允许中标人将物业公司无法承担的专业性工作分包给具有资质的第三方公司履约，但分包前应当告知采购人并须取得采购人同意，否则不能分包：（注：按第3章3.3.5提供书面承诺函原件）。</w:t>
      </w:r>
    </w:p>
    <w:p>
      <w:pPr>
        <w:numPr>
          <w:ilvl w:val="0"/>
          <w:numId w:val="45"/>
        </w:numPr>
        <w:spacing w:line="440" w:lineRule="exact"/>
        <w:rPr>
          <w:rFonts w:ascii="宋体" w:hAnsi="宋体" w:cs="宋体"/>
          <w:color w:val="auto"/>
          <w:sz w:val="24"/>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★负责物业管理区域建筑避雷系统检测的实施单位应具有气象部门颁发的《雷电防护装置检测资质证》。</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如不具备此资质的，则应委托具有此资质的实施单位进行建筑避雷系统检测。</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应与实施单位签订合同，并负责对其进行监督考核。（注：按第3章3.3.5提供书面承诺函原件）</w:t>
      </w:r>
    </w:p>
    <w:p>
      <w:pPr>
        <w:numPr>
          <w:ilvl w:val="0"/>
          <w:numId w:val="45"/>
        </w:numPr>
        <w:spacing w:line="440" w:lineRule="exact"/>
        <w:rPr>
          <w:rFonts w:ascii="宋体" w:hAnsi="宋体" w:cs="宋体"/>
          <w:color w:val="auto"/>
          <w:sz w:val="24"/>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★6.负责物业管理区域二次供水水箱清洗的实施单位应具有县级以上卫生行政部门颁发的卫生许可证。</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如不具备此资质的，则应委托具有此资质的实施单位负责二次供水水箱清洗工作。</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应与实施单位签订合同，并负责对其进行监督考核。（注：按第3章3.3.5提供书面承诺函原件）</w:t>
      </w:r>
    </w:p>
    <w:p>
      <w:pPr>
        <w:numPr>
          <w:ilvl w:val="0"/>
          <w:numId w:val="45"/>
        </w:numPr>
        <w:spacing w:line="440" w:lineRule="exact"/>
        <w:rPr>
          <w:rFonts w:ascii="宋体" w:hAnsi="宋体" w:cs="宋体"/>
          <w:color w:val="auto"/>
          <w:sz w:val="24"/>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★7.负责物业管理区域消防设施维护保养服务的实施单位应具有《消防技术服务机构从业条件》(应急[2019]88号)的要求。</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如不具备此资质的，则应委托具有此资质的实施单位进行消防设施维护保养服务。</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应与实施单位签订合同，并负责对其进行监督考核。（注：按第3章3.3.5提供书面承诺函原件）</w:t>
      </w:r>
    </w:p>
    <w:p>
      <w:pPr>
        <w:numPr>
          <w:ilvl w:val="0"/>
          <w:numId w:val="45"/>
        </w:numPr>
        <w:spacing w:line="440" w:lineRule="exact"/>
        <w:rPr>
          <w:rFonts w:ascii="宋体" w:hAnsi="宋体" w:cs="宋体"/>
          <w:color w:val="auto"/>
          <w:sz w:val="24"/>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★8.负责物业管理区域电梯维护保养服务的实施单位应具有质量技术监督部门颁发的《中华人民共和国特种设备安装改造维修许可证(电梯)》(乘客电梯安装、改造、维修许可证C级及以上)。</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如不具备此资质的，则应委托具有此资质的实施单位进行电梯维护保养服务。</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应与实施单位签订合同，并负责对其进行监督考核。（注：按第3章3.3.5提供书面承诺函原件）</w:t>
      </w:r>
    </w:p>
    <w:bookmarkEnd w:id="506"/>
    <w:p>
      <w:pPr>
        <w:pStyle w:val="241"/>
        <w:numPr>
          <w:ilvl w:val="0"/>
          <w:numId w:val="0"/>
        </w:numPr>
        <w:spacing w:line="440" w:lineRule="exact"/>
        <w:ind w:firstLine="422" w:firstLineChars="200"/>
        <w:outlineLvl w:val="9"/>
        <w:rPr>
          <w:color w:val="auto"/>
          <w:highlight w:val="none"/>
        </w:rPr>
      </w:pPr>
    </w:p>
    <w:p>
      <w:pPr>
        <w:pStyle w:val="5"/>
        <w:numPr>
          <w:ilvl w:val="1"/>
          <w:numId w:val="5"/>
        </w:numPr>
        <w:tabs>
          <w:tab w:val="left" w:pos="0"/>
          <w:tab w:val="left" w:pos="426"/>
          <w:tab w:val="left" w:pos="576"/>
          <w:tab w:val="left" w:pos="786"/>
        </w:tabs>
        <w:spacing w:before="0" w:after="0" w:line="560" w:lineRule="exact"/>
        <w:ind w:left="0" w:firstLine="0"/>
        <w:jc w:val="both"/>
        <w:rPr>
          <w:color w:val="auto"/>
          <w:highlight w:val="none"/>
        </w:rPr>
      </w:pPr>
      <w:bookmarkStart w:id="516" w:name="_Toc24532"/>
      <w:r>
        <w:rPr>
          <w:rFonts w:hint="eastAsia"/>
          <w:color w:val="auto"/>
          <w:highlight w:val="none"/>
        </w:rPr>
        <w:t>商务要求</w:t>
      </w:r>
      <w:bookmarkEnd w:id="254"/>
      <w:bookmarkEnd w:id="255"/>
      <w:bookmarkEnd w:id="256"/>
      <w:bookmarkEnd w:id="257"/>
      <w:bookmarkEnd w:id="258"/>
      <w:bookmarkEnd w:id="259"/>
      <w:bookmarkEnd w:id="260"/>
      <w:bookmarkEnd w:id="261"/>
      <w:bookmarkEnd w:id="262"/>
      <w:bookmarkEnd w:id="516"/>
    </w:p>
    <w:p>
      <w:pPr>
        <w:pStyle w:val="242"/>
        <w:ind w:left="-62" w:firstLine="482" w:firstLineChars="0"/>
        <w:rPr>
          <w:rFonts w:cs="宋体"/>
          <w:color w:val="auto"/>
          <w:highlight w:val="none"/>
        </w:rPr>
      </w:pPr>
      <w:r>
        <w:rPr>
          <w:rFonts w:hint="eastAsia" w:cs="宋体"/>
          <w:color w:val="auto"/>
          <w:highlight w:val="none"/>
        </w:rPr>
        <w:t>服务期限</w:t>
      </w:r>
    </w:p>
    <w:p>
      <w:pPr>
        <w:pStyle w:val="242"/>
        <w:numPr>
          <w:ilvl w:val="2"/>
          <w:numId w:val="0"/>
        </w:numPr>
        <w:rPr>
          <w:rFonts w:cs="宋体"/>
          <w:color w:val="auto"/>
          <w:highlight w:val="none"/>
        </w:rPr>
      </w:pPr>
      <w:r>
        <w:rPr>
          <w:rFonts w:hint="eastAsia" w:cs="宋体"/>
          <w:b w:val="0"/>
          <w:bCs/>
          <w:color w:val="auto"/>
          <w:highlight w:val="none"/>
        </w:rPr>
        <w:tab/>
      </w:r>
      <w:r>
        <w:rPr>
          <w:rFonts w:hint="eastAsia" w:cs="宋体"/>
          <w:b w:val="0"/>
          <w:bCs/>
          <w:color w:val="auto"/>
          <w:highlight w:val="none"/>
        </w:rPr>
        <w:t>本项目服务期限三年，合同一年一签。采购人每月对中标人工作进行考核，如达不到要求则采购人有权适当扣减费用，一年合同到期后，经采购人考评合格后，中标人与采购人续签一年合同，最多续签到第三年。合同续签时，根据采购人实际需求，并遵照相关规定执行。</w:t>
      </w:r>
    </w:p>
    <w:p>
      <w:pPr>
        <w:pStyle w:val="242"/>
        <w:ind w:left="-62" w:firstLine="482" w:firstLineChars="0"/>
        <w:rPr>
          <w:rFonts w:cs="宋体"/>
          <w:color w:val="auto"/>
          <w:highlight w:val="none"/>
        </w:rPr>
      </w:pPr>
      <w:r>
        <w:rPr>
          <w:rFonts w:hint="eastAsia" w:cs="宋体"/>
          <w:color w:val="auto"/>
          <w:highlight w:val="none"/>
        </w:rPr>
        <w:t>付款方式</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按月支付，当月未出现过任何事故及投诉，按物业工作考评结果支付当月服务费。当月考核分数为90分以上的为优秀，支付当月全额费用，考核分数为85-89分的为良好，支付当月95%的费用，考核分数为80-84分的为合格，支付当月90%的费用，当月考核分数在79分以下的为不合格，采购人有权要求其进行整改至合格为止，整改多次不合格的，采购人有权按相关规定中止合同。</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2.中标人须向采购人出具合法有效完整的增值税发票及凭证资料后进行支付结算，付款方式均采用公对公的银行转账，中标人接受转账的开户信息以采购合同载明的为准。</w:t>
      </w:r>
    </w:p>
    <w:p>
      <w:pPr>
        <w:pStyle w:val="242"/>
        <w:numPr>
          <w:ilvl w:val="2"/>
          <w:numId w:val="0"/>
        </w:numPr>
        <w:rPr>
          <w:rFonts w:cs="宋体"/>
          <w:color w:val="auto"/>
          <w:highlight w:val="none"/>
        </w:rPr>
      </w:pPr>
      <w:r>
        <w:rPr>
          <w:rFonts w:hint="eastAsia" w:cs="宋体"/>
          <w:color w:val="auto"/>
          <w:highlight w:val="none"/>
        </w:rPr>
        <w:tab/>
      </w:r>
      <w:r>
        <w:rPr>
          <w:rFonts w:hint="eastAsia" w:cs="宋体"/>
          <w:color w:val="auto"/>
          <w:highlight w:val="none"/>
        </w:rPr>
        <w:t>3.合同签订后10个工作日内支付合同金额30%的预付款（以财金局批复当年预算额为准），剩余费用按月正常考核验收及支付，按月支付费用先以预付款抵扣，扣完后按要求支付，原则上次月10日前支付上月费用。</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一、采购人违约责任</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(一)因采购人原因逾期支付合同款的，除应及时付合同款外，应向投标人支付欠款总额万分之一/天的违约金；逾期付款超过30天的，投标人有权终止合同；</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(二)采购人支付的违约金不足以弥补投标人损失的，还应按投标人损失尚未弥补的部分，支付赔偿金给投标人。</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二、供应商违约责任</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(一)签订合同后投标人不履行合同或不完全履行合同或单方面终止合同的，投标人承担违约责任。</w:t>
      </w:r>
    </w:p>
    <w:p>
      <w:pPr>
        <w:pStyle w:val="3"/>
        <w:spacing w:line="440" w:lineRule="exact"/>
        <w:ind w:firstLine="480" w:firstLineChars="200"/>
        <w:rPr>
          <w:rFonts w:ascii="宋体" w:hAnsi="宋体" w:cs="宋体"/>
          <w:bCs/>
          <w:color w:val="auto"/>
          <w:sz w:val="24"/>
          <w:szCs w:val="24"/>
          <w:highlight w:val="none"/>
        </w:rPr>
      </w:pPr>
      <w:r>
        <w:rPr>
          <w:rFonts w:hint="eastAsia" w:ascii="宋体" w:hAnsi="宋体" w:cs="宋体"/>
          <w:color w:val="auto"/>
          <w:sz w:val="24"/>
          <w:highlight w:val="none"/>
        </w:rPr>
        <w:t>(二) 投标人违约时应承担合同总金额20%违约金。给采购人造成的损失超过违约金的，供应商还应对超过部分予以赔偿，并依法承担相应的法律责任。</w:t>
      </w:r>
    </w:p>
    <w:p>
      <w:pPr>
        <w:pStyle w:val="242"/>
        <w:ind w:left="-62" w:firstLine="482" w:firstLineChars="0"/>
        <w:rPr>
          <w:rFonts w:cs="宋体"/>
          <w:color w:val="auto"/>
          <w:highlight w:val="none"/>
        </w:rPr>
      </w:pPr>
      <w:r>
        <w:rPr>
          <w:rFonts w:hint="eastAsia" w:cs="宋体"/>
          <w:color w:val="auto"/>
          <w:highlight w:val="none"/>
        </w:rPr>
        <w:t>解决争议的方法</w:t>
      </w:r>
    </w:p>
    <w:p>
      <w:pPr>
        <w:pStyle w:val="105"/>
        <w:tabs>
          <w:tab w:val="left" w:pos="0"/>
        </w:tabs>
        <w:wordWrap w:val="0"/>
        <w:topLinePunct/>
        <w:spacing w:line="440" w:lineRule="exact"/>
        <w:ind w:firstLine="480"/>
        <w:rPr>
          <w:rFonts w:ascii="宋体" w:hAnsi="宋体"/>
          <w:color w:val="auto"/>
          <w:highlight w:val="none"/>
        </w:rPr>
      </w:pPr>
      <w:r>
        <w:rPr>
          <w:rFonts w:hint="eastAsia" w:ascii="宋体" w:hAnsi="宋体"/>
          <w:color w:val="auto"/>
          <w:highlight w:val="none"/>
        </w:rPr>
        <w:t>1.因服务的质量问题发生争议，由采购人或其指定的第三方机构进行质量鉴定。服务符合标准的，鉴定费由采购人承担；服务不符合质量标准的，鉴定费由供应商承担。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2.合同履行期间，若双方发生争议，可协商或由有关部门调解解决，协商或调解不成的，向</w:t>
      </w:r>
      <w:r>
        <w:rPr>
          <w:rFonts w:hint="eastAsia" w:ascii="宋体" w:hAnsi="宋体" w:cs="宋体"/>
          <w:color w:val="auto"/>
          <w:sz w:val="24"/>
          <w:highlight w:val="none"/>
          <w:u w:val="single"/>
        </w:rPr>
        <w:t>项目所在地</w:t>
      </w:r>
      <w:r>
        <w:rPr>
          <w:rFonts w:hint="eastAsia" w:ascii="宋体" w:hAnsi="宋体" w:cs="宋体"/>
          <w:color w:val="auto"/>
          <w:sz w:val="24"/>
          <w:highlight w:val="none"/>
        </w:rPr>
        <w:t>仲裁委员会申请仲裁。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3.仲裁裁决应为最终决定，并对双方具有约束力。</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4.除另有裁决外，仲裁费应由败诉方负担。 </w:t>
      </w:r>
    </w:p>
    <w:p>
      <w:pPr>
        <w:pStyle w:val="240"/>
        <w:spacing w:line="440" w:lineRule="exact"/>
        <w:rPr>
          <w:rFonts w:ascii="宋体" w:hAnsi="宋体" w:cs="宋体"/>
          <w:color w:val="auto"/>
          <w:sz w:val="24"/>
          <w:highlight w:val="none"/>
        </w:rPr>
      </w:pPr>
      <w:r>
        <w:rPr>
          <w:rFonts w:hint="eastAsia" w:ascii="宋体" w:hAnsi="宋体" w:cs="宋体"/>
          <w:color w:val="auto"/>
          <w:sz w:val="24"/>
          <w:highlight w:val="none"/>
        </w:rPr>
        <w:t>5.在仲裁期间，除正在进行仲裁部分外，合同其他部分继续执行。</w:t>
      </w:r>
    </w:p>
    <w:p>
      <w:pPr>
        <w:pStyle w:val="241"/>
        <w:numPr>
          <w:ilvl w:val="1"/>
          <w:numId w:val="0"/>
        </w:numPr>
        <w:spacing w:line="440" w:lineRule="exact"/>
        <w:ind w:firstLine="482" w:firstLineChars="200"/>
        <w:rPr>
          <w:rFonts w:ascii="宋体" w:hAnsi="宋体" w:cs="宋体"/>
          <w:color w:val="auto"/>
          <w:sz w:val="24"/>
          <w:highlight w:val="none"/>
        </w:rPr>
      </w:pPr>
      <w:bookmarkStart w:id="517" w:name="_Toc23783"/>
      <w:bookmarkStart w:id="518" w:name="_Toc2629"/>
      <w:r>
        <w:rPr>
          <w:rFonts w:hint="eastAsia" w:ascii="宋体" w:hAnsi="宋体" w:cs="宋体"/>
          <w:color w:val="auto"/>
          <w:sz w:val="24"/>
          <w:highlight w:val="none"/>
        </w:rPr>
        <w:t>五、★其他要求</w:t>
      </w:r>
      <w:bookmarkEnd w:id="517"/>
      <w:r>
        <w:rPr>
          <w:rFonts w:hint="eastAsia" w:ascii="宋体" w:hAnsi="宋体"/>
          <w:color w:val="auto"/>
          <w:sz w:val="28"/>
          <w:szCs w:val="28"/>
          <w:highlight w:val="none"/>
        </w:rPr>
        <w:t>（注：按第3章3.3.5提供书面承诺函原件）。</w:t>
      </w:r>
      <w:bookmarkEnd w:id="518"/>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(一)政府采购合同签订时间：供应商成交后，自成交通知书发出之日起5个工作日内与采购人签订政府采购合同并提供相关资料。</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供应商应保证所提供的服务或其任何一部分均不会侵犯任何第三方的专利权、商标权或著作权；采购人定期核对供应商提供服务所配备的人员数量及相关信息，对于未按照采购文件及投标响应要求执行或存在不合理的部分有权下达整改通知书，并要求供应商限期整改。</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(三)供应商为本项目提供服务的从业人员应依照《中华人民共和国劳动合同法》订立劳动合同。</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(五) 投标人定期及时向采购人通告本项目服务范围内有关服务的重大事项及其进度。</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(六)接受项目行业管理部门及政府有关部门的指导，接受采购人的监督。</w:t>
      </w:r>
    </w:p>
    <w:p>
      <w:pPr>
        <w:pStyle w:val="241"/>
        <w:numPr>
          <w:ilvl w:val="1"/>
          <w:numId w:val="0"/>
        </w:numPr>
        <w:spacing w:line="440" w:lineRule="exact"/>
        <w:ind w:firstLine="482" w:firstLineChars="200"/>
        <w:rPr>
          <w:rFonts w:ascii="宋体" w:hAnsi="宋体" w:cs="宋体"/>
          <w:color w:val="auto"/>
          <w:sz w:val="24"/>
          <w:highlight w:val="none"/>
        </w:rPr>
      </w:pPr>
      <w:bookmarkStart w:id="519" w:name="_Toc7515"/>
      <w:bookmarkStart w:id="520" w:name="_Toc2705"/>
      <w:r>
        <w:rPr>
          <w:rFonts w:hint="eastAsia" w:ascii="宋体" w:hAnsi="宋体" w:cs="宋体"/>
          <w:color w:val="auto"/>
          <w:sz w:val="24"/>
          <w:highlight w:val="none"/>
        </w:rPr>
        <w:t>六、★履约验收</w:t>
      </w:r>
      <w:bookmarkEnd w:id="519"/>
      <w:r>
        <w:rPr>
          <w:rFonts w:hint="eastAsia" w:ascii="宋体" w:hAnsi="宋体"/>
          <w:color w:val="auto"/>
          <w:sz w:val="28"/>
          <w:szCs w:val="28"/>
          <w:highlight w:val="none"/>
        </w:rPr>
        <w:t>（注：按第3章3.3.5提供书面承诺函原件）。</w:t>
      </w:r>
      <w:bookmarkEnd w:id="520"/>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(一)服务在供应商通知</w:t>
      </w:r>
      <w:r>
        <w:rPr>
          <w:rFonts w:hint="eastAsia" w:ascii="宋体" w:hAnsi="宋体" w:cs="宋体"/>
          <w:color w:val="auto"/>
          <w:sz w:val="24"/>
          <w:highlight w:val="none"/>
          <w:lang w:val="en-US" w:eastAsia="zh-CN"/>
        </w:rPr>
        <w:t>采购人</w:t>
      </w:r>
      <w:r>
        <w:rPr>
          <w:rFonts w:hint="eastAsia" w:ascii="宋体" w:hAnsi="宋体" w:cs="宋体"/>
          <w:color w:val="auto"/>
          <w:sz w:val="24"/>
          <w:highlight w:val="none"/>
        </w:rPr>
        <w:t>所有服务履约完毕后5个工作日内进行验收，验收合格，双方签署《验收报告》。</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验收标准：按国家有关规定以及采购文件的质量要求和技术指标、投标人的响应文件及承诺与本合同约定标准进行验收；采购人与投标人双方如对质量要求和技术指标的约定标准有相互抵触或异议的事项，由采购人在采购文件及响应文件中按质量要求和技术指标比较优胜的原则确定该项的约定标准进行验收。</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(三)采购人无故不进行验收工作并已使用项目履约成果的，视同验收合格。</w:t>
      </w:r>
    </w:p>
    <w:p>
      <w:pPr>
        <w:tabs>
          <w:tab w:val="left" w:pos="0"/>
        </w:tabs>
        <w:spacing w:line="44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(四)验收结果不合格的，将不予支付采购资金，还可能上报本项目同级财政部门按照政府采购法律法规等有关规定给予行政处罚。</w:t>
      </w:r>
    </w:p>
    <w:p>
      <w:pPr>
        <w:pStyle w:val="240"/>
        <w:spacing w:line="440" w:lineRule="exact"/>
        <w:rPr>
          <w:rFonts w:ascii="宋体" w:hAnsi="宋体" w:cs="宋体"/>
          <w:color w:val="auto"/>
          <w:sz w:val="24"/>
          <w:highlight w:val="none"/>
        </w:rPr>
      </w:pPr>
      <w:r>
        <w:rPr>
          <w:rFonts w:hint="eastAsia" w:ascii="宋体" w:hAnsi="宋体" w:cs="宋体"/>
          <w:color w:val="auto"/>
          <w:sz w:val="24"/>
          <w:highlight w:val="none"/>
        </w:rPr>
        <w:t>(五)其他未尽事宜应严格按照《财政部关于进一步加强政府采购需求和履约验收管理的指导意见》(财库〔2016〕205号)要求进行验收。</w:t>
      </w:r>
    </w:p>
    <w:p>
      <w:pPr>
        <w:keepNext/>
        <w:keepLines/>
        <w:numPr>
          <w:ilvl w:val="2"/>
          <w:numId w:val="46"/>
        </w:numPr>
        <w:spacing w:line="360" w:lineRule="auto"/>
        <w:ind w:left="569" w:hanging="569"/>
        <w:outlineLvl w:val="2"/>
        <w:rPr>
          <w:rFonts w:ascii="宋体" w:hAnsi="宋体"/>
          <w:b/>
          <w:bCs/>
          <w:color w:val="auto"/>
          <w:sz w:val="28"/>
          <w:szCs w:val="28"/>
          <w:highlight w:val="none"/>
        </w:rPr>
      </w:pPr>
      <w:r>
        <w:rPr>
          <w:rFonts w:hint="eastAsia" w:ascii="宋体" w:hAnsi="宋体"/>
          <w:b/>
          <w:bCs/>
          <w:color w:val="auto"/>
          <w:sz w:val="28"/>
          <w:szCs w:val="28"/>
          <w:highlight w:val="none"/>
        </w:rPr>
        <w:t>最高限价</w:t>
      </w:r>
    </w:p>
    <w:p>
      <w:pPr>
        <w:pStyle w:val="86"/>
        <w:tabs>
          <w:tab w:val="left" w:pos="993"/>
          <w:tab w:val="left" w:pos="1134"/>
        </w:tabs>
        <w:spacing w:line="560" w:lineRule="exact"/>
        <w:ind w:firstLine="565" w:firstLineChars="201"/>
        <w:rPr>
          <w:rFonts w:ascii="宋体" w:hAnsi="宋体" w:eastAsia="宋体"/>
          <w:b/>
          <w:color w:val="auto"/>
          <w:sz w:val="28"/>
          <w:szCs w:val="28"/>
          <w:highlight w:val="none"/>
        </w:rPr>
      </w:pPr>
      <w:r>
        <w:rPr>
          <w:rFonts w:hint="eastAsia" w:ascii="宋体" w:hAnsi="宋体"/>
          <w:b/>
          <w:color w:val="auto"/>
          <w:sz w:val="28"/>
          <w:szCs w:val="28"/>
          <w:highlight w:val="none"/>
          <w:lang w:val="zh-CN"/>
        </w:rPr>
        <w:t>★本项目最高限价为人民币</w:t>
      </w:r>
      <w:r>
        <w:rPr>
          <w:rFonts w:hint="eastAsia" w:ascii="宋体" w:hAnsi="宋体"/>
          <w:b/>
          <w:color w:val="auto"/>
          <w:sz w:val="28"/>
          <w:szCs w:val="28"/>
          <w:highlight w:val="none"/>
        </w:rPr>
        <w:t>6436484.00元</w:t>
      </w:r>
      <w:r>
        <w:rPr>
          <w:rFonts w:hint="eastAsia" w:ascii="宋体" w:hAnsi="宋体"/>
          <w:b/>
          <w:color w:val="auto"/>
          <w:sz w:val="28"/>
          <w:szCs w:val="28"/>
          <w:highlight w:val="none"/>
          <w:lang w:val="zh-CN"/>
        </w:rPr>
        <w:t>，投标人投标报价高于最高限价的其投标文件将按无效投标文件处理。</w:t>
      </w:r>
    </w:p>
    <w:p>
      <w:pPr>
        <w:keepNext/>
        <w:keepLines/>
        <w:numPr>
          <w:ilvl w:val="2"/>
          <w:numId w:val="46"/>
        </w:numPr>
        <w:spacing w:line="360" w:lineRule="auto"/>
        <w:ind w:left="569" w:hanging="569"/>
        <w:outlineLvl w:val="2"/>
        <w:rPr>
          <w:rFonts w:ascii="宋体" w:hAnsi="宋体"/>
          <w:b/>
          <w:bCs/>
          <w:color w:val="auto"/>
          <w:sz w:val="28"/>
          <w:szCs w:val="28"/>
          <w:highlight w:val="none"/>
        </w:rPr>
      </w:pPr>
      <w:r>
        <w:rPr>
          <w:rFonts w:hint="eastAsia" w:ascii="宋体" w:hAnsi="宋体"/>
          <w:b/>
          <w:bCs/>
          <w:color w:val="auto"/>
          <w:sz w:val="28"/>
          <w:szCs w:val="28"/>
          <w:highlight w:val="none"/>
        </w:rPr>
        <w:t>其他要求</w:t>
      </w:r>
    </w:p>
    <w:p>
      <w:pPr>
        <w:numPr>
          <w:ilvl w:val="0"/>
          <w:numId w:val="47"/>
        </w:numPr>
        <w:tabs>
          <w:tab w:val="left" w:pos="1134"/>
        </w:tabs>
        <w:snapToGrid w:val="0"/>
        <w:spacing w:line="360" w:lineRule="auto"/>
        <w:rPr>
          <w:rFonts w:ascii="宋体" w:hAnsi="宋体"/>
          <w:b/>
          <w:color w:val="auto"/>
          <w:sz w:val="28"/>
          <w:szCs w:val="28"/>
          <w:highlight w:val="none"/>
          <w:lang w:val="zh-CN"/>
        </w:rPr>
      </w:pPr>
      <w:r>
        <w:rPr>
          <w:rFonts w:hint="eastAsia" w:ascii="宋体" w:hAnsi="宋体"/>
          <w:b/>
          <w:color w:val="auto"/>
          <w:sz w:val="28"/>
          <w:szCs w:val="28"/>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57"/>
        <w:numPr>
          <w:ilvl w:val="0"/>
          <w:numId w:val="47"/>
        </w:numPr>
        <w:tabs>
          <w:tab w:val="left" w:pos="993"/>
          <w:tab w:val="left" w:pos="1134"/>
        </w:tabs>
        <w:spacing w:before="60" w:line="560" w:lineRule="exact"/>
        <w:ind w:right="210" w:firstLineChars="0"/>
        <w:rPr>
          <w:rFonts w:ascii="宋体" w:hAnsi="宋体"/>
          <w:b/>
          <w:color w:val="auto"/>
          <w:sz w:val="28"/>
          <w:szCs w:val="28"/>
          <w:highlight w:val="none"/>
        </w:rPr>
      </w:pPr>
      <w:r>
        <w:rPr>
          <w:rFonts w:hint="eastAsia" w:ascii="宋体" w:hAnsi="宋体"/>
          <w:b/>
          <w:color w:val="auto"/>
          <w:sz w:val="28"/>
          <w:szCs w:val="28"/>
          <w:highlight w:val="none"/>
          <w:lang w:val="zh-CN"/>
        </w:rPr>
        <w:t>★</w:t>
      </w:r>
      <w:r>
        <w:rPr>
          <w:rFonts w:hint="eastAsia" w:ascii="宋体" w:hAnsi="宋体"/>
          <w:b/>
          <w:color w:val="auto"/>
          <w:sz w:val="28"/>
          <w:szCs w:val="28"/>
          <w:highlight w:val="none"/>
        </w:rPr>
        <w:t>中标人因自身原因遗漏报价而发生的费用追加，按《民法典》、《劳动法》等法律法规而造成责任和损失，全部由投标人自行承担（注：按第3章3.3.5提供书面承诺函原件）。</w:t>
      </w:r>
    </w:p>
    <w:p>
      <w:pPr>
        <w:pStyle w:val="157"/>
        <w:numPr>
          <w:ilvl w:val="0"/>
          <w:numId w:val="47"/>
        </w:numPr>
        <w:tabs>
          <w:tab w:val="left" w:pos="993"/>
          <w:tab w:val="left" w:pos="1134"/>
        </w:tabs>
        <w:spacing w:before="60" w:line="560" w:lineRule="exact"/>
        <w:ind w:right="210" w:firstLineChars="0"/>
        <w:rPr>
          <w:rFonts w:ascii="宋体" w:hAnsi="宋体"/>
          <w:b/>
          <w:color w:val="auto"/>
          <w:sz w:val="28"/>
          <w:szCs w:val="28"/>
          <w:highlight w:val="none"/>
        </w:rPr>
      </w:pPr>
      <w:r>
        <w:rPr>
          <w:rFonts w:hint="eastAsia" w:ascii="宋体" w:hAnsi="宋体"/>
          <w:b/>
          <w:color w:val="auto"/>
          <w:sz w:val="28"/>
          <w:szCs w:val="28"/>
          <w:highlight w:val="none"/>
          <w:lang w:val="zh-CN"/>
        </w:rPr>
        <w:t>★</w:t>
      </w:r>
      <w:r>
        <w:rPr>
          <w:rFonts w:hint="eastAsia" w:ascii="宋体" w:hAnsi="宋体"/>
          <w:b/>
          <w:color w:val="auto"/>
          <w:sz w:val="28"/>
          <w:szCs w:val="28"/>
          <w:highlight w:val="none"/>
        </w:rPr>
        <w:t>中标人须配置项目相关管理人员、值班人员的通讯装备、安防设备；中标人须统一配备各岗位员工工服（按季节配备）；中标人须自行解决不少于两套保洁作业机具（包括但不限于电动洗地机、电动清洁车等大型清洁设备）和劳防用品，且必须符合国家相关安全法规的要求；中标人负责提供所需的所有消耗品，包括：清洁、洗涤、药剂，生活垃圾袋、垃圾袋等耗材；此类设备所产生的费用均由中标人承担。（注：按第3章3.3.5提供书面承诺函原件）。</w:t>
      </w:r>
    </w:p>
    <w:p>
      <w:pPr>
        <w:spacing w:line="360" w:lineRule="auto"/>
        <w:rPr>
          <w:rFonts w:asciiTheme="minorEastAsia" w:hAnsiTheme="minorEastAsia" w:eastAsiaTheme="minorEastAsia"/>
          <w:color w:val="auto"/>
          <w:sz w:val="28"/>
          <w:szCs w:val="28"/>
          <w:highlight w:val="none"/>
        </w:rPr>
      </w:pPr>
    </w:p>
    <w:p>
      <w:pPr>
        <w:tabs>
          <w:tab w:val="left" w:pos="851"/>
        </w:tabs>
        <w:spacing w:line="360" w:lineRule="auto"/>
        <w:ind w:firstLine="565" w:firstLineChars="202"/>
        <w:rPr>
          <w:rFonts w:hint="eastAsia" w:ascii="宋体" w:hAnsi="宋体"/>
          <w:sz w:val="28"/>
          <w:szCs w:val="28"/>
          <w:highlight w:val="none"/>
        </w:rPr>
      </w:pPr>
      <w:r>
        <w:rPr>
          <w:rFonts w:hint="eastAsia" w:ascii="宋体" w:hAnsi="宋体"/>
          <w:sz w:val="28"/>
          <w:szCs w:val="28"/>
          <w:highlight w:val="none"/>
        </w:rPr>
        <w:t>注:带“</w:t>
      </w:r>
      <w:r>
        <w:rPr>
          <w:rFonts w:hint="eastAsia" w:ascii="仿宋" w:hAnsi="仿宋" w:eastAsia="仿宋" w:cs="仿宋"/>
          <w:sz w:val="28"/>
          <w:szCs w:val="28"/>
          <w:highlight w:val="none"/>
        </w:rPr>
        <w:t>★</w:t>
      </w:r>
      <w:r>
        <w:rPr>
          <w:rFonts w:hint="eastAsia" w:ascii="宋体" w:hAnsi="宋体"/>
          <w:sz w:val="28"/>
          <w:szCs w:val="28"/>
          <w:highlight w:val="none"/>
        </w:rPr>
        <w:t>”条款为实质性条款，投标人若不满足的，将按照无效投标处理。</w:t>
      </w:r>
    </w:p>
    <w:p>
      <w:pPr>
        <w:spacing w:line="360" w:lineRule="auto"/>
        <w:ind w:firstLine="565" w:firstLineChars="202"/>
        <w:rPr>
          <w:rFonts w:asciiTheme="minorEastAsia" w:hAnsiTheme="minorEastAsia" w:eastAsiaTheme="minorEastAsia"/>
          <w:color w:val="auto"/>
          <w:sz w:val="28"/>
          <w:szCs w:val="28"/>
          <w:highlight w:val="none"/>
        </w:rPr>
      </w:pPr>
      <w:bookmarkStart w:id="681" w:name="_GoBack"/>
      <w:bookmarkEnd w:id="681"/>
    </w:p>
    <w:p>
      <w:pPr>
        <w:rPr>
          <w:rFonts w:asciiTheme="minorEastAsia" w:hAnsiTheme="minorEastAsia" w:eastAsiaTheme="minorEastAsia"/>
          <w:color w:val="auto"/>
          <w:sz w:val="28"/>
          <w:szCs w:val="28"/>
          <w:highlight w:val="none"/>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asciiTheme="minorEastAsia" w:hAnsiTheme="minorEastAsia" w:eastAsiaTheme="minorEastAsia"/>
          <w:color w:val="auto"/>
          <w:sz w:val="28"/>
          <w:szCs w:val="28"/>
          <w:highlight w:val="none"/>
        </w:rPr>
        <w:br w:type="page"/>
      </w:r>
    </w:p>
    <w:p>
      <w:pPr>
        <w:pStyle w:val="2"/>
        <w:ind w:left="0" w:firstLine="0"/>
        <w:rPr>
          <w:rFonts w:asciiTheme="minorEastAsia" w:hAnsiTheme="minorEastAsia" w:eastAsiaTheme="minorEastAsia"/>
          <w:color w:val="auto"/>
          <w:sz w:val="28"/>
          <w:highlight w:val="none"/>
        </w:rPr>
      </w:pPr>
      <w:r>
        <w:rPr>
          <w:rFonts w:hint="eastAsia" w:asciiTheme="minorEastAsia" w:hAnsiTheme="minorEastAsia" w:eastAsiaTheme="minorEastAsia"/>
          <w:color w:val="auto"/>
          <w:sz w:val="28"/>
          <w:highlight w:val="none"/>
        </w:rPr>
        <w:t>附件</w:t>
      </w:r>
    </w:p>
    <w:p>
      <w:pPr>
        <w:ind w:right="-340" w:rightChars="-162"/>
        <w:jc w:val="center"/>
        <w:rPr>
          <w:rFonts w:ascii="宋体" w:hAnsi="宋体"/>
          <w:color w:val="auto"/>
          <w:sz w:val="36"/>
          <w:szCs w:val="36"/>
          <w:highlight w:val="none"/>
        </w:rPr>
      </w:pPr>
      <w:r>
        <w:rPr>
          <w:rFonts w:hint="eastAsia" w:ascii="宋体" w:hAnsi="宋体"/>
          <w:color w:val="auto"/>
          <w:sz w:val="28"/>
          <w:szCs w:val="28"/>
          <w:highlight w:val="none"/>
        </w:rPr>
        <w:t>成都高新技术产业开发区政务服务和网络理政办公室物业管理考核表</w:t>
      </w:r>
    </w:p>
    <w:p>
      <w:pPr>
        <w:rPr>
          <w:rFonts w:ascii="宋体" w:hAnsi="宋体"/>
          <w:color w:val="auto"/>
          <w:sz w:val="24"/>
          <w:highlight w:val="none"/>
        </w:rPr>
      </w:pPr>
    </w:p>
    <w:p>
      <w:pPr>
        <w:rPr>
          <w:rFonts w:ascii="宋体" w:hAnsi="宋体"/>
          <w:color w:val="auto"/>
          <w:sz w:val="24"/>
          <w:highlight w:val="none"/>
        </w:rPr>
      </w:pPr>
      <w:r>
        <w:rPr>
          <w:rFonts w:hint="eastAsia" w:ascii="宋体" w:hAnsi="宋体"/>
          <w:color w:val="auto"/>
          <w:sz w:val="24"/>
          <w:highlight w:val="none"/>
        </w:rPr>
        <w:t>考 核 人：成都高新技术产业开发区政务服务和网络理政办公室</w:t>
      </w:r>
    </w:p>
    <w:p>
      <w:pPr>
        <w:rPr>
          <w:rFonts w:ascii="宋体" w:hAnsi="宋体"/>
          <w:color w:val="auto"/>
          <w:sz w:val="28"/>
          <w:szCs w:val="28"/>
          <w:highlight w:val="none"/>
        </w:rPr>
      </w:pPr>
      <w:r>
        <w:rPr>
          <w:rFonts w:hint="eastAsia" w:ascii="宋体" w:hAnsi="宋体"/>
          <w:color w:val="auto"/>
          <w:sz w:val="24"/>
          <w:highlight w:val="none"/>
        </w:rPr>
        <w:t xml:space="preserve">被考核人：                </w:t>
      </w:r>
      <w:r>
        <w:rPr>
          <w:rFonts w:hint="eastAsia" w:ascii="宋体" w:hAnsi="宋体"/>
          <w:color w:val="auto"/>
          <w:sz w:val="28"/>
          <w:szCs w:val="28"/>
          <w:highlight w:val="none"/>
        </w:rPr>
        <w:t xml:space="preserve">                                                   </w:t>
      </w:r>
    </w:p>
    <w:p>
      <w:pPr>
        <w:rPr>
          <w:rFonts w:ascii="宋体" w:hAnsi="宋体"/>
          <w:color w:val="auto"/>
          <w:sz w:val="28"/>
          <w:szCs w:val="28"/>
          <w:highlight w:val="none"/>
        </w:rPr>
      </w:pPr>
      <w:r>
        <w:rPr>
          <w:rFonts w:hint="eastAsia" w:ascii="宋体" w:hAnsi="宋体"/>
          <w:color w:val="auto"/>
          <w:sz w:val="24"/>
          <w:highlight w:val="none"/>
        </w:rPr>
        <w:t>日期      年   月   日</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382"/>
        <w:gridCol w:w="4995"/>
        <w:gridCol w:w="849"/>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09"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项目</w:t>
            </w:r>
          </w:p>
        </w:tc>
        <w:tc>
          <w:tcPr>
            <w:tcW w:w="811"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内容</w:t>
            </w:r>
          </w:p>
        </w:tc>
        <w:tc>
          <w:tcPr>
            <w:tcW w:w="2931"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服务要求</w:t>
            </w:r>
          </w:p>
        </w:tc>
        <w:tc>
          <w:tcPr>
            <w:tcW w:w="498"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得分</w:t>
            </w:r>
          </w:p>
        </w:tc>
        <w:tc>
          <w:tcPr>
            <w:tcW w:w="349"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9"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综</w:t>
            </w:r>
          </w:p>
          <w:p>
            <w:pPr>
              <w:jc w:val="center"/>
              <w:rPr>
                <w:rFonts w:ascii="宋体" w:hAnsi="宋体" w:cs="宋体"/>
                <w:b/>
                <w:color w:val="auto"/>
                <w:szCs w:val="21"/>
                <w:highlight w:val="none"/>
              </w:rPr>
            </w:pPr>
            <w:r>
              <w:rPr>
                <w:rFonts w:hint="eastAsia" w:ascii="宋体" w:hAnsi="宋体" w:cs="宋体"/>
                <w:b/>
                <w:color w:val="auto"/>
                <w:szCs w:val="21"/>
                <w:highlight w:val="none"/>
              </w:rPr>
              <w:t>合</w:t>
            </w:r>
          </w:p>
          <w:p>
            <w:pPr>
              <w:jc w:val="center"/>
              <w:rPr>
                <w:rFonts w:ascii="宋体" w:hAnsi="宋体" w:cs="宋体"/>
                <w:b/>
                <w:color w:val="auto"/>
                <w:szCs w:val="21"/>
                <w:highlight w:val="none"/>
              </w:rPr>
            </w:pPr>
            <w:r>
              <w:rPr>
                <w:rFonts w:hint="eastAsia" w:ascii="宋体" w:hAnsi="宋体" w:cs="宋体"/>
                <w:b/>
                <w:color w:val="auto"/>
                <w:szCs w:val="21"/>
                <w:highlight w:val="none"/>
              </w:rPr>
              <w:t>管</w:t>
            </w:r>
          </w:p>
          <w:p>
            <w:pPr>
              <w:jc w:val="center"/>
              <w:rPr>
                <w:rFonts w:ascii="宋体" w:hAnsi="宋体" w:cs="宋体"/>
                <w:b/>
                <w:color w:val="auto"/>
                <w:szCs w:val="21"/>
                <w:highlight w:val="none"/>
              </w:rPr>
            </w:pPr>
            <w:r>
              <w:rPr>
                <w:rFonts w:hint="eastAsia" w:ascii="宋体" w:hAnsi="宋体" w:cs="宋体"/>
                <w:b/>
                <w:color w:val="auto"/>
                <w:szCs w:val="21"/>
                <w:highlight w:val="none"/>
              </w:rPr>
              <w:t>理</w:t>
            </w:r>
          </w:p>
        </w:tc>
        <w:tc>
          <w:tcPr>
            <w:tcW w:w="811" w:type="pct"/>
            <w:vAlign w:val="center"/>
          </w:tcPr>
          <w:p>
            <w:pPr>
              <w:rPr>
                <w:rFonts w:ascii="宋体" w:hAnsi="宋体" w:cs="宋体"/>
                <w:color w:val="auto"/>
                <w:szCs w:val="21"/>
                <w:highlight w:val="none"/>
              </w:rPr>
            </w:pPr>
            <w:r>
              <w:rPr>
                <w:rFonts w:hint="eastAsia" w:ascii="宋体" w:hAnsi="宋体" w:cs="宋体"/>
                <w:color w:val="auto"/>
                <w:szCs w:val="21"/>
                <w:highlight w:val="none"/>
              </w:rPr>
              <w:t>日常管理与服务</w:t>
            </w:r>
            <w:r>
              <w:rPr>
                <w:rFonts w:hint="eastAsia" w:ascii="宋体" w:hAnsi="宋体" w:cs="宋体"/>
                <w:b/>
                <w:color w:val="auto"/>
                <w:szCs w:val="21"/>
                <w:highlight w:val="none"/>
              </w:rPr>
              <w:t>(此项总计20分)</w:t>
            </w:r>
          </w:p>
        </w:tc>
        <w:tc>
          <w:tcPr>
            <w:tcW w:w="2931" w:type="pct"/>
            <w:vAlign w:val="center"/>
          </w:tcPr>
          <w:p>
            <w:pPr>
              <w:jc w:val="left"/>
              <w:rPr>
                <w:rFonts w:ascii="宋体" w:hAnsi="宋体" w:cs="宋体"/>
                <w:color w:val="auto"/>
                <w:szCs w:val="21"/>
                <w:highlight w:val="none"/>
              </w:rPr>
            </w:pPr>
            <w:r>
              <w:rPr>
                <w:rFonts w:hint="eastAsia" w:ascii="宋体" w:hAnsi="宋体" w:cs="宋体"/>
                <w:color w:val="auto"/>
                <w:szCs w:val="21"/>
                <w:highlight w:val="none"/>
              </w:rPr>
              <w:t>(1)特约物业相关服务人员服务态度是否热情。</w:t>
            </w:r>
          </w:p>
          <w:p>
            <w:pPr>
              <w:jc w:val="left"/>
              <w:rPr>
                <w:rFonts w:ascii="宋体" w:hAnsi="宋体" w:cs="宋体"/>
                <w:color w:val="auto"/>
                <w:szCs w:val="21"/>
                <w:highlight w:val="none"/>
              </w:rPr>
            </w:pPr>
            <w:r>
              <w:rPr>
                <w:rFonts w:hint="eastAsia" w:ascii="宋体" w:hAnsi="宋体" w:cs="宋体"/>
                <w:color w:val="auto"/>
                <w:szCs w:val="21"/>
                <w:highlight w:val="none"/>
              </w:rPr>
              <w:t>(2) 特约物业相关服务人员处理问题是否及时。</w:t>
            </w:r>
          </w:p>
          <w:p>
            <w:pPr>
              <w:jc w:val="left"/>
              <w:rPr>
                <w:rFonts w:ascii="宋体" w:hAnsi="宋体" w:cs="宋体"/>
                <w:color w:val="auto"/>
                <w:szCs w:val="21"/>
                <w:highlight w:val="none"/>
              </w:rPr>
            </w:pPr>
            <w:r>
              <w:rPr>
                <w:rFonts w:hint="eastAsia" w:ascii="宋体" w:hAnsi="宋体" w:cs="宋体"/>
                <w:color w:val="auto"/>
                <w:szCs w:val="21"/>
                <w:highlight w:val="none"/>
              </w:rPr>
              <w:t>(3) 特约物业相关服务人员处理问题是否耐心。</w:t>
            </w:r>
          </w:p>
          <w:p>
            <w:pPr>
              <w:jc w:val="left"/>
              <w:rPr>
                <w:rFonts w:ascii="宋体" w:hAnsi="宋体" w:cs="宋体"/>
                <w:color w:val="auto"/>
                <w:szCs w:val="21"/>
                <w:highlight w:val="none"/>
              </w:rPr>
            </w:pPr>
            <w:r>
              <w:rPr>
                <w:rFonts w:hint="eastAsia" w:ascii="宋体" w:hAnsi="宋体" w:cs="宋体"/>
                <w:color w:val="auto"/>
                <w:szCs w:val="21"/>
                <w:highlight w:val="none"/>
              </w:rPr>
              <w:t>(4) 特约物业相关服务人员在您需要时是否能及时联系上。</w:t>
            </w:r>
          </w:p>
          <w:p>
            <w:pPr>
              <w:jc w:val="left"/>
              <w:rPr>
                <w:rFonts w:ascii="宋体" w:hAnsi="宋体" w:cs="宋体"/>
                <w:color w:val="auto"/>
                <w:szCs w:val="21"/>
                <w:highlight w:val="none"/>
              </w:rPr>
            </w:pPr>
            <w:r>
              <w:rPr>
                <w:rFonts w:hint="eastAsia" w:ascii="宋体" w:hAnsi="宋体" w:cs="宋体"/>
                <w:color w:val="auto"/>
                <w:szCs w:val="21"/>
                <w:highlight w:val="none"/>
              </w:rPr>
              <w:t>(5)管理制度上墙，有具体的岗位职责和处理流程。</w:t>
            </w:r>
          </w:p>
          <w:p>
            <w:pPr>
              <w:jc w:val="left"/>
              <w:rPr>
                <w:rFonts w:ascii="宋体" w:hAnsi="宋体" w:cs="宋体"/>
                <w:color w:val="auto"/>
                <w:szCs w:val="21"/>
                <w:highlight w:val="none"/>
              </w:rPr>
            </w:pPr>
            <w:r>
              <w:rPr>
                <w:rFonts w:hint="eastAsia" w:ascii="宋体" w:hAnsi="宋体" w:cs="宋体"/>
                <w:color w:val="auto"/>
                <w:szCs w:val="21"/>
                <w:highlight w:val="none"/>
              </w:rPr>
              <w:t>(6)物业工作规范。</w:t>
            </w:r>
          </w:p>
          <w:p>
            <w:pPr>
              <w:jc w:val="left"/>
              <w:rPr>
                <w:rFonts w:ascii="宋体" w:hAnsi="宋体" w:cs="宋体"/>
                <w:color w:val="auto"/>
                <w:szCs w:val="21"/>
                <w:highlight w:val="none"/>
              </w:rPr>
            </w:pPr>
            <w:r>
              <w:rPr>
                <w:rFonts w:hint="eastAsia" w:ascii="宋体" w:hAnsi="宋体" w:cs="宋体"/>
                <w:color w:val="auto"/>
                <w:szCs w:val="21"/>
                <w:highlight w:val="none"/>
              </w:rPr>
              <w:t>(7)重视安全，处理安全隐患及时。</w:t>
            </w:r>
          </w:p>
          <w:p>
            <w:pPr>
              <w:jc w:val="left"/>
              <w:rPr>
                <w:rFonts w:ascii="宋体" w:hAnsi="宋体" w:cs="宋体"/>
                <w:color w:val="auto"/>
                <w:szCs w:val="21"/>
                <w:highlight w:val="none"/>
              </w:rPr>
            </w:pPr>
            <w:r>
              <w:rPr>
                <w:rFonts w:hint="eastAsia" w:ascii="宋体" w:hAnsi="宋体" w:cs="宋体"/>
                <w:color w:val="auto"/>
                <w:szCs w:val="21"/>
                <w:highlight w:val="none"/>
              </w:rPr>
              <w:t>(8)对于甲方工作人员的合理需求能尽力帮助、配合。</w:t>
            </w:r>
          </w:p>
        </w:tc>
        <w:tc>
          <w:tcPr>
            <w:tcW w:w="498" w:type="pct"/>
            <w:vAlign w:val="center"/>
          </w:tcPr>
          <w:p>
            <w:pPr>
              <w:jc w:val="center"/>
              <w:rPr>
                <w:rFonts w:ascii="宋体" w:hAnsi="宋体" w:cs="宋体"/>
                <w:color w:val="auto"/>
                <w:szCs w:val="21"/>
                <w:highlight w:val="none"/>
              </w:rPr>
            </w:pPr>
          </w:p>
        </w:tc>
        <w:tc>
          <w:tcPr>
            <w:tcW w:w="349"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09"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公</w:t>
            </w:r>
          </w:p>
          <w:p>
            <w:pPr>
              <w:jc w:val="center"/>
              <w:rPr>
                <w:rFonts w:ascii="宋体" w:hAnsi="宋体" w:cs="宋体"/>
                <w:b/>
                <w:color w:val="auto"/>
                <w:szCs w:val="21"/>
                <w:highlight w:val="none"/>
              </w:rPr>
            </w:pPr>
            <w:r>
              <w:rPr>
                <w:rFonts w:hint="eastAsia" w:ascii="宋体" w:hAnsi="宋体" w:cs="宋体"/>
                <w:b/>
                <w:color w:val="auto"/>
                <w:szCs w:val="21"/>
                <w:highlight w:val="none"/>
              </w:rPr>
              <w:t>共</w:t>
            </w:r>
          </w:p>
          <w:p>
            <w:pPr>
              <w:jc w:val="center"/>
              <w:rPr>
                <w:rFonts w:ascii="宋体" w:hAnsi="宋体" w:cs="宋体"/>
                <w:b/>
                <w:color w:val="auto"/>
                <w:szCs w:val="21"/>
                <w:highlight w:val="none"/>
              </w:rPr>
            </w:pPr>
            <w:r>
              <w:rPr>
                <w:rFonts w:hint="eastAsia" w:ascii="宋体" w:hAnsi="宋体" w:cs="宋体"/>
                <w:b/>
                <w:color w:val="auto"/>
                <w:szCs w:val="21"/>
                <w:highlight w:val="none"/>
              </w:rPr>
              <w:t>区</w:t>
            </w:r>
          </w:p>
          <w:p>
            <w:pPr>
              <w:jc w:val="center"/>
              <w:rPr>
                <w:rFonts w:ascii="宋体" w:hAnsi="宋体" w:cs="宋体"/>
                <w:b/>
                <w:color w:val="auto"/>
                <w:szCs w:val="21"/>
                <w:highlight w:val="none"/>
              </w:rPr>
            </w:pPr>
            <w:r>
              <w:rPr>
                <w:rFonts w:hint="eastAsia" w:ascii="宋体" w:hAnsi="宋体" w:cs="宋体"/>
                <w:b/>
                <w:color w:val="auto"/>
                <w:szCs w:val="21"/>
                <w:highlight w:val="none"/>
              </w:rPr>
              <w:t>域</w:t>
            </w:r>
          </w:p>
          <w:p>
            <w:pPr>
              <w:jc w:val="center"/>
              <w:rPr>
                <w:rFonts w:ascii="宋体" w:hAnsi="宋体" w:cs="宋体"/>
                <w:b/>
                <w:color w:val="auto"/>
                <w:szCs w:val="21"/>
                <w:highlight w:val="none"/>
              </w:rPr>
            </w:pPr>
            <w:r>
              <w:rPr>
                <w:rFonts w:hint="eastAsia" w:ascii="宋体" w:hAnsi="宋体" w:cs="宋体"/>
                <w:b/>
                <w:color w:val="auto"/>
                <w:szCs w:val="21"/>
                <w:highlight w:val="none"/>
              </w:rPr>
              <w:t>卫</w:t>
            </w:r>
          </w:p>
          <w:p>
            <w:pPr>
              <w:jc w:val="center"/>
              <w:rPr>
                <w:rFonts w:ascii="宋体" w:hAnsi="宋体" w:cs="宋体"/>
                <w:b/>
                <w:color w:val="auto"/>
                <w:szCs w:val="21"/>
                <w:highlight w:val="none"/>
              </w:rPr>
            </w:pPr>
            <w:r>
              <w:rPr>
                <w:rFonts w:hint="eastAsia" w:ascii="宋体" w:hAnsi="宋体" w:cs="宋体"/>
                <w:b/>
                <w:color w:val="auto"/>
                <w:szCs w:val="21"/>
                <w:highlight w:val="none"/>
              </w:rPr>
              <w:t>生</w:t>
            </w:r>
          </w:p>
        </w:tc>
        <w:tc>
          <w:tcPr>
            <w:tcW w:w="811"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地面和墙面、楼梯扶手、栏杆、窗台、消防栓、指示牌等公共设施、天花板、公共灯具、门窗</w:t>
            </w:r>
          </w:p>
          <w:p>
            <w:pPr>
              <w:jc w:val="center"/>
              <w:rPr>
                <w:rFonts w:ascii="宋体" w:hAnsi="宋体" w:cs="宋体"/>
                <w:color w:val="auto"/>
                <w:szCs w:val="21"/>
                <w:highlight w:val="none"/>
              </w:rPr>
            </w:pPr>
            <w:r>
              <w:rPr>
                <w:rFonts w:hint="eastAsia" w:ascii="宋体" w:hAnsi="宋体" w:cs="宋体"/>
                <w:color w:val="auto"/>
                <w:szCs w:val="21"/>
                <w:highlight w:val="none"/>
              </w:rPr>
              <w:t>、垃圾收集、电梯轿厢、道路、场地、宣传栏、标识牌、垃圾房、果皮箱、垃圾桶等</w:t>
            </w:r>
            <w:r>
              <w:rPr>
                <w:rFonts w:hint="eastAsia" w:ascii="宋体" w:hAnsi="宋体" w:cs="宋体"/>
                <w:b/>
                <w:color w:val="auto"/>
                <w:szCs w:val="21"/>
                <w:highlight w:val="none"/>
              </w:rPr>
              <w:t>(此项总计30分)</w:t>
            </w:r>
          </w:p>
        </w:tc>
        <w:tc>
          <w:tcPr>
            <w:tcW w:w="2931" w:type="pct"/>
            <w:vAlign w:val="center"/>
          </w:tcPr>
          <w:p>
            <w:pPr>
              <w:jc w:val="left"/>
              <w:rPr>
                <w:rFonts w:ascii="宋体" w:hAnsi="宋体" w:cs="宋体"/>
                <w:color w:val="auto"/>
                <w:szCs w:val="21"/>
                <w:highlight w:val="none"/>
              </w:rPr>
            </w:pPr>
            <w:r>
              <w:rPr>
                <w:rFonts w:hint="eastAsia" w:ascii="宋体" w:hAnsi="宋体" w:cs="宋体"/>
                <w:color w:val="auto"/>
                <w:szCs w:val="21"/>
                <w:highlight w:val="none"/>
              </w:rPr>
              <w:t>(1)每天都有人打扫清洁卫生整体整洁干净，卫生情况良好。</w:t>
            </w:r>
          </w:p>
          <w:p>
            <w:pPr>
              <w:jc w:val="left"/>
              <w:rPr>
                <w:rFonts w:ascii="宋体" w:hAnsi="宋体" w:cs="宋体"/>
                <w:color w:val="auto"/>
                <w:szCs w:val="21"/>
                <w:highlight w:val="none"/>
              </w:rPr>
            </w:pPr>
            <w:r>
              <w:rPr>
                <w:rFonts w:hint="eastAsia" w:ascii="宋体" w:hAnsi="宋体" w:cs="宋体"/>
                <w:color w:val="auto"/>
                <w:szCs w:val="21"/>
                <w:highlight w:val="none"/>
              </w:rPr>
              <w:t>(2)公共区域的扶手、栏杆、窗台等积尘定期清除。指示牌等无明显污渍。</w:t>
            </w:r>
          </w:p>
          <w:p>
            <w:pPr>
              <w:jc w:val="left"/>
              <w:rPr>
                <w:rFonts w:ascii="宋体" w:hAnsi="宋体" w:cs="宋体"/>
                <w:color w:val="auto"/>
                <w:szCs w:val="21"/>
                <w:highlight w:val="none"/>
              </w:rPr>
            </w:pPr>
            <w:r>
              <w:rPr>
                <w:rFonts w:hint="eastAsia" w:ascii="宋体" w:hAnsi="宋体" w:cs="宋体"/>
                <w:color w:val="auto"/>
                <w:szCs w:val="21"/>
                <w:highlight w:val="none"/>
              </w:rPr>
              <w:t>(3)按要求每日定期或擦拭，目视干净，无蜘蛛网。</w:t>
            </w:r>
          </w:p>
          <w:p>
            <w:pPr>
              <w:jc w:val="left"/>
              <w:rPr>
                <w:rFonts w:ascii="宋体" w:hAnsi="宋体" w:cs="宋体"/>
                <w:color w:val="auto"/>
                <w:szCs w:val="21"/>
                <w:highlight w:val="none"/>
              </w:rPr>
            </w:pPr>
            <w:r>
              <w:rPr>
                <w:rFonts w:hint="eastAsia" w:ascii="宋体" w:hAnsi="宋体" w:cs="宋体"/>
                <w:color w:val="auto"/>
                <w:szCs w:val="21"/>
                <w:highlight w:val="none"/>
              </w:rPr>
              <w:t>(4)垃圾收集点每日清理二次，收集点周围地面无散落垃圾、无污迹、无异味。</w:t>
            </w:r>
          </w:p>
          <w:p>
            <w:pPr>
              <w:jc w:val="left"/>
              <w:rPr>
                <w:rFonts w:ascii="宋体" w:hAnsi="宋体" w:cs="宋体"/>
                <w:color w:val="auto"/>
                <w:szCs w:val="21"/>
                <w:highlight w:val="none"/>
              </w:rPr>
            </w:pPr>
            <w:r>
              <w:rPr>
                <w:rFonts w:hint="eastAsia" w:ascii="宋体" w:hAnsi="宋体" w:cs="宋体"/>
                <w:color w:val="auto"/>
                <w:szCs w:val="21"/>
                <w:highlight w:val="none"/>
              </w:rPr>
              <w:t>(5)每日擦拭、清扫一次以上；每月对电梯门壁保养一次，表面光亮，无污迹。</w:t>
            </w:r>
          </w:p>
          <w:p>
            <w:pPr>
              <w:jc w:val="left"/>
              <w:rPr>
                <w:rFonts w:ascii="宋体" w:hAnsi="宋体" w:cs="宋体"/>
                <w:color w:val="auto"/>
                <w:szCs w:val="21"/>
                <w:highlight w:val="none"/>
              </w:rPr>
            </w:pPr>
            <w:r>
              <w:rPr>
                <w:rFonts w:hint="eastAsia" w:ascii="宋体" w:hAnsi="宋体" w:cs="宋体"/>
                <w:color w:val="auto"/>
                <w:szCs w:val="21"/>
                <w:highlight w:val="none"/>
              </w:rPr>
              <w:t>(6)工作时间有巡回保洁，地面垃圾滞留时间不能超过2小时；积水等清理及时。</w:t>
            </w:r>
          </w:p>
          <w:p>
            <w:pPr>
              <w:jc w:val="left"/>
              <w:rPr>
                <w:rFonts w:ascii="宋体" w:hAnsi="宋体" w:cs="宋体"/>
                <w:color w:val="auto"/>
                <w:szCs w:val="21"/>
                <w:highlight w:val="none"/>
              </w:rPr>
            </w:pPr>
            <w:r>
              <w:rPr>
                <w:rFonts w:hint="eastAsia" w:ascii="宋体" w:hAnsi="宋体" w:cs="宋体"/>
                <w:color w:val="auto"/>
                <w:szCs w:val="21"/>
                <w:highlight w:val="none"/>
              </w:rPr>
              <w:t>(7)垃圾封闭存放，垃圾清运及时，整体清洁、无异味，每月消杀1次。</w:t>
            </w:r>
          </w:p>
          <w:p>
            <w:pPr>
              <w:jc w:val="left"/>
              <w:rPr>
                <w:rFonts w:ascii="宋体" w:hAnsi="宋体" w:cs="宋体"/>
                <w:color w:val="auto"/>
                <w:szCs w:val="21"/>
                <w:highlight w:val="none"/>
              </w:rPr>
            </w:pPr>
            <w:r>
              <w:rPr>
                <w:rFonts w:hint="eastAsia" w:ascii="宋体" w:hAnsi="宋体" w:cs="宋体"/>
                <w:color w:val="auto"/>
                <w:szCs w:val="21"/>
                <w:highlight w:val="none"/>
              </w:rPr>
              <w:t>(8)每日清理垃圾桶，每日擦拭，箱(桶)无满溢、无异味、无污迹。</w:t>
            </w:r>
          </w:p>
        </w:tc>
        <w:tc>
          <w:tcPr>
            <w:tcW w:w="498" w:type="pct"/>
            <w:vAlign w:val="center"/>
          </w:tcPr>
          <w:p>
            <w:pPr>
              <w:jc w:val="center"/>
              <w:rPr>
                <w:rFonts w:ascii="宋体" w:hAnsi="宋体" w:cs="宋体"/>
                <w:color w:val="auto"/>
                <w:szCs w:val="21"/>
                <w:highlight w:val="none"/>
              </w:rPr>
            </w:pPr>
          </w:p>
        </w:tc>
        <w:tc>
          <w:tcPr>
            <w:tcW w:w="349"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9"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公</w:t>
            </w:r>
          </w:p>
          <w:p>
            <w:pPr>
              <w:jc w:val="center"/>
              <w:rPr>
                <w:rFonts w:ascii="宋体" w:hAnsi="宋体" w:cs="宋体"/>
                <w:b/>
                <w:color w:val="auto"/>
                <w:szCs w:val="21"/>
                <w:highlight w:val="none"/>
              </w:rPr>
            </w:pPr>
            <w:r>
              <w:rPr>
                <w:rFonts w:hint="eastAsia" w:ascii="宋体" w:hAnsi="宋体" w:cs="宋体"/>
                <w:b/>
                <w:color w:val="auto"/>
                <w:szCs w:val="21"/>
                <w:highlight w:val="none"/>
              </w:rPr>
              <w:t>共</w:t>
            </w:r>
          </w:p>
          <w:p>
            <w:pPr>
              <w:jc w:val="center"/>
              <w:rPr>
                <w:rFonts w:ascii="宋体" w:hAnsi="宋体" w:cs="宋体"/>
                <w:b/>
                <w:color w:val="auto"/>
                <w:szCs w:val="21"/>
                <w:highlight w:val="none"/>
              </w:rPr>
            </w:pPr>
            <w:r>
              <w:rPr>
                <w:rFonts w:hint="eastAsia" w:ascii="宋体" w:hAnsi="宋体" w:cs="宋体"/>
                <w:b/>
                <w:color w:val="auto"/>
                <w:szCs w:val="21"/>
                <w:highlight w:val="none"/>
              </w:rPr>
              <w:t>秩</w:t>
            </w:r>
          </w:p>
          <w:p>
            <w:pPr>
              <w:jc w:val="center"/>
              <w:rPr>
                <w:rFonts w:ascii="宋体" w:hAnsi="宋体" w:cs="宋体"/>
                <w:b/>
                <w:color w:val="auto"/>
                <w:szCs w:val="21"/>
                <w:highlight w:val="none"/>
              </w:rPr>
            </w:pPr>
            <w:r>
              <w:rPr>
                <w:rFonts w:hint="eastAsia" w:ascii="宋体" w:hAnsi="宋体" w:cs="宋体"/>
                <w:b/>
                <w:color w:val="auto"/>
                <w:szCs w:val="21"/>
                <w:highlight w:val="none"/>
              </w:rPr>
              <w:t>序</w:t>
            </w:r>
          </w:p>
          <w:p>
            <w:pPr>
              <w:jc w:val="center"/>
              <w:rPr>
                <w:rFonts w:ascii="宋体" w:hAnsi="宋体" w:cs="宋体"/>
                <w:color w:val="auto"/>
                <w:szCs w:val="21"/>
                <w:highlight w:val="none"/>
              </w:rPr>
            </w:pPr>
          </w:p>
        </w:tc>
        <w:tc>
          <w:tcPr>
            <w:tcW w:w="811"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秩序管理</w:t>
            </w:r>
          </w:p>
          <w:p>
            <w:pPr>
              <w:jc w:val="center"/>
              <w:rPr>
                <w:rFonts w:ascii="宋体" w:hAnsi="宋体" w:cs="宋体"/>
                <w:color w:val="auto"/>
                <w:szCs w:val="21"/>
                <w:highlight w:val="none"/>
              </w:rPr>
            </w:pPr>
            <w:r>
              <w:rPr>
                <w:rFonts w:hint="eastAsia" w:ascii="宋体" w:hAnsi="宋体" w:cs="宋体"/>
                <w:color w:val="auto"/>
                <w:szCs w:val="21"/>
                <w:highlight w:val="none"/>
              </w:rPr>
              <w:t>技防设施</w:t>
            </w:r>
          </w:p>
          <w:p>
            <w:pPr>
              <w:jc w:val="center"/>
              <w:rPr>
                <w:rFonts w:ascii="宋体" w:hAnsi="宋体" w:cs="宋体"/>
                <w:color w:val="auto"/>
                <w:szCs w:val="21"/>
                <w:highlight w:val="none"/>
              </w:rPr>
            </w:pPr>
            <w:r>
              <w:rPr>
                <w:rFonts w:hint="eastAsia" w:ascii="宋体" w:hAnsi="宋体" w:cs="宋体"/>
                <w:color w:val="auto"/>
                <w:szCs w:val="21"/>
                <w:highlight w:val="none"/>
              </w:rPr>
              <w:t>安全管理</w:t>
            </w:r>
          </w:p>
          <w:p>
            <w:pPr>
              <w:jc w:val="center"/>
              <w:rPr>
                <w:rFonts w:ascii="宋体" w:hAnsi="宋体" w:cs="宋体"/>
                <w:b/>
                <w:color w:val="auto"/>
                <w:szCs w:val="21"/>
                <w:highlight w:val="none"/>
              </w:rPr>
            </w:pPr>
            <w:r>
              <w:rPr>
                <w:rFonts w:hint="eastAsia" w:ascii="宋体" w:hAnsi="宋体" w:cs="宋体"/>
                <w:b/>
                <w:color w:val="auto"/>
                <w:szCs w:val="21"/>
                <w:highlight w:val="none"/>
              </w:rPr>
              <w:t>(此项总分30分)</w:t>
            </w:r>
          </w:p>
        </w:tc>
        <w:tc>
          <w:tcPr>
            <w:tcW w:w="2931" w:type="pct"/>
            <w:vAlign w:val="center"/>
          </w:tcPr>
          <w:p>
            <w:pPr>
              <w:jc w:val="left"/>
              <w:rPr>
                <w:rFonts w:ascii="宋体" w:hAnsi="宋体" w:cs="宋体"/>
                <w:color w:val="auto"/>
                <w:szCs w:val="21"/>
                <w:highlight w:val="none"/>
              </w:rPr>
            </w:pPr>
            <w:r>
              <w:rPr>
                <w:rFonts w:hint="eastAsia" w:ascii="宋体" w:hAnsi="宋体" w:cs="宋体"/>
                <w:color w:val="auto"/>
                <w:szCs w:val="21"/>
                <w:highlight w:val="none"/>
              </w:rPr>
              <w:t>(1)门岗实行24小时值班看守，态度认真负责。</w:t>
            </w:r>
          </w:p>
          <w:p>
            <w:pPr>
              <w:jc w:val="left"/>
              <w:rPr>
                <w:rFonts w:ascii="宋体" w:hAnsi="宋体" w:cs="宋体"/>
                <w:color w:val="auto"/>
                <w:szCs w:val="21"/>
                <w:highlight w:val="none"/>
              </w:rPr>
            </w:pPr>
            <w:r>
              <w:rPr>
                <w:rFonts w:hint="eastAsia" w:ascii="宋体" w:hAnsi="宋体" w:cs="宋体"/>
                <w:color w:val="auto"/>
                <w:szCs w:val="21"/>
                <w:highlight w:val="none"/>
              </w:rPr>
              <w:t>(2)对进出人员进行管理和疏导，保持出入口环境整洁、有序、道路畅通；外来人员必须按照疫情防控相关要求进行管理。</w:t>
            </w:r>
          </w:p>
          <w:p>
            <w:pPr>
              <w:jc w:val="left"/>
              <w:rPr>
                <w:rFonts w:ascii="宋体" w:hAnsi="宋体" w:cs="宋体"/>
                <w:color w:val="auto"/>
                <w:szCs w:val="21"/>
                <w:highlight w:val="none"/>
              </w:rPr>
            </w:pPr>
            <w:r>
              <w:rPr>
                <w:rFonts w:hint="eastAsia" w:ascii="宋体" w:hAnsi="宋体" w:cs="宋体"/>
                <w:color w:val="auto"/>
                <w:szCs w:val="21"/>
                <w:highlight w:val="none"/>
              </w:rPr>
              <w:t>(3)进出大门需按相关规定严格执行。</w:t>
            </w:r>
          </w:p>
          <w:p>
            <w:pPr>
              <w:jc w:val="left"/>
              <w:rPr>
                <w:rFonts w:ascii="宋体" w:hAnsi="宋体" w:cs="宋体"/>
                <w:color w:val="auto"/>
                <w:szCs w:val="21"/>
                <w:highlight w:val="none"/>
              </w:rPr>
            </w:pPr>
            <w:r>
              <w:rPr>
                <w:rFonts w:hint="eastAsia" w:ascii="宋体" w:hAnsi="宋体" w:cs="宋体"/>
                <w:color w:val="auto"/>
                <w:szCs w:val="21"/>
                <w:highlight w:val="none"/>
              </w:rPr>
              <w:t>(4)巡逻队员按指定的时间和路线巡查，重点部位应设巡逻签到点。</w:t>
            </w:r>
          </w:p>
          <w:p>
            <w:pPr>
              <w:jc w:val="left"/>
              <w:rPr>
                <w:rFonts w:ascii="宋体" w:hAnsi="宋体" w:cs="宋体"/>
                <w:color w:val="auto"/>
                <w:szCs w:val="21"/>
                <w:highlight w:val="none"/>
              </w:rPr>
            </w:pPr>
            <w:r>
              <w:rPr>
                <w:rFonts w:hint="eastAsia" w:ascii="宋体" w:hAnsi="宋体" w:cs="宋体"/>
                <w:color w:val="auto"/>
                <w:szCs w:val="21"/>
                <w:highlight w:val="none"/>
              </w:rPr>
              <w:t>(5)突发情况处理及时，报告及时。</w:t>
            </w:r>
          </w:p>
          <w:p>
            <w:pPr>
              <w:jc w:val="left"/>
              <w:rPr>
                <w:rFonts w:ascii="宋体" w:hAnsi="宋体" w:cs="宋体"/>
                <w:color w:val="auto"/>
                <w:szCs w:val="21"/>
                <w:highlight w:val="none"/>
              </w:rPr>
            </w:pPr>
            <w:r>
              <w:rPr>
                <w:rFonts w:hint="eastAsia" w:ascii="宋体" w:hAnsi="宋体" w:cs="宋体"/>
                <w:color w:val="auto"/>
                <w:szCs w:val="21"/>
                <w:highlight w:val="none"/>
              </w:rPr>
              <w:t>(6)监控室实行24小时值班制度，调看监控必须征得领导签字同意。</w:t>
            </w:r>
          </w:p>
        </w:tc>
        <w:tc>
          <w:tcPr>
            <w:tcW w:w="498" w:type="pct"/>
            <w:vAlign w:val="center"/>
          </w:tcPr>
          <w:p>
            <w:pPr>
              <w:jc w:val="center"/>
              <w:rPr>
                <w:rFonts w:ascii="宋体" w:hAnsi="宋体" w:cs="宋体"/>
                <w:color w:val="auto"/>
                <w:szCs w:val="21"/>
                <w:highlight w:val="none"/>
              </w:rPr>
            </w:pPr>
          </w:p>
        </w:tc>
        <w:tc>
          <w:tcPr>
            <w:tcW w:w="349"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409"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日</w:t>
            </w:r>
          </w:p>
          <w:p>
            <w:pPr>
              <w:jc w:val="center"/>
              <w:rPr>
                <w:rFonts w:ascii="宋体" w:hAnsi="宋体" w:cs="宋体"/>
                <w:b/>
                <w:color w:val="auto"/>
                <w:szCs w:val="21"/>
                <w:highlight w:val="none"/>
              </w:rPr>
            </w:pPr>
            <w:r>
              <w:rPr>
                <w:rFonts w:hint="eastAsia" w:ascii="宋体" w:hAnsi="宋体" w:cs="宋体"/>
                <w:b/>
                <w:color w:val="auto"/>
                <w:szCs w:val="21"/>
                <w:highlight w:val="none"/>
              </w:rPr>
              <w:t>常</w:t>
            </w:r>
          </w:p>
          <w:p>
            <w:pPr>
              <w:jc w:val="center"/>
              <w:rPr>
                <w:rFonts w:ascii="宋体" w:hAnsi="宋体" w:cs="宋体"/>
                <w:b/>
                <w:color w:val="auto"/>
                <w:szCs w:val="21"/>
                <w:highlight w:val="none"/>
              </w:rPr>
            </w:pPr>
            <w:r>
              <w:rPr>
                <w:rFonts w:hint="eastAsia" w:ascii="宋体" w:hAnsi="宋体" w:cs="宋体"/>
                <w:b/>
                <w:color w:val="auto"/>
                <w:szCs w:val="21"/>
                <w:highlight w:val="none"/>
              </w:rPr>
              <w:t>维</w:t>
            </w:r>
          </w:p>
          <w:p>
            <w:pPr>
              <w:jc w:val="center"/>
              <w:rPr>
                <w:rFonts w:ascii="宋体" w:hAnsi="宋体" w:cs="宋体"/>
                <w:b/>
                <w:color w:val="auto"/>
                <w:szCs w:val="21"/>
                <w:highlight w:val="none"/>
              </w:rPr>
            </w:pPr>
            <w:r>
              <w:rPr>
                <w:rFonts w:hint="eastAsia" w:ascii="宋体" w:hAnsi="宋体" w:cs="宋体"/>
                <w:b/>
                <w:color w:val="auto"/>
                <w:szCs w:val="21"/>
                <w:highlight w:val="none"/>
              </w:rPr>
              <w:t>修</w:t>
            </w:r>
          </w:p>
        </w:tc>
        <w:tc>
          <w:tcPr>
            <w:tcW w:w="811" w:type="pct"/>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配电房、电梯等设备、照明设备、楼内墙面、顶面、地面管道、围墙、道路、场地等、桌椅门窗、水电维修、安全标志等</w:t>
            </w:r>
          </w:p>
          <w:p>
            <w:pPr>
              <w:jc w:val="center"/>
              <w:rPr>
                <w:rFonts w:ascii="宋体" w:hAnsi="宋体" w:cs="宋体"/>
                <w:b/>
                <w:color w:val="auto"/>
                <w:szCs w:val="21"/>
                <w:highlight w:val="none"/>
              </w:rPr>
            </w:pPr>
            <w:r>
              <w:rPr>
                <w:rFonts w:hint="eastAsia" w:ascii="宋体" w:hAnsi="宋体" w:cs="宋体"/>
                <w:b/>
                <w:color w:val="auto"/>
                <w:szCs w:val="21"/>
                <w:highlight w:val="none"/>
              </w:rPr>
              <w:t>(此项总分20分)</w:t>
            </w:r>
          </w:p>
        </w:tc>
        <w:tc>
          <w:tcPr>
            <w:tcW w:w="2931" w:type="pct"/>
            <w:vAlign w:val="center"/>
          </w:tcPr>
          <w:p>
            <w:pPr>
              <w:numPr>
                <w:ilvl w:val="0"/>
                <w:numId w:val="48"/>
              </w:numPr>
              <w:jc w:val="left"/>
              <w:rPr>
                <w:rFonts w:ascii="宋体" w:hAnsi="宋体" w:cs="宋体"/>
                <w:color w:val="auto"/>
                <w:szCs w:val="21"/>
                <w:highlight w:val="none"/>
              </w:rPr>
            </w:pPr>
            <w:r>
              <w:rPr>
                <w:rFonts w:hint="eastAsia" w:ascii="宋体" w:hAnsi="宋体" w:cs="宋体"/>
                <w:color w:val="auto"/>
                <w:szCs w:val="21"/>
                <w:highlight w:val="none"/>
              </w:rPr>
              <w:t>维修时态度良好，能耐心对待工作人员及办事群众。</w:t>
            </w:r>
          </w:p>
          <w:p>
            <w:pPr>
              <w:numPr>
                <w:ilvl w:val="0"/>
                <w:numId w:val="48"/>
              </w:numPr>
              <w:jc w:val="left"/>
              <w:rPr>
                <w:rFonts w:ascii="宋体" w:hAnsi="宋体" w:cs="宋体"/>
                <w:color w:val="auto"/>
                <w:szCs w:val="21"/>
                <w:highlight w:val="none"/>
              </w:rPr>
            </w:pPr>
            <w:r>
              <w:rPr>
                <w:rFonts w:hint="eastAsia" w:ascii="宋体" w:hAnsi="宋体" w:cs="宋体"/>
                <w:color w:val="auto"/>
                <w:szCs w:val="21"/>
                <w:highlight w:val="none"/>
              </w:rPr>
              <w:t>报修后解决问题比较及时，不能解决的问题会及时跟报修人沟通。</w:t>
            </w:r>
          </w:p>
          <w:p>
            <w:pPr>
              <w:numPr>
                <w:ilvl w:val="0"/>
                <w:numId w:val="48"/>
              </w:numPr>
              <w:jc w:val="left"/>
              <w:rPr>
                <w:rFonts w:ascii="宋体" w:hAnsi="宋体" w:cs="宋体"/>
                <w:color w:val="auto"/>
                <w:szCs w:val="21"/>
                <w:highlight w:val="none"/>
              </w:rPr>
            </w:pPr>
            <w:r>
              <w:rPr>
                <w:rFonts w:hint="eastAsia" w:ascii="宋体" w:hAnsi="宋体" w:cs="宋体"/>
                <w:color w:val="auto"/>
                <w:szCs w:val="21"/>
                <w:highlight w:val="none"/>
              </w:rPr>
              <w:t>处理问题后会清洁现场。</w:t>
            </w:r>
          </w:p>
          <w:p>
            <w:pPr>
              <w:numPr>
                <w:ilvl w:val="0"/>
                <w:numId w:val="48"/>
              </w:numPr>
              <w:jc w:val="left"/>
              <w:rPr>
                <w:rFonts w:ascii="宋体" w:hAnsi="宋体" w:cs="宋体"/>
                <w:color w:val="auto"/>
                <w:szCs w:val="21"/>
                <w:highlight w:val="none"/>
              </w:rPr>
            </w:pPr>
            <w:r>
              <w:rPr>
                <w:rFonts w:hint="eastAsia" w:ascii="宋体" w:hAnsi="宋体" w:cs="宋体"/>
                <w:color w:val="auto"/>
                <w:szCs w:val="21"/>
                <w:highlight w:val="none"/>
              </w:rPr>
              <w:t>解决问题认真负责，保证质量。</w:t>
            </w:r>
          </w:p>
          <w:p>
            <w:pPr>
              <w:numPr>
                <w:ilvl w:val="0"/>
                <w:numId w:val="48"/>
              </w:numPr>
              <w:jc w:val="left"/>
              <w:rPr>
                <w:rFonts w:ascii="宋体" w:hAnsi="宋体" w:cs="宋体"/>
                <w:color w:val="auto"/>
                <w:szCs w:val="21"/>
                <w:highlight w:val="none"/>
              </w:rPr>
            </w:pPr>
            <w:r>
              <w:rPr>
                <w:rFonts w:hint="eastAsia" w:ascii="宋体" w:hAnsi="宋体" w:cs="宋体"/>
                <w:color w:val="auto"/>
                <w:szCs w:val="21"/>
                <w:highlight w:val="none"/>
              </w:rPr>
              <w:t>工作中无懈怠行为，无影响工作人员正常上班或休息的行为。</w:t>
            </w:r>
          </w:p>
        </w:tc>
        <w:tc>
          <w:tcPr>
            <w:tcW w:w="498" w:type="pct"/>
            <w:vAlign w:val="center"/>
          </w:tcPr>
          <w:p>
            <w:pPr>
              <w:jc w:val="center"/>
              <w:rPr>
                <w:rFonts w:ascii="宋体" w:hAnsi="宋体" w:cs="宋体"/>
                <w:color w:val="auto"/>
                <w:szCs w:val="21"/>
                <w:highlight w:val="none"/>
              </w:rPr>
            </w:pPr>
          </w:p>
        </w:tc>
        <w:tc>
          <w:tcPr>
            <w:tcW w:w="349"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409" w:type="pc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合</w:t>
            </w:r>
          </w:p>
          <w:p>
            <w:pPr>
              <w:jc w:val="center"/>
              <w:rPr>
                <w:rFonts w:ascii="宋体" w:hAnsi="宋体" w:cs="宋体"/>
                <w:b/>
                <w:color w:val="auto"/>
                <w:szCs w:val="21"/>
                <w:highlight w:val="none"/>
              </w:rPr>
            </w:pPr>
            <w:r>
              <w:rPr>
                <w:rFonts w:hint="eastAsia" w:ascii="宋体" w:hAnsi="宋体" w:cs="宋体"/>
                <w:b/>
                <w:color w:val="auto"/>
                <w:szCs w:val="21"/>
                <w:highlight w:val="none"/>
              </w:rPr>
              <w:t>计</w:t>
            </w:r>
          </w:p>
        </w:tc>
        <w:tc>
          <w:tcPr>
            <w:tcW w:w="811" w:type="pct"/>
            <w:vAlign w:val="center"/>
          </w:tcPr>
          <w:p>
            <w:pPr>
              <w:jc w:val="center"/>
              <w:rPr>
                <w:rFonts w:ascii="宋体" w:hAnsi="宋体" w:cs="宋体"/>
                <w:b/>
                <w:color w:val="auto"/>
                <w:szCs w:val="21"/>
                <w:highlight w:val="none"/>
              </w:rPr>
            </w:pPr>
          </w:p>
          <w:p>
            <w:pPr>
              <w:jc w:val="center"/>
              <w:rPr>
                <w:rFonts w:ascii="宋体" w:hAnsi="宋体" w:cs="宋体"/>
                <w:b/>
                <w:color w:val="auto"/>
                <w:szCs w:val="21"/>
                <w:highlight w:val="none"/>
              </w:rPr>
            </w:pPr>
            <w:r>
              <w:rPr>
                <w:rFonts w:hint="eastAsia" w:ascii="宋体" w:hAnsi="宋体" w:cs="宋体"/>
                <w:b/>
                <w:color w:val="auto"/>
                <w:szCs w:val="21"/>
                <w:highlight w:val="none"/>
              </w:rPr>
              <w:t>(4项总计100分)</w:t>
            </w:r>
          </w:p>
        </w:tc>
        <w:tc>
          <w:tcPr>
            <w:tcW w:w="2931" w:type="pct"/>
            <w:vAlign w:val="center"/>
          </w:tcPr>
          <w:p>
            <w:pPr>
              <w:jc w:val="left"/>
              <w:rPr>
                <w:rFonts w:ascii="宋体" w:hAnsi="宋体" w:cs="宋体"/>
                <w:color w:val="auto"/>
                <w:szCs w:val="21"/>
                <w:highlight w:val="none"/>
              </w:rPr>
            </w:pPr>
          </w:p>
        </w:tc>
        <w:tc>
          <w:tcPr>
            <w:tcW w:w="498" w:type="pct"/>
            <w:vAlign w:val="center"/>
          </w:tcPr>
          <w:p>
            <w:pPr>
              <w:jc w:val="center"/>
              <w:rPr>
                <w:rFonts w:ascii="宋体" w:hAnsi="宋体" w:cs="宋体"/>
                <w:color w:val="auto"/>
                <w:szCs w:val="21"/>
                <w:highlight w:val="none"/>
              </w:rPr>
            </w:pPr>
          </w:p>
        </w:tc>
        <w:tc>
          <w:tcPr>
            <w:tcW w:w="349" w:type="pct"/>
            <w:vAlign w:val="center"/>
          </w:tcPr>
          <w:p>
            <w:pPr>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220" w:type="pct"/>
            <w:gridSpan w:val="2"/>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单次考核要求</w:t>
            </w:r>
          </w:p>
        </w:tc>
        <w:tc>
          <w:tcPr>
            <w:tcW w:w="3779" w:type="pct"/>
            <w:gridSpan w:val="3"/>
            <w:vAlign w:val="center"/>
          </w:tcPr>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1.会议接待服务考核办法</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(1)仪容、卫生、态度、服务不规范，每次扣减服务费50元；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(2)准备工作不周全，影响会议正常进行，每次扣减服务费100元；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(3)违反保密纪律，每次扣减服务费500元，并调整会服人员。</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2.秩序维护服务考核办法</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(1)相关制度、预案、台帐需每月定期存档，并交采购人复印件进行留底，如不健全，每项次扣减服务费50元；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(2)人员配置不达标，每人次扣减服务费50元；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未配足安全管理人员超过5％以上，每人次扣减服务费200元；安全管理人员在工作时间做与职责无关的事，每人次扣减服务费50元；安全管理人员脱岗，每人次扣减服务费100元，并赔偿因失职或脱岗而造成的全部损失；</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(4)安全管理岗位人员未穿制服上岗，不按规范作业，每人次扣减服务费50元；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(5)放行售卖人员、饲养动物进入，每人次扣减服务费100元；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(6)消防设施检查不到位，每项次扣减服务费50元；保养不达标，每项次扣减服务费200元；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(7)因供应商人员管理不当引发火险、火情、火灾，每项次扣减服务费1000元，并承担相应责任和损失；</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(8)相关运行记录不完整，每项次扣减服务费50元；资料上交及相关报告不及时，每项次扣减服务费150元；重大事项报告不及时或处置不当，每项次扣减服务费200－1000元，并承担相应责任和损失。</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(9)如发生人生伤害、财产损失情况，经公安机关认定为供应商的责任，供应商承担相应责任和损失。</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3.保洁服务考核办法</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每出现一次未达到保洁工作要求的扣减服务费200元。</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4.工程服务考核办法</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巡查不及时、巡查记录不真实完整、报告不及时、整改不及时，每项次扣减服务费200元；防雷设施检查不到位，报修不及时，每项次扣减服务费400元，并承担因此产生的相关经济、法律责任。</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出现责任事故造成损失或砖石、玻璃掉落伤人责任事故，除赔偿相应损失外，扣减服务费200－2000元。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供应商管护范围内的设施丢失，或因防范不到位被人为损坏，或操作不当、管护不当出现损坏，按折旧评估价赔偿设施损失及因产生的其它损失外，每次扣减服务费200元。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管理制度不健全，每项次扣服务费100元。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操作人员不具备相应资质，每人次扣减服务费500元。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(6)</w:t>
            </w:r>
            <w:r>
              <w:rPr>
                <w:rFonts w:hint="eastAsia" w:cs="宋体"/>
                <w:color w:val="auto"/>
                <w:sz w:val="24"/>
                <w:highlight w:val="none"/>
              </w:rPr>
              <w:t>运行记录不详实，巡查不到位，每项次扣减服务费100元。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(7)</w:t>
            </w:r>
            <w:r>
              <w:rPr>
                <w:rFonts w:hint="eastAsia" w:cs="宋体"/>
                <w:color w:val="auto"/>
                <w:sz w:val="24"/>
                <w:highlight w:val="none"/>
              </w:rPr>
              <w:t>维修不及时，每项次扣减服务费100元。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(8)</w:t>
            </w:r>
            <w:r>
              <w:rPr>
                <w:rFonts w:hint="eastAsia" w:cs="宋体"/>
                <w:color w:val="auto"/>
                <w:sz w:val="24"/>
                <w:highlight w:val="none"/>
              </w:rPr>
              <w:t>因人为原因出现设施运行事故或隐患，扣减服务费500元/次；出现管理责任事故，每项次扣减服务费200元；出现安全责任事故，每项次扣减服务费1000元。</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21" w:name="_Toc22144"/>
            <w:r>
              <w:rPr>
                <w:rFonts w:hint="eastAsia" w:ascii="宋体" w:hAnsi="宋体" w:cs="宋体"/>
                <w:b w:val="0"/>
                <w:bCs/>
                <w:color w:val="auto"/>
                <w:sz w:val="24"/>
                <w:highlight w:val="none"/>
              </w:rPr>
              <w:t>5.植物租摆及养护服务考核办法</w:t>
            </w:r>
            <w:bookmarkEnd w:id="521"/>
          </w:p>
          <w:p>
            <w:pPr>
              <w:pStyle w:val="241"/>
              <w:numPr>
                <w:ilvl w:val="1"/>
                <w:numId w:val="0"/>
              </w:numPr>
              <w:spacing w:line="440" w:lineRule="exact"/>
              <w:ind w:firstLine="480" w:firstLineChars="200"/>
              <w:outlineLvl w:val="9"/>
              <w:rPr>
                <w:rFonts w:ascii="宋体" w:hAnsi="宋体" w:cs="宋体"/>
                <w:b w:val="0"/>
                <w:bCs/>
                <w:color w:val="auto"/>
                <w:sz w:val="24"/>
                <w:highlight w:val="none"/>
              </w:rPr>
            </w:pPr>
            <w:bookmarkStart w:id="522" w:name="_Toc26923"/>
            <w:r>
              <w:rPr>
                <w:rFonts w:hint="eastAsia" w:cs="宋体"/>
                <w:b w:val="0"/>
                <w:bCs/>
                <w:color w:val="auto"/>
                <w:sz w:val="24"/>
                <w:highlight w:val="none"/>
              </w:rPr>
              <w:t>每出现一次未达到保洁工作要求的扣减服务费200元。</w:t>
            </w:r>
            <w:bookmarkEnd w:id="522"/>
          </w:p>
          <w:p>
            <w:pPr>
              <w:jc w:val="center"/>
              <w:rPr>
                <w:rFonts w:ascii="宋体" w:hAnsi="宋体" w:cs="宋体"/>
                <w:color w:val="auto"/>
                <w:szCs w:val="21"/>
                <w:highlight w:val="none"/>
              </w:rPr>
            </w:pPr>
          </w:p>
        </w:tc>
      </w:tr>
    </w:tbl>
    <w:p>
      <w:pPr>
        <w:rPr>
          <w:color w:val="auto"/>
          <w:highlight w:val="none"/>
        </w:rPr>
      </w:pPr>
    </w:p>
    <w:p>
      <w:pPr>
        <w:rPr>
          <w:color w:val="auto"/>
          <w:highlight w:val="none"/>
        </w:rPr>
      </w:pPr>
      <w:r>
        <w:rPr>
          <w:rFonts w:hint="eastAsia"/>
          <w:b/>
          <w:bCs/>
          <w:color w:val="auto"/>
          <w:sz w:val="28"/>
          <w:szCs w:val="28"/>
          <w:highlight w:val="none"/>
        </w:rPr>
        <w:t>考核人员签字 ：</w:t>
      </w:r>
      <w:r>
        <w:rPr>
          <w:rFonts w:hint="eastAsia"/>
          <w:color w:val="auto"/>
          <w:sz w:val="28"/>
          <w:szCs w:val="28"/>
          <w:highlight w:val="none"/>
        </w:rPr>
        <w:t xml:space="preserve">     </w:t>
      </w:r>
      <w:r>
        <w:rPr>
          <w:rFonts w:hint="eastAsia"/>
          <w:color w:val="auto"/>
          <w:highlight w:val="none"/>
        </w:rPr>
        <w:t xml:space="preserve">                 </w:t>
      </w:r>
    </w:p>
    <w:p>
      <w:pPr>
        <w:pStyle w:val="3"/>
        <w:rPr>
          <w:color w:val="auto"/>
          <w:highlight w:val="none"/>
        </w:rPr>
      </w:pPr>
    </w:p>
    <w:p>
      <w:pPr>
        <w:pStyle w:val="3"/>
        <w:rPr>
          <w:color w:val="auto"/>
          <w:highlight w:val="none"/>
        </w:rPr>
      </w:pPr>
    </w:p>
    <w:p>
      <w:pPr>
        <w:rPr>
          <w:color w:val="auto"/>
          <w:highlight w:val="none"/>
        </w:rPr>
        <w:sectPr>
          <w:pgSz w:w="11906" w:h="16838"/>
          <w:pgMar w:top="1440" w:right="1800" w:bottom="1440" w:left="1800" w:header="851" w:footer="992" w:gutter="0"/>
          <w:cols w:space="425" w:num="1"/>
          <w:docGrid w:type="lines" w:linePitch="312" w:charSpace="0"/>
        </w:sectPr>
      </w:pPr>
    </w:p>
    <w:p>
      <w:pPr>
        <w:rPr>
          <w:color w:val="auto"/>
          <w:highlight w:val="none"/>
        </w:rPr>
      </w:pPr>
    </w:p>
    <w:bookmarkEnd w:id="239"/>
    <w:bookmarkEnd w:id="240"/>
    <w:bookmarkEnd w:id="241"/>
    <w:bookmarkEnd w:id="242"/>
    <w:bookmarkEnd w:id="243"/>
    <w:p>
      <w:pPr>
        <w:pStyle w:val="4"/>
        <w:numPr>
          <w:ilvl w:val="0"/>
          <w:numId w:val="5"/>
        </w:numPr>
        <w:spacing w:before="0" w:after="0" w:line="360" w:lineRule="auto"/>
        <w:ind w:left="0" w:firstLine="0"/>
        <w:rPr>
          <w:color w:val="auto"/>
          <w:highlight w:val="none"/>
        </w:rPr>
      </w:pPr>
      <w:bookmarkStart w:id="523" w:name="_Toc7093"/>
      <w:bookmarkStart w:id="524" w:name="_Toc30449"/>
      <w:bookmarkStart w:id="525" w:name="_Toc1676"/>
      <w:bookmarkStart w:id="526" w:name="_Toc10524"/>
      <w:bookmarkStart w:id="527" w:name="_Toc7800"/>
      <w:r>
        <w:rPr>
          <w:rFonts w:hint="eastAsia"/>
          <w:color w:val="auto"/>
          <w:highlight w:val="none"/>
        </w:rPr>
        <w:t>资格性审查</w:t>
      </w:r>
      <w:bookmarkEnd w:id="523"/>
      <w:bookmarkEnd w:id="524"/>
      <w:bookmarkEnd w:id="525"/>
      <w:bookmarkEnd w:id="526"/>
      <w:bookmarkEnd w:id="527"/>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资格性审查由采购人组建的资格审查小组依据法律法规和招标文件的规定，对高新区采购中心出具的</w:t>
      </w:r>
      <w:r>
        <w:rPr>
          <w:rFonts w:hint="eastAsia" w:ascii="宋体" w:hAnsi="宋体"/>
          <w:b/>
          <w:color w:val="auto"/>
          <w:sz w:val="28"/>
          <w:szCs w:val="28"/>
          <w:highlight w:val="none"/>
        </w:rPr>
        <w:t>《</w:t>
      </w:r>
      <w:r>
        <w:rPr>
          <w:rFonts w:hint="eastAsia" w:ascii="宋体" w:hAnsi="宋体"/>
          <w:color w:val="auto"/>
          <w:sz w:val="28"/>
          <w:szCs w:val="28"/>
          <w:highlight w:val="none"/>
        </w:rPr>
        <w:t>高新区</w:t>
      </w:r>
      <w:r>
        <w:rPr>
          <w:rFonts w:hint="eastAsia" w:ascii="宋体" w:hAnsi="宋体"/>
          <w:b/>
          <w:color w:val="auto"/>
          <w:sz w:val="28"/>
          <w:szCs w:val="28"/>
          <w:highlight w:val="none"/>
        </w:rPr>
        <w:t>政府采购项目供应商参与情况表》</w:t>
      </w:r>
      <w:r>
        <w:rPr>
          <w:rFonts w:hint="eastAsia" w:ascii="宋体" w:hAnsi="宋体"/>
          <w:color w:val="auto"/>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资格性审查时因断电、断网、系统故障或其他不可抗力等因素，导致资格审查小组无法通过系统阅读投标文件进行审查的，待系统恢复后继续审查。出现上述情况时，高新区采购中心将以电子邮件形式通知各投标人。资格性审查标准见下表：</w:t>
      </w: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p>
      <w:pPr>
        <w:tabs>
          <w:tab w:val="left" w:pos="851"/>
        </w:tabs>
        <w:spacing w:line="360" w:lineRule="auto"/>
        <w:ind w:firstLine="565" w:firstLineChars="202"/>
        <w:rPr>
          <w:rFonts w:ascii="宋体" w:hAnsi="宋体"/>
          <w:color w:val="auto"/>
          <w:sz w:val="28"/>
          <w:szCs w:val="28"/>
          <w:highlight w:val="none"/>
        </w:rPr>
      </w:pPr>
    </w:p>
    <w:tbl>
      <w:tblPr>
        <w:tblStyle w:val="45"/>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00"/>
        <w:gridCol w:w="1197"/>
        <w:gridCol w:w="5939"/>
        <w:gridCol w:w="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2585"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auto"/>
                <w:sz w:val="20"/>
                <w:highlight w:val="none"/>
              </w:rPr>
            </w:pPr>
            <w:r>
              <w:rPr>
                <w:b/>
                <w:color w:val="auto"/>
                <w:sz w:val="20"/>
                <w:highlight w:val="none"/>
              </w:rPr>
              <w:t>资格性审查项</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highlight w:val="none"/>
              </w:rPr>
            </w:pPr>
            <w:r>
              <w:rPr>
                <w:b/>
                <w:color w:val="auto"/>
                <w:sz w:val="20"/>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在中华人民共和国境内依法登记注册，并有效存续具有独立法人资格的</w:t>
            </w:r>
            <w:r>
              <w:rPr>
                <w:rFonts w:hint="eastAsia"/>
                <w:color w:val="auto"/>
                <w:sz w:val="20"/>
                <w:highlight w:val="none"/>
              </w:rPr>
              <w:t>供应商</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营业执照复印件（正本或副本）或法人证书复印件（正本或副本）</w:t>
            </w:r>
            <w:r>
              <w:rPr>
                <w:rFonts w:hint="eastAsia"/>
                <w:color w:val="auto"/>
                <w:sz w:val="20"/>
                <w:highlight w:val="none"/>
              </w:rPr>
              <w:t>。</w:t>
            </w:r>
            <w:r>
              <w:rPr>
                <w:color w:val="auto"/>
                <w:sz w:val="20"/>
                <w:highlight w:val="none"/>
              </w:rPr>
              <w:t>【说明：</w:t>
            </w:r>
            <w:r>
              <w:rPr>
                <w:rFonts w:hint="eastAsia" w:ascii="宋体" w:hAnsi="宋体"/>
                <w:color w:val="auto"/>
                <w:sz w:val="20"/>
                <w:szCs w:val="28"/>
                <w:highlight w:val="none"/>
              </w:rPr>
              <w:t>①</w:t>
            </w:r>
            <w:r>
              <w:rPr>
                <w:color w:val="auto"/>
                <w:sz w:val="20"/>
                <w:highlight w:val="none"/>
              </w:rPr>
              <w:t>营业执照或法人证书载明有期限的，应在有效期限内；</w:t>
            </w:r>
            <w:r>
              <w:rPr>
                <w:rFonts w:hint="eastAsia" w:ascii="宋体" w:hAnsi="宋体"/>
                <w:color w:val="auto"/>
                <w:sz w:val="20"/>
                <w:szCs w:val="28"/>
                <w:highlight w:val="none"/>
              </w:rPr>
              <w:t>②</w:t>
            </w:r>
            <w:r>
              <w:rPr>
                <w:color w:val="auto"/>
                <w:sz w:val="20"/>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2</w:t>
            </w:r>
          </w:p>
        </w:tc>
        <w:tc>
          <w:tcPr>
            <w:tcW w:w="700"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auto"/>
                <w:sz w:val="20"/>
                <w:highlight w:val="none"/>
              </w:rPr>
            </w:pPr>
            <w:r>
              <w:rPr>
                <w:rFonts w:hint="eastAsia"/>
                <w:color w:val="auto"/>
                <w:sz w:val="20"/>
                <w:highlight w:val="none"/>
              </w:rPr>
              <w:t>书面声明材料</w:t>
            </w: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具有良好的商业信誉的证明材料</w:t>
            </w:r>
          </w:p>
        </w:tc>
        <w:tc>
          <w:tcPr>
            <w:tcW w:w="599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投标人具有良好的商业信誉的书面声明材料。【说明：</w:t>
            </w:r>
            <w:r>
              <w:rPr>
                <w:rFonts w:hint="eastAsia" w:ascii="宋体" w:hAnsi="宋体"/>
                <w:color w:val="auto"/>
                <w:sz w:val="20"/>
                <w:szCs w:val="28"/>
                <w:highlight w:val="none"/>
              </w:rPr>
              <w:t>①</w:t>
            </w:r>
            <w:r>
              <w:rPr>
                <w:rFonts w:hint="eastAsia"/>
                <w:color w:val="auto"/>
                <w:sz w:val="20"/>
                <w:highlight w:val="none"/>
              </w:rPr>
              <w:t>按招标文件第</w:t>
            </w:r>
            <w:r>
              <w:rPr>
                <w:color w:val="auto"/>
                <w:sz w:val="20"/>
                <w:highlight w:val="none"/>
              </w:rPr>
              <w:t>3</w:t>
            </w:r>
            <w:r>
              <w:rPr>
                <w:rFonts w:hint="eastAsia"/>
                <w:color w:val="auto"/>
                <w:sz w:val="20"/>
                <w:highlight w:val="none"/>
              </w:rPr>
              <w:t>章的内容及要求提供书面声明材料</w:t>
            </w:r>
            <w:r>
              <w:rPr>
                <w:rFonts w:hint="eastAsia" w:ascii="宋体" w:hAnsi="宋体"/>
                <w:color w:val="auto"/>
                <w:sz w:val="20"/>
                <w:szCs w:val="28"/>
                <w:highlight w:val="none"/>
              </w:rPr>
              <w:t>；②供应商具有良好的商业信誉</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参加政府采购活动前三年内，在经营活动中没有重大违法记录</w:t>
            </w:r>
          </w:p>
        </w:tc>
        <w:tc>
          <w:tcPr>
            <w:tcW w:w="5992"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投标人参加政府采购活动前三年内，在经营活动中没有重大违法记录的书面声明材料。【说明：</w:t>
            </w:r>
            <w:r>
              <w:rPr>
                <w:rFonts w:hint="eastAsia" w:ascii="宋体" w:hAnsi="宋体"/>
                <w:color w:val="auto"/>
                <w:sz w:val="20"/>
                <w:szCs w:val="28"/>
                <w:highlight w:val="none"/>
              </w:rPr>
              <w:t>①</w:t>
            </w:r>
            <w:r>
              <w:rPr>
                <w:rFonts w:hint="eastAsia"/>
                <w:color w:val="auto"/>
                <w:sz w:val="20"/>
                <w:highlight w:val="none"/>
              </w:rPr>
              <w:t>按第</w:t>
            </w:r>
            <w:r>
              <w:rPr>
                <w:color w:val="auto"/>
                <w:sz w:val="20"/>
                <w:highlight w:val="none"/>
              </w:rPr>
              <w:t>3</w:t>
            </w:r>
            <w:r>
              <w:rPr>
                <w:rFonts w:hint="eastAsia"/>
                <w:color w:val="auto"/>
                <w:sz w:val="20"/>
                <w:highlight w:val="none"/>
              </w:rPr>
              <w:t>章的内容及要求提供书面声明材料；</w:t>
            </w:r>
            <w:r>
              <w:rPr>
                <w:rFonts w:hint="eastAsia" w:ascii="宋体" w:hAnsi="宋体"/>
                <w:color w:val="auto"/>
                <w:sz w:val="20"/>
                <w:szCs w:val="28"/>
                <w:highlight w:val="none"/>
              </w:rPr>
              <w:t>②供应商参加政府采购活动前三年内，在经营活动中没有重大违法记录</w:t>
            </w:r>
            <w:r>
              <w:rPr>
                <w:rFonts w:hint="eastAsia"/>
                <w:color w:val="auto"/>
                <w:sz w:val="20"/>
                <w:highlight w:val="none"/>
              </w:rPr>
              <w:t>。】</w:t>
            </w:r>
          </w:p>
          <w:p>
            <w:pPr>
              <w:tabs>
                <w:tab w:val="left" w:pos="851"/>
              </w:tabs>
              <w:spacing w:line="360" w:lineRule="auto"/>
              <w:rPr>
                <w:color w:val="auto"/>
                <w:sz w:val="20"/>
                <w:highlight w:val="none"/>
              </w:rPr>
            </w:pPr>
            <w:r>
              <w:rPr>
                <w:color w:val="auto"/>
                <w:sz w:val="20"/>
                <w:highlight w:val="none"/>
              </w:rPr>
              <w:t xml:space="preserve">2. </w:t>
            </w:r>
            <w:r>
              <w:rPr>
                <w:rFonts w:hint="eastAsia"/>
                <w:color w:val="auto"/>
                <w:sz w:val="20"/>
                <w:highlight w:val="none"/>
              </w:rPr>
              <w:t>资格审查小组根据</w:t>
            </w:r>
            <w:r>
              <w:rPr>
                <w:color w:val="auto"/>
                <w:sz w:val="20"/>
                <w:highlight w:val="none"/>
              </w:rPr>
              <w:t>“</w:t>
            </w:r>
            <w:r>
              <w:rPr>
                <w:rFonts w:hint="eastAsia"/>
                <w:color w:val="auto"/>
                <w:sz w:val="20"/>
                <w:highlight w:val="none"/>
              </w:rPr>
              <w:t>信用中国</w:t>
            </w:r>
            <w:r>
              <w:rPr>
                <w:color w:val="auto"/>
                <w:sz w:val="20"/>
                <w:highlight w:val="none"/>
              </w:rPr>
              <w:t>”</w:t>
            </w:r>
            <w:r>
              <w:rPr>
                <w:rFonts w:hint="eastAsia"/>
                <w:color w:val="auto"/>
                <w:sz w:val="20"/>
                <w:highlight w:val="none"/>
              </w:rPr>
              <w:t>和</w:t>
            </w:r>
            <w:r>
              <w:rPr>
                <w:color w:val="auto"/>
                <w:sz w:val="20"/>
                <w:highlight w:val="none"/>
              </w:rPr>
              <w:t>“</w:t>
            </w:r>
            <w:r>
              <w:rPr>
                <w:rFonts w:hint="eastAsia"/>
                <w:color w:val="auto"/>
                <w:sz w:val="20"/>
                <w:highlight w:val="none"/>
              </w:rPr>
              <w:t>中国政府采购网</w:t>
            </w:r>
            <w:r>
              <w:rPr>
                <w:color w:val="auto"/>
                <w:sz w:val="20"/>
                <w:highlight w:val="none"/>
              </w:rPr>
              <w:t>”</w:t>
            </w:r>
            <w:r>
              <w:rPr>
                <w:rFonts w:hint="eastAsia"/>
                <w:color w:val="auto"/>
                <w:sz w:val="20"/>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未被列入失信被执行人、重大税收违法案件当事人名单、政府采购严重违法失信行为记录名单</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投标人未列入失信被执行人、重大税收违法案件当事人名单、政府采购严重违法失信行为记录名单的书面声明材料。【说明：</w:t>
            </w:r>
            <w:r>
              <w:rPr>
                <w:rFonts w:hint="eastAsia" w:ascii="宋体" w:hAnsi="宋体"/>
                <w:color w:val="auto"/>
                <w:sz w:val="20"/>
                <w:szCs w:val="28"/>
                <w:highlight w:val="none"/>
              </w:rPr>
              <w:t>①</w:t>
            </w:r>
            <w:r>
              <w:rPr>
                <w:rFonts w:hint="eastAsia"/>
                <w:color w:val="auto"/>
                <w:sz w:val="20"/>
                <w:highlight w:val="none"/>
              </w:rPr>
              <w:t>投标人未列入失信被执行人、重大税收违法案件当事人名单、政府采购严重违法失信行为记录名单；</w:t>
            </w:r>
            <w:r>
              <w:rPr>
                <w:rFonts w:hint="eastAsia" w:ascii="宋体" w:hAnsi="宋体"/>
                <w:color w:val="auto"/>
                <w:sz w:val="20"/>
                <w:szCs w:val="28"/>
                <w:highlight w:val="none"/>
              </w:rPr>
              <w:t>②</w:t>
            </w:r>
            <w:r>
              <w:rPr>
                <w:rFonts w:hint="eastAsia"/>
                <w:color w:val="auto"/>
                <w:sz w:val="20"/>
                <w:highlight w:val="none"/>
              </w:rPr>
              <w:t>按第</w:t>
            </w:r>
            <w:r>
              <w:rPr>
                <w:color w:val="auto"/>
                <w:sz w:val="20"/>
                <w:highlight w:val="none"/>
              </w:rPr>
              <w:t>3</w:t>
            </w:r>
            <w:r>
              <w:rPr>
                <w:rFonts w:hint="eastAsia"/>
                <w:color w:val="auto"/>
                <w:sz w:val="20"/>
                <w:highlight w:val="none"/>
              </w:rPr>
              <w:t>章的内容及要求提供书面声明材料。】</w:t>
            </w:r>
          </w:p>
          <w:p>
            <w:pPr>
              <w:tabs>
                <w:tab w:val="left" w:pos="851"/>
              </w:tabs>
              <w:spacing w:line="360" w:lineRule="auto"/>
              <w:rPr>
                <w:color w:val="auto"/>
                <w:sz w:val="20"/>
                <w:highlight w:val="none"/>
              </w:rPr>
            </w:pPr>
            <w:r>
              <w:rPr>
                <w:color w:val="auto"/>
                <w:sz w:val="20"/>
                <w:highlight w:val="none"/>
              </w:rPr>
              <w:t xml:space="preserve">2. </w:t>
            </w:r>
            <w:r>
              <w:rPr>
                <w:rFonts w:hint="eastAsia"/>
                <w:color w:val="auto"/>
                <w:sz w:val="20"/>
                <w:highlight w:val="none"/>
              </w:rPr>
              <w:t>资格审查小组根据</w:t>
            </w:r>
            <w:r>
              <w:rPr>
                <w:color w:val="auto"/>
                <w:sz w:val="20"/>
                <w:highlight w:val="none"/>
              </w:rPr>
              <w:t>“</w:t>
            </w:r>
            <w:r>
              <w:rPr>
                <w:rFonts w:hint="eastAsia"/>
                <w:color w:val="auto"/>
                <w:sz w:val="20"/>
                <w:highlight w:val="none"/>
              </w:rPr>
              <w:t>信用中国</w:t>
            </w:r>
            <w:r>
              <w:rPr>
                <w:color w:val="auto"/>
                <w:sz w:val="20"/>
                <w:highlight w:val="none"/>
              </w:rPr>
              <w:t>”</w:t>
            </w:r>
            <w:r>
              <w:rPr>
                <w:rFonts w:hint="eastAsia"/>
                <w:color w:val="auto"/>
                <w:sz w:val="20"/>
                <w:highlight w:val="none"/>
              </w:rPr>
              <w:t>和</w:t>
            </w:r>
            <w:r>
              <w:rPr>
                <w:color w:val="auto"/>
                <w:sz w:val="20"/>
                <w:highlight w:val="none"/>
              </w:rPr>
              <w:t>“</w:t>
            </w:r>
            <w:r>
              <w:rPr>
                <w:rFonts w:hint="eastAsia"/>
                <w:color w:val="auto"/>
                <w:sz w:val="20"/>
                <w:highlight w:val="none"/>
              </w:rPr>
              <w:t>中国政府采购网</w:t>
            </w:r>
            <w:r>
              <w:rPr>
                <w:color w:val="auto"/>
                <w:sz w:val="20"/>
                <w:highlight w:val="none"/>
              </w:rPr>
              <w:t>”</w:t>
            </w:r>
            <w:r>
              <w:rPr>
                <w:rFonts w:hint="eastAsia"/>
                <w:color w:val="auto"/>
                <w:sz w:val="20"/>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未处于被行政部门禁止参与政府采购活动的期限内</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投标人未处于被行政部门禁止参与政府采购活动的期限内。【说明：</w:t>
            </w:r>
            <w:r>
              <w:rPr>
                <w:rFonts w:hint="eastAsia" w:ascii="宋体" w:hAnsi="宋体"/>
                <w:color w:val="auto"/>
                <w:sz w:val="20"/>
                <w:szCs w:val="28"/>
                <w:highlight w:val="none"/>
              </w:rPr>
              <w:t>①</w:t>
            </w:r>
            <w:r>
              <w:rPr>
                <w:rFonts w:hint="eastAsia"/>
                <w:color w:val="auto"/>
                <w:sz w:val="20"/>
                <w:highlight w:val="none"/>
              </w:rPr>
              <w:t>按招标文件第</w:t>
            </w:r>
            <w:r>
              <w:rPr>
                <w:color w:val="auto"/>
                <w:sz w:val="20"/>
                <w:highlight w:val="none"/>
              </w:rPr>
              <w:t>3</w:t>
            </w:r>
            <w:r>
              <w:rPr>
                <w:rFonts w:hint="eastAsia"/>
                <w:color w:val="auto"/>
                <w:sz w:val="20"/>
                <w:highlight w:val="none"/>
              </w:rPr>
              <w:t>章的内容及要求提供书面声明材料</w:t>
            </w:r>
            <w:r>
              <w:rPr>
                <w:rFonts w:hint="eastAsia" w:ascii="宋体" w:hAnsi="宋体"/>
                <w:color w:val="auto"/>
                <w:sz w:val="20"/>
                <w:szCs w:val="28"/>
                <w:highlight w:val="none"/>
              </w:rPr>
              <w:t>；②供应商未处于被行政部门禁止参与政府采购活动的期限内。</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行贿犯罪记录</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在行贿犯罪信息查询期限内，投标人及其现任法定代表人、主要负责人没有行贿犯罪记录的书面声明材料。【说明：</w:t>
            </w:r>
            <w:r>
              <w:rPr>
                <w:rFonts w:hint="eastAsia" w:ascii="宋体" w:hAnsi="宋体"/>
                <w:color w:val="auto"/>
                <w:sz w:val="20"/>
                <w:szCs w:val="28"/>
                <w:highlight w:val="none"/>
              </w:rPr>
              <w:t>①</w:t>
            </w:r>
            <w:r>
              <w:rPr>
                <w:rFonts w:hint="eastAsia"/>
                <w:color w:val="auto"/>
                <w:sz w:val="20"/>
                <w:highlight w:val="none"/>
              </w:rPr>
              <w:t>按招标文件第</w:t>
            </w:r>
            <w:r>
              <w:rPr>
                <w:color w:val="auto"/>
                <w:sz w:val="20"/>
                <w:highlight w:val="none"/>
              </w:rPr>
              <w:t>3</w:t>
            </w:r>
            <w:r>
              <w:rPr>
                <w:rFonts w:hint="eastAsia"/>
                <w:color w:val="auto"/>
                <w:sz w:val="20"/>
                <w:highlight w:val="none"/>
              </w:rPr>
              <w:t>章的内容及要求提供书面声明材料，投标文件中不需提供中国裁判文书网（</w:t>
            </w:r>
            <w:r>
              <w:rPr>
                <w:color w:val="auto"/>
                <w:sz w:val="20"/>
                <w:highlight w:val="none"/>
              </w:rPr>
              <w:t>https://wenshu.court.gov.cn</w:t>
            </w:r>
            <w:r>
              <w:rPr>
                <w:rFonts w:hint="eastAsia"/>
                <w:color w:val="auto"/>
                <w:sz w:val="20"/>
                <w:highlight w:val="none"/>
              </w:rPr>
              <w:t>）查询结果的证明材料；</w:t>
            </w:r>
            <w:r>
              <w:rPr>
                <w:rFonts w:hint="eastAsia" w:ascii="宋体" w:hAnsi="宋体"/>
                <w:color w:val="auto"/>
                <w:sz w:val="20"/>
                <w:szCs w:val="28"/>
                <w:highlight w:val="none"/>
              </w:rPr>
              <w:t>②在行贿犯罪信息查询期限内，供应商及其现任法定代表人、主要负责人没有行贿犯罪记录</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单位负责人为同一人或者存在直接控股、管理关系的不同供应商，不得参加同一项目的投标</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与投标人负责人为同一人或者存在直接控股、管理关系的相关供应商的书面声明材料。【说明：①按招标文件第</w:t>
            </w:r>
            <w:r>
              <w:rPr>
                <w:color w:val="auto"/>
                <w:sz w:val="20"/>
                <w:highlight w:val="none"/>
              </w:rPr>
              <w:t>3</w:t>
            </w:r>
            <w:r>
              <w:rPr>
                <w:rFonts w:hint="eastAsia"/>
                <w:color w:val="auto"/>
                <w:sz w:val="20"/>
                <w:highlight w:val="none"/>
              </w:rPr>
              <w:t>章的内容及要求提供书面声明材料；②参加投标的供应商中无与投标人的负责人为同一人或者存在直接控股、管理关系的供应商。】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restart"/>
            <w:tcBorders>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3</w:t>
            </w:r>
          </w:p>
        </w:tc>
        <w:tc>
          <w:tcPr>
            <w:tcW w:w="700" w:type="dxa"/>
            <w:vMerge w:val="restart"/>
            <w:tcBorders>
              <w:left w:val="single" w:color="auto" w:sz="2" w:space="0"/>
              <w:right w:val="single" w:color="auto" w:sz="4" w:space="0"/>
            </w:tcBorders>
            <w:vAlign w:val="center"/>
          </w:tcPr>
          <w:p>
            <w:pPr>
              <w:tabs>
                <w:tab w:val="left" w:pos="851"/>
              </w:tabs>
              <w:spacing w:line="360" w:lineRule="auto"/>
              <w:rPr>
                <w:color w:val="auto"/>
                <w:sz w:val="20"/>
                <w:highlight w:val="none"/>
              </w:rPr>
            </w:pPr>
            <w:r>
              <w:rPr>
                <w:rFonts w:hint="eastAsia"/>
                <w:color w:val="auto"/>
                <w:sz w:val="20"/>
                <w:highlight w:val="none"/>
              </w:rPr>
              <w:t>其他</w:t>
            </w: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具有履行合同所必须的设备和专业技术能力</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采购人对投标人履行合同所必须的设备和专业技术能力无其他特殊要求，投标人具有有效的营业执照或法人证书</w:t>
            </w:r>
            <w:r>
              <w:rPr>
                <w:rFonts w:hint="eastAsia" w:ascii="宋体" w:hAnsi="宋体"/>
                <w:color w:val="auto"/>
                <w:sz w:val="20"/>
                <w:szCs w:val="28"/>
                <w:highlight w:val="none"/>
              </w:rPr>
              <w:t>即可，可不提供其他证明材料</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Height w:val="1005" w:hRule="atLeast"/>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法律、行政法规规定的其他条件</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采购人对法律、行政法规规定的其他条件无其他特殊要求，投标人具有有效的营业执照或法人证书</w:t>
            </w:r>
            <w:r>
              <w:rPr>
                <w:rFonts w:hint="eastAsia" w:ascii="宋体" w:hAnsi="宋体"/>
                <w:color w:val="auto"/>
                <w:sz w:val="20"/>
                <w:szCs w:val="28"/>
                <w:highlight w:val="none"/>
              </w:rPr>
              <w:t>即可，可不提供其他证明材料</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不属于其他国家相关法律法规规定的禁止参加投标的供应商</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、根据招标文件的要求不属于禁止参加投标或投标无效的供应商；</w:t>
            </w:r>
          </w:p>
          <w:p>
            <w:pPr>
              <w:tabs>
                <w:tab w:val="left" w:pos="851"/>
              </w:tabs>
              <w:spacing w:line="360" w:lineRule="auto"/>
              <w:rPr>
                <w:color w:val="auto"/>
                <w:sz w:val="20"/>
                <w:highlight w:val="none"/>
              </w:rPr>
            </w:pPr>
            <w:r>
              <w:rPr>
                <w:color w:val="auto"/>
                <w:sz w:val="20"/>
                <w:highlight w:val="none"/>
              </w:rPr>
              <w:t>2</w:t>
            </w:r>
            <w:r>
              <w:rPr>
                <w:rFonts w:hint="eastAsia"/>
                <w:color w:val="auto"/>
                <w:sz w:val="20"/>
                <w:highlight w:val="none"/>
              </w:rPr>
              <w:t>、资格审查小组未发现或者未知晓投标人存在属于国家相关法律法规规定的禁止参加投标或投标无效的供应商。</w:t>
            </w:r>
          </w:p>
          <w:p>
            <w:pPr>
              <w:tabs>
                <w:tab w:val="left" w:pos="851"/>
              </w:tabs>
              <w:spacing w:line="360" w:lineRule="auto"/>
              <w:rPr>
                <w:color w:val="auto"/>
                <w:sz w:val="20"/>
                <w:highlight w:val="none"/>
              </w:rPr>
            </w:pP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联合体投标</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资质要求</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投标保证金</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投标文件解密情况</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ascii="宋体" w:hAnsi="宋体"/>
                <w:color w:val="auto"/>
                <w:sz w:val="20"/>
                <w:szCs w:val="28"/>
                <w:highlight w:val="none"/>
              </w:rPr>
              <w:t>除因断电、断网、系统故障或其他不可抗力等因素，导致系统无法使用外，投标文件已成功解密。</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投标文件签章</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投标文件资格响应</w:t>
            </w:r>
            <w:r>
              <w:rPr>
                <w:color w:val="auto"/>
                <w:sz w:val="20"/>
                <w:highlight w:val="none"/>
              </w:rPr>
              <w:t>文件</w:t>
            </w:r>
            <w:r>
              <w:rPr>
                <w:rFonts w:hint="eastAsia"/>
                <w:color w:val="auto"/>
                <w:sz w:val="20"/>
                <w:highlight w:val="none"/>
              </w:rPr>
              <w:t>组成</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符合招标文件</w:t>
            </w:r>
            <w:r>
              <w:rPr>
                <w:color w:val="auto"/>
                <w:sz w:val="20"/>
                <w:highlight w:val="none"/>
              </w:rPr>
              <w:t>“2.4.6</w:t>
            </w:r>
            <w:r>
              <w:rPr>
                <w:rFonts w:hint="eastAsia"/>
                <w:color w:val="auto"/>
                <w:sz w:val="20"/>
                <w:highlight w:val="none"/>
              </w:rPr>
              <w:t>投标文件的组成</w:t>
            </w:r>
            <w:r>
              <w:rPr>
                <w:color w:val="auto"/>
                <w:sz w:val="20"/>
                <w:highlight w:val="none"/>
              </w:rPr>
              <w:t>”</w:t>
            </w:r>
            <w:r>
              <w:rPr>
                <w:rFonts w:hint="eastAsia"/>
                <w:color w:val="auto"/>
                <w:sz w:val="20"/>
                <w:highlight w:val="none"/>
              </w:rPr>
              <w:t>规定要求。【说明：无须提供证明材料，上传空白页即可，不对本项上传的材料作资格审查】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auto"/>
                <w:sz w:val="20"/>
                <w:highlight w:val="none"/>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投标文件资格响应文件的语言</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4</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具有健全的财务会计制度的证明材料</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20</w:t>
            </w:r>
            <w:r>
              <w:rPr>
                <w:rFonts w:hint="eastAsia"/>
                <w:color w:val="auto"/>
                <w:sz w:val="20"/>
                <w:highlight w:val="none"/>
              </w:rPr>
              <w:t>19或</w:t>
            </w:r>
            <w:r>
              <w:rPr>
                <w:color w:val="auto"/>
                <w:sz w:val="20"/>
                <w:highlight w:val="none"/>
              </w:rPr>
              <w:t>20</w:t>
            </w:r>
            <w:r>
              <w:rPr>
                <w:rFonts w:hint="eastAsia"/>
                <w:color w:val="auto"/>
                <w:sz w:val="20"/>
                <w:highlight w:val="none"/>
              </w:rPr>
              <w:t>20会计年度资产负债表复印件。【说明：投标人成立时间至投标截止时间止不足一年的，提供成立后任意时段的资产负债表复印件。】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5</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缴纳社会保障资金的证明材料</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投标人缴纳</w:t>
            </w:r>
            <w:r>
              <w:rPr>
                <w:color w:val="auto"/>
                <w:sz w:val="20"/>
                <w:highlight w:val="none"/>
              </w:rPr>
              <w:t>20</w:t>
            </w:r>
            <w:r>
              <w:rPr>
                <w:rFonts w:hint="eastAsia"/>
                <w:color w:val="auto"/>
                <w:sz w:val="20"/>
                <w:highlight w:val="none"/>
              </w:rPr>
              <w:t>20或</w:t>
            </w:r>
            <w:r>
              <w:rPr>
                <w:color w:val="auto"/>
                <w:sz w:val="20"/>
                <w:highlight w:val="none"/>
              </w:rPr>
              <w:t>20</w:t>
            </w:r>
            <w:r>
              <w:rPr>
                <w:rFonts w:hint="eastAsia"/>
                <w:color w:val="auto"/>
                <w:sz w:val="20"/>
                <w:highlight w:val="none"/>
              </w:rPr>
              <w:t>21年任意时段的社保的银行电子回单或行政部门出具的社保缴纳证明材料复印件。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6</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缴纳税收的证明材料</w:t>
            </w:r>
          </w:p>
        </w:tc>
        <w:tc>
          <w:tcPr>
            <w:tcW w:w="593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投标人缴纳</w:t>
            </w:r>
            <w:r>
              <w:rPr>
                <w:color w:val="auto"/>
                <w:sz w:val="20"/>
                <w:highlight w:val="none"/>
              </w:rPr>
              <w:t>20</w:t>
            </w:r>
            <w:r>
              <w:rPr>
                <w:rFonts w:hint="eastAsia"/>
                <w:color w:val="auto"/>
                <w:sz w:val="20"/>
                <w:highlight w:val="none"/>
              </w:rPr>
              <w:t>20或</w:t>
            </w:r>
            <w:r>
              <w:rPr>
                <w:color w:val="auto"/>
                <w:sz w:val="20"/>
                <w:highlight w:val="none"/>
              </w:rPr>
              <w:t>20</w:t>
            </w:r>
            <w:r>
              <w:rPr>
                <w:rFonts w:hint="eastAsia"/>
                <w:color w:val="auto"/>
                <w:sz w:val="20"/>
                <w:highlight w:val="none"/>
              </w:rPr>
              <w:t>21年任意时段的税收的银行电子回单或者行政部门出具的纳税证明或完税证明的复印件。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二、“信用中国”和“中国政府采购网”网站查询结果，将以纸质截图或将截图保存至电子介质的形式留存。</w:t>
      </w:r>
    </w:p>
    <w:p>
      <w:p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三、投标人的投标文件资格性审查时被判定为无效的，高新区采购中心将通知投标人（以电话方式）。投标人如对资格审查结论有异议的，应及时向高新区采购中心反馈意见。高新区采购中心将及时告知资格审查小组。（说明：无论投标人是否收到通知或提供反馈意见，均不影响资格审查和评标工作，且高新区采购中心对此将不承担任何的责任。投标人对资格审查结论有异议的，其反馈意见仅限于资格审查小组对资格审查结论的正确性进行复核，避免出现审查错误。）</w:t>
      </w:r>
    </w:p>
    <w:p>
      <w:pPr>
        <w:ind w:firstLine="565" w:firstLineChars="202"/>
        <w:rPr>
          <w:color w:val="auto"/>
          <w:highlight w:val="none"/>
        </w:rPr>
      </w:pPr>
      <w:r>
        <w:rPr>
          <w:rFonts w:hint="eastAsia" w:ascii="宋体" w:hAnsi="宋体"/>
          <w:color w:val="auto"/>
          <w:sz w:val="28"/>
          <w:szCs w:val="28"/>
          <w:highlight w:val="none"/>
        </w:rPr>
        <w:t>四、通过资格性审查的供应商＜3名，采购失败。</w:t>
      </w:r>
    </w:p>
    <w:p>
      <w:pPr>
        <w:pStyle w:val="19"/>
        <w:rPr>
          <w:color w:val="auto"/>
          <w:highlight w:val="none"/>
        </w:rPr>
      </w:pPr>
    </w:p>
    <w:p>
      <w:pPr>
        <w:rPr>
          <w:color w:val="auto"/>
          <w:highlight w:val="none"/>
        </w:rPr>
      </w:pPr>
      <w:bookmarkStart w:id="528" w:name="_Toc18121"/>
      <w:bookmarkStart w:id="529" w:name="_Toc11596"/>
      <w:bookmarkStart w:id="530" w:name="_Toc16118"/>
      <w:bookmarkStart w:id="531" w:name="_Toc29184"/>
      <w:r>
        <w:rPr>
          <w:rFonts w:hint="eastAsia"/>
          <w:color w:val="auto"/>
          <w:highlight w:val="none"/>
        </w:rPr>
        <w:br w:type="page"/>
      </w:r>
    </w:p>
    <w:p>
      <w:pPr>
        <w:pStyle w:val="4"/>
        <w:numPr>
          <w:ilvl w:val="0"/>
          <w:numId w:val="5"/>
        </w:numPr>
        <w:spacing w:before="0" w:after="0" w:line="360" w:lineRule="auto"/>
        <w:ind w:left="0" w:firstLine="0"/>
        <w:rPr>
          <w:color w:val="auto"/>
          <w:highlight w:val="none"/>
        </w:rPr>
      </w:pPr>
      <w:bookmarkStart w:id="532" w:name="_Toc16571"/>
      <w:r>
        <w:rPr>
          <w:rFonts w:hint="eastAsia"/>
          <w:color w:val="auto"/>
          <w:highlight w:val="none"/>
        </w:rPr>
        <w:t>评标办法</w:t>
      </w:r>
      <w:bookmarkEnd w:id="528"/>
      <w:bookmarkEnd w:id="529"/>
      <w:bookmarkEnd w:id="530"/>
      <w:bookmarkEnd w:id="531"/>
      <w:bookmarkEnd w:id="532"/>
      <w:bookmarkStart w:id="533" w:name="_Toc183682415"/>
      <w:bookmarkStart w:id="534" w:name="_Toc183582280"/>
      <w:bookmarkStart w:id="535" w:name="_Toc217446097"/>
      <w:bookmarkStart w:id="536" w:name="_Toc208849007"/>
    </w:p>
    <w:p>
      <w:pPr>
        <w:pStyle w:val="5"/>
        <w:numPr>
          <w:ilvl w:val="1"/>
          <w:numId w:val="5"/>
        </w:numPr>
        <w:spacing w:before="0" w:after="0" w:line="560" w:lineRule="exact"/>
        <w:ind w:left="2269" w:hanging="2269"/>
        <w:rPr>
          <w:color w:val="auto"/>
          <w:highlight w:val="none"/>
        </w:rPr>
      </w:pPr>
      <w:bookmarkStart w:id="537" w:name="_Toc30790"/>
      <w:bookmarkStart w:id="538" w:name="_Toc316292248"/>
      <w:bookmarkStart w:id="539" w:name="_Toc315871642"/>
      <w:bookmarkStart w:id="540" w:name="_Toc13609"/>
      <w:bookmarkStart w:id="541" w:name="_Toc31927"/>
      <w:bookmarkStart w:id="542" w:name="_Toc12005"/>
      <w:bookmarkStart w:id="543" w:name="_Toc10788"/>
      <w:r>
        <w:rPr>
          <w:rFonts w:hint="eastAsia"/>
          <w:color w:val="auto"/>
          <w:highlight w:val="none"/>
        </w:rPr>
        <w:t>总则</w:t>
      </w:r>
      <w:bookmarkEnd w:id="533"/>
      <w:bookmarkEnd w:id="534"/>
      <w:bookmarkEnd w:id="535"/>
      <w:bookmarkEnd w:id="536"/>
      <w:bookmarkEnd w:id="537"/>
      <w:bookmarkEnd w:id="538"/>
      <w:bookmarkEnd w:id="539"/>
      <w:bookmarkEnd w:id="540"/>
      <w:bookmarkEnd w:id="541"/>
      <w:bookmarkEnd w:id="542"/>
      <w:bookmarkEnd w:id="543"/>
    </w:p>
    <w:p>
      <w:pPr>
        <w:numPr>
          <w:ilvl w:val="0"/>
          <w:numId w:val="49"/>
        </w:numPr>
        <w:tabs>
          <w:tab w:val="left" w:pos="1134"/>
        </w:tabs>
        <w:spacing w:after="200" w:line="560" w:lineRule="exact"/>
        <w:ind w:left="0" w:firstLine="565" w:firstLineChars="202"/>
        <w:jc w:val="left"/>
        <w:rPr>
          <w:rFonts w:ascii="宋体" w:hAnsi="宋体"/>
          <w:color w:val="auto"/>
          <w:sz w:val="28"/>
          <w:szCs w:val="28"/>
          <w:highlight w:val="none"/>
        </w:rPr>
      </w:pPr>
      <w:r>
        <w:rPr>
          <w:rFonts w:hint="eastAsia" w:ascii="宋体" w:hAnsi="宋体"/>
          <w:color w:val="auto"/>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49"/>
        </w:numPr>
        <w:tabs>
          <w:tab w:val="left" w:pos="1134"/>
        </w:tabs>
        <w:spacing w:after="200" w:line="560" w:lineRule="exact"/>
        <w:ind w:left="0" w:firstLine="565" w:firstLineChars="202"/>
        <w:jc w:val="left"/>
        <w:rPr>
          <w:rFonts w:ascii="宋体" w:hAnsi="宋体"/>
          <w:color w:val="auto"/>
          <w:sz w:val="28"/>
          <w:szCs w:val="28"/>
          <w:highlight w:val="none"/>
        </w:rPr>
      </w:pPr>
      <w:r>
        <w:rPr>
          <w:rFonts w:hint="eastAsia" w:ascii="宋体" w:hAnsi="宋体"/>
          <w:color w:val="auto"/>
          <w:sz w:val="28"/>
          <w:szCs w:val="28"/>
          <w:highlight w:val="none"/>
        </w:rPr>
        <w:t>评标工作由高新区采购中心负责组织，具体评标事务由采购人或高新区采购中心依法组建的评标委员会负责。评标委员会由采购人代表和评审专家组成。</w:t>
      </w:r>
    </w:p>
    <w:p>
      <w:pPr>
        <w:numPr>
          <w:ilvl w:val="0"/>
          <w:numId w:val="49"/>
        </w:numPr>
        <w:tabs>
          <w:tab w:val="left" w:pos="1134"/>
        </w:tabs>
        <w:spacing w:after="200" w:line="560" w:lineRule="exact"/>
        <w:ind w:left="0" w:firstLine="565" w:firstLineChars="202"/>
        <w:jc w:val="left"/>
        <w:rPr>
          <w:rFonts w:ascii="宋体" w:hAnsi="宋体"/>
          <w:color w:val="auto"/>
          <w:sz w:val="28"/>
          <w:szCs w:val="28"/>
          <w:highlight w:val="none"/>
        </w:rPr>
      </w:pPr>
      <w:r>
        <w:rPr>
          <w:rFonts w:hint="eastAsia" w:ascii="宋体" w:hAnsi="宋体"/>
          <w:color w:val="auto"/>
          <w:sz w:val="28"/>
          <w:szCs w:val="28"/>
          <w:highlight w:val="none"/>
        </w:rPr>
        <w:t>评标工作应遵循公平、公正、科学及择优的原则，并以相同的评标程序和标准对待所有的投标人。</w:t>
      </w:r>
    </w:p>
    <w:p>
      <w:pPr>
        <w:numPr>
          <w:ilvl w:val="0"/>
          <w:numId w:val="49"/>
        </w:numPr>
        <w:tabs>
          <w:tab w:val="left" w:pos="1134"/>
        </w:tabs>
        <w:spacing w:after="200" w:line="560" w:lineRule="exact"/>
        <w:ind w:left="0" w:firstLine="565" w:firstLineChars="202"/>
        <w:jc w:val="left"/>
        <w:rPr>
          <w:rFonts w:ascii="宋体" w:hAnsi="宋体"/>
          <w:color w:val="auto"/>
          <w:sz w:val="28"/>
          <w:szCs w:val="28"/>
          <w:highlight w:val="none"/>
        </w:rPr>
      </w:pPr>
      <w:r>
        <w:rPr>
          <w:rFonts w:hint="eastAsia" w:ascii="宋体" w:hAnsi="宋体"/>
          <w:color w:val="auto"/>
          <w:sz w:val="28"/>
          <w:szCs w:val="28"/>
          <w:highlight w:val="none"/>
        </w:rPr>
        <w:t>评标委员会按照招标文件规定的评标程序、评标方法和标准进行独立评审，并独立履行下列职责：</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熟悉和理解招标文件；</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审查、评价投标文件是否符合招标文件的商务、技术等实质性要求；</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对投标文件进行比较和评价；</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根据需要要求采购人对招标文件作出解释；根据需要要求投标人对投标文件有关事项作出解释或者澄清；</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确定中标候选人名单，以及根据采购人委托直接确定中标人；</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起草评标报告并进行签署；</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向采购人、高新区采购中心或者财政、监察等有关部门报告或举报非法干预评标工作的行为；</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向采购人、</w:t>
      </w:r>
      <w:r>
        <w:rPr>
          <w:rFonts w:hint="eastAsia" w:cs="Arial"/>
          <w:color w:val="auto"/>
          <w:sz w:val="28"/>
          <w:szCs w:val="28"/>
          <w:highlight w:val="none"/>
        </w:rPr>
        <w:t>高新区采购中心</w:t>
      </w:r>
      <w:r>
        <w:rPr>
          <w:rFonts w:hint="eastAsia" w:ascii="宋体" w:hAnsi="宋体"/>
          <w:color w:val="auto"/>
          <w:sz w:val="28"/>
          <w:szCs w:val="28"/>
          <w:highlight w:val="none"/>
        </w:rPr>
        <w:t>或者有关部门报告评标中发现的违法行为。</w:t>
      </w:r>
    </w:p>
    <w:p>
      <w:pPr>
        <w:numPr>
          <w:ilvl w:val="1"/>
          <w:numId w:val="50"/>
        </w:numPr>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法律、法规和规章规定的其他职责。</w:t>
      </w:r>
    </w:p>
    <w:p>
      <w:pPr>
        <w:numPr>
          <w:ilvl w:val="0"/>
          <w:numId w:val="49"/>
        </w:numPr>
        <w:tabs>
          <w:tab w:val="left" w:pos="1134"/>
        </w:tabs>
        <w:spacing w:after="200" w:line="560" w:lineRule="exact"/>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评标过程独立、保密。投标人非法干预评标过程的行为将导致其投标文件作为无效处理。</w:t>
      </w:r>
    </w:p>
    <w:p>
      <w:pPr>
        <w:numPr>
          <w:ilvl w:val="0"/>
          <w:numId w:val="49"/>
        </w:numPr>
        <w:tabs>
          <w:tab w:val="left" w:pos="1134"/>
        </w:tabs>
        <w:spacing w:after="200" w:line="560" w:lineRule="exact"/>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七、评标委员会发现招标文件表述不明确或需要说明的事项，可提请采购人和高新区采购中心书面解释说明。</w:t>
      </w:r>
    </w:p>
    <w:p>
      <w:pPr>
        <w:pStyle w:val="5"/>
        <w:numPr>
          <w:ilvl w:val="1"/>
          <w:numId w:val="5"/>
        </w:numPr>
        <w:spacing w:before="0" w:after="0" w:line="560" w:lineRule="exact"/>
        <w:ind w:left="2269" w:hanging="2269"/>
        <w:rPr>
          <w:color w:val="auto"/>
          <w:highlight w:val="none"/>
        </w:rPr>
      </w:pPr>
      <w:bookmarkStart w:id="544" w:name="_Toc29481"/>
      <w:bookmarkStart w:id="545" w:name="_Toc3818"/>
      <w:bookmarkStart w:id="546" w:name="_Toc28274"/>
      <w:bookmarkStart w:id="547" w:name="_Toc7423"/>
      <w:bookmarkStart w:id="548" w:name="_Toc25767"/>
      <w:bookmarkStart w:id="549" w:name="_Toc315871644"/>
      <w:bookmarkStart w:id="550" w:name="_Toc217446098"/>
      <w:bookmarkStart w:id="551" w:name="_Toc316292250"/>
      <w:r>
        <w:rPr>
          <w:rFonts w:hint="eastAsia"/>
          <w:color w:val="auto"/>
          <w:highlight w:val="none"/>
        </w:rPr>
        <w:t>评标方法</w:t>
      </w:r>
      <w:bookmarkEnd w:id="544"/>
      <w:bookmarkEnd w:id="545"/>
      <w:bookmarkEnd w:id="546"/>
      <w:bookmarkEnd w:id="547"/>
      <w:bookmarkEnd w:id="548"/>
    </w:p>
    <w:p>
      <w:pPr>
        <w:spacing w:line="560" w:lineRule="exact"/>
        <w:rPr>
          <w:color w:val="auto"/>
          <w:highlight w:val="none"/>
        </w:rPr>
      </w:pPr>
      <w:r>
        <w:rPr>
          <w:rFonts w:hint="eastAsia" w:ascii="宋体" w:hAnsi="宋体"/>
          <w:color w:val="auto"/>
          <w:sz w:val="28"/>
          <w:szCs w:val="28"/>
          <w:highlight w:val="none"/>
        </w:rPr>
        <w:t xml:space="preserve">  综合评分法。</w:t>
      </w:r>
    </w:p>
    <w:p>
      <w:pPr>
        <w:pStyle w:val="5"/>
        <w:numPr>
          <w:ilvl w:val="1"/>
          <w:numId w:val="5"/>
        </w:numPr>
        <w:spacing w:before="0" w:after="0" w:line="560" w:lineRule="exact"/>
        <w:ind w:left="2269" w:hanging="2269"/>
        <w:rPr>
          <w:color w:val="auto"/>
          <w:highlight w:val="none"/>
        </w:rPr>
      </w:pPr>
      <w:bookmarkStart w:id="552" w:name="_Toc3207"/>
      <w:bookmarkStart w:id="553" w:name="_Toc10678"/>
      <w:bookmarkStart w:id="554" w:name="_Toc30741"/>
      <w:bookmarkStart w:id="555" w:name="_Toc6803"/>
      <w:bookmarkStart w:id="556" w:name="_Toc24923"/>
      <w:r>
        <w:rPr>
          <w:rFonts w:hint="eastAsia"/>
          <w:color w:val="auto"/>
          <w:highlight w:val="none"/>
        </w:rPr>
        <w:t>评标程序</w:t>
      </w:r>
      <w:bookmarkEnd w:id="549"/>
      <w:bookmarkEnd w:id="550"/>
      <w:bookmarkEnd w:id="551"/>
      <w:bookmarkEnd w:id="552"/>
      <w:bookmarkEnd w:id="553"/>
      <w:bookmarkEnd w:id="554"/>
      <w:bookmarkEnd w:id="555"/>
      <w:bookmarkEnd w:id="556"/>
    </w:p>
    <w:p>
      <w:pPr>
        <w:pStyle w:val="6"/>
        <w:numPr>
          <w:ilvl w:val="2"/>
          <w:numId w:val="5"/>
        </w:numPr>
        <w:spacing w:after="200" w:line="560" w:lineRule="exact"/>
        <w:ind w:left="0" w:firstLine="0"/>
        <w:rPr>
          <w:color w:val="auto"/>
          <w:highlight w:val="none"/>
        </w:rPr>
      </w:pPr>
      <w:bookmarkStart w:id="557" w:name="_Toc316475650"/>
      <w:bookmarkEnd w:id="557"/>
      <w:bookmarkStart w:id="558" w:name="_Toc217446099"/>
      <w:r>
        <w:rPr>
          <w:rFonts w:hint="eastAsia"/>
          <w:color w:val="auto"/>
          <w:highlight w:val="none"/>
        </w:rPr>
        <w:t>符合性审查</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符合性审查标准见下表（按以下顺序审查）：</w:t>
      </w:r>
    </w:p>
    <w:tbl>
      <w:tblPr>
        <w:tblStyle w:val="45"/>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806"/>
        <w:gridCol w:w="6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highlight w:val="none"/>
              </w:rPr>
            </w:pPr>
            <w:r>
              <w:rPr>
                <w:rFonts w:hint="eastAsia" w:ascii="宋体" w:hAnsi="宋体"/>
                <w:b/>
                <w:color w:val="auto"/>
                <w:sz w:val="24"/>
                <w:szCs w:val="28"/>
                <w:highlight w:val="none"/>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auto"/>
                <w:sz w:val="24"/>
                <w:szCs w:val="28"/>
                <w:highlight w:val="none"/>
              </w:rPr>
            </w:pPr>
            <w:r>
              <w:rPr>
                <w:rFonts w:hint="eastAsia" w:ascii="宋体" w:hAnsi="宋体"/>
                <w:b/>
                <w:color w:val="auto"/>
                <w:sz w:val="24"/>
                <w:szCs w:val="28"/>
                <w:highlight w:val="none"/>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auto"/>
                <w:sz w:val="24"/>
                <w:szCs w:val="28"/>
                <w:highlight w:val="none"/>
              </w:rPr>
            </w:pPr>
            <w:r>
              <w:rPr>
                <w:rFonts w:hint="eastAsia" w:ascii="宋体" w:hAnsi="宋体"/>
                <w:b/>
                <w:color w:val="auto"/>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投标文件商务技术</w:t>
            </w:r>
            <w:r>
              <w:rPr>
                <w:rFonts w:ascii="宋体" w:hAnsi="宋体"/>
                <w:color w:val="auto"/>
                <w:sz w:val="24"/>
                <w:szCs w:val="28"/>
                <w:highlight w:val="none"/>
              </w:rPr>
              <w:t>响应文件</w:t>
            </w:r>
            <w:r>
              <w:rPr>
                <w:rFonts w:hint="eastAsia" w:ascii="宋体" w:hAnsi="宋体"/>
                <w:color w:val="auto"/>
                <w:sz w:val="24"/>
                <w:szCs w:val="28"/>
                <w:highlight w:val="none"/>
              </w:rPr>
              <w:t>及</w:t>
            </w:r>
            <w:r>
              <w:rPr>
                <w:rFonts w:ascii="宋体" w:hAnsi="宋体"/>
                <w:color w:val="auto"/>
                <w:sz w:val="24"/>
                <w:szCs w:val="28"/>
                <w:highlight w:val="none"/>
              </w:rPr>
              <w:t>报价要求响应文件</w:t>
            </w:r>
            <w:r>
              <w:rPr>
                <w:rFonts w:hint="eastAsia" w:ascii="宋体" w:hAnsi="宋体"/>
                <w:color w:val="auto"/>
                <w:sz w:val="24"/>
                <w:szCs w:val="28"/>
                <w:highlight w:val="none"/>
              </w:rPr>
              <w:t>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 xml:space="preserve">2 </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投标文件签章投标文件加盖有投标人（法定名称）电子签章。</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投标文件商务技术</w:t>
            </w:r>
            <w:r>
              <w:rPr>
                <w:rFonts w:ascii="宋体" w:hAnsi="宋体"/>
                <w:color w:val="auto"/>
                <w:sz w:val="24"/>
                <w:szCs w:val="28"/>
                <w:highlight w:val="none"/>
              </w:rPr>
              <w:t>响应文件</w:t>
            </w:r>
            <w:r>
              <w:rPr>
                <w:rFonts w:hint="eastAsia" w:ascii="宋体" w:hAnsi="宋体"/>
                <w:color w:val="auto"/>
                <w:sz w:val="24"/>
                <w:szCs w:val="28"/>
                <w:highlight w:val="none"/>
              </w:rPr>
              <w:t>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报价</w:t>
            </w:r>
            <w:r>
              <w:rPr>
                <w:rFonts w:ascii="宋体" w:hAnsi="宋体"/>
                <w:color w:val="auto"/>
                <w:sz w:val="24"/>
                <w:szCs w:val="28"/>
                <w:highlight w:val="none"/>
              </w:rPr>
              <w:t>要求响应文件</w:t>
            </w:r>
            <w:r>
              <w:rPr>
                <w:rFonts w:hint="eastAsia" w:ascii="宋体" w:hAnsi="宋体"/>
                <w:color w:val="auto"/>
                <w:sz w:val="24"/>
                <w:szCs w:val="28"/>
                <w:highlight w:val="none"/>
              </w:rPr>
              <w:t>的</w:t>
            </w:r>
            <w:r>
              <w:rPr>
                <w:rFonts w:ascii="宋体" w:hAnsi="宋体"/>
                <w:color w:val="auto"/>
                <w:sz w:val="24"/>
                <w:szCs w:val="28"/>
                <w:highlight w:val="none"/>
              </w:rPr>
              <w:t>计量单位、语言、报价货币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计量单位、语言、报价货币均符合招标文件的要求。【说明：无须提供证明材料，上传空白页即可，不对本项上传的材料作符合性审查】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ascii="宋体" w:hAnsi="宋体"/>
                <w:color w:val="auto"/>
                <w:sz w:val="24"/>
                <w:szCs w:val="28"/>
                <w:highlight w:val="none"/>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highlight w:val="none"/>
              </w:rPr>
              <w:t>②</w:t>
            </w:r>
            <w:r>
              <w:rPr>
                <w:rFonts w:hint="eastAsia" w:ascii="宋体" w:hAnsi="宋体"/>
                <w:color w:val="auto"/>
                <w:sz w:val="24"/>
                <w:szCs w:val="28"/>
                <w:highlight w:val="none"/>
              </w:rPr>
              <w:t>单价金额小数点或者百分比有明显错位的，以总价为准，并修改单价；</w:t>
            </w:r>
            <w:r>
              <w:rPr>
                <w:rFonts w:hint="eastAsia" w:ascii="宋体" w:hAnsi="宋体" w:cs="宋体"/>
                <w:color w:val="auto"/>
                <w:sz w:val="24"/>
                <w:szCs w:val="28"/>
                <w:highlight w:val="none"/>
              </w:rPr>
              <w:t>③</w:t>
            </w:r>
            <w:r>
              <w:rPr>
                <w:rFonts w:hint="eastAsia" w:ascii="宋体" w:hAnsi="宋体"/>
                <w:color w:val="auto"/>
                <w:sz w:val="24"/>
                <w:szCs w:val="28"/>
                <w:highlight w:val="none"/>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auto"/>
                <w:sz w:val="24"/>
                <w:szCs w:val="28"/>
                <w:highlight w:val="none"/>
              </w:rPr>
              <w:t>5）如因断电、断网、系统故障或其他不可抗力等因素，导致系统无法使用的，由投标人按评标委员会的要求进行澄清或者说明</w:t>
            </w:r>
            <w:r>
              <w:rPr>
                <w:rFonts w:hint="eastAsia" w:ascii="宋体" w:hAnsi="宋体"/>
                <w:color w:val="auto"/>
                <w:sz w:val="24"/>
                <w:szCs w:val="28"/>
                <w:highlight w:val="none"/>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ascii="宋体" w:hAnsi="宋体"/>
                <w:color w:val="auto"/>
                <w:sz w:val="24"/>
                <w:szCs w:val="28"/>
                <w:highlight w:val="none"/>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第4章打★号的服务、商务和其他要求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投标文件均实质性响应招标文件中加★号的服务、商务和其他要求。【说明：无须提供证明材料，上传空白页即可，不对本项上传的材料作符合性审查】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ascii="宋体" w:hAnsi="宋体"/>
                <w:color w:val="auto"/>
                <w:sz w:val="24"/>
                <w:szCs w:val="28"/>
                <w:highlight w:val="none"/>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进口产品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ascii="宋体" w:hAnsi="宋体"/>
                <w:color w:val="auto"/>
                <w:sz w:val="24"/>
                <w:szCs w:val="28"/>
                <w:highlight w:val="none"/>
              </w:rPr>
              <w:t>8</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不属于禁止参加投标或投标无效的供应商</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（1）根据招标文件的要求不属于禁止参加投标或投标无效的供应商；</w:t>
            </w:r>
          </w:p>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ascii="宋体" w:hAnsi="宋体"/>
                <w:color w:val="auto"/>
                <w:sz w:val="24"/>
                <w:szCs w:val="28"/>
                <w:highlight w:val="none"/>
              </w:rPr>
              <w:t>9</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法定代表人身份证复印件或护照复印件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ascii="宋体" w:hAnsi="宋体"/>
                <w:color w:val="auto"/>
                <w:sz w:val="24"/>
                <w:szCs w:val="28"/>
                <w:highlight w:val="none"/>
              </w:rPr>
              <w:t>10</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cs="仿宋_GB2312" w:asciiTheme="minorEastAsia" w:hAnsiTheme="minorEastAsia" w:eastAsiaTheme="minorEastAsia"/>
                <w:color w:val="auto"/>
                <w:sz w:val="24"/>
                <w:szCs w:val="24"/>
                <w:highlight w:val="none"/>
              </w:rPr>
              <w:t>承诺函【说明：①按3.3.5承诺函的格式及要求提供承诺函；②承诺的内容满足招标文件的要求。】。</w:t>
            </w:r>
          </w:p>
        </w:tc>
      </w:tr>
    </w:tbl>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二、投标人的投标文件符合性审查时被判定为无效投标文件的，高新区采购中心将通知投标人（以电话方式）。投标人如对评审结论有异议的，应及时向高新区采购中心反馈意见。高新区采购中心在评审结束前将收到的反馈意见及时告知评标委员会。（说明：无论投标人是否收到通知或提供反馈意见，均不影响评标委员会的评标工作，且高新区采购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三、通过符合性审查的供应商＜3名，本项目采购失败。</w:t>
      </w:r>
    </w:p>
    <w:p>
      <w:pPr>
        <w:pStyle w:val="6"/>
        <w:numPr>
          <w:ilvl w:val="2"/>
          <w:numId w:val="5"/>
        </w:numPr>
        <w:spacing w:after="200" w:line="560" w:lineRule="exact"/>
        <w:ind w:left="0" w:firstLine="0"/>
        <w:rPr>
          <w:color w:val="auto"/>
          <w:highlight w:val="none"/>
        </w:rPr>
      </w:pPr>
      <w:r>
        <w:rPr>
          <w:rFonts w:hint="eastAsia"/>
          <w:color w:val="auto"/>
          <w:highlight w:val="none"/>
        </w:rPr>
        <w:t>解释、澄清有关问题</w:t>
      </w:r>
    </w:p>
    <w:p>
      <w:pPr>
        <w:numPr>
          <w:ilvl w:val="0"/>
          <w:numId w:val="51"/>
        </w:numPr>
        <w:tabs>
          <w:tab w:val="left" w:pos="1134"/>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过程中，评标委员会认为招标文件有关事项表述不明确或需要说明的，可以提请高新区采购中心书面解释。高新区采购中心的解释不得改变招标文件的原义或者影响公平、公正，解释事项如果涉及投标人权益的以有利于投标人的原则进行解释。</w:t>
      </w:r>
    </w:p>
    <w:p>
      <w:pPr>
        <w:numPr>
          <w:ilvl w:val="0"/>
          <w:numId w:val="51"/>
        </w:numPr>
        <w:tabs>
          <w:tab w:val="left" w:pos="1134"/>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51"/>
        </w:numPr>
        <w:tabs>
          <w:tab w:val="left" w:pos="1134"/>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pStyle w:val="158"/>
        <w:numPr>
          <w:ilvl w:val="0"/>
          <w:numId w:val="52"/>
        </w:numPr>
        <w:tabs>
          <w:tab w:val="left" w:pos="1260"/>
        </w:tabs>
        <w:spacing w:after="200" w:line="56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投标人投标文件中不响应招标文件规定的技术参数指标和商务应答；</w:t>
      </w:r>
    </w:p>
    <w:p>
      <w:pPr>
        <w:pStyle w:val="158"/>
        <w:numPr>
          <w:ilvl w:val="0"/>
          <w:numId w:val="52"/>
        </w:numPr>
        <w:tabs>
          <w:tab w:val="left" w:pos="1260"/>
        </w:tabs>
        <w:spacing w:after="200" w:line="56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投标人投标文件中未提供的证明其是否符合招标文件资格性、符合性规定要求的相关材料。</w:t>
      </w:r>
    </w:p>
    <w:p>
      <w:pPr>
        <w:pStyle w:val="158"/>
        <w:numPr>
          <w:ilvl w:val="0"/>
          <w:numId w:val="52"/>
        </w:numPr>
        <w:tabs>
          <w:tab w:val="left" w:pos="1260"/>
        </w:tabs>
        <w:spacing w:after="200" w:line="56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投标人投标文件中的材料因印刷、影印等不清晰而难以辨认的。</w:t>
      </w:r>
    </w:p>
    <w:p>
      <w:pPr>
        <w:numPr>
          <w:ilvl w:val="0"/>
          <w:numId w:val="51"/>
        </w:numPr>
        <w:tabs>
          <w:tab w:val="left" w:pos="1134"/>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投标文件报价出现下列情况的，不需要投标人澄清，按以下原则处理：</w:t>
      </w:r>
    </w:p>
    <w:p>
      <w:pPr>
        <w:pStyle w:val="158"/>
        <w:numPr>
          <w:ilvl w:val="0"/>
          <w:numId w:val="53"/>
        </w:numPr>
        <w:tabs>
          <w:tab w:val="left" w:pos="1050"/>
        </w:tabs>
        <w:spacing w:after="200" w:line="56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大写金额和小写金额不一致的，以大写金额为准，但大写金额出现文字错误，导致金额无法判断的除外；</w:t>
      </w:r>
    </w:p>
    <w:p>
      <w:pPr>
        <w:pStyle w:val="158"/>
        <w:numPr>
          <w:ilvl w:val="0"/>
          <w:numId w:val="53"/>
        </w:numPr>
        <w:tabs>
          <w:tab w:val="left" w:pos="1050"/>
        </w:tabs>
        <w:spacing w:after="200" w:line="56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单价金额小数点或者百分比有明显错位的，以总价为准，并修改单价；</w:t>
      </w:r>
    </w:p>
    <w:p>
      <w:pPr>
        <w:pStyle w:val="158"/>
        <w:numPr>
          <w:ilvl w:val="0"/>
          <w:numId w:val="53"/>
        </w:numPr>
        <w:tabs>
          <w:tab w:val="left" w:pos="1050"/>
        </w:tabs>
        <w:spacing w:after="200" w:line="560" w:lineRule="exact"/>
        <w:ind w:left="0" w:firstLine="525" w:firstLineChars="0"/>
        <w:rPr>
          <w:rFonts w:ascii="宋体" w:hAnsi="宋体"/>
          <w:color w:val="auto"/>
          <w:sz w:val="28"/>
          <w:szCs w:val="28"/>
          <w:highlight w:val="none"/>
        </w:rPr>
      </w:pPr>
      <w:r>
        <w:rPr>
          <w:rFonts w:hint="eastAsia" w:ascii="宋体" w:hAnsi="宋体"/>
          <w:color w:val="auto"/>
          <w:sz w:val="28"/>
          <w:szCs w:val="28"/>
          <w:highlight w:val="none"/>
        </w:rPr>
        <w:t>总价金额与按单价汇总金额不一致的，以单价金额计算结果为准。</w:t>
      </w:r>
    </w:p>
    <w:p>
      <w:pPr>
        <w:spacing w:line="560" w:lineRule="exact"/>
        <w:ind w:firstLine="560"/>
        <w:rPr>
          <w:color w:val="auto"/>
          <w:sz w:val="28"/>
          <w:szCs w:val="28"/>
          <w:highlight w:val="none"/>
        </w:rPr>
      </w:pPr>
      <w:r>
        <w:rPr>
          <w:rFonts w:hint="eastAsia"/>
          <w:color w:val="auto"/>
          <w:sz w:val="28"/>
          <w:szCs w:val="28"/>
          <w:highlight w:val="none"/>
        </w:rPr>
        <w:t>同时出现两种以上不一致的，按照前款规定的顺序修正。修正后的报价经投标人确认后产生约束力，投标人不确认的，其投标无效。</w:t>
      </w:r>
    </w:p>
    <w:p>
      <w:pPr>
        <w:spacing w:line="560" w:lineRule="exact"/>
        <w:ind w:firstLine="560" w:firstLineChars="200"/>
        <w:rPr>
          <w:color w:val="auto"/>
          <w:sz w:val="28"/>
          <w:szCs w:val="28"/>
          <w:highlight w:val="none"/>
        </w:rPr>
      </w:pPr>
      <w:r>
        <w:rPr>
          <w:rFonts w:hint="eastAsia"/>
          <w:color w:val="auto"/>
          <w:sz w:val="28"/>
          <w:szCs w:val="28"/>
          <w:highlight w:val="none"/>
        </w:rPr>
        <w:t>五、对不同语言文本投标文件的解释发生异议的，以中文文本为准。</w:t>
      </w:r>
    </w:p>
    <w:p>
      <w:pPr>
        <w:tabs>
          <w:tab w:val="left" w:pos="720"/>
        </w:tabs>
        <w:spacing w:line="560" w:lineRule="exact"/>
        <w:ind w:firstLine="560" w:firstLineChars="200"/>
        <w:rPr>
          <w:color w:val="auto"/>
          <w:sz w:val="28"/>
          <w:szCs w:val="28"/>
          <w:highlight w:val="none"/>
        </w:rPr>
      </w:pPr>
      <w:r>
        <w:rPr>
          <w:rFonts w:hint="eastAsia"/>
          <w:color w:val="auto"/>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auto"/>
          <w:sz w:val="28"/>
          <w:szCs w:val="28"/>
          <w:highlight w:val="none"/>
        </w:rPr>
      </w:pPr>
      <w:r>
        <w:rPr>
          <w:rFonts w:hint="eastAsia" w:ascii="宋体" w:hAnsi="宋体"/>
          <w:b/>
          <w:color w:val="auto"/>
          <w:sz w:val="28"/>
          <w:szCs w:val="28"/>
          <w:highlight w:val="none"/>
        </w:rPr>
        <w:t>评标委员会应当积极履行澄清、说明或者更正的职责，不得滥用权力。</w:t>
      </w:r>
    </w:p>
    <w:p>
      <w:pPr>
        <w:pStyle w:val="6"/>
        <w:numPr>
          <w:ilvl w:val="2"/>
          <w:numId w:val="5"/>
        </w:numPr>
        <w:spacing w:after="200" w:line="560" w:lineRule="exact"/>
        <w:ind w:left="851"/>
        <w:rPr>
          <w:color w:val="auto"/>
          <w:highlight w:val="none"/>
        </w:rPr>
      </w:pPr>
      <w:bookmarkStart w:id="559" w:name="_Toc315871649"/>
      <w:bookmarkEnd w:id="559"/>
      <w:bookmarkStart w:id="560" w:name="_Toc315871650"/>
      <w:bookmarkEnd w:id="560"/>
      <w:bookmarkStart w:id="561" w:name="_Toc315871651"/>
      <w:bookmarkEnd w:id="561"/>
      <w:bookmarkStart w:id="562" w:name="_Toc315871652"/>
      <w:bookmarkEnd w:id="562"/>
      <w:bookmarkStart w:id="563" w:name="_Toc316292253"/>
      <w:bookmarkStart w:id="564" w:name="_Toc315871647"/>
      <w:bookmarkStart w:id="565" w:name="_Toc316292255"/>
      <w:bookmarkStart w:id="566" w:name="_Toc315871653"/>
      <w:r>
        <w:rPr>
          <w:rFonts w:hint="eastAsia"/>
          <w:color w:val="auto"/>
          <w:highlight w:val="none"/>
        </w:rPr>
        <w:t>比较与评价</w:t>
      </w:r>
      <w:bookmarkEnd w:id="563"/>
      <w:bookmarkEnd w:id="564"/>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按招标文件中规定的评标细则及标准，对符合性检查合格的投标文件进行商务和服务评估，综合比较与评价。</w:t>
      </w:r>
    </w:p>
    <w:p>
      <w:pPr>
        <w:pStyle w:val="6"/>
        <w:numPr>
          <w:ilvl w:val="2"/>
          <w:numId w:val="5"/>
        </w:numPr>
        <w:spacing w:after="200" w:line="560" w:lineRule="exact"/>
        <w:ind w:left="0" w:firstLine="0"/>
        <w:rPr>
          <w:color w:val="auto"/>
          <w:highlight w:val="none"/>
        </w:rPr>
      </w:pPr>
      <w:r>
        <w:rPr>
          <w:rFonts w:hint="eastAsia"/>
          <w:color w:val="auto"/>
          <w:highlight w:val="none"/>
        </w:rPr>
        <w:t>复核</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评标结果汇总完成后，评标委员会拟出具评审报告前，</w:t>
      </w:r>
      <w:r>
        <w:rPr>
          <w:rFonts w:hint="eastAsia" w:cs="Arial"/>
          <w:color w:val="auto"/>
          <w:sz w:val="28"/>
          <w:szCs w:val="28"/>
          <w:highlight w:val="none"/>
        </w:rPr>
        <w:t>高新区采购中心</w:t>
      </w:r>
      <w:r>
        <w:rPr>
          <w:rFonts w:hint="eastAsia" w:ascii="宋体" w:hAnsi="宋体"/>
          <w:color w:val="auto"/>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评标结果汇总完成后，除下列情形外，任何人不得修改评标结果：</w:t>
      </w:r>
    </w:p>
    <w:p>
      <w:pPr>
        <w:pStyle w:val="86"/>
        <w:numPr>
          <w:ilvl w:val="0"/>
          <w:numId w:val="54"/>
        </w:numPr>
        <w:tabs>
          <w:tab w:val="left" w:pos="851"/>
          <w:tab w:val="left" w:pos="1276"/>
        </w:tabs>
        <w:spacing w:after="200" w:line="560" w:lineRule="exact"/>
        <w:ind w:left="0" w:firstLine="424" w:firstLineChars="0"/>
        <w:rPr>
          <w:rFonts w:ascii="宋体" w:hAnsi="宋体"/>
          <w:color w:val="auto"/>
          <w:sz w:val="28"/>
          <w:szCs w:val="28"/>
          <w:highlight w:val="none"/>
        </w:rPr>
      </w:pPr>
      <w:r>
        <w:rPr>
          <w:rFonts w:hint="eastAsia" w:ascii="宋体" w:hAnsi="宋体"/>
          <w:color w:val="auto"/>
          <w:sz w:val="28"/>
          <w:szCs w:val="28"/>
          <w:highlight w:val="none"/>
        </w:rPr>
        <w:t>分值汇总计算错误的；</w:t>
      </w:r>
    </w:p>
    <w:p>
      <w:pPr>
        <w:pStyle w:val="86"/>
        <w:numPr>
          <w:ilvl w:val="0"/>
          <w:numId w:val="54"/>
        </w:numPr>
        <w:tabs>
          <w:tab w:val="left" w:pos="851"/>
          <w:tab w:val="left" w:pos="1276"/>
        </w:tabs>
        <w:spacing w:after="200" w:line="560" w:lineRule="exact"/>
        <w:ind w:left="0" w:firstLine="424" w:firstLineChars="0"/>
        <w:rPr>
          <w:rFonts w:ascii="宋体" w:hAnsi="宋体"/>
          <w:color w:val="auto"/>
          <w:sz w:val="28"/>
          <w:szCs w:val="28"/>
          <w:highlight w:val="none"/>
        </w:rPr>
      </w:pPr>
      <w:r>
        <w:rPr>
          <w:rFonts w:hint="eastAsia" w:ascii="宋体" w:hAnsi="宋体"/>
          <w:color w:val="auto"/>
          <w:sz w:val="28"/>
          <w:szCs w:val="28"/>
          <w:highlight w:val="none"/>
        </w:rPr>
        <w:t>分项评分超出评分标准范围的；</w:t>
      </w:r>
    </w:p>
    <w:p>
      <w:pPr>
        <w:pStyle w:val="86"/>
        <w:numPr>
          <w:ilvl w:val="0"/>
          <w:numId w:val="54"/>
        </w:numPr>
        <w:tabs>
          <w:tab w:val="left" w:pos="851"/>
          <w:tab w:val="left" w:pos="1276"/>
          <w:tab w:val="left" w:pos="1418"/>
        </w:tabs>
        <w:spacing w:after="200" w:line="560" w:lineRule="exact"/>
        <w:ind w:left="0" w:firstLine="424" w:firstLineChars="0"/>
        <w:rPr>
          <w:rFonts w:ascii="宋体" w:hAnsi="宋体"/>
          <w:color w:val="auto"/>
          <w:sz w:val="28"/>
          <w:szCs w:val="28"/>
          <w:highlight w:val="none"/>
        </w:rPr>
      </w:pPr>
      <w:r>
        <w:rPr>
          <w:rFonts w:hint="eastAsia" w:ascii="宋体" w:hAnsi="宋体"/>
          <w:color w:val="auto"/>
          <w:sz w:val="28"/>
          <w:szCs w:val="28"/>
          <w:highlight w:val="none"/>
        </w:rPr>
        <w:t>评标委员会成员对客观评审因素评分不一致的；</w:t>
      </w:r>
    </w:p>
    <w:p>
      <w:pPr>
        <w:pStyle w:val="86"/>
        <w:numPr>
          <w:ilvl w:val="0"/>
          <w:numId w:val="54"/>
        </w:numPr>
        <w:tabs>
          <w:tab w:val="left" w:pos="851"/>
          <w:tab w:val="left" w:pos="1276"/>
        </w:tabs>
        <w:spacing w:after="200" w:line="560" w:lineRule="exact"/>
        <w:ind w:left="0" w:firstLine="426" w:firstLineChars="0"/>
        <w:rPr>
          <w:rFonts w:ascii="宋体" w:hAnsi="宋体"/>
          <w:color w:val="auto"/>
          <w:sz w:val="28"/>
          <w:szCs w:val="28"/>
          <w:highlight w:val="none"/>
        </w:rPr>
      </w:pPr>
      <w:r>
        <w:rPr>
          <w:rFonts w:hint="eastAsia" w:ascii="宋体" w:hAnsi="宋体"/>
          <w:color w:val="auto"/>
          <w:sz w:val="28"/>
          <w:szCs w:val="28"/>
          <w:highlight w:val="none"/>
        </w:rPr>
        <w:t>经评标委员会认定评分畸高、畸低的。</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5"/>
        </w:numPr>
        <w:spacing w:after="200" w:line="560" w:lineRule="exact"/>
        <w:ind w:left="0" w:firstLine="0"/>
        <w:rPr>
          <w:color w:val="auto"/>
          <w:highlight w:val="none"/>
        </w:rPr>
      </w:pPr>
      <w:r>
        <w:rPr>
          <w:rFonts w:hint="eastAsia"/>
          <w:color w:val="auto"/>
          <w:highlight w:val="none"/>
        </w:rPr>
        <w:t>确定中标候选人名单</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按投标人综合得分从高到低进行排序，确定1至3名中标候选人。综合得分相同的，按投标报价由低到高顺序排列，得分且投标报价相同的并列。</w:t>
      </w:r>
      <w:r>
        <w:rPr>
          <w:rFonts w:hint="eastAsia" w:ascii="Helvetica" w:hAnsi="Helvetica" w:cs="Helvetica"/>
          <w:color w:val="auto"/>
          <w:kern w:val="0"/>
          <w:sz w:val="28"/>
          <w:szCs w:val="28"/>
          <w:highlight w:val="none"/>
        </w:rPr>
        <w:t>投标文件满足招标文件全部实质性要求，且按照评审因素的量化指标评审得分最高的投标人为排名第一的中标候选人。</w:t>
      </w:r>
    </w:p>
    <w:p>
      <w:pPr>
        <w:pStyle w:val="6"/>
        <w:numPr>
          <w:ilvl w:val="2"/>
          <w:numId w:val="5"/>
        </w:numPr>
        <w:spacing w:after="200" w:line="560" w:lineRule="exact"/>
        <w:ind w:left="0" w:firstLine="0"/>
        <w:rPr>
          <w:color w:val="auto"/>
          <w:highlight w:val="none"/>
        </w:rPr>
      </w:pPr>
      <w:r>
        <w:rPr>
          <w:rFonts w:hint="eastAsia"/>
          <w:color w:val="auto"/>
          <w:highlight w:val="none"/>
        </w:rPr>
        <w:t>编写评标报告</w:t>
      </w:r>
      <w:bookmarkEnd w:id="565"/>
      <w:bookmarkEnd w:id="566"/>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评标报告是评标委员会根据全体评标成员签字的原始评标记录和评标结果编写的报告，其主要内容包括：</w:t>
      </w:r>
    </w:p>
    <w:p>
      <w:pPr>
        <w:numPr>
          <w:ilvl w:val="0"/>
          <w:numId w:val="55"/>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招标公告刊登的媒体名称、开标日期和地点；</w:t>
      </w:r>
    </w:p>
    <w:p>
      <w:pPr>
        <w:numPr>
          <w:ilvl w:val="0"/>
          <w:numId w:val="55"/>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投标人名单和评标委员会成员名单；</w:t>
      </w:r>
    </w:p>
    <w:p>
      <w:pPr>
        <w:numPr>
          <w:ilvl w:val="0"/>
          <w:numId w:val="55"/>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评标方法和标准；</w:t>
      </w:r>
    </w:p>
    <w:p>
      <w:pPr>
        <w:numPr>
          <w:ilvl w:val="0"/>
          <w:numId w:val="55"/>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开标记录和评标情况及说明，包括投标无效投标人名单及原因；</w:t>
      </w:r>
    </w:p>
    <w:p>
      <w:pPr>
        <w:numPr>
          <w:ilvl w:val="0"/>
          <w:numId w:val="55"/>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评标结果，确定的中标候选人名单或者经采购人委托直接确定的中标人；</w:t>
      </w:r>
    </w:p>
    <w:p>
      <w:pPr>
        <w:numPr>
          <w:ilvl w:val="0"/>
          <w:numId w:val="55"/>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 xml:space="preserve">其他需要说明的情况，包括评标过程中投标人根据评标委员会要求进行的澄清、说明或者补正，评标委员会成员的更换等； </w:t>
      </w:r>
    </w:p>
    <w:p>
      <w:pPr>
        <w:numPr>
          <w:ilvl w:val="0"/>
          <w:numId w:val="55"/>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5"/>
        </w:numPr>
        <w:spacing w:line="560" w:lineRule="exact"/>
        <w:ind w:left="2269" w:hanging="2269"/>
        <w:rPr>
          <w:color w:val="auto"/>
          <w:highlight w:val="none"/>
        </w:rPr>
      </w:pPr>
      <w:bookmarkStart w:id="567" w:name="_Toc30340"/>
      <w:bookmarkStart w:id="568" w:name="_Toc7609"/>
      <w:bookmarkStart w:id="569" w:name="_Toc479753445"/>
      <w:bookmarkStart w:id="570" w:name="_Toc11482"/>
      <w:bookmarkStart w:id="571" w:name="_Toc27797"/>
      <w:bookmarkStart w:id="572" w:name="_Toc29990"/>
      <w:bookmarkStart w:id="573" w:name="_Toc315871654"/>
      <w:bookmarkStart w:id="574" w:name="_Toc217446103"/>
      <w:bookmarkStart w:id="575" w:name="_Toc316292256"/>
      <w:r>
        <w:rPr>
          <w:rFonts w:hint="eastAsia"/>
          <w:color w:val="auto"/>
          <w:highlight w:val="none"/>
        </w:rPr>
        <w:t>评标争议处理规则</w:t>
      </w:r>
      <w:bookmarkEnd w:id="567"/>
      <w:bookmarkEnd w:id="568"/>
      <w:bookmarkEnd w:id="569"/>
      <w:bookmarkEnd w:id="570"/>
      <w:bookmarkEnd w:id="571"/>
      <w:bookmarkEnd w:id="572"/>
    </w:p>
    <w:p>
      <w:pPr>
        <w:tabs>
          <w:tab w:val="left" w:pos="1155"/>
        </w:tabs>
        <w:spacing w:line="56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highlight w:val="none"/>
        </w:rPr>
        <w:t>持不同意见的评标委员会成员应当在评标报告上签署不同意见及理由，否则视为同意评标报告。</w:t>
      </w:r>
      <w:r>
        <w:rPr>
          <w:rFonts w:hint="eastAsia" w:ascii="宋体" w:hAnsi="宋体"/>
          <w:color w:val="auto"/>
          <w:sz w:val="28"/>
          <w:szCs w:val="28"/>
          <w:highlight w:val="none"/>
        </w:rPr>
        <w:t>持不同意见的评标委员会成员认为认定过程和结果不符合法律法规或者招标文件规定的，应当及时向采购人或</w:t>
      </w:r>
      <w:r>
        <w:rPr>
          <w:rFonts w:hint="eastAsia" w:cs="Arial"/>
          <w:color w:val="auto"/>
          <w:sz w:val="28"/>
          <w:szCs w:val="28"/>
          <w:highlight w:val="none"/>
        </w:rPr>
        <w:t>高新区采购中心</w:t>
      </w:r>
      <w:r>
        <w:rPr>
          <w:rFonts w:hint="eastAsia" w:ascii="宋体" w:hAnsi="宋体"/>
          <w:color w:val="auto"/>
          <w:sz w:val="28"/>
          <w:szCs w:val="28"/>
          <w:highlight w:val="none"/>
        </w:rPr>
        <w:t>书面反映。采购人或</w:t>
      </w:r>
      <w:r>
        <w:rPr>
          <w:rFonts w:hint="eastAsia" w:cs="Arial"/>
          <w:color w:val="auto"/>
          <w:sz w:val="28"/>
          <w:szCs w:val="28"/>
          <w:highlight w:val="none"/>
        </w:rPr>
        <w:t>高新区采购中心</w:t>
      </w:r>
      <w:r>
        <w:rPr>
          <w:rFonts w:hint="eastAsia" w:ascii="宋体" w:hAnsi="宋体"/>
          <w:color w:val="auto"/>
          <w:sz w:val="28"/>
          <w:szCs w:val="28"/>
          <w:highlight w:val="none"/>
        </w:rPr>
        <w:t>收到书面反映后，应当书面报告采购项目同级财政部门依法处理。</w:t>
      </w:r>
    </w:p>
    <w:p>
      <w:pPr>
        <w:pStyle w:val="5"/>
        <w:numPr>
          <w:ilvl w:val="1"/>
          <w:numId w:val="5"/>
        </w:numPr>
        <w:spacing w:before="0" w:after="0" w:line="560" w:lineRule="exact"/>
        <w:ind w:left="2269" w:hanging="2269"/>
        <w:rPr>
          <w:color w:val="auto"/>
          <w:highlight w:val="none"/>
        </w:rPr>
      </w:pPr>
      <w:bookmarkStart w:id="576" w:name="_Toc6600"/>
      <w:bookmarkStart w:id="577" w:name="_Toc23552"/>
      <w:bookmarkStart w:id="578" w:name="_Toc25222"/>
      <w:bookmarkStart w:id="579" w:name="_Toc18642"/>
      <w:bookmarkStart w:id="580" w:name="_Toc26050"/>
      <w:r>
        <w:rPr>
          <w:rFonts w:hint="eastAsia"/>
          <w:color w:val="auto"/>
          <w:highlight w:val="none"/>
        </w:rPr>
        <w:t>评标细则及标准</w:t>
      </w:r>
      <w:bookmarkEnd w:id="573"/>
      <w:bookmarkEnd w:id="574"/>
      <w:bookmarkEnd w:id="575"/>
      <w:bookmarkEnd w:id="576"/>
      <w:bookmarkEnd w:id="577"/>
      <w:bookmarkEnd w:id="578"/>
      <w:bookmarkEnd w:id="579"/>
      <w:bookmarkEnd w:id="580"/>
    </w:p>
    <w:p>
      <w:pPr>
        <w:numPr>
          <w:ilvl w:val="0"/>
          <w:numId w:val="56"/>
        </w:numPr>
        <w:tabs>
          <w:tab w:val="left" w:pos="1155"/>
        </w:tabs>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评标委员会只对通过初审的投标文件，根据招标文件的要求采用相同的评标程序、评分办法及标准进行评价和比较。</w:t>
      </w:r>
    </w:p>
    <w:p>
      <w:pPr>
        <w:numPr>
          <w:ilvl w:val="0"/>
          <w:numId w:val="56"/>
        </w:numPr>
        <w:tabs>
          <w:tab w:val="left" w:pos="1155"/>
        </w:tabs>
        <w:spacing w:after="200"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本次综合评分的因素是：价格、服务、商务等。</w:t>
      </w:r>
    </w:p>
    <w:p>
      <w:pPr>
        <w:numPr>
          <w:ilvl w:val="0"/>
          <w:numId w:val="56"/>
        </w:numPr>
        <w:tabs>
          <w:tab w:val="left" w:pos="1155"/>
        </w:tabs>
        <w:spacing w:after="200" w:line="560" w:lineRule="exact"/>
        <w:ind w:left="0" w:firstLine="525"/>
        <w:rPr>
          <w:rFonts w:ascii="宋体" w:hAnsi="宋体"/>
          <w:color w:val="auto"/>
          <w:sz w:val="28"/>
          <w:szCs w:val="28"/>
          <w:highlight w:val="none"/>
        </w:rPr>
      </w:pPr>
      <w:bookmarkStart w:id="581" w:name="_Toc218498587"/>
      <w:bookmarkStart w:id="582" w:name="_Toc217102344"/>
      <w:bookmarkStart w:id="583" w:name="_Toc310176995"/>
      <w:r>
        <w:rPr>
          <w:rFonts w:hint="eastAsia" w:ascii="宋体" w:hAnsi="宋体"/>
          <w:color w:val="auto"/>
          <w:sz w:val="28"/>
          <w:szCs w:val="28"/>
          <w:highlight w:val="none"/>
        </w:rPr>
        <w:t>评标委员会成员应依据招标文件规定的评分标准和方法独立打分。</w:t>
      </w:r>
    </w:p>
    <w:p>
      <w:pPr>
        <w:pStyle w:val="6"/>
        <w:numPr>
          <w:ilvl w:val="2"/>
          <w:numId w:val="5"/>
        </w:numPr>
        <w:spacing w:after="200" w:line="560" w:lineRule="exact"/>
        <w:ind w:left="0" w:firstLine="0"/>
        <w:rPr>
          <w:color w:val="auto"/>
          <w:highlight w:val="none"/>
        </w:rPr>
      </w:pPr>
      <w:r>
        <w:rPr>
          <w:rFonts w:hint="eastAsia"/>
          <w:color w:val="auto"/>
          <w:highlight w:val="none"/>
        </w:rPr>
        <w:t>评分办法</w:t>
      </w:r>
      <w:bookmarkEnd w:id="581"/>
      <w:bookmarkEnd w:id="582"/>
      <w:bookmarkEnd w:id="583"/>
    </w:p>
    <w:p>
      <w:pPr>
        <w:spacing w:line="560" w:lineRule="exact"/>
        <w:ind w:firstLine="630" w:firstLineChars="225"/>
        <w:rPr>
          <w:rFonts w:ascii="宋体" w:hAnsi="宋体"/>
          <w:color w:val="auto"/>
          <w:sz w:val="28"/>
          <w:szCs w:val="28"/>
          <w:highlight w:val="none"/>
        </w:rPr>
      </w:pPr>
      <w:r>
        <w:rPr>
          <w:rFonts w:hint="eastAsia" w:ascii="宋体" w:hAnsi="宋体"/>
          <w:color w:val="auto"/>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auto"/>
          <w:sz w:val="28"/>
          <w:szCs w:val="28"/>
          <w:highlight w:val="none"/>
        </w:rPr>
      </w:pPr>
      <w:r>
        <w:rPr>
          <w:rFonts w:hint="eastAsia" w:ascii="宋体" w:hAnsi="宋体"/>
          <w:color w:val="auto"/>
          <w:sz w:val="28"/>
          <w:szCs w:val="28"/>
          <w:highlight w:val="none"/>
        </w:rPr>
        <w:t>评标得分＝（A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3</w:t>
      </w:r>
    </w:p>
    <w:p>
      <w:pPr>
        <w:widowControl/>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分别为每个</w:t>
      </w:r>
      <w:r>
        <w:rPr>
          <w:rFonts w:hint="eastAsia" w:ascii="宋体" w:hAnsi="宋体" w:cs="宋体"/>
          <w:color w:val="auto"/>
          <w:kern w:val="0"/>
          <w:sz w:val="28"/>
          <w:szCs w:val="28"/>
          <w:highlight w:val="none"/>
        </w:rPr>
        <w:t>经济类</w:t>
      </w:r>
      <w:r>
        <w:rPr>
          <w:rFonts w:hint="eastAsia" w:ascii="宋体" w:hAnsi="宋体"/>
          <w:color w:val="auto"/>
          <w:sz w:val="28"/>
          <w:szCs w:val="28"/>
          <w:highlight w:val="none"/>
        </w:rPr>
        <w:t>评委的打分，n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为</w:t>
      </w:r>
      <w:r>
        <w:rPr>
          <w:rFonts w:hint="eastAsia" w:ascii="宋体" w:hAnsi="宋体" w:cs="宋体"/>
          <w:color w:val="auto"/>
          <w:kern w:val="0"/>
          <w:sz w:val="28"/>
          <w:szCs w:val="28"/>
          <w:highlight w:val="none"/>
        </w:rPr>
        <w:t>经济类</w:t>
      </w:r>
      <w:r>
        <w:rPr>
          <w:rFonts w:hint="eastAsia" w:ascii="宋体" w:hAnsi="宋体"/>
          <w:color w:val="auto"/>
          <w:sz w:val="28"/>
          <w:szCs w:val="28"/>
          <w:highlight w:val="none"/>
        </w:rPr>
        <w:t>评委人数；B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分别为每个技术类评委（含采购人代表）的打分，n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为</w:t>
      </w:r>
      <w:r>
        <w:rPr>
          <w:rFonts w:hint="eastAsia" w:ascii="宋体" w:hAnsi="宋体" w:cs="宋体"/>
          <w:color w:val="auto"/>
          <w:kern w:val="0"/>
          <w:sz w:val="28"/>
          <w:szCs w:val="28"/>
          <w:highlight w:val="none"/>
        </w:rPr>
        <w:t>技术类</w:t>
      </w:r>
      <w:r>
        <w:rPr>
          <w:rFonts w:hint="eastAsia" w:ascii="宋体" w:hAnsi="宋体"/>
          <w:color w:val="auto"/>
          <w:sz w:val="28"/>
          <w:szCs w:val="28"/>
          <w:highlight w:val="none"/>
        </w:rPr>
        <w:t>评委（含采购人代表）人数；C</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分别为评审委员会每个成员的打分，n</w:t>
      </w:r>
      <w:r>
        <w:rPr>
          <w:rFonts w:hint="eastAsia" w:ascii="宋体" w:hAnsi="宋体"/>
          <w:color w:val="auto"/>
          <w:sz w:val="28"/>
          <w:szCs w:val="28"/>
          <w:highlight w:val="none"/>
          <w:vertAlign w:val="subscript"/>
        </w:rPr>
        <w:t>3</w:t>
      </w:r>
      <w:r>
        <w:rPr>
          <w:rFonts w:hint="eastAsia" w:ascii="宋体" w:hAnsi="宋体"/>
          <w:color w:val="auto"/>
          <w:sz w:val="28"/>
          <w:szCs w:val="28"/>
          <w:highlight w:val="none"/>
        </w:rPr>
        <w:t>为评委人数。</w:t>
      </w:r>
    </w:p>
    <w:p>
      <w:pPr>
        <w:pStyle w:val="6"/>
        <w:numPr>
          <w:ilvl w:val="2"/>
          <w:numId w:val="5"/>
        </w:numPr>
        <w:spacing w:after="200"/>
        <w:ind w:left="0" w:firstLine="0"/>
        <w:rPr>
          <w:color w:val="auto"/>
          <w:highlight w:val="none"/>
        </w:rPr>
      </w:pPr>
      <w:r>
        <w:rPr>
          <w:rFonts w:hint="eastAsia"/>
          <w:color w:val="auto"/>
          <w:highlight w:val="none"/>
        </w:rPr>
        <w:t>评分标准</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079"/>
        <w:gridCol w:w="5675"/>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2" w:space="0"/>
              <w:left w:val="single" w:color="auto" w:sz="2" w:space="0"/>
              <w:bottom w:val="single" w:color="auto" w:sz="2" w:space="0"/>
              <w:right w:val="single" w:color="auto" w:sz="2" w:space="0"/>
            </w:tcBorders>
            <w:vAlign w:val="center"/>
          </w:tcPr>
          <w:p>
            <w:pPr>
              <w:spacing w:after="200" w:line="276" w:lineRule="auto"/>
              <w:rPr>
                <w:b/>
                <w:color w:val="auto"/>
                <w:sz w:val="22"/>
                <w:szCs w:val="21"/>
                <w:highlight w:val="none"/>
              </w:rPr>
            </w:pPr>
            <w:r>
              <w:rPr>
                <w:rFonts w:hint="eastAsia"/>
                <w:b/>
                <w:color w:val="auto"/>
                <w:sz w:val="22"/>
                <w:szCs w:val="21"/>
                <w:highlight w:val="none"/>
              </w:rPr>
              <w:t>评委类别</w:t>
            </w:r>
          </w:p>
        </w:tc>
        <w:tc>
          <w:tcPr>
            <w:tcW w:w="633" w:type="pct"/>
            <w:tcBorders>
              <w:top w:val="single" w:color="auto" w:sz="2" w:space="0"/>
              <w:left w:val="single" w:color="auto" w:sz="2" w:space="0"/>
              <w:bottom w:val="single" w:color="auto" w:sz="2" w:space="0"/>
              <w:right w:val="single" w:color="auto" w:sz="2" w:space="0"/>
            </w:tcBorders>
            <w:vAlign w:val="center"/>
          </w:tcPr>
          <w:p>
            <w:pPr>
              <w:jc w:val="center"/>
              <w:rPr>
                <w:b/>
                <w:color w:val="auto"/>
                <w:sz w:val="22"/>
                <w:szCs w:val="21"/>
                <w:highlight w:val="none"/>
              </w:rPr>
            </w:pPr>
            <w:r>
              <w:rPr>
                <w:rFonts w:hint="eastAsia"/>
                <w:b/>
                <w:color w:val="auto"/>
                <w:sz w:val="22"/>
                <w:szCs w:val="21"/>
                <w:highlight w:val="none"/>
              </w:rPr>
              <w:t>评审</w:t>
            </w:r>
          </w:p>
          <w:p>
            <w:pPr>
              <w:spacing w:after="200" w:line="276" w:lineRule="auto"/>
              <w:jc w:val="center"/>
              <w:rPr>
                <w:b/>
                <w:color w:val="auto"/>
                <w:sz w:val="22"/>
                <w:szCs w:val="21"/>
                <w:highlight w:val="none"/>
              </w:rPr>
            </w:pPr>
            <w:r>
              <w:rPr>
                <w:rFonts w:hint="eastAsia"/>
                <w:b/>
                <w:color w:val="auto"/>
                <w:sz w:val="22"/>
                <w:szCs w:val="21"/>
                <w:highlight w:val="none"/>
              </w:rPr>
              <w:t>项目</w:t>
            </w:r>
          </w:p>
        </w:tc>
        <w:tc>
          <w:tcPr>
            <w:tcW w:w="3329" w:type="pct"/>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color w:val="auto"/>
                <w:sz w:val="22"/>
                <w:szCs w:val="21"/>
                <w:highlight w:val="none"/>
              </w:rPr>
            </w:pPr>
            <w:r>
              <w:rPr>
                <w:rFonts w:hint="eastAsia"/>
                <w:b/>
                <w:color w:val="auto"/>
                <w:sz w:val="22"/>
                <w:szCs w:val="21"/>
                <w:highlight w:val="none"/>
              </w:rPr>
              <w:t>评分标准</w:t>
            </w:r>
          </w:p>
        </w:tc>
        <w:tc>
          <w:tcPr>
            <w:tcW w:w="641" w:type="pct"/>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color w:val="auto"/>
                <w:sz w:val="22"/>
                <w:szCs w:val="21"/>
                <w:highlight w:val="none"/>
              </w:rPr>
            </w:pPr>
            <w:r>
              <w:rPr>
                <w:rFonts w:hint="eastAsia"/>
                <w:b/>
                <w:color w:val="auto"/>
                <w:sz w:val="22"/>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2" w:space="0"/>
              <w:left w:val="single" w:color="auto" w:sz="2" w:space="0"/>
              <w:bottom w:val="single" w:color="auto" w:sz="2" w:space="0"/>
              <w:right w:val="single" w:color="auto" w:sz="2" w:space="0"/>
            </w:tcBorders>
            <w:vAlign w:val="center"/>
          </w:tcPr>
          <w:p>
            <w:pPr>
              <w:spacing w:after="200" w:line="276" w:lineRule="auto"/>
              <w:rPr>
                <w:b/>
                <w:color w:val="auto"/>
                <w:sz w:val="20"/>
                <w:highlight w:val="none"/>
              </w:rPr>
            </w:pPr>
            <w:r>
              <w:rPr>
                <w:rFonts w:hint="eastAsia"/>
                <w:b/>
                <w:color w:val="auto"/>
                <w:sz w:val="20"/>
                <w:highlight w:val="none"/>
              </w:rPr>
              <w:t>评审委员会成员</w:t>
            </w:r>
          </w:p>
        </w:tc>
        <w:tc>
          <w:tcPr>
            <w:tcW w:w="633" w:type="pct"/>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color w:val="auto"/>
                <w:sz w:val="20"/>
                <w:highlight w:val="none"/>
              </w:rPr>
            </w:pPr>
            <w:r>
              <w:rPr>
                <w:rFonts w:hint="eastAsia"/>
                <w:b/>
                <w:color w:val="auto"/>
                <w:sz w:val="20"/>
                <w:highlight w:val="none"/>
              </w:rPr>
              <w:t>投标报价得分</w:t>
            </w:r>
          </w:p>
        </w:tc>
        <w:tc>
          <w:tcPr>
            <w:tcW w:w="3329" w:type="pct"/>
            <w:tcBorders>
              <w:top w:val="single" w:color="auto" w:sz="2" w:space="0"/>
              <w:left w:val="single" w:color="auto" w:sz="2" w:space="0"/>
              <w:bottom w:val="single" w:color="auto" w:sz="2" w:space="0"/>
              <w:right w:val="single" w:color="auto" w:sz="2" w:space="0"/>
            </w:tcBorders>
            <w:vAlign w:val="center"/>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投标人如为监狱企业、小型和微型企业、残疾人福利性企业的，则给予其投标报价10%的价格扣除，用扣除后的价格参与评审。[说明：投标人为监狱企业的，提供由省级以上监狱管理局、戒毒管理局（含新疆生产建设兵团）出具的投标人属于监狱企业的证明文件复印件。] </w:t>
            </w:r>
          </w:p>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2、经评标委员会评审，通过资格审查和符合性审查，且投标报价最低的投标人的投标报价作为评标基准价。</w:t>
            </w:r>
          </w:p>
          <w:p>
            <w:pPr>
              <w:spacing w:after="200" w:line="276" w:lineRule="auto"/>
              <w:rPr>
                <w:color w:val="auto"/>
                <w:szCs w:val="21"/>
                <w:highlight w:val="none"/>
              </w:rPr>
            </w:pPr>
            <w:r>
              <w:rPr>
                <w:rFonts w:hint="eastAsia" w:asciiTheme="minorEastAsia" w:hAnsiTheme="minorEastAsia" w:eastAsiaTheme="minorEastAsia" w:cstheme="minorEastAsia"/>
                <w:color w:val="auto"/>
                <w:szCs w:val="21"/>
                <w:highlight w:val="none"/>
              </w:rPr>
              <w:t>3、投标报价得分=(评标基准价／投标报价)×20。</w:t>
            </w:r>
          </w:p>
        </w:tc>
        <w:tc>
          <w:tcPr>
            <w:tcW w:w="641" w:type="pct"/>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color w:val="auto"/>
                <w:sz w:val="20"/>
                <w:highlight w:val="none"/>
              </w:rPr>
            </w:pPr>
            <w:r>
              <w:rPr>
                <w:rFonts w:hint="eastAsia" w:asciiTheme="minorEastAsia" w:hAnsiTheme="minorEastAsia" w:eastAsiaTheme="minorEastAsia" w:cstheme="minorEastAsia"/>
                <w:color w:val="auto"/>
                <w:szCs w:val="21"/>
                <w:highlight w:val="none"/>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396" w:type="pct"/>
            <w:tcBorders>
              <w:top w:val="single" w:color="auto" w:sz="2" w:space="0"/>
              <w:left w:val="single" w:color="auto" w:sz="2" w:space="0"/>
              <w:bottom w:val="single" w:color="auto" w:sz="4" w:space="0"/>
              <w:right w:val="single" w:color="auto" w:sz="2" w:space="0"/>
            </w:tcBorders>
            <w:vAlign w:val="center"/>
          </w:tcPr>
          <w:p>
            <w:pPr>
              <w:spacing w:after="200" w:line="276" w:lineRule="auto"/>
              <w:rPr>
                <w:b/>
                <w:color w:val="auto"/>
                <w:sz w:val="20"/>
                <w:highlight w:val="none"/>
              </w:rPr>
            </w:pPr>
            <w:r>
              <w:rPr>
                <w:rFonts w:hint="eastAsia"/>
                <w:b/>
                <w:color w:val="auto"/>
                <w:sz w:val="20"/>
                <w:highlight w:val="none"/>
              </w:rPr>
              <w:t>评审委员会成员</w:t>
            </w:r>
          </w:p>
        </w:tc>
        <w:tc>
          <w:tcPr>
            <w:tcW w:w="633" w:type="pct"/>
            <w:tcBorders>
              <w:top w:val="single" w:color="auto" w:sz="2" w:space="0"/>
              <w:left w:val="single" w:color="auto" w:sz="2" w:space="0"/>
              <w:bottom w:val="single" w:color="auto" w:sz="2" w:space="0"/>
              <w:right w:val="single" w:color="auto" w:sz="2" w:space="0"/>
            </w:tcBorders>
            <w:vAlign w:val="center"/>
          </w:tcPr>
          <w:p>
            <w:pPr>
              <w:spacing w:after="200" w:line="400" w:lineRule="exact"/>
              <w:jc w:val="center"/>
              <w:rPr>
                <w:rFonts w:ascii="宋体" w:hAnsi="宋体"/>
                <w:b/>
                <w:bCs/>
                <w:color w:val="auto"/>
                <w:szCs w:val="21"/>
                <w:highlight w:val="none"/>
              </w:rPr>
            </w:pPr>
            <w:r>
              <w:rPr>
                <w:rFonts w:hint="eastAsia" w:ascii="宋体" w:hAnsi="宋体"/>
                <w:b/>
                <w:bCs/>
                <w:color w:val="auto"/>
                <w:szCs w:val="21"/>
                <w:highlight w:val="none"/>
              </w:rPr>
              <w:t>履约能力</w:t>
            </w:r>
          </w:p>
        </w:tc>
        <w:tc>
          <w:tcPr>
            <w:tcW w:w="3329" w:type="pct"/>
            <w:tcBorders>
              <w:top w:val="single" w:color="auto" w:sz="2" w:space="0"/>
              <w:left w:val="single" w:color="auto" w:sz="2" w:space="0"/>
              <w:bottom w:val="single" w:color="auto" w:sz="2" w:space="0"/>
              <w:right w:val="single" w:color="auto" w:sz="2" w:space="0"/>
            </w:tcBorders>
            <w:vAlign w:val="center"/>
          </w:tcPr>
          <w:p>
            <w:pPr>
              <w:spacing w:after="200" w:line="400" w:lineRule="exact"/>
              <w:rPr>
                <w:rFonts w:ascii="宋体" w:hAnsi="宋体" w:cs="宋体"/>
                <w:color w:val="auto"/>
                <w:szCs w:val="21"/>
                <w:highlight w:val="none"/>
              </w:rPr>
            </w:pPr>
            <w:r>
              <w:rPr>
                <w:rFonts w:hint="eastAsia" w:ascii="宋体" w:hAnsi="宋体" w:cs="宋体"/>
                <w:color w:val="auto"/>
                <w:szCs w:val="21"/>
                <w:highlight w:val="none"/>
              </w:rPr>
              <w:t>1、投标人2018年1月1日（含1日）以后，每具有1个非住宅物业管理服务项目业绩的，得3分，最多得9分。</w:t>
            </w:r>
          </w:p>
          <w:p>
            <w:pPr>
              <w:spacing w:after="200" w:line="400" w:lineRule="exact"/>
              <w:rPr>
                <w:rFonts w:ascii="宋体" w:hAnsi="宋体" w:cs="宋体"/>
                <w:color w:val="auto"/>
                <w:szCs w:val="21"/>
                <w:highlight w:val="none"/>
              </w:rPr>
            </w:pPr>
            <w:r>
              <w:rPr>
                <w:rFonts w:hint="eastAsia" w:ascii="宋体" w:hAnsi="宋体" w:cs="宋体"/>
                <w:color w:val="auto"/>
                <w:szCs w:val="21"/>
                <w:highlight w:val="none"/>
              </w:rPr>
              <w:t>说明：提供合同复印件。</w:t>
            </w:r>
          </w:p>
          <w:p>
            <w:pPr>
              <w:spacing w:after="200" w:line="400" w:lineRule="exact"/>
              <w:rPr>
                <w:rFonts w:ascii="宋体" w:hAnsi="宋体" w:cs="宋体"/>
                <w:color w:val="auto"/>
                <w:szCs w:val="21"/>
                <w:highlight w:val="none"/>
              </w:rPr>
            </w:pPr>
            <w:r>
              <w:rPr>
                <w:rFonts w:hint="eastAsia" w:ascii="宋体" w:hAnsi="宋体" w:cs="宋体"/>
                <w:color w:val="auto"/>
                <w:szCs w:val="21"/>
                <w:highlight w:val="none"/>
              </w:rPr>
              <w:t>2、投标人提供项目业主单位出具的综合评价书面证明：每提供 1个业主单位出具的书面综合评价为满意、优秀或相同语义内容的证明得5分，最多得15分。</w:t>
            </w:r>
          </w:p>
          <w:p>
            <w:pPr>
              <w:spacing w:after="200" w:line="400" w:lineRule="exact"/>
              <w:rPr>
                <w:rFonts w:ascii="宋体" w:hAnsi="宋体" w:cs="宋体"/>
                <w:color w:val="auto"/>
                <w:szCs w:val="21"/>
                <w:highlight w:val="none"/>
              </w:rPr>
            </w:pPr>
            <w:r>
              <w:rPr>
                <w:rFonts w:hint="eastAsia" w:ascii="宋体" w:hAnsi="宋体" w:cs="宋体"/>
                <w:color w:val="auto"/>
                <w:szCs w:val="21"/>
                <w:highlight w:val="none"/>
              </w:rPr>
              <w:t>（说明：1、提供评价项目合同复印件；2、提供业主单位出具的综合评价书面证明复印件；3、同一业主只计算一次加分。）</w:t>
            </w:r>
          </w:p>
        </w:tc>
        <w:tc>
          <w:tcPr>
            <w:tcW w:w="641" w:type="pct"/>
            <w:tcBorders>
              <w:top w:val="single" w:color="auto" w:sz="2" w:space="0"/>
              <w:left w:val="single" w:color="auto" w:sz="2" w:space="0"/>
              <w:bottom w:val="single" w:color="auto" w:sz="2" w:space="0"/>
              <w:right w:val="single" w:color="auto" w:sz="2" w:space="0"/>
            </w:tcBorders>
            <w:vAlign w:val="center"/>
          </w:tcPr>
          <w:p>
            <w:pPr>
              <w:spacing w:after="200" w:line="400" w:lineRule="exact"/>
              <w:jc w:val="center"/>
              <w:rPr>
                <w:rFonts w:ascii="宋体" w:hAnsi="宋体" w:cs="宋体"/>
                <w:color w:val="auto"/>
                <w:szCs w:val="21"/>
                <w:highlight w:val="none"/>
              </w:rPr>
            </w:pPr>
            <w:r>
              <w:rPr>
                <w:rFonts w:hint="eastAsia" w:ascii="宋体" w:hAnsi="宋体" w:cs="宋体"/>
                <w:color w:val="auto"/>
                <w:szCs w:val="21"/>
                <w:highlight w:val="none"/>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restart"/>
            <w:tcBorders>
              <w:top w:val="single" w:color="auto" w:sz="4" w:space="0"/>
              <w:left w:val="single" w:color="auto" w:sz="2" w:space="0"/>
              <w:right w:val="single" w:color="auto" w:sz="2" w:space="0"/>
            </w:tcBorders>
            <w:vAlign w:val="center"/>
          </w:tcPr>
          <w:p>
            <w:pPr>
              <w:spacing w:after="200" w:line="276" w:lineRule="auto"/>
              <w:rPr>
                <w:b/>
                <w:color w:val="auto"/>
                <w:sz w:val="20"/>
                <w:highlight w:val="none"/>
              </w:rPr>
            </w:pPr>
            <w:r>
              <w:rPr>
                <w:rFonts w:hint="eastAsia"/>
                <w:b/>
                <w:color w:val="auto"/>
                <w:sz w:val="20"/>
                <w:highlight w:val="none"/>
              </w:rPr>
              <w:t>评审委员会成员</w:t>
            </w:r>
          </w:p>
        </w:tc>
        <w:tc>
          <w:tcPr>
            <w:tcW w:w="633" w:type="pct"/>
            <w:vMerge w:val="restart"/>
            <w:tcBorders>
              <w:top w:val="single" w:color="auto" w:sz="2" w:space="0"/>
              <w:left w:val="single" w:color="auto" w:sz="2" w:space="0"/>
              <w:right w:val="single" w:color="auto" w:sz="2" w:space="0"/>
            </w:tcBorders>
            <w:vAlign w:val="center"/>
          </w:tcPr>
          <w:p>
            <w:pPr>
              <w:spacing w:after="200" w:line="400" w:lineRule="exact"/>
              <w:ind w:right="42" w:rightChars="20"/>
              <w:jc w:val="center"/>
              <w:rPr>
                <w:rFonts w:ascii="宋体" w:hAnsi="宋体"/>
                <w:b/>
                <w:bCs/>
                <w:color w:val="auto"/>
                <w:szCs w:val="21"/>
                <w:highlight w:val="none"/>
              </w:rPr>
            </w:pPr>
            <w:r>
              <w:rPr>
                <w:rFonts w:hint="eastAsia" w:ascii="宋体" w:hAnsi="宋体"/>
                <w:b/>
                <w:bCs/>
                <w:color w:val="auto"/>
                <w:szCs w:val="21"/>
                <w:highlight w:val="none"/>
              </w:rPr>
              <w:t>政策响应</w:t>
            </w:r>
          </w:p>
        </w:tc>
        <w:tc>
          <w:tcPr>
            <w:tcW w:w="3329" w:type="pct"/>
            <w:tcBorders>
              <w:top w:val="single" w:color="auto" w:sz="2" w:space="0"/>
              <w:left w:val="single" w:color="auto" w:sz="2" w:space="0"/>
              <w:bottom w:val="single" w:color="auto" w:sz="2" w:space="0"/>
              <w:right w:val="single" w:color="auto" w:sz="2" w:space="0"/>
            </w:tcBorders>
            <w:vAlign w:val="center"/>
          </w:tcPr>
          <w:p>
            <w:pPr>
              <w:spacing w:after="200" w:line="400" w:lineRule="exact"/>
              <w:rPr>
                <w:color w:val="auto"/>
                <w:highlight w:val="none"/>
              </w:rPr>
            </w:pPr>
            <w:r>
              <w:rPr>
                <w:color w:val="auto"/>
                <w:highlight w:val="none"/>
              </w:rPr>
              <w:t>投标人注册地为少数民族或不发达地区的，得</w:t>
            </w:r>
            <w:r>
              <w:rPr>
                <w:rFonts w:hint="eastAsia"/>
                <w:color w:val="auto"/>
                <w:highlight w:val="none"/>
              </w:rPr>
              <w:t xml:space="preserve"> 1</w:t>
            </w:r>
            <w:r>
              <w:rPr>
                <w:color w:val="auto"/>
                <w:highlight w:val="none"/>
              </w:rPr>
              <w:t>分。【说明：投标人在投标文件中承诺。】</w:t>
            </w:r>
          </w:p>
        </w:tc>
        <w:tc>
          <w:tcPr>
            <w:tcW w:w="641" w:type="pct"/>
            <w:vMerge w:val="restart"/>
            <w:tcBorders>
              <w:top w:val="single" w:color="auto" w:sz="2" w:space="0"/>
              <w:left w:val="single" w:color="auto" w:sz="2" w:space="0"/>
              <w:right w:val="single" w:color="auto" w:sz="2" w:space="0"/>
            </w:tcBorders>
            <w:vAlign w:val="center"/>
          </w:tcPr>
          <w:p>
            <w:pPr>
              <w:spacing w:after="200" w:line="400" w:lineRule="exact"/>
              <w:jc w:val="center"/>
              <w:rPr>
                <w:rFonts w:ascii="宋体" w:hAnsi="宋体"/>
                <w:color w:val="auto"/>
                <w:szCs w:val="21"/>
                <w:highlight w:val="none"/>
              </w:rPr>
            </w:pPr>
            <w:r>
              <w:rPr>
                <w:rFonts w:hint="eastAsia" w:ascii="宋体" w:hAnsi="宋体"/>
                <w:color w:val="auto"/>
                <w:szCs w:val="21"/>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vMerge w:val="continue"/>
            <w:tcBorders>
              <w:left w:val="single" w:color="auto" w:sz="2" w:space="0"/>
              <w:bottom w:val="single" w:color="auto" w:sz="4" w:space="0"/>
              <w:right w:val="single" w:color="auto" w:sz="2" w:space="0"/>
            </w:tcBorders>
            <w:vAlign w:val="center"/>
          </w:tcPr>
          <w:p>
            <w:pPr>
              <w:spacing w:after="200" w:line="276" w:lineRule="auto"/>
              <w:rPr>
                <w:b/>
                <w:color w:val="auto"/>
                <w:sz w:val="20"/>
                <w:highlight w:val="none"/>
              </w:rPr>
            </w:pPr>
          </w:p>
        </w:tc>
        <w:tc>
          <w:tcPr>
            <w:tcW w:w="633" w:type="pct"/>
            <w:vMerge w:val="continue"/>
            <w:tcBorders>
              <w:left w:val="single" w:color="auto" w:sz="2" w:space="0"/>
              <w:bottom w:val="single" w:color="auto" w:sz="2" w:space="0"/>
              <w:right w:val="single" w:color="auto" w:sz="2" w:space="0"/>
            </w:tcBorders>
            <w:vAlign w:val="center"/>
          </w:tcPr>
          <w:p>
            <w:pPr>
              <w:spacing w:after="200" w:line="400" w:lineRule="exact"/>
              <w:ind w:right="42" w:rightChars="20"/>
              <w:jc w:val="center"/>
              <w:rPr>
                <w:rFonts w:ascii="宋体" w:hAnsi="宋体"/>
                <w:b/>
                <w:bCs/>
                <w:color w:val="auto"/>
                <w:szCs w:val="21"/>
                <w:highlight w:val="none"/>
              </w:rPr>
            </w:pPr>
          </w:p>
        </w:tc>
        <w:tc>
          <w:tcPr>
            <w:tcW w:w="3329" w:type="pct"/>
            <w:tcBorders>
              <w:top w:val="single" w:color="auto" w:sz="2" w:space="0"/>
              <w:left w:val="single" w:color="auto" w:sz="2" w:space="0"/>
              <w:bottom w:val="single" w:color="auto" w:sz="2" w:space="0"/>
              <w:right w:val="single" w:color="auto" w:sz="2" w:space="0"/>
            </w:tcBorders>
            <w:vAlign w:val="center"/>
          </w:tcPr>
          <w:p>
            <w:pPr>
              <w:spacing w:after="200" w:line="400" w:lineRule="exact"/>
              <w:rPr>
                <w:color w:val="auto"/>
                <w:highlight w:val="none"/>
              </w:rPr>
            </w:pPr>
            <w:r>
              <w:rPr>
                <w:rFonts w:ascii="Times New Roman" w:hAnsi="Times New Roman"/>
                <w:color w:val="auto"/>
                <w:szCs w:val="21"/>
                <w:highlight w:val="none"/>
                <w:shd w:val="clear" w:color="auto" w:fill="FFFFFF"/>
              </w:rPr>
              <w:t>投标人注册地在</w:t>
            </w:r>
            <w:r>
              <w:rPr>
                <w:rFonts w:hint="eastAsia" w:ascii="Times New Roman" w:hAnsi="Times New Roman"/>
                <w:color w:val="auto"/>
                <w:szCs w:val="21"/>
                <w:highlight w:val="none"/>
                <w:shd w:val="clear" w:color="auto" w:fill="FFFFFF"/>
              </w:rPr>
              <w:t>原</w:t>
            </w:r>
            <w:r>
              <w:rPr>
                <w:rFonts w:ascii="Times New Roman" w:hAnsi="Times New Roman"/>
                <w:color w:val="auto"/>
                <w:szCs w:val="21"/>
                <w:highlight w:val="none"/>
                <w:shd w:val="clear" w:color="auto" w:fill="FFFFFF"/>
              </w:rPr>
              <w:t>832个</w:t>
            </w:r>
            <w:r>
              <w:rPr>
                <w:rFonts w:hint="eastAsia" w:ascii="Times New Roman" w:hAnsi="Times New Roman"/>
                <w:color w:val="auto"/>
                <w:szCs w:val="21"/>
                <w:highlight w:val="none"/>
                <w:shd w:val="clear" w:color="auto" w:fill="FFFFFF"/>
              </w:rPr>
              <w:t>国家级贫</w:t>
            </w:r>
            <w:r>
              <w:rPr>
                <w:rFonts w:ascii="Times New Roman" w:hAnsi="Times New Roman"/>
                <w:color w:val="auto"/>
                <w:szCs w:val="21"/>
                <w:highlight w:val="none"/>
                <w:shd w:val="clear" w:color="auto" w:fill="FFFFFF"/>
              </w:rPr>
              <w:t>县域内，且投标人聘用原建档立卡贫困人员的,得</w:t>
            </w:r>
            <w:r>
              <w:rPr>
                <w:rFonts w:hint="eastAsia" w:ascii="Times New Roman" w:hAnsi="Times New Roman"/>
                <w:color w:val="auto"/>
                <w:szCs w:val="21"/>
                <w:highlight w:val="none"/>
                <w:shd w:val="clear" w:color="auto" w:fill="FFFFFF"/>
              </w:rPr>
              <w:t>1</w:t>
            </w:r>
            <w:r>
              <w:rPr>
                <w:rFonts w:ascii="Times New Roman" w:hAnsi="Times New Roman"/>
                <w:color w:val="auto"/>
                <w:szCs w:val="21"/>
                <w:highlight w:val="none"/>
                <w:shd w:val="clear" w:color="auto" w:fill="FFFFFF"/>
              </w:rPr>
              <w:t>分。</w:t>
            </w:r>
            <w:r>
              <w:rPr>
                <w:rFonts w:ascii="Times New Roman" w:hAnsi="Times New Roman"/>
                <w:b/>
                <w:bCs/>
                <w:color w:val="auto"/>
                <w:szCs w:val="21"/>
                <w:highlight w:val="none"/>
                <w:shd w:val="clear" w:color="auto" w:fill="FFFFFF"/>
              </w:rPr>
              <w:t>【说明：1、提供营业执照复印件，且注册地在</w:t>
            </w:r>
            <w:r>
              <w:rPr>
                <w:rFonts w:hint="eastAsia" w:ascii="Times New Roman" w:hAnsi="Times New Roman"/>
                <w:b/>
                <w:bCs/>
                <w:color w:val="auto"/>
                <w:szCs w:val="21"/>
                <w:highlight w:val="none"/>
                <w:shd w:val="clear" w:color="auto" w:fill="FFFFFF"/>
              </w:rPr>
              <w:t>原</w:t>
            </w:r>
            <w:r>
              <w:rPr>
                <w:rFonts w:ascii="Times New Roman" w:hAnsi="Times New Roman"/>
                <w:b/>
                <w:bCs/>
                <w:color w:val="auto"/>
                <w:szCs w:val="21"/>
                <w:highlight w:val="none"/>
                <w:shd w:val="clear" w:color="auto" w:fill="FFFFFF"/>
              </w:rPr>
              <w:t>832个</w:t>
            </w:r>
            <w:r>
              <w:rPr>
                <w:rFonts w:hint="eastAsia" w:ascii="Times New Roman" w:hAnsi="Times New Roman"/>
                <w:b/>
                <w:bCs/>
                <w:color w:val="auto"/>
                <w:szCs w:val="21"/>
                <w:highlight w:val="none"/>
                <w:shd w:val="clear" w:color="auto" w:fill="FFFFFF"/>
              </w:rPr>
              <w:t>国家级贫</w:t>
            </w:r>
            <w:r>
              <w:rPr>
                <w:rFonts w:ascii="Times New Roman" w:hAnsi="Times New Roman"/>
                <w:b/>
                <w:bCs/>
                <w:color w:val="auto"/>
                <w:szCs w:val="21"/>
                <w:highlight w:val="none"/>
                <w:shd w:val="clear" w:color="auto" w:fill="FFFFFF"/>
              </w:rPr>
              <w:t>县域内；2、提供注册所在县扶贫部门出具的聘用原建档立卡贫困人员具体数量的证明材料复印件。】</w:t>
            </w:r>
          </w:p>
        </w:tc>
        <w:tc>
          <w:tcPr>
            <w:tcW w:w="641" w:type="pct"/>
            <w:vMerge w:val="continue"/>
            <w:tcBorders>
              <w:left w:val="single" w:color="auto" w:sz="2" w:space="0"/>
              <w:bottom w:val="single" w:color="auto" w:sz="2" w:space="0"/>
              <w:right w:val="single" w:color="auto" w:sz="2" w:space="0"/>
            </w:tcBorders>
            <w:vAlign w:val="center"/>
          </w:tcPr>
          <w:p>
            <w:pPr>
              <w:spacing w:after="200" w:line="400" w:lineRule="exact"/>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2" w:space="0"/>
              <w:bottom w:val="single" w:color="auto" w:sz="4" w:space="0"/>
              <w:right w:val="single" w:color="auto" w:sz="2" w:space="0"/>
            </w:tcBorders>
            <w:vAlign w:val="center"/>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2" w:space="0"/>
              <w:left w:val="single" w:color="auto" w:sz="2" w:space="0"/>
              <w:bottom w:val="single" w:color="auto" w:sz="2" w:space="0"/>
              <w:right w:val="single" w:color="auto" w:sz="2" w:space="0"/>
            </w:tcBorders>
            <w:vAlign w:val="center"/>
          </w:tcPr>
          <w:p>
            <w:pPr>
              <w:widowControl/>
              <w:tabs>
                <w:tab w:val="left" w:pos="0"/>
              </w:tabs>
              <w:spacing w:line="360" w:lineRule="exact"/>
              <w:jc w:val="center"/>
              <w:rPr>
                <w:rFonts w:ascii="宋体" w:hAnsi="宋体"/>
                <w:b/>
                <w:bCs/>
                <w:color w:val="auto"/>
                <w:szCs w:val="21"/>
                <w:highlight w:val="none"/>
              </w:rPr>
            </w:pPr>
            <w:r>
              <w:rPr>
                <w:rFonts w:hint="eastAsia" w:ascii="宋体" w:hAnsi="宋体" w:cs="宋体"/>
                <w:color w:val="auto"/>
                <w:szCs w:val="21"/>
                <w:highlight w:val="none"/>
              </w:rPr>
              <w:t>物业管理服务需求分析</w:t>
            </w:r>
            <w:r>
              <w:rPr>
                <w:rFonts w:hint="eastAsia"/>
                <w:color w:val="auto"/>
                <w:highlight w:val="none"/>
              </w:rPr>
              <w:t>方案</w:t>
            </w:r>
          </w:p>
        </w:tc>
        <w:tc>
          <w:tcPr>
            <w:tcW w:w="3329" w:type="pct"/>
            <w:tcBorders>
              <w:top w:val="single" w:color="auto" w:sz="2" w:space="0"/>
              <w:left w:val="single" w:color="auto" w:sz="2" w:space="0"/>
              <w:bottom w:val="single" w:color="auto" w:sz="2" w:space="0"/>
              <w:right w:val="single" w:color="auto" w:sz="2" w:space="0"/>
            </w:tcBorders>
            <w:vAlign w:val="center"/>
          </w:tcPr>
          <w:p>
            <w:pPr>
              <w:spacing w:line="300" w:lineRule="exact"/>
              <w:rPr>
                <w:color w:val="auto"/>
                <w:highlight w:val="none"/>
              </w:rPr>
            </w:pPr>
            <w:r>
              <w:rPr>
                <w:rFonts w:hint="eastAsia"/>
                <w:color w:val="auto"/>
                <w:highlight w:val="none"/>
              </w:rPr>
              <w:t>投标人提供物业管理服务需求分析方案的，得1分。方案内容包含“项目需求及目标分析”且符合采购需求的，得2分；包含“物业服务重难点分析及应对措施”且符合采购需求的，得2分。</w:t>
            </w:r>
          </w:p>
          <w:p>
            <w:pPr>
              <w:spacing w:line="300" w:lineRule="exact"/>
              <w:rPr>
                <w:color w:val="auto"/>
                <w:highlight w:val="none"/>
              </w:rPr>
            </w:pPr>
            <w:r>
              <w:rPr>
                <w:rFonts w:hint="eastAsia"/>
                <w:color w:val="auto"/>
                <w:highlight w:val="none"/>
              </w:rPr>
              <w:t>（说明：1、提供物业管理服务需求分析方案。2、本评分项不符合采购需求是指存在不适用项目实际情况、凭空编造、逻辑漏洞、原理错误情形。）</w:t>
            </w:r>
          </w:p>
        </w:tc>
        <w:tc>
          <w:tcPr>
            <w:tcW w:w="641" w:type="pct"/>
            <w:tcBorders>
              <w:top w:val="single" w:color="auto" w:sz="2" w:space="0"/>
              <w:left w:val="single" w:color="auto" w:sz="2" w:space="0"/>
              <w:bottom w:val="single" w:color="auto" w:sz="2" w:space="0"/>
              <w:right w:val="single" w:color="auto" w:sz="2"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2" w:space="0"/>
              <w:bottom w:val="single" w:color="auto" w:sz="4" w:space="0"/>
              <w:right w:val="single" w:color="auto" w:sz="2" w:space="0"/>
            </w:tcBorders>
            <w:vAlign w:val="center"/>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2" w:space="0"/>
              <w:left w:val="single" w:color="auto" w:sz="2" w:space="0"/>
              <w:bottom w:val="single" w:color="auto" w:sz="4" w:space="0"/>
              <w:right w:val="single" w:color="auto" w:sz="2" w:space="0"/>
            </w:tcBorders>
            <w:vAlign w:val="center"/>
          </w:tcPr>
          <w:p>
            <w:pPr>
              <w:widowControl/>
              <w:tabs>
                <w:tab w:val="left" w:pos="0"/>
              </w:tabs>
              <w:spacing w:line="360" w:lineRule="exact"/>
              <w:jc w:val="center"/>
              <w:rPr>
                <w:rFonts w:ascii="宋体" w:hAnsi="宋体"/>
                <w:b/>
                <w:bCs/>
                <w:color w:val="auto"/>
                <w:szCs w:val="21"/>
                <w:highlight w:val="none"/>
              </w:rPr>
            </w:pPr>
            <w:r>
              <w:rPr>
                <w:rFonts w:hint="eastAsia" w:ascii="宋体" w:hAnsi="宋体" w:cs="宋体"/>
                <w:color w:val="auto"/>
                <w:szCs w:val="21"/>
                <w:highlight w:val="none"/>
              </w:rPr>
              <w:t>物业管理服管理思路</w:t>
            </w:r>
            <w:r>
              <w:rPr>
                <w:rStyle w:val="50"/>
                <w:rFonts w:hint="eastAsia"/>
                <w:color w:val="auto"/>
                <w:highlight w:val="none"/>
              </w:rPr>
              <w:t>方案</w:t>
            </w:r>
          </w:p>
        </w:tc>
        <w:tc>
          <w:tcPr>
            <w:tcW w:w="3329" w:type="pct"/>
            <w:tcBorders>
              <w:top w:val="single" w:color="auto" w:sz="2" w:space="0"/>
              <w:left w:val="single" w:color="auto" w:sz="2" w:space="0"/>
              <w:bottom w:val="single" w:color="auto" w:sz="2" w:space="0"/>
              <w:right w:val="single" w:color="auto" w:sz="2" w:space="0"/>
            </w:tcBorders>
            <w:vAlign w:val="center"/>
          </w:tcPr>
          <w:p>
            <w:pPr>
              <w:spacing w:line="300" w:lineRule="exact"/>
              <w:rPr>
                <w:color w:val="auto"/>
                <w:highlight w:val="none"/>
              </w:rPr>
            </w:pPr>
            <w:r>
              <w:rPr>
                <w:rFonts w:hint="eastAsia"/>
                <w:color w:val="auto"/>
                <w:highlight w:val="none"/>
              </w:rPr>
              <w:t>投标人提供物业管理服管理思路方案的，得1分。方案内容包含“物业管理整体思路”且符合采购需求的，得1分；包含“管理方式”且符合采购需求的，得1分；包含“管理工作计划”且符合采购需求的，得1分；包含“物资配置”且符合采购需求的，得1分。</w:t>
            </w:r>
          </w:p>
          <w:p>
            <w:pPr>
              <w:pStyle w:val="5"/>
              <w:numPr>
                <w:ilvl w:val="1"/>
                <w:numId w:val="0"/>
              </w:numPr>
              <w:rPr>
                <w:color w:val="auto"/>
                <w:highlight w:val="none"/>
              </w:rPr>
            </w:pPr>
            <w:bookmarkStart w:id="584" w:name="_Toc29416"/>
            <w:r>
              <w:rPr>
                <w:rFonts w:hint="eastAsia" w:ascii="Calibri" w:hAnsi="Calibri" w:cs="Times New Roman"/>
                <w:b w:val="0"/>
                <w:bCs w:val="0"/>
                <w:color w:val="auto"/>
                <w:sz w:val="21"/>
                <w:szCs w:val="22"/>
                <w:highlight w:val="none"/>
              </w:rPr>
              <w:t>（说明：1、提供物业管理服管理思路方案。2、本评分项不符合采购需求是指存在不适用项目实际情况、凭空编造、逻辑漏洞、原理错误情形。）</w:t>
            </w:r>
            <w:bookmarkEnd w:id="584"/>
          </w:p>
        </w:tc>
        <w:tc>
          <w:tcPr>
            <w:tcW w:w="641" w:type="pct"/>
            <w:tcBorders>
              <w:top w:val="single" w:color="auto" w:sz="2" w:space="0"/>
              <w:left w:val="single" w:color="auto" w:sz="2" w:space="0"/>
              <w:bottom w:val="single" w:color="auto" w:sz="2" w:space="0"/>
              <w:right w:val="single" w:color="auto" w:sz="2"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2" w:space="0"/>
              <w:bottom w:val="single" w:color="auto" w:sz="4" w:space="0"/>
              <w:right w:val="single" w:color="auto" w:sz="2" w:space="0"/>
            </w:tcBorders>
            <w:vAlign w:val="center"/>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2" w:space="0"/>
              <w:bottom w:val="single" w:color="auto" w:sz="4" w:space="0"/>
              <w:right w:val="single" w:color="auto" w:sz="2" w:space="0"/>
            </w:tcBorders>
            <w:vAlign w:val="center"/>
          </w:tcPr>
          <w:p>
            <w:pPr>
              <w:widowControl/>
              <w:tabs>
                <w:tab w:val="left" w:pos="0"/>
              </w:tabs>
              <w:spacing w:line="360" w:lineRule="exact"/>
              <w:jc w:val="center"/>
              <w:rPr>
                <w:rFonts w:ascii="宋体" w:hAnsi="宋体" w:cs="宋体"/>
                <w:b/>
                <w:bCs/>
                <w:color w:val="auto"/>
                <w:szCs w:val="21"/>
                <w:highlight w:val="none"/>
              </w:rPr>
            </w:pPr>
            <w:r>
              <w:rPr>
                <w:rFonts w:hint="eastAsia" w:ascii="宋体" w:hAnsi="宋体" w:cs="宋体"/>
                <w:color w:val="auto"/>
                <w:szCs w:val="21"/>
                <w:highlight w:val="none"/>
              </w:rPr>
              <w:t>管理制度</w:t>
            </w:r>
          </w:p>
        </w:tc>
        <w:tc>
          <w:tcPr>
            <w:tcW w:w="3329" w:type="pct"/>
            <w:tcBorders>
              <w:top w:val="single" w:color="auto" w:sz="2" w:space="0"/>
              <w:left w:val="single" w:color="auto" w:sz="2" w:space="0"/>
              <w:bottom w:val="single" w:color="auto" w:sz="2" w:space="0"/>
              <w:right w:val="single" w:color="auto" w:sz="2" w:space="0"/>
            </w:tcBorders>
            <w:vAlign w:val="center"/>
          </w:tcPr>
          <w:p>
            <w:pPr>
              <w:spacing w:line="300" w:lineRule="exact"/>
              <w:rPr>
                <w:color w:val="auto"/>
                <w:highlight w:val="none"/>
              </w:rPr>
            </w:pPr>
            <w:r>
              <w:rPr>
                <w:rFonts w:hint="eastAsia"/>
                <w:color w:val="auto"/>
                <w:highlight w:val="none"/>
              </w:rPr>
              <w:t>投标人提供管理制度的，得1分。管理制度内容包含“岗位职责”且符合采购需求的，得1分；包含“规章制度”且符合采购需求的，得1分；包含“员工考核”且符合采购需求的，得1分；包含“人员培训方案”且符合采购需求的，得1分。</w:t>
            </w:r>
          </w:p>
          <w:p>
            <w:pPr>
              <w:pStyle w:val="5"/>
              <w:numPr>
                <w:ilvl w:val="1"/>
                <w:numId w:val="0"/>
              </w:numPr>
              <w:rPr>
                <w:color w:val="auto"/>
                <w:highlight w:val="none"/>
              </w:rPr>
            </w:pPr>
            <w:bookmarkStart w:id="585" w:name="_Toc17841"/>
            <w:r>
              <w:rPr>
                <w:rFonts w:hint="eastAsia" w:ascii="Calibri" w:hAnsi="Calibri" w:cs="Times New Roman"/>
                <w:b w:val="0"/>
                <w:bCs w:val="0"/>
                <w:color w:val="auto"/>
                <w:sz w:val="21"/>
                <w:szCs w:val="22"/>
                <w:highlight w:val="none"/>
              </w:rPr>
              <w:t>（说明：1、提供管理制度。2、本评分项不符合采购需求是指存在不适用项目实际情况、凭空编造、逻辑漏洞、原理错误情形。）</w:t>
            </w:r>
            <w:bookmarkEnd w:id="585"/>
          </w:p>
        </w:tc>
        <w:tc>
          <w:tcPr>
            <w:tcW w:w="641" w:type="pct"/>
            <w:tcBorders>
              <w:top w:val="single" w:color="auto" w:sz="2" w:space="0"/>
              <w:left w:val="single" w:color="auto" w:sz="2" w:space="0"/>
              <w:bottom w:val="single" w:color="auto" w:sz="2" w:space="0"/>
              <w:right w:val="single" w:color="auto" w:sz="2"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4" w:space="0"/>
              <w:bottom w:val="single" w:color="auto" w:sz="4" w:space="0"/>
              <w:right w:val="single" w:color="auto" w:sz="4" w:space="0"/>
            </w:tcBorders>
            <w:vAlign w:val="center"/>
          </w:tcPr>
          <w:p>
            <w:pPr>
              <w:widowControl/>
              <w:tabs>
                <w:tab w:val="left" w:pos="0"/>
              </w:tabs>
              <w:spacing w:line="360" w:lineRule="exact"/>
              <w:jc w:val="center"/>
              <w:rPr>
                <w:rFonts w:hAnsi="宋体"/>
                <w:b/>
                <w:bCs/>
                <w:color w:val="auto"/>
                <w:szCs w:val="21"/>
                <w:highlight w:val="none"/>
              </w:rPr>
            </w:pPr>
            <w:r>
              <w:rPr>
                <w:rFonts w:hint="eastAsia" w:ascii="宋体" w:hAnsi="宋体" w:cs="宋体"/>
                <w:color w:val="auto"/>
                <w:szCs w:val="21"/>
                <w:highlight w:val="none"/>
              </w:rPr>
              <w:t>会议接待服务方案</w:t>
            </w:r>
          </w:p>
        </w:tc>
        <w:tc>
          <w:tcPr>
            <w:tcW w:w="3329" w:type="pct"/>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rFonts w:hint="eastAsia"/>
                <w:color w:val="auto"/>
                <w:highlight w:val="none"/>
              </w:rPr>
              <w:t>投标人提供</w:t>
            </w:r>
            <w:r>
              <w:rPr>
                <w:rFonts w:hint="eastAsia" w:ascii="宋体" w:hAnsi="宋体" w:cs="宋体"/>
                <w:color w:val="auto"/>
                <w:szCs w:val="21"/>
                <w:highlight w:val="none"/>
              </w:rPr>
              <w:t>会议接待服务方案</w:t>
            </w:r>
            <w:r>
              <w:rPr>
                <w:rFonts w:hint="eastAsia"/>
                <w:color w:val="auto"/>
                <w:highlight w:val="none"/>
              </w:rPr>
              <w:t>的，得1分。方案内容包含“会务培训方案”且符合采购需求的，得1分；包含“会场布置方案”且符合采购需求的，得1分；包含“会前服务方案”且符合采购需求的，得1分；包含“会中服务方案”且符合采购需求的，得1分；包含“会后服务方案”且符合采购需求的，得1分。</w:t>
            </w:r>
          </w:p>
          <w:p>
            <w:pPr>
              <w:pStyle w:val="5"/>
              <w:numPr>
                <w:ilvl w:val="1"/>
                <w:numId w:val="0"/>
              </w:numPr>
              <w:rPr>
                <w:color w:val="auto"/>
                <w:highlight w:val="none"/>
              </w:rPr>
            </w:pPr>
            <w:bookmarkStart w:id="586" w:name="_Toc22803"/>
            <w:r>
              <w:rPr>
                <w:rFonts w:hint="eastAsia" w:ascii="Calibri" w:hAnsi="Calibri" w:cs="Times New Roman"/>
                <w:b w:val="0"/>
                <w:bCs w:val="0"/>
                <w:color w:val="auto"/>
                <w:sz w:val="21"/>
                <w:szCs w:val="22"/>
                <w:highlight w:val="none"/>
              </w:rPr>
              <w:t>（说明：1、提供会议接待服务方案。2、本评分项不符合采购需求是指存在不适用项目实际情况、凭空编造、逻辑漏洞、原理错误情形。）</w:t>
            </w:r>
            <w:bookmarkEnd w:id="586"/>
          </w:p>
        </w:tc>
        <w:tc>
          <w:tcPr>
            <w:tcW w:w="641" w:type="pct"/>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4" w:space="0"/>
              <w:bottom w:val="single" w:color="auto" w:sz="4" w:space="0"/>
              <w:right w:val="single" w:color="auto" w:sz="4" w:space="0"/>
            </w:tcBorders>
            <w:vAlign w:val="center"/>
          </w:tcPr>
          <w:p>
            <w:pPr>
              <w:widowControl/>
              <w:tabs>
                <w:tab w:val="left" w:pos="0"/>
              </w:tabs>
              <w:spacing w:line="360" w:lineRule="exact"/>
              <w:jc w:val="center"/>
              <w:rPr>
                <w:rFonts w:hAnsi="宋体"/>
                <w:b/>
                <w:bCs/>
                <w:color w:val="auto"/>
                <w:szCs w:val="21"/>
                <w:highlight w:val="none"/>
              </w:rPr>
            </w:pPr>
            <w:r>
              <w:rPr>
                <w:rFonts w:hint="eastAsia" w:ascii="宋体" w:hAnsi="宋体" w:cs="宋体"/>
                <w:color w:val="auto"/>
                <w:szCs w:val="21"/>
                <w:highlight w:val="none"/>
              </w:rPr>
              <w:t>秩序维护服务方案</w:t>
            </w:r>
          </w:p>
        </w:tc>
        <w:tc>
          <w:tcPr>
            <w:tcW w:w="3329" w:type="pct"/>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rFonts w:hint="eastAsia"/>
                <w:color w:val="auto"/>
                <w:highlight w:val="none"/>
              </w:rPr>
              <w:t>投标人提供</w:t>
            </w:r>
            <w:r>
              <w:rPr>
                <w:rFonts w:hint="eastAsia" w:ascii="宋体" w:hAnsi="宋体" w:cs="宋体"/>
                <w:color w:val="auto"/>
                <w:szCs w:val="21"/>
                <w:highlight w:val="none"/>
              </w:rPr>
              <w:t>秩序维护方案</w:t>
            </w:r>
            <w:r>
              <w:rPr>
                <w:rFonts w:hint="eastAsia"/>
                <w:color w:val="auto"/>
                <w:highlight w:val="none"/>
              </w:rPr>
              <w:t>的，得1分。方案内容包含“安全治安管理方案”且符合采购需求的，得2分；包含“日常巡查管理和维护方案”且符合采购需求的，得2分；包含“礼仪标准培训方案”且符合采购需求的，得2分；包含“重大活动保障方案”且符合采购需求的，得2分。</w:t>
            </w:r>
          </w:p>
          <w:p>
            <w:pPr>
              <w:pStyle w:val="5"/>
              <w:numPr>
                <w:ilvl w:val="1"/>
                <w:numId w:val="0"/>
              </w:numPr>
              <w:rPr>
                <w:color w:val="auto"/>
                <w:highlight w:val="none"/>
              </w:rPr>
            </w:pPr>
            <w:bookmarkStart w:id="587" w:name="_Toc19562"/>
            <w:r>
              <w:rPr>
                <w:rFonts w:hint="eastAsia" w:ascii="Calibri" w:hAnsi="Calibri" w:cs="Times New Roman"/>
                <w:b w:val="0"/>
                <w:bCs w:val="0"/>
                <w:color w:val="auto"/>
                <w:sz w:val="21"/>
                <w:szCs w:val="22"/>
                <w:highlight w:val="none"/>
              </w:rPr>
              <w:t>（说明：1、提供秩序维护方案。2、本评分项不符合采购需求是指存在不适用项目实际情况、凭空编造、逻辑漏洞、原理错误情形。）</w:t>
            </w:r>
            <w:bookmarkEnd w:id="587"/>
          </w:p>
        </w:tc>
        <w:tc>
          <w:tcPr>
            <w:tcW w:w="641" w:type="pct"/>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4" w:space="0"/>
              <w:bottom w:val="single" w:color="auto" w:sz="4" w:space="0"/>
              <w:right w:val="single" w:color="auto" w:sz="4" w:space="0"/>
            </w:tcBorders>
            <w:vAlign w:val="center"/>
          </w:tcPr>
          <w:p>
            <w:pPr>
              <w:widowControl/>
              <w:tabs>
                <w:tab w:val="left" w:pos="0"/>
              </w:tabs>
              <w:spacing w:line="360" w:lineRule="exact"/>
              <w:jc w:val="center"/>
              <w:rPr>
                <w:rFonts w:hAnsi="宋体"/>
                <w:b/>
                <w:bCs/>
                <w:color w:val="auto"/>
                <w:szCs w:val="21"/>
                <w:highlight w:val="none"/>
              </w:rPr>
            </w:pPr>
            <w:r>
              <w:rPr>
                <w:rFonts w:hint="eastAsia" w:ascii="宋体" w:hAnsi="宋体" w:cs="宋体"/>
                <w:color w:val="auto"/>
                <w:szCs w:val="21"/>
                <w:highlight w:val="none"/>
              </w:rPr>
              <w:t>保洁服务方案</w:t>
            </w:r>
          </w:p>
        </w:tc>
        <w:tc>
          <w:tcPr>
            <w:tcW w:w="3329" w:type="pct"/>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rFonts w:hint="eastAsia"/>
                <w:color w:val="auto"/>
                <w:highlight w:val="none"/>
              </w:rPr>
              <w:t>投标人提供</w:t>
            </w:r>
            <w:r>
              <w:rPr>
                <w:rFonts w:hint="eastAsia" w:ascii="宋体" w:hAnsi="宋体" w:cs="宋体"/>
                <w:color w:val="auto"/>
                <w:szCs w:val="21"/>
                <w:highlight w:val="none"/>
              </w:rPr>
              <w:t>保洁服务方案</w:t>
            </w:r>
            <w:r>
              <w:rPr>
                <w:rFonts w:hint="eastAsia"/>
                <w:color w:val="auto"/>
                <w:highlight w:val="none"/>
              </w:rPr>
              <w:t>的，得1分。方案内容包含“清洁卫生方案”且符合采购需求的，得2分；包含“垃圾的收集、清运服务方案”且符合采购需求的，得2分；包含“消毒管理方案”且符合采购需求的，得2分。</w:t>
            </w:r>
          </w:p>
          <w:p>
            <w:pPr>
              <w:pStyle w:val="5"/>
              <w:numPr>
                <w:ilvl w:val="1"/>
                <w:numId w:val="0"/>
              </w:numPr>
              <w:rPr>
                <w:color w:val="auto"/>
                <w:highlight w:val="none"/>
              </w:rPr>
            </w:pPr>
            <w:bookmarkStart w:id="588" w:name="_Toc14309"/>
            <w:r>
              <w:rPr>
                <w:rFonts w:hint="eastAsia" w:ascii="Calibri" w:hAnsi="Calibri" w:cs="Times New Roman"/>
                <w:b w:val="0"/>
                <w:bCs w:val="0"/>
                <w:color w:val="auto"/>
                <w:sz w:val="21"/>
                <w:szCs w:val="22"/>
                <w:highlight w:val="none"/>
              </w:rPr>
              <w:t>（说明：1、提供保洁服务方案。2、本评分项不符合采购需求是指存在不适用项目实际情况、凭空编造、逻辑漏洞、原理错误情形。）</w:t>
            </w:r>
            <w:bookmarkEnd w:id="588"/>
          </w:p>
        </w:tc>
        <w:tc>
          <w:tcPr>
            <w:tcW w:w="641" w:type="pct"/>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4" w:space="0"/>
              <w:bottom w:val="single" w:color="auto" w:sz="4" w:space="0"/>
              <w:right w:val="single" w:color="auto" w:sz="4" w:space="0"/>
            </w:tcBorders>
            <w:vAlign w:val="center"/>
          </w:tcPr>
          <w:p>
            <w:pPr>
              <w:widowControl/>
              <w:tabs>
                <w:tab w:val="left" w:pos="0"/>
              </w:tabs>
              <w:spacing w:line="360" w:lineRule="exact"/>
              <w:jc w:val="center"/>
              <w:rPr>
                <w:rFonts w:hAnsi="宋体"/>
                <w:b/>
                <w:bCs/>
                <w:color w:val="auto"/>
                <w:szCs w:val="21"/>
                <w:highlight w:val="none"/>
              </w:rPr>
            </w:pPr>
            <w:r>
              <w:rPr>
                <w:rFonts w:hint="eastAsia" w:ascii="宋体" w:hAnsi="宋体" w:cs="宋体"/>
                <w:color w:val="auto"/>
                <w:szCs w:val="21"/>
                <w:highlight w:val="none"/>
              </w:rPr>
              <w:t>设施设备维保及日常维修服务方案</w:t>
            </w:r>
          </w:p>
        </w:tc>
        <w:tc>
          <w:tcPr>
            <w:tcW w:w="3329" w:type="pct"/>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rFonts w:hint="eastAsia"/>
                <w:color w:val="auto"/>
                <w:highlight w:val="none"/>
              </w:rPr>
              <w:t>投标人提供</w:t>
            </w:r>
            <w:r>
              <w:rPr>
                <w:rFonts w:hint="eastAsia" w:ascii="宋体" w:hAnsi="宋体" w:cs="宋体"/>
                <w:color w:val="auto"/>
                <w:szCs w:val="21"/>
                <w:highlight w:val="none"/>
              </w:rPr>
              <w:t>设施设备维保及日常维修服务方案</w:t>
            </w:r>
            <w:r>
              <w:rPr>
                <w:rFonts w:hint="eastAsia"/>
                <w:color w:val="auto"/>
                <w:highlight w:val="none"/>
              </w:rPr>
              <w:t>的，得1分。方案内容包含“设施设备档案管理”且符合采购需求的，得2分；包含“维修人员在15分钟内到达现场抢修处理，维修合格率100%”的，得2分；包含“人员值班管理”且符合采购需求的，得2分。</w:t>
            </w:r>
          </w:p>
          <w:p>
            <w:pPr>
              <w:pStyle w:val="5"/>
              <w:numPr>
                <w:ilvl w:val="1"/>
                <w:numId w:val="0"/>
              </w:numPr>
              <w:rPr>
                <w:color w:val="auto"/>
                <w:highlight w:val="none"/>
              </w:rPr>
            </w:pPr>
            <w:bookmarkStart w:id="589" w:name="_Toc24004"/>
            <w:r>
              <w:rPr>
                <w:rFonts w:hint="eastAsia" w:ascii="Calibri" w:hAnsi="Calibri" w:cs="Times New Roman"/>
                <w:b w:val="0"/>
                <w:bCs w:val="0"/>
                <w:color w:val="auto"/>
                <w:sz w:val="21"/>
                <w:szCs w:val="22"/>
                <w:highlight w:val="none"/>
              </w:rPr>
              <w:t>（说明：1、提供设施设备维保及日常维修服务方案。2、本评分项不符合采购需求是指存在不适用项目实际情况、凭空编造、逻辑漏洞、原理错误情形。）</w:t>
            </w:r>
            <w:bookmarkEnd w:id="589"/>
          </w:p>
        </w:tc>
        <w:tc>
          <w:tcPr>
            <w:tcW w:w="641" w:type="pct"/>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4" w:space="0"/>
              <w:bottom w:val="single" w:color="auto" w:sz="4" w:space="0"/>
              <w:right w:val="single" w:color="auto" w:sz="4" w:space="0"/>
            </w:tcBorders>
            <w:vAlign w:val="center"/>
          </w:tcPr>
          <w:p>
            <w:pPr>
              <w:widowControl/>
              <w:tabs>
                <w:tab w:val="left" w:pos="0"/>
              </w:tabs>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植物租摆及养护服务方案</w:t>
            </w:r>
          </w:p>
        </w:tc>
        <w:tc>
          <w:tcPr>
            <w:tcW w:w="3329" w:type="pct"/>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rFonts w:hint="eastAsia"/>
                <w:color w:val="auto"/>
                <w:highlight w:val="none"/>
              </w:rPr>
              <w:t>投标人提供</w:t>
            </w:r>
            <w:r>
              <w:rPr>
                <w:rFonts w:hint="eastAsia" w:ascii="宋体" w:hAnsi="宋体" w:cs="宋体"/>
                <w:color w:val="auto"/>
                <w:szCs w:val="21"/>
                <w:highlight w:val="none"/>
              </w:rPr>
              <w:t>植物租摆及养护服务方案</w:t>
            </w:r>
            <w:r>
              <w:rPr>
                <w:rFonts w:hint="eastAsia"/>
                <w:color w:val="auto"/>
                <w:highlight w:val="none"/>
              </w:rPr>
              <w:t>的，得1分。方案内容包含“植物摆放方案”且符合采购需求的，得1分；包含“植物养护方案”且符合采购需求的，得1分。</w:t>
            </w:r>
          </w:p>
          <w:p>
            <w:pPr>
              <w:pStyle w:val="5"/>
              <w:numPr>
                <w:ilvl w:val="1"/>
                <w:numId w:val="0"/>
              </w:numPr>
              <w:rPr>
                <w:rFonts w:ascii="Calibri" w:hAnsi="Calibri" w:cs="Times New Roman"/>
                <w:b w:val="0"/>
                <w:bCs w:val="0"/>
                <w:color w:val="auto"/>
                <w:sz w:val="21"/>
                <w:szCs w:val="22"/>
                <w:highlight w:val="none"/>
              </w:rPr>
            </w:pPr>
            <w:bookmarkStart w:id="590" w:name="_Toc14457"/>
            <w:r>
              <w:rPr>
                <w:rFonts w:hint="eastAsia" w:ascii="Calibri" w:hAnsi="Calibri" w:cs="Times New Roman"/>
                <w:b w:val="0"/>
                <w:bCs w:val="0"/>
                <w:color w:val="auto"/>
                <w:sz w:val="21"/>
                <w:szCs w:val="22"/>
                <w:highlight w:val="none"/>
              </w:rPr>
              <w:t>（说明：1、提供植物租摆及养护服务方案。2、本评分项不符合采购需求是指存在不适用项目实际情况、凭空编造、逻辑漏洞、原理错误情形。）</w:t>
            </w:r>
            <w:bookmarkEnd w:id="590"/>
          </w:p>
        </w:tc>
        <w:tc>
          <w:tcPr>
            <w:tcW w:w="641" w:type="pct"/>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60" w:lineRule="exact"/>
              <w:ind w:firstLine="28"/>
              <w:jc w:val="center"/>
              <w:textAlignment w:val="baseline"/>
              <w:rPr>
                <w:rFonts w:ascii="宋体" w:hAnsi="宋体"/>
                <w:color w:val="auto"/>
                <w:szCs w:val="21"/>
                <w:highlight w:val="none"/>
              </w:rPr>
            </w:pPr>
            <w:r>
              <w:rPr>
                <w:rFonts w:hint="eastAsia" w:ascii="宋体" w:hAnsi="宋体"/>
                <w:color w:val="auto"/>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4" w:space="0"/>
              <w:bottom w:val="single" w:color="auto" w:sz="4" w:space="0"/>
              <w:right w:val="single" w:color="auto" w:sz="4" w:space="0"/>
            </w:tcBorders>
            <w:vAlign w:val="center"/>
          </w:tcPr>
          <w:p>
            <w:pPr>
              <w:widowControl/>
              <w:tabs>
                <w:tab w:val="left" w:pos="0"/>
              </w:tabs>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阶段性服务方案</w:t>
            </w:r>
          </w:p>
        </w:tc>
        <w:tc>
          <w:tcPr>
            <w:tcW w:w="5675" w:type="dxa"/>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rFonts w:hint="eastAsia"/>
                <w:color w:val="auto"/>
                <w:highlight w:val="none"/>
              </w:rPr>
              <w:t>投标人提供</w:t>
            </w:r>
            <w:r>
              <w:rPr>
                <w:rFonts w:hint="eastAsia" w:ascii="宋体" w:hAnsi="宋体" w:cs="宋体"/>
                <w:color w:val="auto"/>
                <w:szCs w:val="21"/>
                <w:highlight w:val="none"/>
              </w:rPr>
              <w:t>阶段性服务方案</w:t>
            </w:r>
            <w:r>
              <w:rPr>
                <w:rFonts w:hint="eastAsia"/>
                <w:color w:val="auto"/>
                <w:highlight w:val="none"/>
              </w:rPr>
              <w:t>的，得1分。方案内容包含“承接查验方案”且符合采购需求的，得1分；包含“项目开荒服务方案”且符合采购需求的，得1分；包含“甲醛治理方案”且符合采购需求的，得1分。</w:t>
            </w:r>
          </w:p>
          <w:p>
            <w:pPr>
              <w:pStyle w:val="5"/>
              <w:numPr>
                <w:ilvl w:val="1"/>
                <w:numId w:val="0"/>
              </w:numPr>
              <w:rPr>
                <w:rFonts w:ascii="Calibri" w:hAnsi="Calibri" w:cs="Times New Roman"/>
                <w:b w:val="0"/>
                <w:bCs w:val="0"/>
                <w:color w:val="auto"/>
                <w:sz w:val="21"/>
                <w:szCs w:val="22"/>
                <w:highlight w:val="none"/>
              </w:rPr>
            </w:pPr>
            <w:bookmarkStart w:id="591" w:name="_Toc18827"/>
            <w:r>
              <w:rPr>
                <w:rFonts w:hint="eastAsia" w:ascii="Calibri" w:hAnsi="Calibri" w:cs="Times New Roman"/>
                <w:b w:val="0"/>
                <w:bCs w:val="0"/>
                <w:color w:val="auto"/>
                <w:sz w:val="21"/>
                <w:szCs w:val="22"/>
                <w:highlight w:val="none"/>
              </w:rPr>
              <w:t>（说明：1、提供阶段性服务方案。2、本评分项不符合采购需求是指存在不适用项目实际情况、凭空编造、逻辑漏洞、原理错误情形。）</w:t>
            </w:r>
            <w:bookmarkEnd w:id="591"/>
          </w:p>
        </w:tc>
        <w:tc>
          <w:tcPr>
            <w:tcW w:w="1093" w:type="dxa"/>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60" w:lineRule="exact"/>
              <w:ind w:firstLine="28"/>
              <w:jc w:val="center"/>
              <w:textAlignment w:val="baseline"/>
              <w:rPr>
                <w:rFonts w:ascii="宋体" w:hAnsi="宋体"/>
                <w:color w:val="auto"/>
                <w:szCs w:val="21"/>
                <w:highlight w:val="none"/>
              </w:rPr>
            </w:pPr>
            <w:r>
              <w:rPr>
                <w:rFonts w:hint="eastAsia" w:ascii="宋体" w:hAnsi="宋体"/>
                <w:color w:val="auto"/>
                <w:szCs w:val="21"/>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pct"/>
            <w:tcBorders>
              <w:top w:val="single" w:color="auto" w:sz="4" w:space="0"/>
              <w:left w:val="single" w:color="auto" w:sz="4" w:space="0"/>
              <w:bottom w:val="single" w:color="auto" w:sz="4" w:space="0"/>
              <w:right w:val="single" w:color="auto" w:sz="4" w:space="0"/>
            </w:tcBorders>
          </w:tcPr>
          <w:p>
            <w:pPr>
              <w:spacing w:after="200" w:line="276" w:lineRule="auto"/>
              <w:rPr>
                <w:b/>
                <w:color w:val="auto"/>
                <w:sz w:val="20"/>
                <w:highlight w:val="none"/>
              </w:rPr>
            </w:pPr>
            <w:r>
              <w:rPr>
                <w:rFonts w:hint="eastAsia"/>
                <w:b/>
                <w:color w:val="auto"/>
                <w:sz w:val="20"/>
                <w:highlight w:val="none"/>
              </w:rPr>
              <w:t>技术类评委</w:t>
            </w:r>
          </w:p>
        </w:tc>
        <w:tc>
          <w:tcPr>
            <w:tcW w:w="633" w:type="pct"/>
            <w:tcBorders>
              <w:top w:val="single" w:color="auto" w:sz="4" w:space="0"/>
              <w:left w:val="single" w:color="auto" w:sz="4" w:space="0"/>
              <w:bottom w:val="single" w:color="auto" w:sz="4" w:space="0"/>
              <w:right w:val="single" w:color="auto" w:sz="4" w:space="0"/>
            </w:tcBorders>
            <w:vAlign w:val="center"/>
          </w:tcPr>
          <w:p>
            <w:pPr>
              <w:pStyle w:val="243"/>
              <w:rPr>
                <w:rFonts w:hAnsi="宋体"/>
                <w:b/>
                <w:bCs/>
                <w:color w:val="auto"/>
                <w:szCs w:val="21"/>
                <w:highlight w:val="none"/>
              </w:rPr>
            </w:pPr>
            <w:r>
              <w:rPr>
                <w:rFonts w:hint="eastAsia" w:ascii="宋体" w:hAnsi="宋体" w:cs="宋体"/>
                <w:color w:val="auto"/>
                <w:szCs w:val="21"/>
                <w:highlight w:val="none"/>
              </w:rPr>
              <w:t>应急预案</w:t>
            </w:r>
          </w:p>
        </w:tc>
        <w:tc>
          <w:tcPr>
            <w:tcW w:w="3329" w:type="pct"/>
            <w:tcBorders>
              <w:top w:val="single" w:color="auto" w:sz="4" w:space="0"/>
              <w:left w:val="single" w:color="auto" w:sz="4" w:space="0"/>
              <w:bottom w:val="single" w:color="auto" w:sz="4" w:space="0"/>
              <w:right w:val="single" w:color="auto" w:sz="4" w:space="0"/>
            </w:tcBorders>
            <w:vAlign w:val="center"/>
          </w:tcPr>
          <w:p>
            <w:pPr>
              <w:spacing w:line="300" w:lineRule="exact"/>
              <w:rPr>
                <w:color w:val="auto"/>
                <w:highlight w:val="none"/>
              </w:rPr>
            </w:pPr>
            <w:r>
              <w:rPr>
                <w:rFonts w:hint="eastAsia"/>
                <w:color w:val="auto"/>
                <w:highlight w:val="none"/>
              </w:rPr>
              <w:t>投标人提供应急预案的，得.0.5分。实施方案内容包含“风险控制措施”且符合采购需求的，得0.5分；包含“安防应急预案”且符合采购需求的，得0.5分；包含“消防应急预案”且符合采购需求的，得0.5分；包含“群体安全应急预案”且符合采购需求的，得0.5分；包含“自然灾害应急预案”且符合采购需求的，得0.5分。</w:t>
            </w:r>
          </w:p>
          <w:p>
            <w:pPr>
              <w:pStyle w:val="5"/>
              <w:numPr>
                <w:ilvl w:val="1"/>
                <w:numId w:val="0"/>
              </w:numPr>
              <w:rPr>
                <w:color w:val="auto"/>
                <w:highlight w:val="none"/>
              </w:rPr>
            </w:pPr>
            <w:bookmarkStart w:id="592" w:name="_Toc30711"/>
            <w:r>
              <w:rPr>
                <w:rFonts w:hint="eastAsia" w:ascii="Calibri" w:hAnsi="Calibri" w:cs="Times New Roman"/>
                <w:b w:val="0"/>
                <w:bCs w:val="0"/>
                <w:color w:val="auto"/>
                <w:sz w:val="21"/>
                <w:szCs w:val="22"/>
                <w:highlight w:val="none"/>
              </w:rPr>
              <w:t>（说明：1、提供应急预案。2、本评分项不符合采购需求是指存在不适用项目实际情况、凭空编造、逻辑漏洞、原理错误情形。）</w:t>
            </w:r>
            <w:bookmarkEnd w:id="592"/>
          </w:p>
        </w:tc>
        <w:tc>
          <w:tcPr>
            <w:tcW w:w="641" w:type="pct"/>
            <w:tcBorders>
              <w:top w:val="single" w:color="auto" w:sz="4" w:space="0"/>
              <w:left w:val="single" w:color="auto" w:sz="4" w:space="0"/>
              <w:bottom w:val="single" w:color="auto" w:sz="4" w:space="0"/>
              <w:right w:val="single" w:color="auto" w:sz="4" w:space="0"/>
            </w:tcBorders>
            <w:vAlign w:val="center"/>
          </w:tcPr>
          <w:p>
            <w:pPr>
              <w:tabs>
                <w:tab w:val="left" w:pos="0"/>
              </w:tabs>
              <w:snapToGrid w:val="0"/>
              <w:spacing w:line="360" w:lineRule="exact"/>
              <w:ind w:firstLine="28"/>
              <w:jc w:val="center"/>
              <w:textAlignment w:val="baseline"/>
              <w:rPr>
                <w:color w:val="auto"/>
                <w:highlight w:val="none"/>
              </w:rPr>
            </w:pPr>
            <w:r>
              <w:rPr>
                <w:rFonts w:hint="eastAsia" w:ascii="宋体" w:hAnsi="宋体"/>
                <w:color w:val="auto"/>
                <w:szCs w:val="21"/>
                <w:highlight w:val="none"/>
              </w:rPr>
              <w:t>3分</w:t>
            </w:r>
          </w:p>
        </w:tc>
      </w:tr>
    </w:tbl>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说明：</w:t>
      </w:r>
    </w:p>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1、评分的取值按四舍五入法，保留小数点后两位；</w:t>
      </w:r>
    </w:p>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2、评分标准中要求提供复印件的证明材料须清晰可辨。</w:t>
      </w:r>
    </w:p>
    <w:p>
      <w:pPr>
        <w:pStyle w:val="5"/>
        <w:numPr>
          <w:ilvl w:val="1"/>
          <w:numId w:val="5"/>
        </w:numPr>
        <w:spacing w:before="0" w:after="0" w:line="560" w:lineRule="exact"/>
        <w:ind w:left="2269" w:hanging="2127"/>
        <w:rPr>
          <w:color w:val="auto"/>
          <w:highlight w:val="none"/>
        </w:rPr>
      </w:pPr>
      <w:bookmarkStart w:id="593" w:name="_Toc320624285"/>
      <w:bookmarkEnd w:id="593"/>
      <w:bookmarkStart w:id="594" w:name="_Toc315871658"/>
      <w:bookmarkEnd w:id="594"/>
      <w:bookmarkStart w:id="595" w:name="_Toc320624280"/>
      <w:bookmarkEnd w:id="595"/>
      <w:bookmarkStart w:id="596" w:name="_Toc315871656"/>
      <w:bookmarkEnd w:id="596"/>
      <w:bookmarkStart w:id="597" w:name="_Toc315871657"/>
      <w:bookmarkEnd w:id="597"/>
      <w:bookmarkStart w:id="598" w:name="_Toc320624255"/>
      <w:bookmarkEnd w:id="598"/>
      <w:bookmarkStart w:id="599" w:name="_Toc318206701"/>
      <w:bookmarkEnd w:id="599"/>
      <w:bookmarkStart w:id="600" w:name="_Toc320624295"/>
      <w:bookmarkEnd w:id="600"/>
      <w:bookmarkStart w:id="601" w:name="_Toc315871725"/>
      <w:bookmarkEnd w:id="601"/>
      <w:bookmarkStart w:id="602" w:name="_Toc320624260"/>
      <w:bookmarkEnd w:id="602"/>
      <w:bookmarkStart w:id="603" w:name="_Toc320624275"/>
      <w:bookmarkEnd w:id="603"/>
      <w:bookmarkStart w:id="604" w:name="_Toc320624240"/>
      <w:bookmarkEnd w:id="604"/>
      <w:bookmarkStart w:id="605" w:name="_Toc320624290"/>
      <w:bookmarkEnd w:id="605"/>
      <w:bookmarkStart w:id="606" w:name="_Toc320624265"/>
      <w:bookmarkEnd w:id="606"/>
      <w:bookmarkStart w:id="607" w:name="_Toc315871726"/>
      <w:bookmarkStart w:id="608" w:name="_Toc15076"/>
      <w:bookmarkStart w:id="609" w:name="_Toc316292258"/>
      <w:bookmarkStart w:id="610" w:name="_Toc18803"/>
      <w:bookmarkStart w:id="611" w:name="_Toc23841"/>
      <w:bookmarkStart w:id="612" w:name="_Toc19565"/>
      <w:bookmarkStart w:id="613" w:name="_Toc14399"/>
      <w:bookmarkStart w:id="614" w:name="_Toc217446060"/>
      <w:r>
        <w:rPr>
          <w:rFonts w:hint="eastAsia"/>
          <w:color w:val="auto"/>
          <w:highlight w:val="none"/>
        </w:rPr>
        <w:t>废标</w:t>
      </w:r>
      <w:bookmarkEnd w:id="607"/>
      <w:bookmarkEnd w:id="608"/>
      <w:bookmarkEnd w:id="609"/>
      <w:bookmarkEnd w:id="610"/>
      <w:bookmarkEnd w:id="611"/>
      <w:bookmarkEnd w:id="612"/>
      <w:bookmarkEnd w:id="613"/>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本次政府采购活动中，出现下列情形之一的，予以废标：</w:t>
      </w:r>
    </w:p>
    <w:p>
      <w:pPr>
        <w:numPr>
          <w:ilvl w:val="0"/>
          <w:numId w:val="57"/>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符合专业条件的投标人或者对招标文件作实质响应的投标人不足三家的；</w:t>
      </w:r>
    </w:p>
    <w:p>
      <w:pPr>
        <w:numPr>
          <w:ilvl w:val="0"/>
          <w:numId w:val="57"/>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出现影响采购公正的违法、违规行为的；</w:t>
      </w:r>
    </w:p>
    <w:p>
      <w:pPr>
        <w:numPr>
          <w:ilvl w:val="0"/>
          <w:numId w:val="57"/>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投标人的报价均超过了采购预算，采购人不能支付的；</w:t>
      </w:r>
    </w:p>
    <w:p>
      <w:pPr>
        <w:numPr>
          <w:ilvl w:val="0"/>
          <w:numId w:val="57"/>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因重大变故，采购任务取消的；</w:t>
      </w:r>
    </w:p>
    <w:p>
      <w:pPr>
        <w:numPr>
          <w:ilvl w:val="0"/>
          <w:numId w:val="57"/>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废标后，高新区采购中心将在“四川政府采购网”和“成都市公共资源交易服务中心”网站上公告。</w:t>
      </w:r>
    </w:p>
    <w:p>
      <w:pPr>
        <w:pStyle w:val="5"/>
        <w:numPr>
          <w:ilvl w:val="1"/>
          <w:numId w:val="5"/>
        </w:numPr>
        <w:spacing w:before="0" w:after="0" w:line="560" w:lineRule="exact"/>
        <w:ind w:left="2269" w:hanging="2127"/>
        <w:rPr>
          <w:color w:val="auto"/>
          <w:highlight w:val="none"/>
        </w:rPr>
      </w:pPr>
      <w:bookmarkStart w:id="615" w:name="_Toc27932"/>
      <w:bookmarkStart w:id="616" w:name="_Toc8992"/>
      <w:bookmarkStart w:id="617" w:name="_Toc19880"/>
      <w:bookmarkStart w:id="618" w:name="_Toc315871727"/>
      <w:bookmarkStart w:id="619" w:name="_Toc3782"/>
      <w:bookmarkStart w:id="620" w:name="_Toc316292259"/>
      <w:bookmarkStart w:id="621" w:name="_Toc881"/>
      <w:r>
        <w:rPr>
          <w:rFonts w:hint="eastAsia"/>
          <w:color w:val="auto"/>
          <w:highlight w:val="none"/>
        </w:rPr>
        <w:t>定标</w:t>
      </w:r>
      <w:bookmarkEnd w:id="614"/>
      <w:bookmarkEnd w:id="615"/>
      <w:bookmarkEnd w:id="616"/>
      <w:bookmarkEnd w:id="617"/>
      <w:bookmarkEnd w:id="618"/>
      <w:bookmarkEnd w:id="619"/>
      <w:bookmarkEnd w:id="620"/>
      <w:bookmarkEnd w:id="621"/>
      <w:bookmarkStart w:id="622" w:name="_Toc217446061"/>
    </w:p>
    <w:p>
      <w:pPr>
        <w:pStyle w:val="6"/>
        <w:numPr>
          <w:ilvl w:val="2"/>
          <w:numId w:val="5"/>
        </w:numPr>
        <w:spacing w:after="200" w:line="560" w:lineRule="exact"/>
        <w:ind w:left="0" w:firstLine="0"/>
        <w:rPr>
          <w:color w:val="auto"/>
          <w:highlight w:val="none"/>
        </w:rPr>
      </w:pPr>
      <w:bookmarkStart w:id="623" w:name="_Toc315871728"/>
      <w:bookmarkStart w:id="624" w:name="_Toc316292260"/>
      <w:r>
        <w:rPr>
          <w:rFonts w:hint="eastAsia"/>
          <w:color w:val="auto"/>
          <w:highlight w:val="none"/>
        </w:rPr>
        <w:t>定标原则</w:t>
      </w:r>
      <w:bookmarkEnd w:id="622"/>
      <w:bookmarkEnd w:id="623"/>
      <w:bookmarkEnd w:id="624"/>
    </w:p>
    <w:p>
      <w:pPr>
        <w:spacing w:line="560" w:lineRule="exact"/>
        <w:ind w:firstLine="560" w:firstLineChars="200"/>
        <w:rPr>
          <w:rFonts w:ascii="宋体" w:hAnsi="宋体"/>
          <w:color w:val="auto"/>
          <w:sz w:val="28"/>
          <w:szCs w:val="28"/>
          <w:highlight w:val="none"/>
        </w:rPr>
      </w:pPr>
      <w:bookmarkStart w:id="625" w:name="_Toc316292261"/>
      <w:bookmarkStart w:id="626" w:name="_Toc315871729"/>
      <w:bookmarkStart w:id="627" w:name="_Toc217446062"/>
      <w:r>
        <w:rPr>
          <w:rFonts w:hint="eastAsia" w:ascii="宋体" w:hAnsi="宋体"/>
          <w:color w:val="auto"/>
          <w:sz w:val="28"/>
          <w:szCs w:val="28"/>
          <w:highlight w:val="none"/>
        </w:rPr>
        <w:t>本项目根据评标委员会确定的中标候选人名单，采购人按顺序确定1名中标人。中标候选供应商并列的，</w:t>
      </w:r>
      <w:r>
        <w:rPr>
          <w:rFonts w:hint="eastAsia" w:ascii="宋体"/>
          <w:color w:val="auto"/>
          <w:sz w:val="28"/>
          <w:szCs w:val="28"/>
          <w:highlight w:val="none"/>
        </w:rPr>
        <w:t>由采购人采取随机抽取的方式确定中标人</w:t>
      </w:r>
      <w:r>
        <w:rPr>
          <w:rFonts w:hint="eastAsia" w:ascii="宋体" w:hAnsi="宋体"/>
          <w:color w:val="auto"/>
          <w:sz w:val="28"/>
          <w:szCs w:val="28"/>
          <w:highlight w:val="none"/>
        </w:rPr>
        <w:t>。</w:t>
      </w:r>
    </w:p>
    <w:p>
      <w:pPr>
        <w:spacing w:line="560" w:lineRule="exact"/>
        <w:ind w:firstLine="560" w:firstLineChars="200"/>
        <w:rPr>
          <w:rFonts w:ascii="宋体" w:hAnsi="宋体"/>
          <w:color w:val="auto"/>
          <w:sz w:val="28"/>
          <w:szCs w:val="28"/>
          <w:highlight w:val="none"/>
        </w:rPr>
      </w:pPr>
      <w:r>
        <w:rPr>
          <w:rFonts w:hint="eastAsia" w:cs="Helvetica" w:asciiTheme="minorEastAsia" w:hAnsiTheme="minorEastAsia" w:eastAsiaTheme="minorEastAsia"/>
          <w:color w:val="auto"/>
          <w:kern w:val="0"/>
          <w:sz w:val="28"/>
          <w:szCs w:val="28"/>
          <w:highlight w:val="none"/>
        </w:rPr>
        <w:t>采购人在收到评标报告</w:t>
      </w:r>
      <w:r>
        <w:rPr>
          <w:rFonts w:hint="eastAsia" w:cs="宋体" w:asciiTheme="minorEastAsia" w:hAnsiTheme="minorEastAsia" w:eastAsiaTheme="minorEastAsia"/>
          <w:color w:val="auto"/>
          <w:kern w:val="0"/>
          <w:sz w:val="28"/>
          <w:szCs w:val="28"/>
          <w:highlight w:val="none"/>
        </w:rPr>
        <w:t>3</w:t>
      </w:r>
      <w:r>
        <w:rPr>
          <w:rFonts w:hint="eastAsia" w:cs="Helvetica" w:asciiTheme="minorEastAsia" w:hAnsiTheme="minorEastAsia" w:eastAsiaTheme="minorEastAsia"/>
          <w:color w:val="auto"/>
          <w:kern w:val="0"/>
          <w:sz w:val="28"/>
          <w:szCs w:val="28"/>
          <w:highlight w:val="none"/>
        </w:rPr>
        <w:t>个工作日内未按评标报告推荐的中标候选人顺序确定中标人，又不能说明合法理由的，视同按评标报告推荐的顺序确定排名第一的中标候选人为中标人。</w:t>
      </w:r>
    </w:p>
    <w:p>
      <w:pPr>
        <w:pStyle w:val="6"/>
        <w:numPr>
          <w:ilvl w:val="2"/>
          <w:numId w:val="5"/>
        </w:numPr>
        <w:spacing w:after="200" w:line="560" w:lineRule="exact"/>
        <w:ind w:left="0" w:firstLine="0"/>
        <w:rPr>
          <w:color w:val="auto"/>
          <w:highlight w:val="none"/>
        </w:rPr>
      </w:pPr>
      <w:r>
        <w:rPr>
          <w:rFonts w:hint="eastAsia"/>
          <w:color w:val="auto"/>
          <w:highlight w:val="none"/>
        </w:rPr>
        <w:t>定标程序</w:t>
      </w:r>
      <w:bookmarkEnd w:id="625"/>
      <w:bookmarkEnd w:id="626"/>
      <w:bookmarkEnd w:id="627"/>
    </w:p>
    <w:bookmarkEnd w:id="558"/>
    <w:p>
      <w:pPr>
        <w:spacing w:line="560" w:lineRule="exact"/>
        <w:ind w:firstLine="560" w:firstLineChars="200"/>
        <w:rPr>
          <w:rFonts w:ascii="宋体" w:hAnsi="宋体"/>
          <w:color w:val="auto"/>
          <w:kern w:val="0"/>
          <w:sz w:val="28"/>
          <w:szCs w:val="28"/>
          <w:highlight w:val="none"/>
        </w:rPr>
      </w:pPr>
      <w:bookmarkStart w:id="628" w:name="_Toc315871730"/>
      <w:bookmarkStart w:id="629" w:name="_Toc316292262"/>
      <w:r>
        <w:rPr>
          <w:rFonts w:hint="eastAsia" w:ascii="宋体" w:hAnsi="宋体"/>
          <w:color w:val="auto"/>
          <w:kern w:val="0"/>
          <w:sz w:val="28"/>
          <w:szCs w:val="28"/>
          <w:highlight w:val="none"/>
        </w:rPr>
        <w:t>一、评审委员会将评审情况写出书面报告。</w:t>
      </w:r>
    </w:p>
    <w:p>
      <w:pPr>
        <w:spacing w:line="560" w:lineRule="exact"/>
        <w:ind w:firstLine="560" w:firstLineChars="200"/>
        <w:rPr>
          <w:rFonts w:ascii="宋体" w:hAnsi="宋体"/>
          <w:color w:val="auto"/>
          <w:kern w:val="0"/>
          <w:sz w:val="28"/>
          <w:szCs w:val="28"/>
          <w:highlight w:val="none"/>
        </w:rPr>
      </w:pPr>
      <w:r>
        <w:rPr>
          <w:rFonts w:hint="eastAsia" w:ascii="宋体" w:hAnsi="宋体"/>
          <w:color w:val="auto"/>
          <w:kern w:val="0"/>
          <w:sz w:val="28"/>
          <w:szCs w:val="28"/>
          <w:highlight w:val="none"/>
        </w:rPr>
        <w:t>二、高新区采购中心在评审结束之日起2个工作日内将评审报告送采购人。</w:t>
      </w:r>
    </w:p>
    <w:p>
      <w:pPr>
        <w:pStyle w:val="19"/>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auto"/>
          <w:kern w:val="0"/>
          <w:sz w:val="28"/>
          <w:szCs w:val="28"/>
          <w:highlight w:val="none"/>
        </w:rPr>
      </w:pPr>
      <w:r>
        <w:rPr>
          <w:rFonts w:hint="eastAsia" w:ascii="宋体" w:hAnsi="宋体"/>
          <w:color w:val="auto"/>
          <w:kern w:val="0"/>
          <w:sz w:val="28"/>
          <w:szCs w:val="28"/>
          <w:highlight w:val="none"/>
        </w:rPr>
        <w:t>四、根据采购人确定的中标（成交）人，高新区采购中心在“四川政府采购网”和“成都市公共资源交易服务中心”网站上发布中标（成交）公告，同时向中标（成交）人发出中标（成交）通知书。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auto"/>
          <w:kern w:val="0"/>
          <w:sz w:val="28"/>
          <w:szCs w:val="28"/>
          <w:highlight w:val="none"/>
        </w:rPr>
      </w:pPr>
      <w:r>
        <w:rPr>
          <w:rFonts w:hint="eastAsia" w:ascii="宋体" w:hAnsi="宋体"/>
          <w:color w:val="auto"/>
          <w:kern w:val="0"/>
          <w:sz w:val="28"/>
          <w:szCs w:val="28"/>
          <w:highlight w:val="none"/>
        </w:rPr>
        <w:t>五、采购人、高新区采购中心不解释中标（成交）或未中标（成交）原因，不退回投标文件和其他投标资料。</w:t>
      </w:r>
    </w:p>
    <w:p>
      <w:pPr>
        <w:pStyle w:val="5"/>
        <w:numPr>
          <w:ilvl w:val="1"/>
          <w:numId w:val="5"/>
        </w:numPr>
        <w:spacing w:before="0" w:after="0" w:line="560" w:lineRule="exact"/>
        <w:ind w:left="2269" w:hanging="2269"/>
        <w:rPr>
          <w:color w:val="auto"/>
          <w:highlight w:val="none"/>
        </w:rPr>
      </w:pPr>
      <w:bookmarkStart w:id="630" w:name="_Toc1482"/>
      <w:bookmarkStart w:id="631" w:name="_Toc31963"/>
      <w:bookmarkStart w:id="632" w:name="_Toc24014"/>
      <w:bookmarkStart w:id="633" w:name="_Toc20789"/>
      <w:bookmarkStart w:id="634" w:name="_Toc29095"/>
      <w:r>
        <w:rPr>
          <w:rFonts w:hint="eastAsia"/>
          <w:color w:val="auto"/>
          <w:highlight w:val="none"/>
        </w:rPr>
        <w:t>评标专家在政府采购活动中承担以下义务</w:t>
      </w:r>
      <w:bookmarkEnd w:id="628"/>
      <w:bookmarkEnd w:id="629"/>
      <w:bookmarkEnd w:id="630"/>
      <w:bookmarkEnd w:id="631"/>
      <w:bookmarkEnd w:id="632"/>
      <w:bookmarkEnd w:id="633"/>
      <w:bookmarkEnd w:id="634"/>
    </w:p>
    <w:p>
      <w:pPr>
        <w:numPr>
          <w:ilvl w:val="0"/>
          <w:numId w:val="58"/>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遵纪守法，客观、公正、廉洁地履行职责。</w:t>
      </w:r>
    </w:p>
    <w:p>
      <w:pPr>
        <w:numPr>
          <w:ilvl w:val="0"/>
          <w:numId w:val="58"/>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58"/>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保守秘密。不得泄漏投标人的投标文件及知悉的商业秘密，不得向投标人透露评审情况。</w:t>
      </w:r>
    </w:p>
    <w:p>
      <w:pPr>
        <w:numPr>
          <w:ilvl w:val="0"/>
          <w:numId w:val="58"/>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发现投标人在政府采购活动中有不正当竞争或恶意串通等违规行为，及时向政府采购评审工作的组织者或财政部门报告并加以制止。</w:t>
      </w:r>
    </w:p>
    <w:p>
      <w:pPr>
        <w:numPr>
          <w:ilvl w:val="0"/>
          <w:numId w:val="58"/>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发现采购人、高新区采购中心及其工作人员在政府采购活动中有干预评审、发表倾向性和歧视性言论、受贿或者接受投标人的其他好处及其他违法违规行为，及时向财政部门报告。</w:t>
      </w:r>
    </w:p>
    <w:p>
      <w:pPr>
        <w:numPr>
          <w:ilvl w:val="0"/>
          <w:numId w:val="58"/>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解答有关方面对政府采购评审工作中有关问题的询问，配合采购人或者高新区采购中心答复投标人的询问、质疑，配合财政部门的投诉处理工作等事宜。</w:t>
      </w:r>
    </w:p>
    <w:p>
      <w:pPr>
        <w:numPr>
          <w:ilvl w:val="0"/>
          <w:numId w:val="58"/>
        </w:numPr>
        <w:tabs>
          <w:tab w:val="left" w:pos="1155"/>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法律、法规和规章规定的其他义务。</w:t>
      </w:r>
    </w:p>
    <w:p>
      <w:pPr>
        <w:pStyle w:val="5"/>
        <w:numPr>
          <w:ilvl w:val="1"/>
          <w:numId w:val="5"/>
        </w:numPr>
        <w:spacing w:before="0" w:after="0" w:line="560" w:lineRule="exact"/>
        <w:ind w:left="2269" w:hanging="2269"/>
        <w:rPr>
          <w:color w:val="auto"/>
          <w:highlight w:val="none"/>
        </w:rPr>
      </w:pPr>
      <w:bookmarkStart w:id="635" w:name="_Toc7637"/>
      <w:bookmarkStart w:id="636" w:name="_Toc31664"/>
      <w:bookmarkStart w:id="637" w:name="_Toc9396"/>
      <w:bookmarkStart w:id="638" w:name="_Toc3861"/>
      <w:bookmarkStart w:id="639" w:name="_Toc7125"/>
      <w:r>
        <w:rPr>
          <w:rFonts w:hint="eastAsia"/>
          <w:color w:val="auto"/>
          <w:highlight w:val="none"/>
        </w:rPr>
        <w:t>评标委员会及其成员不得有下列行为：</w:t>
      </w:r>
      <w:bookmarkEnd w:id="635"/>
      <w:bookmarkEnd w:id="636"/>
      <w:bookmarkEnd w:id="637"/>
      <w:bookmarkEnd w:id="638"/>
      <w:bookmarkEnd w:id="639"/>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一、确定参与评标至评标结束前私自接触投标人；</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二、接受投标人提出的与投标文件不一致的澄清或者说明，除招标文件明确可以澄清的除外；</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三、违反评标纪律发表倾向性意见或者征询采购人的倾向性意见；</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四、对需要专业判断的主观评审因素协商评分；</w:t>
      </w:r>
    </w:p>
    <w:p>
      <w:pPr>
        <w:tabs>
          <w:tab w:val="left" w:pos="1418"/>
        </w:tabs>
        <w:spacing w:line="560" w:lineRule="exact"/>
        <w:ind w:firstLine="560" w:firstLineChars="200"/>
        <w:rPr>
          <w:color w:val="auto"/>
          <w:sz w:val="28"/>
          <w:szCs w:val="28"/>
          <w:highlight w:val="none"/>
        </w:rPr>
      </w:pPr>
      <w:r>
        <w:rPr>
          <w:rFonts w:hint="eastAsia"/>
          <w:color w:val="auto"/>
          <w:sz w:val="28"/>
          <w:szCs w:val="28"/>
          <w:highlight w:val="none"/>
        </w:rPr>
        <w:t>五、在评标过程中擅离职守，影响评标程序正常进行的；</w:t>
      </w:r>
    </w:p>
    <w:p>
      <w:pPr>
        <w:tabs>
          <w:tab w:val="left" w:pos="1276"/>
          <w:tab w:val="left" w:pos="1418"/>
        </w:tabs>
        <w:spacing w:line="560" w:lineRule="exact"/>
        <w:ind w:firstLine="560" w:firstLineChars="200"/>
        <w:rPr>
          <w:color w:val="auto"/>
          <w:sz w:val="28"/>
          <w:szCs w:val="28"/>
          <w:highlight w:val="none"/>
        </w:rPr>
      </w:pPr>
      <w:r>
        <w:rPr>
          <w:rFonts w:hint="eastAsia"/>
          <w:color w:val="auto"/>
          <w:sz w:val="28"/>
          <w:szCs w:val="28"/>
          <w:highlight w:val="none"/>
        </w:rPr>
        <w:t>六、记录、复制或者带走任何评标资料；</w:t>
      </w:r>
    </w:p>
    <w:p>
      <w:pPr>
        <w:tabs>
          <w:tab w:val="left" w:pos="993"/>
          <w:tab w:val="left" w:pos="1276"/>
          <w:tab w:val="left" w:pos="1418"/>
        </w:tabs>
        <w:spacing w:line="560" w:lineRule="exact"/>
        <w:ind w:firstLine="560" w:firstLineChars="200"/>
        <w:rPr>
          <w:color w:val="auto"/>
          <w:sz w:val="28"/>
          <w:szCs w:val="28"/>
          <w:highlight w:val="none"/>
        </w:rPr>
      </w:pPr>
      <w:r>
        <w:rPr>
          <w:rFonts w:hint="eastAsia"/>
          <w:color w:val="auto"/>
          <w:sz w:val="28"/>
          <w:szCs w:val="28"/>
          <w:highlight w:val="none"/>
        </w:rPr>
        <w:t>七、其他不遵守评标纪律的行为。</w:t>
      </w:r>
    </w:p>
    <w:p>
      <w:pPr>
        <w:tabs>
          <w:tab w:val="left" w:pos="1155"/>
        </w:tabs>
        <w:spacing w:line="560" w:lineRule="exact"/>
        <w:ind w:left="142" w:firstLine="565" w:firstLineChars="202"/>
        <w:rPr>
          <w:color w:val="auto"/>
          <w:sz w:val="28"/>
          <w:szCs w:val="28"/>
          <w:highlight w:val="none"/>
        </w:rPr>
      </w:pPr>
      <w:r>
        <w:rPr>
          <w:rFonts w:hint="eastAsia"/>
          <w:color w:val="auto"/>
          <w:sz w:val="28"/>
          <w:szCs w:val="28"/>
          <w:highlight w:val="none"/>
        </w:rPr>
        <w:t>评标委员会成员有前款第一至五项行为之一的，其评审意见无效，并不得获取评审劳务报酬和报销异地评审差旅费。</w:t>
      </w:r>
    </w:p>
    <w:p>
      <w:pPr>
        <w:pStyle w:val="5"/>
        <w:numPr>
          <w:ilvl w:val="1"/>
          <w:numId w:val="5"/>
        </w:numPr>
        <w:spacing w:before="0" w:after="0" w:line="560" w:lineRule="exact"/>
        <w:ind w:left="2269" w:hanging="2127"/>
        <w:rPr>
          <w:color w:val="auto"/>
          <w:highlight w:val="none"/>
        </w:rPr>
      </w:pPr>
      <w:bookmarkStart w:id="640" w:name="_Toc16147"/>
      <w:bookmarkStart w:id="641" w:name="_Toc22920"/>
      <w:bookmarkStart w:id="642" w:name="_Toc15267"/>
      <w:bookmarkStart w:id="643" w:name="_Toc494464930"/>
      <w:bookmarkStart w:id="644" w:name="_Toc6837"/>
      <w:bookmarkStart w:id="645" w:name="_Toc21072"/>
      <w:r>
        <w:rPr>
          <w:rFonts w:hint="eastAsia"/>
          <w:color w:val="auto"/>
          <w:highlight w:val="none"/>
        </w:rPr>
        <w:t>评审专家在政府采购活动中应当遵守以下工作纪律</w:t>
      </w:r>
      <w:bookmarkEnd w:id="640"/>
      <w:bookmarkEnd w:id="641"/>
      <w:bookmarkEnd w:id="642"/>
      <w:bookmarkEnd w:id="643"/>
      <w:bookmarkEnd w:id="644"/>
      <w:bookmarkEnd w:id="645"/>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遵行《政府采购法》第十二条和《政府采购法实施条例》第九条及政府采购相关法律法规关于回避的规定。</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应邀按时参加评审和咨询活动，遵守评标区管理规定。</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highlight w:val="none"/>
        </w:rPr>
        <w:t>高新区采购中心</w:t>
      </w:r>
      <w:r>
        <w:rPr>
          <w:rFonts w:hint="eastAsia" w:ascii="宋体" w:hAnsi="宋体"/>
          <w:color w:val="auto"/>
          <w:sz w:val="28"/>
          <w:szCs w:val="28"/>
          <w:highlight w:val="none"/>
        </w:rPr>
        <w:t>，不得私自转托他人。</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不得参加与自己有利害关系的政府采购项目的评审活动。对与自己有利害关系的评审项目，如受到邀请，应主动提出回避。财政部门、采购人或</w:t>
      </w:r>
      <w:r>
        <w:rPr>
          <w:rFonts w:hint="eastAsia" w:cs="Arial"/>
          <w:color w:val="auto"/>
          <w:sz w:val="28"/>
          <w:szCs w:val="28"/>
          <w:highlight w:val="none"/>
        </w:rPr>
        <w:t>高新区采购中心</w:t>
      </w:r>
      <w:r>
        <w:rPr>
          <w:rFonts w:hint="eastAsia" w:ascii="宋体" w:hAnsi="宋体"/>
          <w:color w:val="auto"/>
          <w:sz w:val="28"/>
          <w:szCs w:val="28"/>
          <w:highlight w:val="none"/>
        </w:rPr>
        <w:t>也可要求该评审专家回避。</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在评标过程中和评标结束后，不得记录、复制或带走任何评标资料，除因规定的义务外，不得向外界透露评标内容。</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服从评标现场</w:t>
      </w:r>
      <w:r>
        <w:rPr>
          <w:rFonts w:hint="eastAsia" w:cs="Arial"/>
          <w:color w:val="auto"/>
          <w:sz w:val="28"/>
          <w:szCs w:val="28"/>
          <w:highlight w:val="none"/>
        </w:rPr>
        <w:t>高新区采购中心</w:t>
      </w:r>
      <w:r>
        <w:rPr>
          <w:rFonts w:hint="eastAsia" w:ascii="宋体" w:hAnsi="宋体"/>
          <w:color w:val="auto"/>
          <w:sz w:val="28"/>
          <w:szCs w:val="28"/>
          <w:highlight w:val="none"/>
        </w:rPr>
        <w:t>的现场秩序管理，接受评标现场监督人员的合法监督。</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遵守有关廉洁自律规定，不得私下接触投标人，不得收受投标人及有关业务单位和个人的财物或好处，不得接受采购组织单位的请托。</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59"/>
        </w:numPr>
        <w:tabs>
          <w:tab w:val="left" w:pos="1155"/>
        </w:tabs>
        <w:spacing w:after="200" w:line="560" w:lineRule="exact"/>
        <w:ind w:left="0" w:firstLine="527"/>
        <w:rPr>
          <w:rFonts w:ascii="宋体" w:hAnsi="宋体"/>
          <w:color w:val="auto"/>
          <w:sz w:val="28"/>
          <w:szCs w:val="28"/>
          <w:highlight w:val="none"/>
        </w:rPr>
      </w:pPr>
      <w:r>
        <w:rPr>
          <w:rFonts w:hint="eastAsia" w:ascii="宋体" w:hAnsi="宋体"/>
          <w:color w:val="auto"/>
          <w:sz w:val="28"/>
          <w:szCs w:val="28"/>
          <w:highlight w:val="none"/>
        </w:rPr>
        <w:t>有关部门（机构）制定的其他评审工作纪律。</w:t>
      </w:r>
      <w:bookmarkEnd w:id="0"/>
      <w:bookmarkEnd w:id="1"/>
      <w:bookmarkEnd w:id="2"/>
      <w:bookmarkEnd w:id="3"/>
      <w:bookmarkStart w:id="646" w:name="_Toc19415"/>
      <w:r>
        <w:rPr>
          <w:color w:val="auto"/>
          <w:highlight w:val="none"/>
        </w:rPr>
        <w:br w:type="page"/>
      </w:r>
    </w:p>
    <w:p>
      <w:pPr>
        <w:pStyle w:val="4"/>
        <w:numPr>
          <w:ilvl w:val="0"/>
          <w:numId w:val="5"/>
        </w:numPr>
        <w:spacing w:before="0" w:after="0" w:line="360" w:lineRule="auto"/>
        <w:rPr>
          <w:color w:val="auto"/>
          <w:sz w:val="24"/>
          <w:highlight w:val="none"/>
        </w:rPr>
      </w:pPr>
      <w:bookmarkStart w:id="647" w:name="_Toc1640"/>
      <w:bookmarkStart w:id="648" w:name="_Toc27722"/>
      <w:bookmarkStart w:id="649" w:name="_Toc20535"/>
      <w:bookmarkStart w:id="650" w:name="_Toc5502"/>
      <w:r>
        <w:rPr>
          <w:rFonts w:hint="eastAsia"/>
          <w:color w:val="auto"/>
          <w:highlight w:val="none"/>
        </w:rPr>
        <w:t>拟签订合同文本</w:t>
      </w:r>
      <w:bookmarkEnd w:id="646"/>
      <w:bookmarkEnd w:id="647"/>
      <w:bookmarkEnd w:id="648"/>
      <w:bookmarkEnd w:id="649"/>
      <w:bookmarkEnd w:id="650"/>
    </w:p>
    <w:p>
      <w:pPr>
        <w:spacing w:line="400" w:lineRule="exact"/>
        <w:jc w:val="center"/>
        <w:rPr>
          <w:b/>
          <w:color w:val="auto"/>
          <w:sz w:val="32"/>
          <w:highlight w:val="none"/>
        </w:rPr>
      </w:pPr>
      <w:bookmarkStart w:id="651" w:name="_Toc316475756"/>
      <w:bookmarkEnd w:id="651"/>
      <w:bookmarkStart w:id="652" w:name="_Toc316475668"/>
      <w:bookmarkEnd w:id="652"/>
      <w:bookmarkStart w:id="653" w:name="_Toc316475674"/>
      <w:bookmarkEnd w:id="653"/>
      <w:bookmarkStart w:id="654" w:name="_Toc316475752"/>
      <w:bookmarkEnd w:id="654"/>
      <w:bookmarkStart w:id="655" w:name="_Toc316475759"/>
      <w:bookmarkEnd w:id="655"/>
      <w:bookmarkStart w:id="656" w:name="_Toc316475669"/>
      <w:bookmarkEnd w:id="656"/>
      <w:bookmarkStart w:id="657" w:name="_Toc316475755"/>
      <w:bookmarkEnd w:id="657"/>
      <w:bookmarkStart w:id="658" w:name="_Toc316475665"/>
      <w:bookmarkEnd w:id="658"/>
      <w:bookmarkStart w:id="659" w:name="_Toc316475677"/>
      <w:bookmarkEnd w:id="659"/>
      <w:bookmarkStart w:id="660" w:name="_Toc316475664"/>
      <w:bookmarkEnd w:id="660"/>
      <w:bookmarkStart w:id="661" w:name="_Toc316475676"/>
      <w:bookmarkEnd w:id="661"/>
      <w:bookmarkStart w:id="662" w:name="_Toc316475760"/>
      <w:bookmarkEnd w:id="662"/>
      <w:bookmarkStart w:id="663" w:name="_Toc316475667"/>
      <w:bookmarkEnd w:id="663"/>
      <w:bookmarkStart w:id="664" w:name="_Toc316475753"/>
      <w:bookmarkEnd w:id="664"/>
      <w:bookmarkStart w:id="665" w:name="_Toc316475758"/>
      <w:bookmarkEnd w:id="665"/>
      <w:bookmarkStart w:id="666" w:name="_Toc316475751"/>
      <w:bookmarkEnd w:id="666"/>
      <w:bookmarkStart w:id="667" w:name="_Toc316475675"/>
      <w:bookmarkEnd w:id="667"/>
      <w:bookmarkStart w:id="668" w:name="_Toc316475757"/>
      <w:bookmarkEnd w:id="668"/>
      <w:bookmarkStart w:id="669" w:name="_Toc316475764"/>
      <w:bookmarkEnd w:id="669"/>
      <w:bookmarkStart w:id="670" w:name="_Toc316475763"/>
      <w:bookmarkEnd w:id="670"/>
      <w:bookmarkStart w:id="671" w:name="_Toc316475670"/>
      <w:bookmarkEnd w:id="671"/>
      <w:bookmarkStart w:id="672" w:name="_Toc316475666"/>
      <w:bookmarkEnd w:id="672"/>
      <w:bookmarkStart w:id="673" w:name="_Toc316475754"/>
      <w:bookmarkEnd w:id="673"/>
      <w:bookmarkStart w:id="674" w:name="_Toc316475672"/>
      <w:bookmarkEnd w:id="674"/>
      <w:bookmarkStart w:id="675" w:name="_Toc316475673"/>
      <w:bookmarkEnd w:id="675"/>
      <w:bookmarkStart w:id="676" w:name="_Toc316475761"/>
      <w:bookmarkEnd w:id="676"/>
      <w:bookmarkStart w:id="677" w:name="_Toc316475762"/>
      <w:bookmarkEnd w:id="677"/>
      <w:bookmarkStart w:id="678" w:name="_Toc316475671"/>
      <w:bookmarkEnd w:id="678"/>
      <w:bookmarkStart w:id="679" w:name="_Toc3546"/>
      <w:bookmarkStart w:id="680" w:name="_Toc11710"/>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政府采购合同编号：XXXX。</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签订地点：XXXX。</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签订时间：XXXX年XX月XX日。</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采购人（甲方）：成都高新区政务服务和网络理政办公室</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统一社会信用代码：</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法定代表人：</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地址：                       联系电话：</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供应商（乙方）：</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统一社会信用代码：</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法定代表人：</w:t>
      </w:r>
    </w:p>
    <w:p>
      <w:pPr>
        <w:tabs>
          <w:tab w:val="left" w:pos="644"/>
        </w:tabs>
        <w:adjustRightInd w:val="0"/>
        <w:snapToGrid w:val="0"/>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地址：                       联系电话：</w:t>
      </w:r>
    </w:p>
    <w:p>
      <w:pPr>
        <w:tabs>
          <w:tab w:val="left" w:pos="644"/>
        </w:tabs>
        <w:adjustRightInd w:val="0"/>
        <w:snapToGrid w:val="0"/>
        <w:spacing w:line="360" w:lineRule="auto"/>
        <w:rPr>
          <w:rFonts w:ascii="宋体" w:hAnsi="宋体" w:cs="宋体"/>
          <w:color w:val="auto"/>
          <w:sz w:val="28"/>
          <w:szCs w:val="28"/>
          <w:highlight w:val="none"/>
        </w:rPr>
      </w:pP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根据《中华人民共和国政府采购法》、《中华人民共和国民法典》及成都高新区政务服务和网络理政办公室新政务服务中心特约物业管理服务采购项目（成都高新技术产业开发政采（2021）A0018号）的《招标文件》、乙方的《投标文件》及《中标通知书》，甲、乙双方严格按照投标文件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60"/>
        </w:num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项目基本情况</w:t>
      </w:r>
    </w:p>
    <w:p>
      <w:pPr>
        <w:pStyle w:val="157"/>
        <w:spacing w:line="360" w:lineRule="auto"/>
        <w:ind w:firstLineChars="0"/>
        <w:rPr>
          <w:rFonts w:ascii="宋体" w:hAnsi="宋体" w:cs="宋体"/>
          <w:color w:val="auto"/>
          <w:sz w:val="28"/>
          <w:szCs w:val="28"/>
          <w:highlight w:val="none"/>
        </w:rPr>
      </w:pPr>
      <w:r>
        <w:rPr>
          <w:rFonts w:hint="eastAsia" w:ascii="宋体" w:hAnsi="宋体" w:cs="宋体"/>
          <w:color w:val="auto"/>
          <w:sz w:val="28"/>
          <w:szCs w:val="28"/>
          <w:highlight w:val="none"/>
        </w:rPr>
        <w:t>成都高新区新政务服务中心项目位于成都市高新区益州大道中段999号。服务面积为53187平米(暂以此数据，待房屋产权证明办理后，以房屋产权面积为准)，共7层(地下1层、地上6层)。服务内容包含：会议接待服务、秩序维护服务、保洁服务、设施设备维保及日常维修服务、植物租摆及养护服务、阶段性服务。</w:t>
      </w:r>
    </w:p>
    <w:p>
      <w:pPr>
        <w:rPr>
          <w:rFonts w:ascii="宋体" w:hAnsi="宋体" w:cs="宋体"/>
          <w:color w:val="auto"/>
          <w:sz w:val="28"/>
          <w:szCs w:val="28"/>
          <w:highlight w:val="none"/>
        </w:rPr>
      </w:pPr>
    </w:p>
    <w:p>
      <w:pPr>
        <w:numPr>
          <w:ilvl w:val="0"/>
          <w:numId w:val="60"/>
        </w:num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合同期限</w:t>
      </w:r>
    </w:p>
    <w:p>
      <w:pPr>
        <w:pStyle w:val="157"/>
        <w:spacing w:line="360" w:lineRule="auto"/>
        <w:ind w:firstLineChars="0"/>
        <w:rPr>
          <w:rFonts w:ascii="宋体" w:hAnsi="宋体" w:cs="宋体"/>
          <w:color w:val="auto"/>
          <w:sz w:val="28"/>
          <w:szCs w:val="28"/>
          <w:highlight w:val="none"/>
        </w:rPr>
      </w:pPr>
      <w:r>
        <w:rPr>
          <w:rFonts w:hint="eastAsia" w:ascii="宋体" w:hAnsi="宋体" w:cs="宋体"/>
          <w:color w:val="auto"/>
          <w:sz w:val="28"/>
          <w:szCs w:val="28"/>
          <w:highlight w:val="none"/>
        </w:rPr>
        <w:t>本项目服务期限三年，合同一年一签。甲方每月对乙方工作进行考核，如达不到要求则甲方有权适当扣减费用，一年合同到期后，经甲方考评合格后，乙方与甲方续签一年合同，最多续签到第三年。合同续签时，根据甲方实际需求，并遵照相关规定执行。</w:t>
      </w:r>
    </w:p>
    <w:p>
      <w:pPr>
        <w:numPr>
          <w:ilvl w:val="0"/>
          <w:numId w:val="60"/>
        </w:num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服务内容及质量标准</w:t>
      </w:r>
    </w:p>
    <w:p>
      <w:pPr>
        <w:tabs>
          <w:tab w:val="left" w:pos="0"/>
        </w:tabs>
        <w:spacing w:line="44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(一)会议接待服务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1.服务内容及范围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为新政务服务中心5楼6间会议室（以实际使用情况为准）提供会议服务。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(1)会议服务要求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1)会服人员做好定期会务培训、以及会议场所的消防安全及设备检查工作，保障会议室资源不流失，完成规定的日巡视工作。</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2)会服人员须严格按照各项规章制度，做好服务及协调工作，保障各类会议、接待活动的正常进行。</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3)会场布置包括按照会议要求搬运摆放桌椅，现场设备调试调控、负责茶水，要按照会场时间提前布置好。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4)会议涉及的基本用具、茶叶、矿泉水、纸巾(干、湿)等由投标人提供。</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5)会服人员要做到服务热情、有礼有节、稳重大方。</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6)遵循保密制度。</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7)完成紧急性、临时性工作任务。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(2)会议服务标准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1)仪容仪表</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①着装统一整洁，佩戴服务标志，不背包及穿拖鞋、响钉鞋上岗。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②服务人员发长不遮眼，后发不披肩(盘发)，要求画淡妆，不浓妆艳抹，不佩戴首饰。</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③坐站规范端庄，不翘腿。</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2)语言</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①语调温和亲切，音量适中，普通话规范。</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②语言文明礼貌，适时应用文明用语。</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③对服务对象主动打招呼，不漫不经心，不粗言粗语，不大声喧哗。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3)态度</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①敬业、勤业、乐业，精神饱满，彬彬有礼。</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②微笑服务，态度诚恳、热情、周到。</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③工作差错失误及时纠正并当面赔礼道歉。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4)纪律</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①上班前不饮酒，不吃异味食品。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②不准擅自脱岗，漏岗，不在服务场所大声喧哗及使用通讯设备。</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③服务过程中不打哈欠、喷嚏、不挖耳鼻、剪指甲、抠鼻子。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④严格遵守职业道德。</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5)卫生形象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①工作服固定，干净整洁。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②定期进行体检，健康合格方可上岗。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③勤理发洗手，勤修指甲。</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④用品、用具分类保管，及时清洗、消毒，摆放整齐。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6)会前服务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根据采购人的要求，明确会议服务要求，并协助提前落实会议场所及会场主席台、发言席、话筒、签到席、横幅(会标)、背景音乐、鲜花摆放、领导休息室等，并提前检测音响、话筒、电脑投影仪等设备及会议各项要求的落实情况。</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②及时做好会场卫生，整理打扫桌面、抽屉、座椅、地面、门窗等，检查会议用品，面巾纸等物品。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③在会议入场口醒目位置安放会议指示牌，室内座位指示牌摆放整齐。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④会服人员应提前1小时进场，检查会场整体效果，确保各项准备工作到位，同时打开安全门，照明灯及通道门，做好引导工作，如需使用空调，提前半小时开启。</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7)会中服务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会服人员在与会人员入场前，应站立在会议服务厅门口，有礼貌的向宾客致意，并说“早上(中午、下午、晚上)好”，或“欢迎光临”等文明用语，同时对已入座的客人、及时递上茶水、湿巾，茶水应控制在八九分满，上茶水应遵循从左至右的原则，从宾客侧翼依次加水，原则上每10-15分钟加水一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②会服人员时刻注意观测和随听音响设备运行情况。按照厉行节约和舒适合宜原则，注意会场情况及室内温度，发现问题及时报告和处理。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8)会后服务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①会议结束时，会服人员应及时打开通道门，站立两侧，礼貌送客，向客人微笑点头，并说“慢走，再见”，会后及时做好会场清理工作。若发现客人遗留物品迅速与主办方联系并上交。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②严格做好保密工作，不询问、议论、外传会议内容和领导讲话内容，不带无关人员进入工作间。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③关闭会议场所门窗、音响设备、空调、灯光。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④协调整理会场。</w:t>
      </w:r>
    </w:p>
    <w:p>
      <w:pPr>
        <w:tabs>
          <w:tab w:val="left" w:pos="0"/>
        </w:tabs>
        <w:spacing w:line="44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(二)秩序维护服务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1.服务内容及范围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负责高新区新政务服务中心所有区域的安全治安管理，包括防火、防盗、防爆、打架斗殴、盗窃抢劫、中介引导、安全值勤、巡逻检查、进出办公区域及楼栋、车库电梯及设备功能房等相关区域的人员和物品盘查、疫情防控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(2)负责高新区新政务服务中心一至六楼及负一楼区域内有消防设施的日常巡查管理和维护。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(3)负责处置高新区新政务服务中心办公楼内的突发事件，包含群体安全、非法聚会、地震疏散等。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(4)负责监控室的日常管理及维护，负责遗失物品事件受理。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(5)完成采购人交办临时性、紧急性安保任务。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(1)按照“统一指挥、统一检查、统一考核、统筹安排、信息共享、联合布点、分工合作，形成合力”的总体要求，在采购人相关部门的指导、监督下，做好责任区域内的安全管理、应急管理和消防设施维护。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(2)安全管理工作由采购人总体负责，统筹进行监督和考核。</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(3)在新政务服务中心办公区处于紧急状态时，接受采购人的统一调度，协助处理突发事件。</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(4)负责安全管理岗位人员，必须按合同约定的人数，除不可抗力原因，100%在岗。</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3.服务标准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(1)安全管理服务标准的基本要求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1)安全管理制度健全并上墙，相关应急预案完善，建立完善相关安全记录台账，安全标识设置合理、规范、完整。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2)安全值勤岗位设置合理，巡查路线不留死角，人员配置方案科学(以上三项均需报采购人相关部门审定后方可实施)。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3)人员配备应以男性为主(90%以上)，配备人员应具有高中以上文化程度，品行端正，无犯罪记录，身体健康，五官端正，无传染病；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巡逻人员按规定时间进行巡逻检查，并在相关地方有签到记录，每周将各岗位点巡逻签到表汇总报高新政务中心相关部门。(电子巡更系统启用后进行根据业主需求选择存档方式)具体巡查线路及巡查频次报采购人相关部门批准后严格实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①巡查要求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前台值班人员与安保人员轮流交替，必须按时间按路线巡查签到，严禁提前或事后补签、代签；每个岗位之间签到时间控制在30分钟以内，按巡查时间秩序循环签到；</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巡查时，注意防火、防盗、防漏、外来人员进出盘查，如有异常情况立即处理并如实上报。</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岗位人员24小时在岗，上岗期间精神饱满、着装整洁、标识佩带齐全，且熟练在岗楼幢结构和内部分布情况，会操作使用消防和监控设备；上岗期间严禁打瞌睡，吃东西，做与工作无关的事情；遇到突发事件或不能处理的问题必须按报告程序及时上报。</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②上下班要求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上班前着装整洁、佩戴工牌、头发梳理整齐，提前10分钟接班；查看交接班记录本和其它登记本，不明之处及时向上班值班人员问清楚；</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下班前做好值班岗位的定置管理和清洁卫生，检查交接班记录、各类使用登记表并及时补上物品遗漏记录，遗留问题书面交接清楚，必要时还需口头说明交接。</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③安保值勤要求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实行24小时值班，外来可疑人员进入办公区域以及大件物品出入，必须严格控制并有相关记录；</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禁止无关人员和动物宠物进入，严禁推、促销人员和商贩进入办公区内叫卖；</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重要会议的领导、参会人员到访，均需值班人员做好接待和站立迎送工作；</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对外来参观团，经相关部门准许后方可进入，在做好责任区域的情况介绍的同时，一定要注意安全(严禁泄密)工作，并事后做好记录工作；</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对出门的大型物资进行检查和登记；</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在规定时间内进行清场；</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 xml:space="preserve"> 制止影响和干扰正常工作秩序的人和事；</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进行防火、防盗巡查，防止火灾、盗窃等案件的发生；</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劝离非吸烟区吸烟者；</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熟悉掌握本区域的分布情况</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做好巡查工作内容要求，防范安全事故的发生。</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③监控室管理要求</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实行24小时值班。</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做好值班记录，发现异常情况及时检查处理，同时报采购人相关部门。</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在采购人相关部门同意的情况下，调取监控资料。</w:t>
      </w:r>
    </w:p>
    <w:p>
      <w:pPr>
        <w:numPr>
          <w:ilvl w:val="0"/>
          <w:numId w:val="44"/>
        </w:numPr>
        <w:tabs>
          <w:tab w:val="left" w:pos="0"/>
        </w:tabs>
        <w:spacing w:line="440" w:lineRule="exact"/>
        <w:ind w:left="0" w:firstLine="480" w:firstLineChars="200"/>
        <w:rPr>
          <w:rFonts w:ascii="宋体" w:hAnsi="宋体" w:cs="宋体"/>
          <w:color w:val="auto"/>
          <w:sz w:val="24"/>
          <w:highlight w:val="none"/>
        </w:rPr>
      </w:pPr>
      <w:r>
        <w:rPr>
          <w:rFonts w:hint="eastAsia" w:ascii="宋体" w:hAnsi="宋体" w:cs="宋体"/>
          <w:color w:val="auto"/>
          <w:sz w:val="24"/>
          <w:highlight w:val="none"/>
        </w:rPr>
        <w:t>对监控室的计算机、投影仪、显示屏、办公桌椅建立设施设备台账，对其设施设备要进行维护。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5)根据安全管理的实际要求，制订高新政务中心的应急处理预案，报采购人相关部门批准后，严格实施。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按高新政务中心相关部门的要求，实行每周报告制度，包括责任范围的安全设备设施运行情况、治安状况分析及整改措施等，同时上交每周安全管理岗位值勤、巡逻签到表和值勤记录表。对责任范围发生的重大突发事件，实行第一时间上报制度。</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7)如因岗位人员资质不达标或因其工作疏漏导致强制性临检不合格而造成损失的，相关损失及执法监管部门的处罚均由供应商承担。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(2)消防设施维护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1)消防设施台帐详实，标识规范，维护使用制度健全(在主要作业地点上墙)。</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2)确保对移交的消防设施、设备、器材完好，出现损坏、丢失立即向高新政务中心相关部门报告，对因投标人失职导致的损坏、丢失进行维修、补足。</w:t>
      </w:r>
    </w:p>
    <w:p>
      <w:pPr>
        <w:tabs>
          <w:tab w:val="left" w:pos="0"/>
        </w:tabs>
        <w:spacing w:line="440" w:lineRule="exact"/>
        <w:ind w:firstLine="480" w:firstLineChars="200"/>
        <w:rPr>
          <w:rFonts w:cs="宋体"/>
          <w:color w:val="auto"/>
          <w:highlight w:val="none"/>
        </w:rPr>
      </w:pPr>
      <w:r>
        <w:rPr>
          <w:rFonts w:hint="eastAsia" w:ascii="宋体" w:hAnsi="宋体" w:cs="宋体"/>
          <w:color w:val="auto"/>
          <w:sz w:val="24"/>
          <w:highlight w:val="none"/>
        </w:rPr>
        <w:t>消防设施进行定期巡查</w:t>
      </w:r>
    </w:p>
    <w:tbl>
      <w:tblPr>
        <w:tblStyle w:val="45"/>
        <w:tblW w:w="4996" w:type="pct"/>
        <w:jc w:val="center"/>
        <w:tblLayout w:type="autofit"/>
        <w:tblCellMar>
          <w:top w:w="0" w:type="dxa"/>
          <w:left w:w="108" w:type="dxa"/>
          <w:bottom w:w="0" w:type="dxa"/>
          <w:right w:w="108" w:type="dxa"/>
        </w:tblCellMar>
      </w:tblPr>
      <w:tblGrid>
        <w:gridCol w:w="833"/>
        <w:gridCol w:w="1530"/>
        <w:gridCol w:w="1813"/>
        <w:gridCol w:w="1201"/>
        <w:gridCol w:w="3138"/>
      </w:tblGrid>
      <w:tr>
        <w:tblPrEx>
          <w:tblCellMar>
            <w:top w:w="0" w:type="dxa"/>
            <w:left w:w="108" w:type="dxa"/>
            <w:bottom w:w="0" w:type="dxa"/>
            <w:right w:w="108" w:type="dxa"/>
          </w:tblCellMar>
        </w:tblPrEx>
        <w:trPr>
          <w:tblHeade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巡查项目</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巡查内容</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频次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巡查标准</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1</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应急照明</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灯具、灯泡</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每周不少于1次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安装到位，运行可靠，表面无破损，安全。</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2</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消防泵电控柜</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电源指示、日常保洁状况</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安全，接触良好、接头无变色、线路整洁、反应灵敏、动作可靠。</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3</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消防水池</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浮球阀、水位、进水阀、水池</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检查浮球阀开闭功能是否正常，检查水位是否在2/3以上，进水阀是否正常开启，水箱有无溢水。</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4</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消防报警主机</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报警点、主机</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检查报警点位是否准确，楼显报警、主机工作是否正常，清洁保养。</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5</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消防水泵</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机体、管道、阀门、压力表等</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检查机体、管道有无锈蚀，水泵密封是否完好，显示是否正常。手动盘车，并对泵点动试车。检查气压罐压力是否符合要求，稳压泵是否处于自动状态。</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6</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报警系统</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烟、温感探头、消火栓按钮</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检查烟、温感探头、手报、消火栓按钮报警功能是否正常，消防通讯设备、警报设备是否正常。(维保范畴)</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7</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防火门</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防火门、铰链、拉手</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每周不少于1次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无破损，无大面积脱漆，开关灵活。</w:t>
            </w:r>
          </w:p>
        </w:tc>
      </w:tr>
      <w:tr>
        <w:tblPrEx>
          <w:tblCellMar>
            <w:top w:w="0" w:type="dxa"/>
            <w:left w:w="108" w:type="dxa"/>
            <w:bottom w:w="0" w:type="dxa"/>
            <w:right w:w="108" w:type="dxa"/>
          </w:tblCellMar>
        </w:tblPrEx>
        <w:trPr>
          <w:jc w:val="center"/>
        </w:trPr>
        <w:tc>
          <w:tcPr>
            <w:tcW w:w="489"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8</w:t>
            </w:r>
          </w:p>
        </w:tc>
        <w:tc>
          <w:tcPr>
            <w:tcW w:w="898" w:type="pct"/>
            <w:tcBorders>
              <w:top w:val="single" w:color="000000" w:sz="4" w:space="0"/>
              <w:left w:val="single" w:color="000000" w:sz="4" w:space="0"/>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消防联动系统</w:t>
            </w:r>
          </w:p>
        </w:tc>
        <w:tc>
          <w:tcPr>
            <w:tcW w:w="1064"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消防联动系统</w:t>
            </w:r>
          </w:p>
        </w:tc>
        <w:tc>
          <w:tcPr>
            <w:tcW w:w="705" w:type="pct"/>
            <w:tcBorders>
              <w:top w:val="single" w:color="000000" w:sz="4" w:space="0"/>
              <w:left w:val="nil"/>
              <w:bottom w:val="single" w:color="000000" w:sz="4" w:space="0"/>
              <w:right w:val="single" w:color="000000" w:sz="4" w:space="0"/>
            </w:tcBorders>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每季不少于1次</w:t>
            </w:r>
          </w:p>
        </w:tc>
        <w:tc>
          <w:tcPr>
            <w:tcW w:w="1842" w:type="pct"/>
            <w:tcBorders>
              <w:top w:val="single" w:color="000000" w:sz="4" w:space="0"/>
              <w:left w:val="nil"/>
              <w:bottom w:val="single" w:color="000000" w:sz="4" w:space="0"/>
              <w:right w:val="single" w:color="000000" w:sz="4" w:space="0"/>
            </w:tcBorders>
            <w:vAlign w:val="center"/>
          </w:tcPr>
          <w:p>
            <w:pPr>
              <w:tabs>
                <w:tab w:val="left" w:pos="0"/>
              </w:tabs>
              <w:outlineLvl w:val="2"/>
              <w:rPr>
                <w:rFonts w:ascii="宋体" w:hAnsi="宋体" w:cs="宋体"/>
                <w:color w:val="auto"/>
                <w:szCs w:val="21"/>
                <w:highlight w:val="none"/>
              </w:rPr>
            </w:pPr>
            <w:r>
              <w:rPr>
                <w:rFonts w:hint="eastAsia" w:ascii="宋体" w:hAnsi="宋体" w:cs="宋体"/>
                <w:color w:val="auto"/>
                <w:szCs w:val="21"/>
                <w:highlight w:val="none"/>
              </w:rPr>
              <w:t>每季消防联动设备测试：模块动作是否准确、联动设备工作是否正常，主机回授信号是否正常。(维保范畴)</w:t>
            </w:r>
          </w:p>
        </w:tc>
      </w:tr>
    </w:tbl>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3)灭火器材盘点清查并留存相应记录，灭火器(月检)、消火栓(季检)、器材类(月检)等；</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4)对防雷设施每年雷雨季节到来之前进行全面检查和保养，雷雨季节每周检查2次，确保防雷设施完好；</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5)每周对所有消防通道和安全出口检查 1次。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6)消防设施、设备和器材的正常消耗由采购人负责补充。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消防水系统控制室操作制度规范、健全并上墙，每天对运行情况进行检查并记录，每周消防栓水压状况进行检查并登记，对消防水系统按要求进行日常维护，联系维保公司进行定期维保，出现不良状况及时向报告。</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8)投标人配备的管理人员应掌握消防知识。熟悉本工作(种)岗位的火灾危险性，熟悉预防火灾措施，熟悉扑救初期火灾的方法。发生火灾后，会报警、会使用各种消防器材、会扑救初期火灾。</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9)协助高新政务中心开展消防法律、法规及消防安全知识的宣传教育。</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10)组织相关人员参与火灾应急处置。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(3)参与应急处置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全面服从采购人相关部门统一指挥，组织有力，反应迅速，效果良好。</w:t>
      </w:r>
    </w:p>
    <w:p>
      <w:pPr>
        <w:tabs>
          <w:tab w:val="left" w:pos="0"/>
        </w:tabs>
        <w:spacing w:line="44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(三)保洁服务</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1.服务内容及范围</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(1)楼宇、室内场所的清洁卫生、日常保洁、垃圾的收集、清运服务(不含厨余垃圾清运)。</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(1)服务区域设备功能房等相关区域、楼内走廊、楼梯道、卫生间、公共活动室、会议室、指定房间、阳台、天台等公共区域的清洁卫生。</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2.基本要求</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(1)负责责任区域的地面清扫、墙面保洁及各种设施设备保洁。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(2)保洁服务包括对保洁范围内进行清扫、保洁、乱张乱贴清理、垃圾清运、消毒等保持采购人办公环境整洁的内容。</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(3)按工作程序对责任区域进行日常定期清扫或不定期保洁，做到按标准全天候、全方位保洁。</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(4)垃圾清运要及时、环保。</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(5)按照相关要求，配备公共区域分类垃圾箱(桶)、雨伞架等便民服务设备、相关保洁用品(包括但不限于保洁消毒液、洗手液、卫生间区域纸巾)及保洁人员使用的相关工具等，均由投标人提供并维护。</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3.服务标准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(1)楼宇入口及大厅</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基本标准</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1)门窗(玻璃、窗框、窗台、门把手)无手印、无污渍，保持光洁明亮；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2)地面、地脚线、指示牌、座地烟灰缸无污迹、水迹、尘迹，保持光洁明亮；</w:t>
      </w:r>
    </w:p>
    <w:p>
      <w:pPr>
        <w:tabs>
          <w:tab w:val="left" w:pos="0"/>
        </w:tabs>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3)灯饰、通风口、空调风口、天花顶无蛛丝、无污尘。</w:t>
      </w:r>
    </w:p>
    <w:p>
      <w:pPr>
        <w:tabs>
          <w:tab w:val="left" w:pos="0"/>
        </w:tabs>
        <w:spacing w:line="440" w:lineRule="exact"/>
        <w:ind w:firstLine="480" w:firstLineChars="200"/>
        <w:rPr>
          <w:rFonts w:cs="宋体"/>
          <w:color w:val="auto"/>
          <w:highlight w:val="none"/>
        </w:rPr>
      </w:pPr>
      <w:r>
        <w:rPr>
          <w:rFonts w:hint="eastAsia" w:ascii="宋体" w:hAnsi="宋体"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3543"/>
        <w:gridCol w:w="2052"/>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序号</w:t>
            </w:r>
          </w:p>
        </w:tc>
        <w:tc>
          <w:tcPr>
            <w:tcW w:w="2079"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项目</w:t>
            </w:r>
          </w:p>
        </w:tc>
        <w:tc>
          <w:tcPr>
            <w:tcW w:w="1204"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保洁方式</w:t>
            </w:r>
          </w:p>
        </w:tc>
        <w:tc>
          <w:tcPr>
            <w:tcW w:w="1258" w:type="pct"/>
            <w:vMerge w:val="restart"/>
            <w:tcBorders>
              <w:tl2br w:val="nil"/>
              <w:tr2bl w:val="nil"/>
            </w:tcBorders>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tcBorders>
              <w:tl2br w:val="nil"/>
              <w:tr2bl w:val="nil"/>
            </w:tcBorders>
            <w:vAlign w:val="center"/>
          </w:tcPr>
          <w:p>
            <w:pPr>
              <w:widowControl/>
              <w:tabs>
                <w:tab w:val="left" w:pos="0"/>
              </w:tabs>
              <w:rPr>
                <w:rFonts w:cs="宋体"/>
                <w:color w:val="auto"/>
                <w:szCs w:val="21"/>
                <w:highlight w:val="none"/>
              </w:rPr>
            </w:pPr>
          </w:p>
        </w:tc>
        <w:tc>
          <w:tcPr>
            <w:tcW w:w="2079" w:type="pct"/>
            <w:vMerge w:val="continue"/>
            <w:tcBorders>
              <w:tl2br w:val="nil"/>
              <w:tr2bl w:val="nil"/>
            </w:tcBorders>
            <w:vAlign w:val="center"/>
          </w:tcPr>
          <w:p>
            <w:pPr>
              <w:widowControl/>
              <w:tabs>
                <w:tab w:val="left" w:pos="0"/>
              </w:tabs>
              <w:rPr>
                <w:rFonts w:cs="宋体"/>
                <w:color w:val="auto"/>
                <w:szCs w:val="21"/>
                <w:highlight w:val="none"/>
              </w:rPr>
            </w:pPr>
          </w:p>
        </w:tc>
        <w:tc>
          <w:tcPr>
            <w:tcW w:w="1204" w:type="pct"/>
            <w:vMerge w:val="continue"/>
            <w:tcBorders>
              <w:tl2br w:val="nil"/>
              <w:tr2bl w:val="nil"/>
            </w:tcBorders>
            <w:vAlign w:val="center"/>
          </w:tcPr>
          <w:p>
            <w:pPr>
              <w:widowControl/>
              <w:tabs>
                <w:tab w:val="left" w:pos="0"/>
              </w:tabs>
              <w:rPr>
                <w:rFonts w:cs="宋体"/>
                <w:color w:val="auto"/>
                <w:szCs w:val="21"/>
                <w:highlight w:val="none"/>
              </w:rPr>
            </w:pPr>
          </w:p>
        </w:tc>
        <w:tc>
          <w:tcPr>
            <w:tcW w:w="1258" w:type="pct"/>
            <w:vMerge w:val="continue"/>
            <w:tcBorders>
              <w:tl2br w:val="nil"/>
              <w:tr2bl w:val="nil"/>
            </w:tcBorders>
            <w:vAlign w:val="center"/>
          </w:tcPr>
          <w:p>
            <w:pPr>
              <w:widowControl/>
              <w:tabs>
                <w:tab w:val="left" w:pos="0"/>
              </w:tabs>
              <w:rPr>
                <w:rFonts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1</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门窗(窗框、窗台、门把手)</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2</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玻璃</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3</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地面</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清扫尘推点拖</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4</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地脚线</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5</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座地垃圾桶</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7</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墙面</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8</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指示牌、开关</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9</w:t>
            </w:r>
          </w:p>
        </w:tc>
        <w:tc>
          <w:tcPr>
            <w:tcW w:w="2079"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通风口、空调风口、天花顶</w:t>
            </w:r>
          </w:p>
        </w:tc>
        <w:tc>
          <w:tcPr>
            <w:tcW w:w="1204"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打蛛网</w:t>
            </w:r>
          </w:p>
        </w:tc>
        <w:tc>
          <w:tcPr>
            <w:tcW w:w="1258" w:type="pct"/>
            <w:tcBorders>
              <w:tl2br w:val="nil"/>
              <w:tr2bl w:val="nil"/>
            </w:tcBorders>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楼层过道保洁</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基本标准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指示牌、悬挂牌光洁明亮，保持消防通道无杂物。</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地面、墙面、消防器材、果皮箱、垃圾筒无污溃、无痰溃、无尘迹。</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天花吊顶、送排风口无蜘蛛网和灰尘污渍。</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门把、镜子无水渍、无印迹，明亮照人。</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3540"/>
        <w:gridCol w:w="2052"/>
        <w:gridCol w:w="2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序号</w:t>
            </w:r>
          </w:p>
        </w:tc>
        <w:tc>
          <w:tcPr>
            <w:tcW w:w="2077"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项目</w:t>
            </w:r>
          </w:p>
        </w:tc>
        <w:tc>
          <w:tcPr>
            <w:tcW w:w="1204"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保洁方式</w:t>
            </w:r>
          </w:p>
        </w:tc>
        <w:tc>
          <w:tcPr>
            <w:tcW w:w="1260" w:type="pct"/>
            <w:vMerge w:val="restart"/>
            <w:vAlign w:val="center"/>
          </w:tcPr>
          <w:p>
            <w:pPr>
              <w:widowControl/>
              <w:tabs>
                <w:tab w:val="left" w:pos="0"/>
              </w:tabs>
              <w:jc w:val="center"/>
              <w:rPr>
                <w:rFonts w:cs="宋体"/>
                <w:b/>
                <w:bCs/>
                <w:color w:val="auto"/>
                <w:szCs w:val="21"/>
                <w:highlight w:val="none"/>
              </w:rPr>
            </w:pPr>
            <w:r>
              <w:rPr>
                <w:rFonts w:hint="eastAsia"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rPr>
                <w:rFonts w:cs="宋体"/>
                <w:color w:val="auto"/>
                <w:szCs w:val="21"/>
                <w:highlight w:val="none"/>
              </w:rPr>
            </w:pPr>
          </w:p>
        </w:tc>
        <w:tc>
          <w:tcPr>
            <w:tcW w:w="1204" w:type="pct"/>
            <w:vMerge w:val="continue"/>
            <w:vAlign w:val="center"/>
          </w:tcPr>
          <w:p>
            <w:pPr>
              <w:widowControl/>
              <w:tabs>
                <w:tab w:val="left" w:pos="0"/>
              </w:tabs>
              <w:rPr>
                <w:rFonts w:cs="宋体"/>
                <w:color w:val="auto"/>
                <w:szCs w:val="21"/>
                <w:highlight w:val="none"/>
              </w:rPr>
            </w:pPr>
          </w:p>
        </w:tc>
        <w:tc>
          <w:tcPr>
            <w:tcW w:w="1260" w:type="pct"/>
            <w:vMerge w:val="continue"/>
            <w:vAlign w:val="center"/>
          </w:tcPr>
          <w:p>
            <w:pPr>
              <w:widowControl/>
              <w:tabs>
                <w:tab w:val="left" w:pos="0"/>
              </w:tabs>
              <w:jc w:val="center"/>
              <w:rPr>
                <w:rFonts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1</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指示牌、悬挂牌</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擦拭</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2</w:t>
            </w:r>
          </w:p>
        </w:tc>
        <w:tc>
          <w:tcPr>
            <w:tcW w:w="207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地面</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清扫</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jc w:val="center"/>
              <w:rPr>
                <w:rFonts w:cs="宋体"/>
                <w:color w:val="auto"/>
                <w:szCs w:val="21"/>
                <w:highlight w:val="none"/>
              </w:rPr>
            </w:pP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尘推</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jc w:val="center"/>
              <w:rPr>
                <w:rFonts w:cs="宋体"/>
                <w:color w:val="auto"/>
                <w:szCs w:val="21"/>
                <w:highlight w:val="none"/>
              </w:rPr>
            </w:pP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点拖</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3</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墙面</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4</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灯饰、开关</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5</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消防器材</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6</w:t>
            </w:r>
          </w:p>
        </w:tc>
        <w:tc>
          <w:tcPr>
            <w:tcW w:w="2077" w:type="pct"/>
            <w:vMerge w:val="restart"/>
            <w:vAlign w:val="center"/>
          </w:tcPr>
          <w:p>
            <w:pPr>
              <w:widowControl/>
              <w:tabs>
                <w:tab w:val="left" w:pos="0"/>
              </w:tabs>
              <w:jc w:val="center"/>
              <w:rPr>
                <w:rFonts w:cs="宋体"/>
                <w:color w:val="auto"/>
                <w:szCs w:val="21"/>
                <w:highlight w:val="none"/>
              </w:rPr>
            </w:pPr>
            <w:r>
              <w:rPr>
                <w:rFonts w:hint="eastAsia" w:cs="宋体"/>
                <w:color w:val="auto"/>
                <w:szCs w:val="21"/>
                <w:highlight w:val="none"/>
              </w:rPr>
              <w:t>垃圾桶、果皮箱</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清收</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Merge w:val="continue"/>
            <w:vAlign w:val="center"/>
          </w:tcPr>
          <w:p>
            <w:pPr>
              <w:widowControl/>
              <w:tabs>
                <w:tab w:val="left" w:pos="0"/>
              </w:tabs>
              <w:rPr>
                <w:rFonts w:cs="宋体"/>
                <w:color w:val="auto"/>
                <w:szCs w:val="21"/>
                <w:highlight w:val="none"/>
              </w:rPr>
            </w:pPr>
          </w:p>
        </w:tc>
        <w:tc>
          <w:tcPr>
            <w:tcW w:w="2077" w:type="pct"/>
            <w:vMerge w:val="continue"/>
            <w:vAlign w:val="center"/>
          </w:tcPr>
          <w:p>
            <w:pPr>
              <w:widowControl/>
              <w:tabs>
                <w:tab w:val="left" w:pos="0"/>
              </w:tabs>
              <w:jc w:val="center"/>
              <w:rPr>
                <w:rFonts w:cs="宋体"/>
                <w:color w:val="auto"/>
                <w:szCs w:val="21"/>
                <w:highlight w:val="none"/>
              </w:rPr>
            </w:pP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抺净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7</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天花吊顶、防火门</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除尘</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8</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低处通风口</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9</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门把、镜子</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10</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护栏、通道扶手</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抹净</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11</w:t>
            </w:r>
          </w:p>
        </w:tc>
        <w:tc>
          <w:tcPr>
            <w:tcW w:w="2077"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楼内管道</w:t>
            </w:r>
          </w:p>
        </w:tc>
        <w:tc>
          <w:tcPr>
            <w:tcW w:w="1204"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除尘</w:t>
            </w:r>
          </w:p>
        </w:tc>
        <w:tc>
          <w:tcPr>
            <w:tcW w:w="1260" w:type="pct"/>
            <w:vAlign w:val="center"/>
          </w:tcPr>
          <w:p>
            <w:pPr>
              <w:widowControl/>
              <w:tabs>
                <w:tab w:val="left" w:pos="0"/>
              </w:tabs>
              <w:jc w:val="center"/>
              <w:rPr>
                <w:rFonts w:cs="宋体"/>
                <w:color w:val="auto"/>
                <w:szCs w:val="21"/>
                <w:highlight w:val="none"/>
              </w:rPr>
            </w:pPr>
            <w:r>
              <w:rPr>
                <w:rFonts w:hint="eastAsia" w:cs="宋体"/>
                <w:color w:val="auto"/>
                <w:szCs w:val="21"/>
                <w:highlight w:val="none"/>
              </w:rPr>
              <w:t>每日不少于1次</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卫生间保洁</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基本标准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地面、墙面、门、窗、玻璃镜面、隔板无灰尘污渍和其它杂物；</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小便器、蹲便器、洗手盆无污渍、无积水、无垢、无臭,瓷器光洁明亮；</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厕所小便器内需随时搁置除臭剂，确保厕所无异味；</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保持下水管道水流畅通。</w:t>
      </w:r>
    </w:p>
    <w:p>
      <w:pPr>
        <w:tabs>
          <w:tab w:val="left" w:pos="0"/>
        </w:tabs>
        <w:spacing w:line="440" w:lineRule="exact"/>
        <w:ind w:firstLine="480" w:firstLineChars="200"/>
        <w:rPr>
          <w:rFonts w:cs="宋体"/>
          <w:color w:val="auto"/>
          <w:highlight w:val="none"/>
        </w:rPr>
      </w:pPr>
      <w:r>
        <w:rPr>
          <w:rFonts w:hint="eastAsia"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872"/>
        <w:gridCol w:w="2454"/>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2"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685"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1440"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保洁方式</w:t>
            </w:r>
          </w:p>
        </w:tc>
        <w:tc>
          <w:tcPr>
            <w:tcW w:w="1302" w:type="pct"/>
            <w:vMerge w:val="restart"/>
            <w:tcBorders>
              <w:tl2br w:val="nil"/>
              <w:tr2bl w:val="nil"/>
            </w:tcBorders>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685"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440"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30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restar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w:t>
            </w:r>
          </w:p>
        </w:tc>
        <w:tc>
          <w:tcPr>
            <w:tcW w:w="1685" w:type="pct"/>
            <w:vMerge w:val="restar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地面</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清扫</w:t>
            </w:r>
          </w:p>
        </w:tc>
        <w:tc>
          <w:tcPr>
            <w:tcW w:w="1302" w:type="pct"/>
            <w:vMerge w:val="restar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685"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尘推</w:t>
            </w:r>
          </w:p>
        </w:tc>
        <w:tc>
          <w:tcPr>
            <w:tcW w:w="130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685" w:type="pct"/>
            <w:vMerge w:val="continue"/>
            <w:tcBorders>
              <w:tl2br w:val="nil"/>
              <w:tr2bl w:val="nil"/>
            </w:tcBorders>
            <w:vAlign w:val="center"/>
          </w:tcPr>
          <w:p>
            <w:pPr>
              <w:widowControl/>
              <w:tabs>
                <w:tab w:val="left" w:pos="0"/>
              </w:tabs>
              <w:rPr>
                <w:rFonts w:ascii="宋体" w:hAnsi="宋体" w:cs="宋体"/>
                <w:color w:val="auto"/>
                <w:szCs w:val="21"/>
                <w:highlight w:val="none"/>
              </w:rPr>
            </w:pP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点拖</w:t>
            </w:r>
          </w:p>
        </w:tc>
        <w:tc>
          <w:tcPr>
            <w:tcW w:w="1302" w:type="pct"/>
            <w:vMerge w:val="continue"/>
            <w:tcBorders>
              <w:tl2br w:val="nil"/>
              <w:tr2bl w:val="nil"/>
            </w:tcBorders>
            <w:vAlign w:val="center"/>
          </w:tcPr>
          <w:p>
            <w:pPr>
              <w:widowControl/>
              <w:tabs>
                <w:tab w:val="left" w:pos="0"/>
              </w:tabs>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2</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墙面</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除尘</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3</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门、窗</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4</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玻璃镜面</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5</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隔板</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6</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小便器、蹲便器、洗手盆</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7</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废物箱</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清理</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8</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下水管道</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清理</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9</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灯饰</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10</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天花板</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每周不少于1次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7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11</w:t>
            </w:r>
          </w:p>
        </w:tc>
        <w:tc>
          <w:tcPr>
            <w:tcW w:w="1685"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客卫品</w:t>
            </w:r>
          </w:p>
        </w:tc>
        <w:tc>
          <w:tcPr>
            <w:tcW w:w="1440"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摆放</w:t>
            </w:r>
          </w:p>
        </w:tc>
        <w:tc>
          <w:tcPr>
            <w:tcW w:w="1302" w:type="pct"/>
            <w:tcBorders>
              <w:tl2br w:val="nil"/>
              <w:tr2bl w:val="nil"/>
            </w:tcBorders>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随时保洁</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功能房(会议室、接待室、茶水间、办公室)保洁</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基本标准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地面无尘迹；</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桌椅、沙发、烟灰缸干净无尘；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门窗无印迹、灰尘；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家具、电器设施无尘；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垃圾桶清理干净。</w:t>
      </w:r>
    </w:p>
    <w:p>
      <w:pPr>
        <w:tabs>
          <w:tab w:val="left" w:pos="0"/>
        </w:tabs>
        <w:spacing w:line="440" w:lineRule="exact"/>
        <w:ind w:firstLine="480" w:firstLineChars="200"/>
        <w:rPr>
          <w:rFonts w:cs="宋体"/>
          <w:color w:val="auto"/>
          <w:highlight w:val="none"/>
        </w:rPr>
      </w:pPr>
      <w:r>
        <w:rPr>
          <w:rFonts w:hint="eastAsia" w:cs="宋体"/>
          <w:color w:val="auto"/>
          <w:sz w:val="24"/>
          <w:highlight w:val="none"/>
        </w:rPr>
        <w:t>保洁频次</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2991"/>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4"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755"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项目</w:t>
            </w:r>
          </w:p>
        </w:tc>
        <w:tc>
          <w:tcPr>
            <w:tcW w:w="1250"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保洁方式</w:t>
            </w:r>
          </w:p>
        </w:tc>
        <w:tc>
          <w:tcPr>
            <w:tcW w:w="1250" w:type="pct"/>
            <w:vMerge w:val="restart"/>
            <w:vAlign w:val="center"/>
          </w:tcPr>
          <w:p>
            <w:pPr>
              <w:widowControl/>
              <w:tabs>
                <w:tab w:val="left" w:pos="0"/>
              </w:tabs>
              <w:jc w:val="center"/>
              <w:rPr>
                <w:rFonts w:ascii="宋体" w:hAnsi="宋体" w:cs="宋体"/>
                <w:b/>
                <w:bCs/>
                <w:color w:val="auto"/>
                <w:szCs w:val="21"/>
                <w:highlight w:val="none"/>
              </w:rPr>
            </w:pPr>
            <w:r>
              <w:rPr>
                <w:rFonts w:hint="eastAsia" w:ascii="宋体" w:hAnsi="宋体" w:cs="宋体"/>
                <w:b/>
                <w:bCs/>
                <w:color w:val="auto"/>
                <w:szCs w:val="21"/>
                <w:highlight w:val="none"/>
              </w:rPr>
              <w:t>保洁要求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44" w:type="pct"/>
            <w:vMerge w:val="continue"/>
            <w:vAlign w:val="center"/>
          </w:tcPr>
          <w:p>
            <w:pPr>
              <w:widowControl/>
              <w:tabs>
                <w:tab w:val="left" w:pos="0"/>
              </w:tabs>
              <w:jc w:val="center"/>
              <w:rPr>
                <w:rFonts w:ascii="宋体" w:hAnsi="宋体" w:cs="宋体"/>
                <w:color w:val="auto"/>
                <w:szCs w:val="21"/>
                <w:highlight w:val="none"/>
              </w:rPr>
            </w:pPr>
          </w:p>
        </w:tc>
        <w:tc>
          <w:tcPr>
            <w:tcW w:w="1755" w:type="pct"/>
            <w:vMerge w:val="continue"/>
            <w:vAlign w:val="center"/>
          </w:tcPr>
          <w:p>
            <w:pPr>
              <w:widowControl/>
              <w:tabs>
                <w:tab w:val="left" w:pos="0"/>
              </w:tabs>
              <w:jc w:val="center"/>
              <w:rPr>
                <w:rFonts w:ascii="宋体" w:hAnsi="宋体" w:cs="宋体"/>
                <w:color w:val="auto"/>
                <w:szCs w:val="21"/>
                <w:highlight w:val="none"/>
              </w:rPr>
            </w:pPr>
          </w:p>
        </w:tc>
        <w:tc>
          <w:tcPr>
            <w:tcW w:w="1250" w:type="pct"/>
            <w:vMerge w:val="continue"/>
            <w:vAlign w:val="center"/>
          </w:tcPr>
          <w:p>
            <w:pPr>
              <w:widowControl/>
              <w:tabs>
                <w:tab w:val="left" w:pos="0"/>
              </w:tabs>
              <w:jc w:val="center"/>
              <w:rPr>
                <w:rFonts w:ascii="宋体" w:hAnsi="宋体" w:cs="宋体"/>
                <w:color w:val="auto"/>
                <w:szCs w:val="21"/>
                <w:highlight w:val="none"/>
              </w:rPr>
            </w:pPr>
          </w:p>
        </w:tc>
        <w:tc>
          <w:tcPr>
            <w:tcW w:w="1250" w:type="pct"/>
            <w:vMerge w:val="continue"/>
            <w:vAlign w:val="center"/>
          </w:tcPr>
          <w:p>
            <w:pPr>
              <w:widowControl/>
              <w:tabs>
                <w:tab w:val="left" w:pos="0"/>
              </w:tabs>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1</w:t>
            </w:r>
          </w:p>
        </w:tc>
        <w:tc>
          <w:tcPr>
            <w:tcW w:w="1755"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地面</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拖拭</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Merge w:val="continue"/>
            <w:vAlign w:val="center"/>
          </w:tcPr>
          <w:p>
            <w:pPr>
              <w:widowControl/>
              <w:tabs>
                <w:tab w:val="left" w:pos="0"/>
              </w:tabs>
              <w:jc w:val="center"/>
              <w:rPr>
                <w:rFonts w:ascii="宋体" w:hAnsi="宋体" w:cs="宋体"/>
                <w:color w:val="auto"/>
                <w:szCs w:val="21"/>
                <w:highlight w:val="none"/>
              </w:rPr>
            </w:pPr>
          </w:p>
        </w:tc>
        <w:tc>
          <w:tcPr>
            <w:tcW w:w="1755" w:type="pct"/>
            <w:vMerge w:val="continue"/>
            <w:vAlign w:val="center"/>
          </w:tcPr>
          <w:p>
            <w:pPr>
              <w:widowControl/>
              <w:tabs>
                <w:tab w:val="left" w:pos="0"/>
              </w:tabs>
              <w:jc w:val="center"/>
              <w:rPr>
                <w:rFonts w:ascii="宋体" w:hAnsi="宋体" w:cs="宋体"/>
                <w:color w:val="auto"/>
                <w:szCs w:val="21"/>
                <w:highlight w:val="none"/>
              </w:rPr>
            </w:pP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除尘</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2</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桌椅、沙发、烟灰缸</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3</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门窗</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4</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家具、电器设施</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每周不少于2次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5</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物品整理</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清理</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6</w:t>
            </w:r>
          </w:p>
        </w:tc>
        <w:tc>
          <w:tcPr>
            <w:tcW w:w="1755"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墙面</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除尘</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44"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7</w:t>
            </w:r>
          </w:p>
        </w:tc>
        <w:tc>
          <w:tcPr>
            <w:tcW w:w="1755" w:type="pct"/>
            <w:vMerge w:val="restar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垃圾桶</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清收</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44" w:type="pct"/>
            <w:vMerge w:val="continue"/>
            <w:vAlign w:val="center"/>
          </w:tcPr>
          <w:p>
            <w:pPr>
              <w:widowControl/>
              <w:tabs>
                <w:tab w:val="left" w:pos="0"/>
              </w:tabs>
              <w:jc w:val="center"/>
              <w:rPr>
                <w:rFonts w:ascii="宋体" w:hAnsi="宋体" w:cs="宋体"/>
                <w:color w:val="auto"/>
                <w:szCs w:val="21"/>
                <w:highlight w:val="none"/>
              </w:rPr>
            </w:pPr>
          </w:p>
        </w:tc>
        <w:tc>
          <w:tcPr>
            <w:tcW w:w="1755" w:type="pct"/>
            <w:vMerge w:val="continue"/>
            <w:vAlign w:val="center"/>
          </w:tcPr>
          <w:p>
            <w:pPr>
              <w:widowControl/>
              <w:tabs>
                <w:tab w:val="left" w:pos="0"/>
              </w:tabs>
              <w:jc w:val="center"/>
              <w:rPr>
                <w:rFonts w:ascii="宋体" w:hAnsi="宋体" w:cs="宋体"/>
                <w:color w:val="auto"/>
                <w:szCs w:val="21"/>
                <w:highlight w:val="none"/>
              </w:rPr>
            </w:pP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抹净</w:t>
            </w:r>
          </w:p>
        </w:tc>
        <w:tc>
          <w:tcPr>
            <w:tcW w:w="1250" w:type="pct"/>
            <w:vAlign w:val="center"/>
          </w:tcPr>
          <w:p>
            <w:pPr>
              <w:widowControl/>
              <w:tabs>
                <w:tab w:val="left" w:pos="0"/>
              </w:tabs>
              <w:jc w:val="center"/>
              <w:rPr>
                <w:rFonts w:ascii="宋体" w:hAnsi="宋体" w:cs="宋体"/>
                <w:color w:val="auto"/>
                <w:szCs w:val="21"/>
                <w:highlight w:val="none"/>
              </w:rPr>
            </w:pPr>
            <w:r>
              <w:rPr>
                <w:rFonts w:hint="eastAsia" w:ascii="宋体" w:hAnsi="宋体" w:cs="宋体"/>
                <w:color w:val="auto"/>
                <w:szCs w:val="21"/>
                <w:highlight w:val="none"/>
              </w:rPr>
              <w:t>每日不少于1次</w:t>
            </w:r>
          </w:p>
        </w:tc>
      </w:tr>
    </w:tbl>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垃圾清运</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垃圾箱、筒的垃圾存量不超过上缘，做到日产日清，定期清洗消毒，无明显积水，无蚊蝇飞舞，垃圾不在筒箱内过夜。垃圾清运工具应保持清洁无破损，清运过程中不产生二次污染，垃圾日产日清。</w:t>
      </w:r>
    </w:p>
    <w:p>
      <w:pPr>
        <w:tabs>
          <w:tab w:val="left" w:pos="0"/>
        </w:tabs>
        <w:spacing w:line="440" w:lineRule="exact"/>
        <w:ind w:firstLine="482" w:firstLineChars="200"/>
        <w:outlineLvl w:val="2"/>
        <w:rPr>
          <w:rFonts w:cs="宋体"/>
          <w:b/>
          <w:color w:val="auto"/>
          <w:sz w:val="24"/>
          <w:highlight w:val="none"/>
        </w:rPr>
      </w:pPr>
      <w:r>
        <w:rPr>
          <w:rFonts w:hint="eastAsia" w:cs="宋体"/>
          <w:b/>
          <w:color w:val="auto"/>
          <w:sz w:val="24"/>
          <w:highlight w:val="none"/>
        </w:rPr>
        <w:t>(四)设施设备维保及日常维修服务</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1.服务内容及范围</w:t>
      </w:r>
    </w:p>
    <w:p>
      <w:pPr>
        <w:tabs>
          <w:tab w:val="left" w:pos="0"/>
        </w:tabs>
        <w:spacing w:line="440" w:lineRule="exact"/>
        <w:ind w:firstLine="480" w:firstLineChars="200"/>
        <w:rPr>
          <w:color w:val="auto"/>
          <w:sz w:val="24"/>
          <w:highlight w:val="none"/>
        </w:rPr>
      </w:pPr>
      <w:r>
        <w:rPr>
          <w:rFonts w:hint="eastAsia" w:cs="宋体"/>
          <w:color w:val="auto"/>
          <w:sz w:val="24"/>
          <w:highlight w:val="none"/>
        </w:rPr>
        <w:t>对办公楼公共建筑物除主体结构以外的装饰装修部分，包括(设备功能房等相关区域)，房屋的吊顶、门窗、室内外地面、内墙、外墙等部位进行日常养护、维修和报修。</w:t>
      </w:r>
      <w:r>
        <w:rPr>
          <w:rFonts w:hint="eastAsia"/>
          <w:color w:val="auto"/>
          <w:sz w:val="24"/>
          <w:highlight w:val="none"/>
        </w:rPr>
        <w:t>对办公区域的电子设施设备进行基础安装、维修。</w:t>
      </w:r>
    </w:p>
    <w:tbl>
      <w:tblPr>
        <w:tblStyle w:val="4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108" w:type="dxa"/>
          <w:bottom w:w="0" w:type="dxa"/>
          <w:right w:w="108" w:type="dxa"/>
        </w:tblCellMar>
      </w:tblPr>
      <w:tblGrid>
        <w:gridCol w:w="1306"/>
        <w:gridCol w:w="656"/>
        <w:gridCol w:w="2594"/>
        <w:gridCol w:w="1619"/>
        <w:gridCol w:w="2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108" w:type="dxa"/>
            <w:bottom w:w="0" w:type="dxa"/>
            <w:right w:w="108" w:type="dxa"/>
          </w:tblCellMar>
        </w:tblPrEx>
        <w:trPr>
          <w:trHeight w:val="312" w:hRule="atLeast"/>
        </w:trPr>
        <w:tc>
          <w:tcPr>
            <w:tcW w:w="766"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系统</w:t>
            </w:r>
          </w:p>
        </w:tc>
        <w:tc>
          <w:tcPr>
            <w:tcW w:w="385"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序号</w:t>
            </w:r>
          </w:p>
        </w:tc>
        <w:tc>
          <w:tcPr>
            <w:tcW w:w="1522"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服务项目</w:t>
            </w:r>
          </w:p>
        </w:tc>
        <w:tc>
          <w:tcPr>
            <w:tcW w:w="2327" w:type="pct"/>
            <w:gridSpan w:val="2"/>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szCs w:val="21"/>
                <w:highlight w:val="none"/>
              </w:rPr>
              <w:t>数量及维保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1522"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2327" w:type="pct"/>
            <w:gridSpan w:val="2"/>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供配电系统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供配电系统维护</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6套</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灭火器</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1973个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消防系统(含年度检测)</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1000套</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空调系统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卫生间排气扇</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23个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空调主机</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1台</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电梯机房空调</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4台</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4</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锅炉</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1台</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电梯系统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维保及检测</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政务办证中心直梯</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13</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政务办证中心扶梯</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14</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照明系统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政务办证中心照明(LED)</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14411个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政务办证中心卫生间照明</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23个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3</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政务办证中心泛光照明</w:t>
            </w:r>
          </w:p>
        </w:tc>
        <w:tc>
          <w:tcPr>
            <w:tcW w:w="950"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智能楼宇系统</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维保</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门禁系统</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1套</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2</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监控系统</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1套</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restart"/>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建筑及装饰</w:t>
            </w:r>
          </w:p>
        </w:tc>
        <w:tc>
          <w:tcPr>
            <w:tcW w:w="1907" w:type="pct"/>
            <w:gridSpan w:val="2"/>
            <w:tcBorders>
              <w:tl2br w:val="nil"/>
              <w:tr2bl w:val="nil"/>
            </w:tcBorders>
            <w:shd w:val="clear" w:color="auto" w:fill="FFFFFF" w:themeFill="background1"/>
            <w:noWrap/>
            <w:vAlign w:val="center"/>
          </w:tcPr>
          <w:p>
            <w:pPr>
              <w:widowControl/>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其它</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数量</w:t>
            </w:r>
          </w:p>
        </w:tc>
        <w:tc>
          <w:tcPr>
            <w:tcW w:w="1377"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频次(次/年)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766" w:type="pct"/>
            <w:vMerge w:val="continue"/>
            <w:tcBorders>
              <w:tl2br w:val="nil"/>
              <w:tr2bl w:val="nil"/>
            </w:tcBorders>
            <w:shd w:val="clear" w:color="auto" w:fill="FFFFFF" w:themeFill="background1"/>
            <w:noWrap/>
            <w:vAlign w:val="center"/>
          </w:tcPr>
          <w:p>
            <w:pPr>
              <w:jc w:val="center"/>
              <w:rPr>
                <w:rFonts w:ascii="宋体" w:hAnsi="宋体" w:cs="宋体"/>
                <w:b/>
                <w:bCs/>
                <w:color w:val="auto"/>
                <w:szCs w:val="21"/>
                <w:highlight w:val="none"/>
              </w:rPr>
            </w:pPr>
          </w:p>
        </w:tc>
        <w:tc>
          <w:tcPr>
            <w:tcW w:w="385"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1522"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建筑五金零星费</w:t>
            </w:r>
          </w:p>
        </w:tc>
        <w:tc>
          <w:tcPr>
            <w:tcW w:w="950" w:type="pct"/>
            <w:tcBorders>
              <w:tl2br w:val="nil"/>
              <w:tr2bl w:val="nil"/>
            </w:tcBorders>
            <w:shd w:val="clear" w:color="auto" w:fill="FFFFFF" w:themeFill="background1"/>
            <w:noWrap/>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lang w:bidi="ar"/>
              </w:rPr>
              <w:t>49337个</w:t>
            </w:r>
          </w:p>
        </w:tc>
        <w:tc>
          <w:tcPr>
            <w:tcW w:w="1377" w:type="pct"/>
            <w:tcBorders>
              <w:tl2br w:val="nil"/>
              <w:tr2bl w:val="nil"/>
            </w:tcBorders>
            <w:shd w:val="clear" w:color="auto" w:fill="FFFFFF" w:themeFill="background1"/>
            <w:noWrap/>
            <w:vAlign w:val="center"/>
          </w:tcPr>
          <w:p>
            <w:pPr>
              <w:widowControl/>
              <w:jc w:val="center"/>
              <w:textAlignment w:val="bottom"/>
              <w:rPr>
                <w:rFonts w:ascii="宋体" w:hAnsi="宋体" w:cs="宋体"/>
                <w:color w:val="auto"/>
                <w:szCs w:val="21"/>
                <w:highlight w:val="none"/>
              </w:rPr>
            </w:pPr>
            <w:r>
              <w:rPr>
                <w:rFonts w:hint="eastAsia" w:ascii="宋体" w:hAnsi="宋体" w:cs="宋体"/>
                <w:color w:val="auto"/>
                <w:kern w:val="0"/>
                <w:szCs w:val="21"/>
                <w:highlight w:val="none"/>
                <w:lang w:bidi="ar"/>
              </w:rPr>
              <w:t>12</w:t>
            </w:r>
          </w:p>
        </w:tc>
      </w:tr>
    </w:tbl>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2.基本要求</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楼面地面养护。维持楼地面、地面及粘贴的磁砖(地板砖)完好无损，对楼内公共地面防潮，墙地砖损坏及时维修破损的磁砖(地板砖)。</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墙台面和吊顶养护。保持墙台面清洁，无污渍，无脚印，及时报修吊顶破损部位，每半年对墙面损坏部分粉补一次。</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门窗养护。加强门窗日常检查和维修，确保门窗正常使用。</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防雷设施养护。定期对防雷设施进行巡查，并进行维修、养护。</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设置限制性进入区域。根据物业管理行规和采购人资产管理要求，设置并标识限制性进入区域，严禁超负荷物品进入。</w:t>
      </w:r>
    </w:p>
    <w:p>
      <w:pPr>
        <w:tabs>
          <w:tab w:val="left" w:pos="0"/>
        </w:tabs>
        <w:spacing w:line="440" w:lineRule="exact"/>
        <w:ind w:firstLine="480" w:firstLineChars="200"/>
        <w:rPr>
          <w:rFonts w:ascii="宋体"/>
          <w:color w:val="auto"/>
          <w:sz w:val="24"/>
          <w:highlight w:val="none"/>
        </w:rPr>
      </w:pPr>
      <w:r>
        <w:rPr>
          <w:rFonts w:hint="eastAsia" w:ascii="宋体" w:hAnsi="宋体" w:cs="宋体"/>
          <w:color w:val="auto"/>
          <w:sz w:val="24"/>
          <w:highlight w:val="none"/>
        </w:rPr>
        <w:t>(6)</w:t>
      </w:r>
      <w:r>
        <w:rPr>
          <w:rFonts w:hint="eastAsia" w:ascii="宋体"/>
          <w:color w:val="auto"/>
          <w:sz w:val="24"/>
          <w:highlight w:val="none"/>
        </w:rPr>
        <w:t>对办公区域的电子设施设备进行基础安装、维修。</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3.服务标准</w:t>
      </w:r>
    </w:p>
    <w:p>
      <w:pPr>
        <w:numPr>
          <w:ins w:id="1" w:author="53174" w:date="2021-07-30T12:50:00Z"/>
        </w:numPr>
        <w:tabs>
          <w:tab w:val="left" w:pos="0"/>
        </w:tabs>
        <w:spacing w:line="440" w:lineRule="exact"/>
        <w:rPr>
          <w:color w:val="auto"/>
          <w:highlight w:val="none"/>
        </w:rPr>
      </w:pPr>
      <w:r>
        <w:rPr>
          <w:rFonts w:hint="eastAsia" w:cs="宋体"/>
          <w:color w:val="auto"/>
          <w:sz w:val="24"/>
          <w:highlight w:val="none"/>
        </w:rPr>
        <w:t>认真贯彻以预防为主的方针,确保房屋装饰装修部分完好。加强对房屋本体的修缮管理，保持建筑物及周围环境达到相关标准，充分发挥其使用功能。</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825"/>
        <w:gridCol w:w="4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08" w:type="pct"/>
            <w:vAlign w:val="center"/>
          </w:tcPr>
          <w:p>
            <w:pPr>
              <w:tabs>
                <w:tab w:val="left" w:pos="0"/>
              </w:tabs>
              <w:jc w:val="center"/>
              <w:outlineLvl w:val="2"/>
              <w:rPr>
                <w:rFonts w:cs="宋体"/>
                <w:b/>
                <w:bCs/>
                <w:color w:val="auto"/>
                <w:szCs w:val="21"/>
                <w:highlight w:val="none"/>
              </w:rPr>
            </w:pPr>
            <w:r>
              <w:rPr>
                <w:rFonts w:hint="eastAsia" w:cs="宋体"/>
                <w:b/>
                <w:bCs/>
                <w:color w:val="auto"/>
                <w:szCs w:val="21"/>
                <w:highlight w:val="none"/>
              </w:rPr>
              <w:t>项目</w:t>
            </w:r>
          </w:p>
        </w:tc>
        <w:tc>
          <w:tcPr>
            <w:tcW w:w="1071" w:type="pct"/>
            <w:vAlign w:val="center"/>
          </w:tcPr>
          <w:p>
            <w:pPr>
              <w:tabs>
                <w:tab w:val="left" w:pos="0"/>
              </w:tabs>
              <w:jc w:val="center"/>
              <w:outlineLvl w:val="2"/>
              <w:rPr>
                <w:rFonts w:cs="宋体"/>
                <w:b/>
                <w:bCs/>
                <w:color w:val="auto"/>
                <w:szCs w:val="21"/>
                <w:highlight w:val="none"/>
              </w:rPr>
            </w:pPr>
            <w:r>
              <w:rPr>
                <w:rFonts w:hint="eastAsia" w:cs="宋体"/>
                <w:b/>
                <w:bCs/>
                <w:color w:val="auto"/>
                <w:szCs w:val="21"/>
                <w:highlight w:val="none"/>
              </w:rPr>
              <w:t>巡查周期</w:t>
            </w:r>
          </w:p>
        </w:tc>
        <w:tc>
          <w:tcPr>
            <w:tcW w:w="2820" w:type="pct"/>
            <w:vAlign w:val="center"/>
          </w:tcPr>
          <w:p>
            <w:pPr>
              <w:tabs>
                <w:tab w:val="left" w:pos="0"/>
              </w:tabs>
              <w:jc w:val="center"/>
              <w:outlineLvl w:val="2"/>
              <w:rPr>
                <w:rFonts w:cs="宋体"/>
                <w:b/>
                <w:bCs/>
                <w:color w:val="auto"/>
                <w:szCs w:val="21"/>
                <w:highlight w:val="none"/>
              </w:rPr>
            </w:pPr>
            <w:r>
              <w:rPr>
                <w:rFonts w:hint="eastAsia" w:cs="宋体"/>
                <w:b/>
                <w:bCs/>
                <w:color w:val="auto"/>
                <w:szCs w:val="21"/>
                <w:highlight w:val="none"/>
              </w:rPr>
              <w:t>运行标准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08"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楼地面、粘贴的磁砖(地板砖)</w:t>
            </w:r>
          </w:p>
        </w:tc>
        <w:tc>
          <w:tcPr>
            <w:tcW w:w="1071"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每周不少于1次</w:t>
            </w:r>
          </w:p>
        </w:tc>
        <w:tc>
          <w:tcPr>
            <w:tcW w:w="2820" w:type="pct"/>
            <w:vAlign w:val="center"/>
          </w:tcPr>
          <w:p>
            <w:pPr>
              <w:tabs>
                <w:tab w:val="left" w:pos="0"/>
              </w:tabs>
              <w:outlineLvl w:val="2"/>
              <w:rPr>
                <w:rFonts w:cs="宋体"/>
                <w:color w:val="auto"/>
                <w:szCs w:val="21"/>
                <w:highlight w:val="none"/>
              </w:rPr>
            </w:pPr>
            <w:r>
              <w:rPr>
                <w:rFonts w:hint="eastAsia" w:cs="宋体"/>
                <w:color w:val="auto"/>
                <w:szCs w:val="21"/>
                <w:highlight w:val="none"/>
              </w:rPr>
              <w:t>完好无损，室内、外地面受潮，破损的磁砖(地板砖)及时维修。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08"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墙台面</w:t>
            </w:r>
          </w:p>
        </w:tc>
        <w:tc>
          <w:tcPr>
            <w:tcW w:w="1071"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每周不少于1次</w:t>
            </w:r>
          </w:p>
        </w:tc>
        <w:tc>
          <w:tcPr>
            <w:tcW w:w="2820" w:type="pct"/>
            <w:vAlign w:val="center"/>
          </w:tcPr>
          <w:p>
            <w:pPr>
              <w:tabs>
                <w:tab w:val="left" w:pos="0"/>
              </w:tabs>
              <w:outlineLvl w:val="2"/>
              <w:rPr>
                <w:rFonts w:cs="宋体"/>
                <w:color w:val="auto"/>
                <w:szCs w:val="21"/>
                <w:highlight w:val="none"/>
              </w:rPr>
            </w:pPr>
            <w:r>
              <w:rPr>
                <w:rFonts w:hint="eastAsia" w:cs="宋体"/>
                <w:color w:val="auto"/>
                <w:szCs w:val="21"/>
                <w:highlight w:val="none"/>
              </w:rPr>
              <w:t>保持墙台面的清洁工作，无污渍，无脚印，每半年对墙面损坏部分粉补一次。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108"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吊顶</w:t>
            </w:r>
          </w:p>
        </w:tc>
        <w:tc>
          <w:tcPr>
            <w:tcW w:w="1071"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每周不少于1次</w:t>
            </w:r>
          </w:p>
        </w:tc>
        <w:tc>
          <w:tcPr>
            <w:tcW w:w="2820" w:type="pct"/>
            <w:vAlign w:val="center"/>
          </w:tcPr>
          <w:p>
            <w:pPr>
              <w:tabs>
                <w:tab w:val="left" w:pos="0"/>
              </w:tabs>
              <w:outlineLvl w:val="2"/>
              <w:rPr>
                <w:rFonts w:cs="宋体"/>
                <w:color w:val="auto"/>
                <w:szCs w:val="21"/>
                <w:highlight w:val="none"/>
              </w:rPr>
            </w:pPr>
            <w:r>
              <w:rPr>
                <w:rFonts w:hint="eastAsia" w:cs="宋体"/>
                <w:color w:val="auto"/>
                <w:szCs w:val="21"/>
                <w:highlight w:val="none"/>
              </w:rPr>
              <w:t>及时处理破损部位。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08"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门窗、玻璃</w:t>
            </w:r>
          </w:p>
        </w:tc>
        <w:tc>
          <w:tcPr>
            <w:tcW w:w="1071"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及时发现损坏情况，每月不少于1次集中查检</w:t>
            </w:r>
          </w:p>
        </w:tc>
        <w:tc>
          <w:tcPr>
            <w:tcW w:w="2820" w:type="pct"/>
            <w:vAlign w:val="center"/>
          </w:tcPr>
          <w:p>
            <w:pPr>
              <w:tabs>
                <w:tab w:val="left" w:pos="0"/>
              </w:tabs>
              <w:outlineLvl w:val="2"/>
              <w:rPr>
                <w:rFonts w:cs="宋体"/>
                <w:color w:val="auto"/>
                <w:szCs w:val="21"/>
                <w:highlight w:val="none"/>
              </w:rPr>
            </w:pPr>
            <w:r>
              <w:rPr>
                <w:rFonts w:hint="eastAsia" w:cs="宋体"/>
                <w:color w:val="auto"/>
                <w:szCs w:val="21"/>
                <w:highlight w:val="none"/>
              </w:rPr>
              <w:t>门窗损坏24小时内修复；门窗密实度合适，开启关闭顺畅，门框、窗框边缘等易受撞击处密实，没有缝隙。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08"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屋顶</w:t>
            </w:r>
          </w:p>
        </w:tc>
        <w:tc>
          <w:tcPr>
            <w:tcW w:w="1071" w:type="pct"/>
            <w:vAlign w:val="center"/>
          </w:tcPr>
          <w:p>
            <w:pPr>
              <w:tabs>
                <w:tab w:val="left" w:pos="0"/>
              </w:tabs>
              <w:jc w:val="center"/>
              <w:outlineLvl w:val="2"/>
              <w:rPr>
                <w:rFonts w:cs="宋体"/>
                <w:color w:val="auto"/>
                <w:szCs w:val="21"/>
                <w:highlight w:val="none"/>
              </w:rPr>
            </w:pPr>
            <w:r>
              <w:rPr>
                <w:rFonts w:hint="eastAsia" w:cs="宋体"/>
                <w:color w:val="auto"/>
                <w:szCs w:val="21"/>
                <w:highlight w:val="none"/>
              </w:rPr>
              <w:t>每季不少于1次</w:t>
            </w:r>
          </w:p>
        </w:tc>
        <w:tc>
          <w:tcPr>
            <w:tcW w:w="2820" w:type="pct"/>
            <w:vAlign w:val="center"/>
          </w:tcPr>
          <w:p>
            <w:pPr>
              <w:tabs>
                <w:tab w:val="left" w:pos="0"/>
              </w:tabs>
              <w:outlineLvl w:val="2"/>
              <w:rPr>
                <w:rFonts w:cs="宋体"/>
                <w:color w:val="auto"/>
                <w:szCs w:val="21"/>
                <w:highlight w:val="none"/>
              </w:rPr>
            </w:pPr>
            <w:r>
              <w:rPr>
                <w:rFonts w:hint="eastAsia" w:cs="宋体"/>
                <w:color w:val="auto"/>
                <w:szCs w:val="21"/>
                <w:highlight w:val="none"/>
              </w:rPr>
              <w:t>及时对屋顶(不含玻璃屋顶)清扫，确保屋面排水畅通。</w:t>
            </w:r>
          </w:p>
        </w:tc>
      </w:tr>
    </w:tbl>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4. 设施设备的日常运行、养护，协助采购人开展专项维保(包括消防设施设备、信息化设备、高低压线路)。</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委托范围</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建筑红线范围内设施设备的日常运行管理、维修、养护。</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负责处理采购人水、电、气费的代缴服务(费用由采购人负责)。</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基本要求</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投标人对采购人移交的所有设施进行看管，确保其不丢失和不被人为损坏,能发挥正常使用功能。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设施设备移交需采购人(或采购人设施设备管理责任部门)和投标人双方在设施清单签字确认并加盖公章(须明确完好状态及存在问题，未达到法规验收手续的不得移交)。</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 xml:space="preserve"> 投标人对管护的设施设备需按照采购人资产管理的相关规定建立相应的台帐(此台帐内由投标人填报，合同结束时需完好地移交给采购人，自然损耗除外)。</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 xml:space="preserve"> 投标人要制定设施设备安全运行的管理规定、操作流程、岗位责任、定期巡回检查、维护保养、运行记录管理、应急预案及维修档案等管理制度并执行。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5)</w:t>
      </w:r>
      <w:r>
        <w:rPr>
          <w:rFonts w:hint="eastAsia" w:cs="宋体"/>
          <w:color w:val="auto"/>
          <w:sz w:val="24"/>
          <w:highlight w:val="none"/>
        </w:rPr>
        <w:t>配备具备相关资质所需的专业技术人员，由专业人员负责管理 (开启、关闭、保洁、维修和保养)，严格执行操作规程，确保设施设备正常运行。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6)</w:t>
      </w:r>
      <w:r>
        <w:rPr>
          <w:rFonts w:hint="eastAsia" w:cs="宋体"/>
          <w:color w:val="auto"/>
          <w:sz w:val="24"/>
          <w:highlight w:val="none"/>
        </w:rPr>
        <w:t>对已经移交的设施设备，投标人均需按照相关设施设备保养规定进行日常性、专业化的日常保养和维护，确保其正常运行。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7)</w:t>
      </w:r>
      <w:r>
        <w:rPr>
          <w:rFonts w:hint="eastAsia" w:cs="宋体"/>
          <w:color w:val="auto"/>
          <w:sz w:val="24"/>
          <w:highlight w:val="none"/>
        </w:rPr>
        <w:t>对各类设施设备要建立日常检查制度，建立相应的检查档案。对水电气供应设施设备、电梯、空调建立定期巡查制度，如实记录其运行状况。</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8)</w:t>
      </w:r>
      <w:r>
        <w:rPr>
          <w:rFonts w:hint="eastAsia" w:cs="宋体"/>
          <w:color w:val="auto"/>
          <w:sz w:val="24"/>
          <w:highlight w:val="none"/>
        </w:rPr>
        <w:t>保证设施设备状况良好，运行正常，合同期限内无重大管理责任事故，无重大设备运行事故隐患。如发现设备异常或故障，应及时向采购人上报情况，同时采取相关措施以防止故障扩大并组织专业人员进行修复。</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9)</w:t>
      </w:r>
      <w:r>
        <w:rPr>
          <w:rFonts w:hint="eastAsia" w:cs="宋体"/>
          <w:color w:val="auto"/>
          <w:sz w:val="24"/>
          <w:highlight w:val="none"/>
        </w:rPr>
        <w:t>如因岗位人员资质不达标或因其工作疏漏导致强制性临检不合格而造成损失的，相关损失及执法监管部门的处罚均由供应商承担。</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服务标准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供电设施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负责各配电室、楼宇内强电井及后端线路、照明灯具的管理和维护(配备相应上岗资质的人员)。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对责任区域内的照明设备每天进行巡查，发现问题及时维修，保证灯泡明亮，灯罩、灯具安装到位、无松动，无大面积锈蚀；</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强电井进行钥匙管理(未达到安装设置标准的除外)，标识清晰，开启快捷(5分钟内能打开)；</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④</w:t>
      </w:r>
      <w:r>
        <w:rPr>
          <w:rFonts w:hint="eastAsia" w:cs="宋体"/>
          <w:color w:val="auto"/>
          <w:sz w:val="24"/>
          <w:highlight w:val="none"/>
        </w:rPr>
        <w:t>照明线路损坏及时维修(一般不超过12小时)，灯具更换及时(2小时以内)，办公室的灯管根据损坏数量一般安排在周六、周日或者晚间更换。</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⑤</w:t>
      </w:r>
      <w:r>
        <w:rPr>
          <w:rFonts w:hint="eastAsia" w:cs="宋体"/>
          <w:color w:val="auto"/>
          <w:sz w:val="24"/>
          <w:highlight w:val="none"/>
        </w:rPr>
        <w:t>负责采购人配电室24小时运行监管。</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⑥</w:t>
      </w:r>
      <w:r>
        <w:rPr>
          <w:rFonts w:hint="eastAsia" w:cs="宋体"/>
          <w:color w:val="auto"/>
          <w:sz w:val="24"/>
          <w:highlight w:val="none"/>
        </w:rPr>
        <w:t>办公楼内限电、停电由投标人及时沟通联系供电局，并由投标人告知采购人相关部门。</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⑦</w:t>
      </w:r>
      <w:r>
        <w:rPr>
          <w:rFonts w:hint="eastAsia" w:cs="宋体"/>
          <w:color w:val="auto"/>
          <w:sz w:val="24"/>
          <w:highlight w:val="none"/>
        </w:rPr>
        <w:t>制定临时用电管理措施与停电应急处理措施并严格执行。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⑧</w:t>
      </w:r>
      <w:r>
        <w:rPr>
          <w:rFonts w:hint="eastAsia" w:cs="宋体"/>
          <w:color w:val="auto"/>
          <w:sz w:val="24"/>
          <w:highlight w:val="none"/>
        </w:rPr>
        <w:t>根据季节时令与气候情况及时开启用电负荷情况，积极响应配合用电节能要求，避免浪费。</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⑨</w:t>
      </w:r>
      <w:r>
        <w:rPr>
          <w:rFonts w:hint="eastAsia" w:cs="宋体"/>
          <w:color w:val="auto"/>
          <w:sz w:val="24"/>
          <w:highlight w:val="none"/>
        </w:rPr>
        <w:t>工作人员应当熟悉物业区内供电线路分布及走向。</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⑩</w:t>
      </w:r>
      <w:r>
        <w:rPr>
          <w:rFonts w:hint="eastAsia" w:cs="宋体"/>
          <w:color w:val="auto"/>
          <w:sz w:val="24"/>
          <w:highlight w:val="none"/>
        </w:rPr>
        <w:t>突然停电反应时间为5分钟内到达停电现场并进行处理及检修(报修)，并启动应急电源供电(柴发机组)。</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fldChar w:fldCharType="begin"/>
      </w:r>
      <w:r>
        <w:rPr>
          <w:rFonts w:hint="eastAsia" w:cs="宋体"/>
          <w:color w:val="auto"/>
          <w:sz w:val="24"/>
          <w:highlight w:val="none"/>
        </w:rPr>
        <w:instrText xml:space="preserve"> EQ \o\ac(○,</w:instrText>
      </w:r>
      <w:r>
        <w:rPr>
          <w:rFonts w:hint="eastAsia" w:cs="宋体"/>
          <w:color w:val="auto"/>
          <w:position w:val="3"/>
          <w:sz w:val="16"/>
          <w:highlight w:val="none"/>
        </w:rPr>
        <w:instrText xml:space="preserve">11</w:instrText>
      </w:r>
      <w:r>
        <w:rPr>
          <w:rFonts w:hint="eastAsia" w:cs="宋体"/>
          <w:color w:val="auto"/>
          <w:sz w:val="24"/>
          <w:highlight w:val="none"/>
        </w:rPr>
        <w:instrText xml:space="preserve">)</w:instrText>
      </w:r>
      <w:r>
        <w:rPr>
          <w:rFonts w:hint="eastAsia" w:cs="宋体"/>
          <w:color w:val="auto"/>
          <w:sz w:val="24"/>
          <w:highlight w:val="none"/>
        </w:rPr>
        <w:fldChar w:fldCharType="end"/>
      </w:r>
      <w:r>
        <w:rPr>
          <w:rFonts w:hint="eastAsia" w:cs="宋体"/>
          <w:color w:val="auto"/>
          <w:sz w:val="24"/>
          <w:highlight w:val="none"/>
        </w:rPr>
        <w:t>照明灯具完好率95%。</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弱电设施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弱电设施在采购人的指导下实施运行管理。</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负责弱电井(间)的日常管理，包括供电、门窗维护、主锁等配套设施。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协助室内弱电线路、设备的管理维护，发现故障及时处置并向采购人报告。</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④</w:t>
      </w:r>
      <w:r>
        <w:rPr>
          <w:rFonts w:hint="eastAsia" w:cs="宋体"/>
          <w:color w:val="auto"/>
          <w:sz w:val="24"/>
          <w:highlight w:val="none"/>
        </w:rPr>
        <w:t>及时通告停电等电力供应故障信息，以便做应急处置安排。</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⑤</w:t>
      </w:r>
      <w:r>
        <w:rPr>
          <w:rFonts w:hint="eastAsia" w:cs="宋体"/>
          <w:color w:val="auto"/>
          <w:sz w:val="24"/>
          <w:highlight w:val="none"/>
        </w:rPr>
        <w:t>负责对建设投入使用的网络系统中各圈存点及其设备的安保、巡查。</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⑥</w:t>
      </w:r>
      <w:r>
        <w:rPr>
          <w:rFonts w:hint="eastAsia" w:cs="宋体"/>
          <w:color w:val="auto"/>
          <w:sz w:val="24"/>
          <w:highlight w:val="none"/>
        </w:rPr>
        <w:t>负责对楼宇配套的监控、车库道闸、会议多媒体系统进行管理维护保养，发现故障及时维修，并向采购人报告。</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3)</w:t>
      </w:r>
      <w:r>
        <w:rPr>
          <w:rFonts w:hint="eastAsia" w:cs="宋体"/>
          <w:color w:val="auto"/>
          <w:sz w:val="24"/>
          <w:highlight w:val="none"/>
        </w:rPr>
        <w:t>空调及中央空调</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熟悉服务范围内所有空调型号和规格，熟悉中央空调的运行相关程序。</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负责空调日常巡查管理，并作好巡查纪录。</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日常空调移机、安装、改造及维修配件由采购人与物业方协商确认后委托专业单位实施。</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④</w:t>
      </w:r>
      <w:r>
        <w:rPr>
          <w:rFonts w:hint="eastAsia" w:cs="宋体"/>
          <w:color w:val="auto"/>
          <w:sz w:val="24"/>
          <w:highlight w:val="none"/>
        </w:rPr>
        <w:t>对空调维保方进行监督管理，保障空调系统正常运行。</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⑤</w:t>
      </w:r>
      <w:r>
        <w:rPr>
          <w:rFonts w:hint="eastAsia" w:cs="宋体"/>
          <w:color w:val="auto"/>
          <w:sz w:val="24"/>
          <w:highlight w:val="none"/>
        </w:rPr>
        <w:t>制订空调及中央空调系统日常检查巡视规定和风机房管理规定，报采购人批准后严格执行。建立巡检制度。</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⑥</w:t>
      </w:r>
      <w:r>
        <w:rPr>
          <w:rFonts w:hint="eastAsia" w:cs="宋体"/>
          <w:color w:val="auto"/>
          <w:sz w:val="24"/>
          <w:highlight w:val="none"/>
        </w:rPr>
        <w:t>熟练掌握空调维修和中央空调系统开关机程序，严禁无关人员操作中央空调各项控制系统。</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⑦</w:t>
      </w:r>
      <w:r>
        <w:rPr>
          <w:rFonts w:hint="eastAsia" w:cs="宋体"/>
          <w:color w:val="auto"/>
          <w:sz w:val="24"/>
          <w:highlight w:val="none"/>
        </w:rPr>
        <w:t>每天详实填写《中央空调运行状况记录表》，严格记录空调运行期间各项运行参数，不得擅自更改运行参数。</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⑧</w:t>
      </w:r>
      <w:r>
        <w:rPr>
          <w:rFonts w:hint="eastAsia" w:cs="宋体"/>
          <w:color w:val="auto"/>
          <w:sz w:val="24"/>
          <w:highlight w:val="none"/>
        </w:rPr>
        <w:t>拟订中央空调系统运行时间表，报采购人批准后执行；在不影响空调运行的情况下，积极探索并实施有效的节能方法。</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4)</w:t>
      </w:r>
      <w:r>
        <w:rPr>
          <w:rFonts w:hint="eastAsia" w:cs="宋体"/>
          <w:color w:val="auto"/>
          <w:sz w:val="24"/>
          <w:highlight w:val="none"/>
        </w:rPr>
        <w:t>办公家具</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①</w:t>
      </w:r>
      <w:r>
        <w:rPr>
          <w:rFonts w:hint="eastAsia" w:cs="宋体"/>
          <w:color w:val="auto"/>
          <w:sz w:val="24"/>
          <w:highlight w:val="none"/>
        </w:rPr>
        <w:t>负责办公家具的日常小型维修。配置具有相应维修技能的人员。</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②</w:t>
      </w:r>
      <w:r>
        <w:rPr>
          <w:rFonts w:hint="eastAsia" w:cs="宋体"/>
          <w:color w:val="auto"/>
          <w:sz w:val="24"/>
          <w:highlight w:val="none"/>
        </w:rPr>
        <w:t>建立巡检制度，填写《家具检查记录表》，报修后10分钟内到达现场处置。</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③</w:t>
      </w:r>
      <w:r>
        <w:rPr>
          <w:rFonts w:hint="eastAsia" w:cs="宋体"/>
          <w:color w:val="auto"/>
          <w:sz w:val="24"/>
          <w:highlight w:val="none"/>
        </w:rPr>
        <w:t>负责每年进行一次集中检查，报采购人维修计划。</w:t>
      </w:r>
    </w:p>
    <w:p>
      <w:pPr>
        <w:pStyle w:val="19"/>
        <w:tabs>
          <w:tab w:val="left" w:pos="0"/>
        </w:tabs>
        <w:spacing w:line="440" w:lineRule="exact"/>
        <w:ind w:left="420" w:leftChars="200"/>
        <w:rPr>
          <w:rFonts w:ascii="宋体" w:cs="宋体"/>
          <w:color w:val="auto"/>
          <w:sz w:val="24"/>
          <w:highlight w:val="none"/>
        </w:rPr>
      </w:pPr>
      <w:r>
        <w:rPr>
          <w:rFonts w:hint="eastAsia" w:ascii="宋体" w:hAnsi="宋体" w:cs="宋体"/>
          <w:color w:val="auto"/>
          <w:sz w:val="24"/>
          <w:highlight w:val="none"/>
        </w:rPr>
        <w:t>5)</w:t>
      </w:r>
      <w:r>
        <w:rPr>
          <w:rFonts w:hint="eastAsia" w:ascii="宋体" w:cs="宋体"/>
          <w:color w:val="auto"/>
          <w:sz w:val="24"/>
          <w:highlight w:val="none"/>
        </w:rPr>
        <w:t>电扶梯/直梯系统</w:t>
      </w:r>
    </w:p>
    <w:p>
      <w:pPr>
        <w:pStyle w:val="19"/>
        <w:tabs>
          <w:tab w:val="left" w:pos="0"/>
        </w:tabs>
        <w:spacing w:line="440" w:lineRule="exact"/>
        <w:ind w:left="420" w:leftChars="200"/>
        <w:rPr>
          <w:rFonts w:ascii="宋体" w:cs="宋体"/>
          <w:color w:val="auto"/>
          <w:sz w:val="24"/>
          <w:highlight w:val="none"/>
        </w:rPr>
      </w:pPr>
      <w:r>
        <w:rPr>
          <w:rFonts w:hint="eastAsia" w:ascii="宋体" w:hAnsi="宋体" w:cs="宋体"/>
          <w:color w:val="auto"/>
          <w:sz w:val="24"/>
          <w:highlight w:val="none"/>
        </w:rPr>
        <w:t>①</w:t>
      </w:r>
      <w:r>
        <w:rPr>
          <w:rFonts w:hint="eastAsia" w:ascii="宋体" w:cs="宋体"/>
          <w:color w:val="auto"/>
          <w:sz w:val="24"/>
          <w:highlight w:val="none"/>
        </w:rPr>
        <w:t>24小时正常运行。</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②</w:t>
      </w:r>
      <w:r>
        <w:rPr>
          <w:rFonts w:hint="eastAsia" w:ascii="宋体" w:cs="宋体"/>
          <w:color w:val="auto"/>
          <w:sz w:val="24"/>
          <w:highlight w:val="none"/>
        </w:rPr>
        <w:t>建立电梯日运行管理、设备管理、安全管理制度，确保电梯按规定时间运行，安全设备齐全有效，通风、照明及其它附属设施完好。</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③</w:t>
      </w:r>
      <w:r>
        <w:rPr>
          <w:rFonts w:hint="eastAsia" w:ascii="宋体" w:cs="宋体"/>
          <w:color w:val="auto"/>
          <w:sz w:val="24"/>
          <w:highlight w:val="none"/>
        </w:rPr>
        <w:t>严格执行国家有关电梯管理规定和安全规程，电梯准用证、年检合格证、维修保养合同完备。</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④</w:t>
      </w:r>
      <w:r>
        <w:rPr>
          <w:rFonts w:hint="eastAsia" w:ascii="宋体" w:cs="宋体"/>
          <w:color w:val="auto"/>
          <w:sz w:val="24"/>
          <w:highlight w:val="none"/>
        </w:rPr>
        <w:t>轿厢、井道保持清洁。警铃或其它救助设备功能完备，称重装置可靠，安全装置有效无缺损，电梯运行无异常。</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⑤</w:t>
      </w:r>
      <w:r>
        <w:rPr>
          <w:rFonts w:hint="eastAsia" w:ascii="宋体" w:cs="宋体"/>
          <w:color w:val="auto"/>
          <w:sz w:val="24"/>
          <w:highlight w:val="none"/>
        </w:rPr>
        <w:t>电梯由专业公司维修保养，维修。</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⑥</w:t>
      </w:r>
      <w:r>
        <w:rPr>
          <w:rFonts w:hint="eastAsia" w:ascii="宋体" w:cs="宋体"/>
          <w:color w:val="auto"/>
          <w:sz w:val="24"/>
          <w:highlight w:val="none"/>
        </w:rPr>
        <w:t>电梯出现故障，接到报修后专业维修人员应在30分钟内到达现场抢修，及时排除故障。</w:t>
      </w:r>
    </w:p>
    <w:p>
      <w:pPr>
        <w:pStyle w:val="19"/>
        <w:tabs>
          <w:tab w:val="left" w:pos="0"/>
        </w:tabs>
        <w:spacing w:line="440" w:lineRule="exact"/>
        <w:ind w:firstLine="480" w:firstLineChars="200"/>
        <w:rPr>
          <w:rFonts w:ascii="宋体" w:cs="宋体"/>
          <w:color w:val="auto"/>
          <w:sz w:val="24"/>
          <w:highlight w:val="none"/>
        </w:rPr>
      </w:pPr>
      <w:r>
        <w:rPr>
          <w:rFonts w:hint="eastAsia" w:ascii="宋体" w:hAnsi="宋体" w:cs="宋体"/>
          <w:color w:val="auto"/>
          <w:sz w:val="24"/>
          <w:highlight w:val="none"/>
        </w:rPr>
        <w:t>⑦</w:t>
      </w:r>
      <w:r>
        <w:rPr>
          <w:rFonts w:hint="eastAsia" w:ascii="宋体" w:cs="宋体"/>
          <w:color w:val="auto"/>
          <w:sz w:val="24"/>
          <w:highlight w:val="none"/>
        </w:rPr>
        <w:t>配合专业维保单位每15天对电梯进行正常维修保养。</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6)</w:t>
      </w:r>
      <w:r>
        <w:rPr>
          <w:rFonts w:hint="eastAsia" w:cs="宋体"/>
          <w:color w:val="auto"/>
          <w:sz w:val="24"/>
          <w:highlight w:val="none"/>
        </w:rPr>
        <w:t>设施设备巡查内容及运行标准</w:t>
      </w:r>
    </w:p>
    <w:tbl>
      <w:tblPr>
        <w:tblStyle w:val="4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3094"/>
        <w:gridCol w:w="3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116" w:type="pct"/>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设施名称</w:t>
            </w:r>
          </w:p>
        </w:tc>
        <w:tc>
          <w:tcPr>
            <w:tcW w:w="1815" w:type="pct"/>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巡查内容</w:t>
            </w:r>
          </w:p>
        </w:tc>
        <w:tc>
          <w:tcPr>
            <w:tcW w:w="2067" w:type="pct"/>
            <w:vAlign w:val="center"/>
          </w:tcPr>
          <w:p>
            <w:pPr>
              <w:tabs>
                <w:tab w:val="left" w:pos="0"/>
              </w:tabs>
              <w:jc w:val="center"/>
              <w:outlineLvl w:val="2"/>
              <w:rPr>
                <w:rFonts w:ascii="宋体" w:hAnsi="宋体" w:cs="宋体"/>
                <w:b/>
                <w:bCs/>
                <w:color w:val="auto"/>
                <w:szCs w:val="21"/>
                <w:highlight w:val="none"/>
              </w:rPr>
            </w:pPr>
            <w:r>
              <w:rPr>
                <w:rFonts w:hint="eastAsia" w:ascii="宋体" w:hAnsi="宋体" w:cs="宋体"/>
                <w:b/>
                <w:bCs/>
                <w:color w:val="auto"/>
                <w:szCs w:val="21"/>
                <w:highlight w:val="none"/>
              </w:rPr>
              <w:t>运行标准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供电系统</w:t>
            </w:r>
          </w:p>
        </w:tc>
        <w:tc>
          <w:tcPr>
            <w:tcW w:w="1815"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每天不少于2次。巡查内容：温控器、各型断路器及开关、仪表等</w:t>
            </w:r>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安全可靠，运行正常，操作灵活，反应灵敏，接触良好，环境整洁，控制、显示准确。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给排水系统</w:t>
            </w:r>
          </w:p>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卫生间供水</w:t>
            </w:r>
          </w:p>
        </w:tc>
        <w:tc>
          <w:tcPr>
            <w:tcW w:w="1815"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每天不少于1次。巡查内容：管道固定、表面锈蚀、接头泄漏、堵塞情况、安装到位、接头泄漏、阀门失灵</w:t>
            </w:r>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安装可靠、安全、无泄漏，表面无明显锈蚀、穿孔隐患，供水通畅；安装到位，无跑、冒、滴、漏现象，开启灵活，供水通畅。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供气系统</w:t>
            </w:r>
          </w:p>
        </w:tc>
        <w:tc>
          <w:tcPr>
            <w:tcW w:w="1815"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定期巡查(每周不少于1次)。巡查内容：运行情况</w:t>
            </w:r>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建立供气设备系统日常检查制度，对相应的安全隐患及时报告使用人和供气单位，并负责联系供气单位进行维修。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弱电系统</w:t>
            </w:r>
          </w:p>
        </w:tc>
        <w:tc>
          <w:tcPr>
            <w:tcW w:w="1815"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每周不少于1次。巡查内容：运行情况</w:t>
            </w:r>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运行正常，发现问题及时进行维修。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办公家具</w:t>
            </w:r>
          </w:p>
        </w:tc>
        <w:tc>
          <w:tcPr>
            <w:tcW w:w="1815"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每月不少于1次。巡查内容：家具的完好情况，安全性。</w:t>
            </w:r>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完好，无安全隐患，发现问题及时进行维修。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电梯系统</w:t>
            </w:r>
          </w:p>
        </w:tc>
        <w:tc>
          <w:tcPr>
            <w:tcW w:w="1815"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每天不少于1次。巡查内容：设备使用情况，是否安全。</w:t>
            </w:r>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116"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中央空调系统</w:t>
            </w:r>
          </w:p>
        </w:tc>
        <w:tc>
          <w:tcPr>
            <w:tcW w:w="1815"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每天不少于1次。巡查内容：运行噪音、制冷、制热、排水效果</w:t>
            </w:r>
          </w:p>
        </w:tc>
        <w:tc>
          <w:tcPr>
            <w:tcW w:w="2067" w:type="pct"/>
            <w:vAlign w:val="center"/>
          </w:tcPr>
          <w:p>
            <w:pPr>
              <w:tabs>
                <w:tab w:val="left" w:pos="0"/>
              </w:tabs>
              <w:jc w:val="center"/>
              <w:outlineLvl w:val="2"/>
              <w:rPr>
                <w:rFonts w:ascii="宋体" w:hAnsi="宋体" w:cs="宋体"/>
                <w:color w:val="auto"/>
                <w:szCs w:val="21"/>
                <w:highlight w:val="none"/>
              </w:rPr>
            </w:pPr>
            <w:r>
              <w:rPr>
                <w:rFonts w:hint="eastAsia" w:ascii="宋体" w:hAnsi="宋体" w:cs="宋体"/>
                <w:color w:val="auto"/>
                <w:szCs w:val="21"/>
                <w:highlight w:val="none"/>
              </w:rPr>
              <w:t>运行正常。</w:t>
            </w:r>
          </w:p>
        </w:tc>
      </w:tr>
    </w:tbl>
    <w:p>
      <w:pPr>
        <w:tabs>
          <w:tab w:val="left" w:pos="0"/>
        </w:tabs>
        <w:spacing w:line="440" w:lineRule="exact"/>
        <w:ind w:firstLine="482" w:firstLineChars="200"/>
        <w:outlineLvl w:val="2"/>
        <w:rPr>
          <w:rFonts w:cs="宋体"/>
          <w:b/>
          <w:color w:val="auto"/>
          <w:sz w:val="24"/>
          <w:highlight w:val="none"/>
        </w:rPr>
      </w:pPr>
      <w:r>
        <w:rPr>
          <w:rFonts w:hint="eastAsia" w:cs="宋体"/>
          <w:b/>
          <w:color w:val="auto"/>
          <w:sz w:val="24"/>
          <w:highlight w:val="none"/>
        </w:rPr>
        <w:t>(五)植物租摆及养护服务</w:t>
      </w:r>
    </w:p>
    <w:p>
      <w:pPr>
        <w:tabs>
          <w:tab w:val="left" w:pos="0"/>
        </w:tabs>
        <w:spacing w:line="440" w:lineRule="exact"/>
        <w:ind w:firstLine="480" w:firstLineChars="200"/>
        <w:rPr>
          <w:rFonts w:hint="eastAsia" w:cs="宋体"/>
          <w:color w:val="auto"/>
          <w:sz w:val="24"/>
          <w:highlight w:val="none"/>
        </w:rPr>
      </w:pPr>
      <w:r>
        <w:rPr>
          <w:rFonts w:hint="eastAsia" w:cs="宋体"/>
          <w:color w:val="auto"/>
          <w:sz w:val="24"/>
          <w:highlight w:val="none"/>
        </w:rPr>
        <w:t>1.植物布置清单</w:t>
      </w:r>
    </w:p>
    <w:p>
      <w:pPr>
        <w:tabs>
          <w:tab w:val="left" w:pos="0"/>
        </w:tabs>
        <w:spacing w:line="440" w:lineRule="exact"/>
        <w:ind w:firstLine="480" w:firstLineChars="200"/>
        <w:rPr>
          <w:rFonts w:hint="eastAsia" w:cs="宋体"/>
          <w:color w:val="auto"/>
          <w:sz w:val="24"/>
          <w:highlight w:val="none"/>
          <w:lang w:val="en-US" w:eastAsia="zh-CN"/>
        </w:rPr>
      </w:pPr>
      <w:r>
        <w:rPr>
          <w:rFonts w:hint="eastAsia" w:cs="宋体"/>
          <w:color w:val="auto"/>
          <w:sz w:val="24"/>
          <w:highlight w:val="none"/>
          <w:lang w:val="en-US" w:eastAsia="zh-CN"/>
        </w:rPr>
        <w:t>见附件</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2.服务内容及范围</w:t>
      </w:r>
    </w:p>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投标人承担提供采购人绿化所需各类植物以及运输和养护工作，运输、花盆、及损耗费用等本项所涉及的一切费用均由投标人负责。供应商确保按照所提供绿植的生长情况及采购人要求进行养护。投标人应当根据采购人安排摆放调整花卉位置，保障每周至少2次养护工作，并达到采购人绿化养护标准。</w:t>
      </w:r>
    </w:p>
    <w:p>
      <w:pPr>
        <w:tabs>
          <w:tab w:val="left" w:pos="0"/>
        </w:tabs>
        <w:spacing w:line="440" w:lineRule="exact"/>
        <w:ind w:firstLine="480" w:firstLineChars="200"/>
        <w:rPr>
          <w:rFonts w:cs="宋体"/>
          <w:color w:val="auto"/>
          <w:highlight w:val="none"/>
        </w:rPr>
      </w:pPr>
      <w:r>
        <w:rPr>
          <w:rFonts w:hint="eastAsia" w:ascii="宋体" w:hAnsi="宋体" w:cs="宋体"/>
          <w:color w:val="auto"/>
          <w:sz w:val="24"/>
          <w:highlight w:val="none"/>
        </w:rPr>
        <w:t>3.</w:t>
      </w:r>
      <w:r>
        <w:rPr>
          <w:rFonts w:hint="eastAsia" w:cs="宋体"/>
          <w:color w:val="auto"/>
          <w:sz w:val="24"/>
          <w:highlight w:val="none"/>
        </w:rPr>
        <w:t>绿化养护标准</w:t>
      </w:r>
    </w:p>
    <w:tbl>
      <w:tblPr>
        <w:tblStyle w:val="4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7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vAlign w:val="center"/>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养护项目</w:t>
            </w:r>
          </w:p>
        </w:tc>
        <w:tc>
          <w:tcPr>
            <w:tcW w:w="4245" w:type="pct"/>
            <w:vAlign w:val="center"/>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品   种</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品种多样、更换及时、搭配适当、符合环境的要求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叶   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无黄叶、无破损、无病虫害、无灰尘、无泥土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花盆内</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无杂质、无烟头、无黄土裸露(除植物正常生长需要的物质)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花盆外表面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无破损、无灰尘、无泥土、无污迹，呈本色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花盆垫子</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无破损、无积水、无泥土、无青苔、无污迹，呈本色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套盆里面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无杂质、无烟头、无积水、无泥土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54"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套盆外表面</w:t>
            </w:r>
          </w:p>
        </w:tc>
        <w:tc>
          <w:tcPr>
            <w:tcW w:w="4245" w:type="pct"/>
          </w:tcPr>
          <w:p>
            <w:pPr>
              <w:tabs>
                <w:tab w:val="left" w:pos="0"/>
              </w:tabs>
              <w:jc w:val="center"/>
              <w:rPr>
                <w:rFonts w:ascii="宋体" w:hAnsi="宋体" w:cs="宋体"/>
                <w:color w:val="auto"/>
                <w:szCs w:val="21"/>
                <w:highlight w:val="none"/>
              </w:rPr>
            </w:pPr>
            <w:r>
              <w:rPr>
                <w:rFonts w:hint="eastAsia" w:ascii="宋体" w:hAnsi="宋体" w:cs="宋体"/>
                <w:color w:val="auto"/>
                <w:szCs w:val="21"/>
                <w:highlight w:val="none"/>
              </w:rPr>
              <w:t>无破损、无灰尘、无泥土、无污迹，呈本色</w:t>
            </w:r>
          </w:p>
        </w:tc>
      </w:tr>
    </w:tbl>
    <w:p>
      <w:pPr>
        <w:tabs>
          <w:tab w:val="left" w:pos="0"/>
        </w:tabs>
        <w:spacing w:line="440" w:lineRule="exact"/>
        <w:ind w:firstLine="480" w:firstLineChars="200"/>
        <w:rPr>
          <w:rFonts w:cs="宋体"/>
          <w:color w:val="auto"/>
          <w:sz w:val="24"/>
          <w:highlight w:val="none"/>
        </w:rPr>
      </w:pPr>
      <w:r>
        <w:rPr>
          <w:rFonts w:hint="eastAsia" w:cs="宋体"/>
          <w:color w:val="auto"/>
          <w:sz w:val="24"/>
          <w:highlight w:val="none"/>
        </w:rPr>
        <w:t>4.现场绿化检查</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检查的方式、方法</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1)</w:t>
      </w:r>
      <w:r>
        <w:rPr>
          <w:rFonts w:hint="eastAsia" w:cs="宋体"/>
          <w:color w:val="auto"/>
          <w:sz w:val="24"/>
          <w:highlight w:val="none"/>
        </w:rPr>
        <w:t>不定期检查，由采购人绿化负责人随时检查；</w:t>
      </w:r>
    </w:p>
    <w:p>
      <w:pPr>
        <w:tabs>
          <w:tab w:val="left" w:pos="0"/>
        </w:tabs>
        <w:spacing w:line="440" w:lineRule="exact"/>
        <w:ind w:firstLine="480" w:firstLineChars="200"/>
        <w:rPr>
          <w:rFonts w:cs="宋体"/>
          <w:color w:val="auto"/>
          <w:sz w:val="24"/>
          <w:highlight w:val="none"/>
        </w:rPr>
      </w:pPr>
      <w:r>
        <w:rPr>
          <w:rFonts w:hint="eastAsia" w:ascii="宋体" w:hAnsi="宋体" w:cs="宋体"/>
          <w:color w:val="auto"/>
          <w:sz w:val="24"/>
          <w:highlight w:val="none"/>
        </w:rPr>
        <w:t>2)</w:t>
      </w:r>
      <w:r>
        <w:rPr>
          <w:rFonts w:hint="eastAsia" w:cs="宋体"/>
          <w:color w:val="auto"/>
          <w:sz w:val="24"/>
          <w:highlight w:val="none"/>
        </w:rPr>
        <w:t>定期检查，由采购人绿化负责人会同供应商负责人每月检查一次。</w:t>
      </w:r>
    </w:p>
    <w:p>
      <w:pPr>
        <w:pStyle w:val="240"/>
        <w:spacing w:line="440" w:lineRule="exact"/>
        <w:ind w:left="420" w:leftChars="200" w:firstLine="0" w:firstLineChars="0"/>
        <w:outlineLvl w:val="2"/>
        <w:rPr>
          <w:rFonts w:cs="宋体"/>
          <w:color w:val="auto"/>
          <w:sz w:val="24"/>
          <w:highlight w:val="none"/>
        </w:rPr>
      </w:pPr>
      <w:r>
        <w:rPr>
          <w:rFonts w:hint="eastAsia" w:cs="宋体"/>
          <w:b/>
          <w:bCs/>
          <w:color w:val="auto"/>
          <w:sz w:val="24"/>
          <w:highlight w:val="none"/>
        </w:rPr>
        <w:t>(六)阶段性服务</w:t>
      </w:r>
    </w:p>
    <w:p>
      <w:pPr>
        <w:pStyle w:val="240"/>
        <w:tabs>
          <w:tab w:val="clear" w:pos="0"/>
        </w:tabs>
        <w:wordWrap/>
        <w:spacing w:line="440" w:lineRule="exact"/>
        <w:rPr>
          <w:rFonts w:cs="宋体"/>
          <w:color w:val="auto"/>
          <w:sz w:val="24"/>
          <w:highlight w:val="none"/>
        </w:rPr>
      </w:pPr>
      <w:r>
        <w:rPr>
          <w:rFonts w:hint="eastAsia" w:cs="宋体"/>
          <w:color w:val="auto"/>
          <w:sz w:val="24"/>
          <w:highlight w:val="none"/>
        </w:rPr>
        <w:t>1.承接查验</w:t>
      </w:r>
    </w:p>
    <w:p>
      <w:pPr>
        <w:pStyle w:val="240"/>
        <w:wordWrap/>
        <w:spacing w:line="440" w:lineRule="exact"/>
        <w:rPr>
          <w:rFonts w:cs="宋体"/>
          <w:color w:val="auto"/>
          <w:sz w:val="24"/>
          <w:highlight w:val="none"/>
        </w:rPr>
      </w:pPr>
      <w:r>
        <w:rPr>
          <w:rFonts w:hint="eastAsia" w:cs="宋体"/>
          <w:color w:val="auto"/>
          <w:sz w:val="24"/>
          <w:highlight w:val="none"/>
        </w:rPr>
        <w:t>(1)服务内容：负责服务区域内设施设备承接查验工作。</w:t>
      </w:r>
    </w:p>
    <w:p>
      <w:pPr>
        <w:pStyle w:val="240"/>
        <w:wordWrap/>
        <w:spacing w:line="440" w:lineRule="exact"/>
        <w:rPr>
          <w:rFonts w:cs="宋体"/>
          <w:color w:val="auto"/>
          <w:sz w:val="24"/>
          <w:highlight w:val="none"/>
        </w:rPr>
      </w:pPr>
      <w:r>
        <w:rPr>
          <w:rFonts w:hint="eastAsia" w:cs="宋体"/>
          <w:color w:val="auto"/>
          <w:sz w:val="24"/>
          <w:highlight w:val="none"/>
        </w:rPr>
        <w:t xml:space="preserve">(2)查验范围：负一楼至六楼所有设施设备(不包含餐厅后期购买设备)、装修装饰工程。 </w:t>
      </w:r>
    </w:p>
    <w:p>
      <w:pPr>
        <w:pStyle w:val="240"/>
        <w:wordWrap/>
        <w:spacing w:line="440" w:lineRule="exact"/>
        <w:rPr>
          <w:rFonts w:cs="宋体"/>
          <w:color w:val="auto"/>
          <w:sz w:val="24"/>
          <w:highlight w:val="none"/>
        </w:rPr>
      </w:pPr>
      <w:r>
        <w:rPr>
          <w:rFonts w:hint="eastAsia" w:cs="宋体"/>
          <w:color w:val="auto"/>
          <w:sz w:val="24"/>
          <w:highlight w:val="none"/>
        </w:rPr>
        <w:t>(3)承包方式：采用投标人包人工、包物料的全包方式。</w:t>
      </w:r>
    </w:p>
    <w:p>
      <w:pPr>
        <w:pStyle w:val="240"/>
        <w:wordWrap/>
        <w:spacing w:line="440" w:lineRule="exact"/>
        <w:rPr>
          <w:rFonts w:cs="宋体"/>
          <w:color w:val="auto"/>
          <w:sz w:val="24"/>
          <w:highlight w:val="none"/>
        </w:rPr>
      </w:pPr>
      <w:r>
        <w:rPr>
          <w:rFonts w:hint="eastAsia" w:cs="宋体"/>
          <w:color w:val="auto"/>
          <w:sz w:val="24"/>
          <w:highlight w:val="none"/>
        </w:rPr>
        <w:t>2.项目开荒服务</w:t>
      </w:r>
    </w:p>
    <w:p>
      <w:pPr>
        <w:pStyle w:val="240"/>
        <w:wordWrap/>
        <w:spacing w:line="440" w:lineRule="exact"/>
        <w:rPr>
          <w:rFonts w:cs="宋体"/>
          <w:color w:val="auto"/>
          <w:sz w:val="24"/>
          <w:highlight w:val="none"/>
        </w:rPr>
      </w:pPr>
      <w:r>
        <w:rPr>
          <w:rFonts w:hint="eastAsia" w:cs="宋体"/>
          <w:color w:val="auto"/>
          <w:sz w:val="24"/>
          <w:highlight w:val="none"/>
        </w:rPr>
        <w:t>(1)服务内容：负责服务区域内办公区、卫生间、玻璃、门窗框、办公家具、室顶等开荒清洁工作。</w:t>
      </w:r>
    </w:p>
    <w:p>
      <w:pPr>
        <w:pStyle w:val="240"/>
        <w:wordWrap/>
        <w:spacing w:line="440" w:lineRule="exact"/>
        <w:rPr>
          <w:rFonts w:cs="宋体"/>
          <w:color w:val="auto"/>
          <w:sz w:val="24"/>
          <w:highlight w:val="none"/>
        </w:rPr>
      </w:pPr>
      <w:r>
        <w:rPr>
          <w:rFonts w:hint="eastAsia" w:cs="宋体"/>
          <w:color w:val="auto"/>
          <w:sz w:val="24"/>
          <w:highlight w:val="none"/>
        </w:rPr>
        <w:t>(2)开荒范围：负一楼至六楼，共计53187㎡。</w:t>
      </w:r>
    </w:p>
    <w:p>
      <w:pPr>
        <w:pStyle w:val="240"/>
        <w:wordWrap/>
        <w:spacing w:line="440" w:lineRule="exact"/>
        <w:rPr>
          <w:rFonts w:cs="宋体"/>
          <w:color w:val="auto"/>
          <w:sz w:val="24"/>
          <w:highlight w:val="none"/>
        </w:rPr>
      </w:pPr>
      <w:r>
        <w:rPr>
          <w:rFonts w:hint="eastAsia" w:cs="宋体"/>
          <w:color w:val="auto"/>
          <w:sz w:val="24"/>
          <w:highlight w:val="none"/>
        </w:rPr>
        <w:t>(3)承包方式：采用投标人包人工、包物料的全包方式。</w:t>
      </w:r>
    </w:p>
    <w:p>
      <w:pPr>
        <w:pStyle w:val="240"/>
        <w:wordWrap/>
        <w:spacing w:line="440" w:lineRule="exact"/>
        <w:rPr>
          <w:rFonts w:cs="宋体"/>
          <w:color w:val="auto"/>
          <w:sz w:val="24"/>
          <w:highlight w:val="none"/>
        </w:rPr>
      </w:pPr>
      <w:r>
        <w:rPr>
          <w:rFonts w:hint="eastAsia" w:cs="宋体"/>
          <w:color w:val="auto"/>
          <w:sz w:val="24"/>
          <w:highlight w:val="none"/>
        </w:rPr>
        <w:t>3.除甲醛服务</w:t>
      </w:r>
    </w:p>
    <w:p>
      <w:pPr>
        <w:pStyle w:val="240"/>
        <w:wordWrap/>
        <w:spacing w:line="440" w:lineRule="exact"/>
        <w:rPr>
          <w:rFonts w:cs="宋体"/>
          <w:color w:val="auto"/>
          <w:sz w:val="24"/>
          <w:highlight w:val="none"/>
        </w:rPr>
      </w:pPr>
      <w:r>
        <w:rPr>
          <w:rFonts w:hint="eastAsia" w:cs="宋体"/>
          <w:color w:val="auto"/>
          <w:sz w:val="24"/>
          <w:highlight w:val="none"/>
        </w:rPr>
        <w:t>(1)服务内容：负责服务区域内甲醛治理的工作。</w:t>
      </w:r>
    </w:p>
    <w:p>
      <w:pPr>
        <w:pStyle w:val="240"/>
        <w:wordWrap/>
        <w:spacing w:line="440" w:lineRule="exact"/>
        <w:rPr>
          <w:rFonts w:cs="宋体"/>
          <w:color w:val="auto"/>
          <w:sz w:val="24"/>
          <w:highlight w:val="none"/>
        </w:rPr>
      </w:pPr>
      <w:r>
        <w:rPr>
          <w:rFonts w:hint="eastAsia" w:cs="宋体"/>
          <w:color w:val="auto"/>
          <w:sz w:val="24"/>
          <w:highlight w:val="none"/>
        </w:rPr>
        <w:t>(2)负一楼至六楼，共计53187㎡。</w:t>
      </w:r>
    </w:p>
    <w:p>
      <w:pPr>
        <w:pStyle w:val="240"/>
        <w:wordWrap/>
        <w:spacing w:line="440" w:lineRule="exact"/>
        <w:rPr>
          <w:rFonts w:cs="宋体"/>
          <w:color w:val="auto"/>
          <w:sz w:val="24"/>
          <w:highlight w:val="none"/>
        </w:rPr>
      </w:pPr>
      <w:r>
        <w:rPr>
          <w:rFonts w:hint="eastAsia" w:cs="宋体"/>
          <w:color w:val="auto"/>
          <w:sz w:val="24"/>
          <w:highlight w:val="none"/>
        </w:rPr>
        <w:t>(3)承包方式：采用投标人包人工、包物料的全包方式。</w:t>
      </w:r>
    </w:p>
    <w:p>
      <w:pPr>
        <w:pStyle w:val="240"/>
        <w:wordWrap/>
        <w:spacing w:line="440" w:lineRule="exact"/>
        <w:rPr>
          <w:rFonts w:cs="宋体"/>
          <w:color w:val="auto"/>
          <w:sz w:val="24"/>
          <w:highlight w:val="none"/>
        </w:rPr>
      </w:pPr>
      <w:r>
        <w:rPr>
          <w:rFonts w:hint="eastAsia" w:cs="宋体"/>
          <w:color w:val="auto"/>
          <w:sz w:val="24"/>
          <w:highlight w:val="none"/>
        </w:rPr>
        <w:t>(4)除甲醛服务考核标准</w:t>
      </w:r>
    </w:p>
    <w:p>
      <w:pPr>
        <w:pStyle w:val="240"/>
        <w:wordWrap/>
        <w:spacing w:line="440" w:lineRule="exact"/>
        <w:rPr>
          <w:rFonts w:cs="宋体"/>
          <w:color w:val="auto"/>
          <w:sz w:val="24"/>
          <w:highlight w:val="none"/>
        </w:rPr>
      </w:pPr>
      <w:r>
        <w:rPr>
          <w:rFonts w:hint="eastAsia" w:cs="宋体"/>
          <w:color w:val="auto"/>
          <w:sz w:val="24"/>
          <w:highlight w:val="none"/>
        </w:rPr>
        <w:t>对治理项目检测并出具《室内空气质量检测报告》， 达到GB/50325-2010国家《民用建筑服务室内环境污染控制规范》标准中对甲醛的要求。</w:t>
      </w:r>
    </w:p>
    <w:p>
      <w:pPr>
        <w:pStyle w:val="240"/>
        <w:wordWrap/>
        <w:spacing w:line="440" w:lineRule="exact"/>
        <w:rPr>
          <w:rFonts w:cs="宋体"/>
          <w:color w:val="auto"/>
          <w:highlight w:val="none"/>
        </w:rPr>
      </w:pPr>
      <w:r>
        <w:rPr>
          <w:rFonts w:hint="eastAsia" w:cs="宋体"/>
          <w:color w:val="auto"/>
          <w:sz w:val="24"/>
          <w:highlight w:val="none"/>
        </w:rPr>
        <w:t>除甲醛工作需要在采购人工作人员非正常上班时间或不影响采购人正常工作情况下开展，中标人需在采购人正式入驻前提供不少于2次除甲醛服务，中标人在与采购人签订合同后至正式入驻后的一个月以内提供至少两个点位（点位选择由采购人指定）的除甲醛检测报告。</w:t>
      </w:r>
    </w:p>
    <w:tbl>
      <w:tblPr>
        <w:tblStyle w:val="45"/>
        <w:tblW w:w="4999" w:type="pct"/>
        <w:tblInd w:w="0" w:type="dxa"/>
        <w:tblLayout w:type="autofit"/>
        <w:tblCellMar>
          <w:top w:w="0" w:type="dxa"/>
          <w:left w:w="108" w:type="dxa"/>
          <w:bottom w:w="0" w:type="dxa"/>
          <w:right w:w="108" w:type="dxa"/>
        </w:tblCellMar>
      </w:tblPr>
      <w:tblGrid>
        <w:gridCol w:w="2162"/>
        <w:gridCol w:w="4609"/>
        <w:gridCol w:w="1749"/>
      </w:tblGrid>
      <w:tr>
        <w:tblPrEx>
          <w:tblCellMar>
            <w:top w:w="0" w:type="dxa"/>
            <w:left w:w="108" w:type="dxa"/>
            <w:bottom w:w="0" w:type="dxa"/>
            <w:right w:w="108" w:type="dxa"/>
          </w:tblCellMar>
        </w:tblPrEx>
        <w:trPr>
          <w:trHeight w:val="280" w:hRule="atLeast"/>
        </w:trPr>
        <w:tc>
          <w:tcPr>
            <w:tcW w:w="1269" w:type="pct"/>
            <w:tcBorders>
              <w:top w:val="single" w:color="auto" w:sz="4" w:space="0"/>
              <w:left w:val="single" w:color="auto" w:sz="4" w:space="0"/>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污染物</w:t>
            </w:r>
          </w:p>
        </w:tc>
        <w:tc>
          <w:tcPr>
            <w:tcW w:w="2704" w:type="pct"/>
            <w:tcBorders>
              <w:top w:val="single" w:color="auto" w:sz="4" w:space="0"/>
              <w:left w:val="nil"/>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GB/50325-2010国家室内空气治理标准</w:t>
            </w:r>
          </w:p>
        </w:tc>
        <w:tc>
          <w:tcPr>
            <w:tcW w:w="1026" w:type="pct"/>
            <w:tcBorders>
              <w:top w:val="single" w:color="auto" w:sz="4" w:space="0"/>
              <w:left w:val="nil"/>
              <w:bottom w:val="single" w:color="auto" w:sz="4" w:space="0"/>
              <w:right w:val="single" w:color="auto" w:sz="4" w:space="0"/>
            </w:tcBorders>
            <w:noWrap/>
            <w:vAlign w:val="center"/>
          </w:tcPr>
          <w:p>
            <w:pPr>
              <w:widowControl/>
              <w:tabs>
                <w:tab w:val="left" w:pos="0"/>
              </w:tabs>
              <w:jc w:val="center"/>
              <w:rPr>
                <w:rFonts w:cs="宋体"/>
                <w:color w:val="auto"/>
                <w:kern w:val="0"/>
                <w:highlight w:val="none"/>
              </w:rPr>
            </w:pPr>
            <w:r>
              <w:rPr>
                <w:rFonts w:hint="eastAsia" w:cs="宋体"/>
                <w:color w:val="auto"/>
                <w:kern w:val="0"/>
                <w:highlight w:val="none"/>
              </w:rPr>
              <w:t>备注</w:t>
            </w:r>
          </w:p>
        </w:tc>
      </w:tr>
      <w:tr>
        <w:tblPrEx>
          <w:tblCellMar>
            <w:top w:w="0" w:type="dxa"/>
            <w:left w:w="108" w:type="dxa"/>
            <w:bottom w:w="0" w:type="dxa"/>
            <w:right w:w="108" w:type="dxa"/>
          </w:tblCellMar>
        </w:tblPrEx>
        <w:trPr>
          <w:trHeight w:val="280" w:hRule="atLeast"/>
        </w:trPr>
        <w:tc>
          <w:tcPr>
            <w:tcW w:w="1269" w:type="pct"/>
            <w:tcBorders>
              <w:top w:val="nil"/>
              <w:left w:val="single" w:color="auto" w:sz="4" w:space="0"/>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甲醛(mg/m³)</w:t>
            </w:r>
          </w:p>
        </w:tc>
        <w:tc>
          <w:tcPr>
            <w:tcW w:w="2704" w:type="pct"/>
            <w:tcBorders>
              <w:top w:val="nil"/>
              <w:left w:val="nil"/>
              <w:bottom w:val="single" w:color="auto" w:sz="4" w:space="0"/>
              <w:right w:val="single" w:color="auto" w:sz="4" w:space="0"/>
            </w:tcBorders>
            <w:noWrap/>
            <w:vAlign w:val="center"/>
          </w:tcPr>
          <w:p>
            <w:pPr>
              <w:widowControl/>
              <w:tabs>
                <w:tab w:val="left" w:pos="0"/>
              </w:tabs>
              <w:ind w:firstLine="420" w:firstLineChars="200"/>
              <w:jc w:val="center"/>
              <w:rPr>
                <w:rFonts w:cs="宋体"/>
                <w:color w:val="auto"/>
                <w:kern w:val="0"/>
                <w:highlight w:val="none"/>
              </w:rPr>
            </w:pPr>
            <w:r>
              <w:rPr>
                <w:rFonts w:hint="eastAsia" w:cs="宋体"/>
                <w:color w:val="auto"/>
                <w:kern w:val="0"/>
                <w:highlight w:val="none"/>
              </w:rPr>
              <w:t>≤0.</w:t>
            </w:r>
            <w:r>
              <w:rPr>
                <w:rFonts w:cs="宋体"/>
                <w:color w:val="auto"/>
                <w:kern w:val="0"/>
                <w:highlight w:val="none"/>
              </w:rPr>
              <w:t>08</w:t>
            </w:r>
          </w:p>
        </w:tc>
        <w:tc>
          <w:tcPr>
            <w:tcW w:w="1026" w:type="pct"/>
            <w:tcBorders>
              <w:top w:val="nil"/>
              <w:left w:val="nil"/>
              <w:bottom w:val="single" w:color="auto" w:sz="4" w:space="0"/>
              <w:right w:val="single" w:color="auto" w:sz="4" w:space="0"/>
            </w:tcBorders>
            <w:noWrap/>
            <w:vAlign w:val="center"/>
          </w:tcPr>
          <w:p>
            <w:pPr>
              <w:widowControl/>
              <w:tabs>
                <w:tab w:val="left" w:pos="0"/>
              </w:tabs>
              <w:rPr>
                <w:rFonts w:cs="宋体"/>
                <w:color w:val="auto"/>
                <w:kern w:val="0"/>
                <w:highlight w:val="none"/>
              </w:rPr>
            </w:pPr>
          </w:p>
        </w:tc>
      </w:tr>
    </w:tbl>
    <w:p>
      <w:pPr>
        <w:rPr>
          <w:color w:val="auto"/>
          <w:highlight w:val="none"/>
        </w:rPr>
      </w:pPr>
    </w:p>
    <w:p>
      <w:pPr>
        <w:pStyle w:val="240"/>
        <w:spacing w:line="440" w:lineRule="exact"/>
        <w:ind w:left="420" w:leftChars="200" w:firstLine="0" w:firstLineChars="0"/>
        <w:outlineLvl w:val="2"/>
        <w:rPr>
          <w:rFonts w:cs="宋体"/>
          <w:b/>
          <w:bCs/>
          <w:color w:val="auto"/>
          <w:sz w:val="24"/>
          <w:highlight w:val="none"/>
        </w:rPr>
      </w:pPr>
      <w:r>
        <w:rPr>
          <w:rFonts w:hint="eastAsia" w:cs="宋体"/>
          <w:b/>
          <w:bCs/>
          <w:color w:val="auto"/>
          <w:sz w:val="24"/>
          <w:highlight w:val="none"/>
        </w:rPr>
        <w:t>注：按采购人要求，阶段性服务仅承接前期服务，后期如无此项工作，则按照分项报价进行费用扣除即可。</w:t>
      </w:r>
    </w:p>
    <w:p>
      <w:pPr>
        <w:pStyle w:val="240"/>
        <w:spacing w:line="440" w:lineRule="exact"/>
        <w:ind w:left="420" w:leftChars="200" w:firstLine="0" w:firstLineChars="0"/>
        <w:outlineLvl w:val="2"/>
        <w:rPr>
          <w:rFonts w:cs="宋体"/>
          <w:b/>
          <w:bCs/>
          <w:color w:val="auto"/>
          <w:sz w:val="24"/>
          <w:highlight w:val="none"/>
        </w:rPr>
      </w:pPr>
      <w:r>
        <w:rPr>
          <w:rFonts w:hint="eastAsia" w:cs="宋体"/>
          <w:b/>
          <w:bCs/>
          <w:color w:val="auto"/>
          <w:sz w:val="24"/>
          <w:highlight w:val="none"/>
        </w:rPr>
        <w:t>(七)人员配置要求</w:t>
      </w:r>
    </w:p>
    <w:p>
      <w:pPr>
        <w:pStyle w:val="42"/>
        <w:widowControl w:val="0"/>
        <w:spacing w:before="0" w:beforeAutospacing="0" w:after="0" w:afterAutospacing="0" w:line="440" w:lineRule="exact"/>
        <w:ind w:firstLine="480" w:firstLineChars="200"/>
        <w:jc w:val="both"/>
        <w:rPr>
          <w:rFonts w:cs="宋体"/>
          <w:color w:val="auto"/>
          <w:kern w:val="2"/>
          <w:highlight w:val="none"/>
        </w:rPr>
      </w:pPr>
      <w:r>
        <w:rPr>
          <w:rFonts w:hint="eastAsia" w:cs="宋体"/>
          <w:color w:val="auto"/>
          <w:kern w:val="2"/>
          <w:highlight w:val="none"/>
          <w:lang w:bidi="ar"/>
        </w:rPr>
        <w:t>1.投标人派驻的</w:t>
      </w:r>
      <w:r>
        <w:rPr>
          <w:rFonts w:hint="eastAsia"/>
          <w:color w:val="auto"/>
          <w:highlight w:val="none"/>
        </w:rPr>
        <w:t>所有人员经采购人面试合格方可上岗，上岗前需提供体检报告，未经采购人书面同意，供应商不得随意调换服务人员，投标人</w:t>
      </w:r>
      <w:r>
        <w:rPr>
          <w:rFonts w:hint="eastAsia" w:cs="宋体"/>
          <w:color w:val="auto"/>
          <w:kern w:val="2"/>
          <w:highlight w:val="none"/>
          <w:lang w:bidi="ar"/>
        </w:rPr>
        <w:t>应当与本项目配置的员工建立合法劳动用工关系，并按照国家法律法规全员购置社保。</w:t>
      </w:r>
      <w:r>
        <w:rPr>
          <w:rFonts w:hint="eastAsia" w:cs="宋体"/>
          <w:color w:val="auto"/>
          <w:highlight w:val="none"/>
        </w:rPr>
        <w:t>投标人</w:t>
      </w:r>
      <w:r>
        <w:rPr>
          <w:rFonts w:hint="eastAsia" w:cs="宋体"/>
          <w:color w:val="auto"/>
          <w:kern w:val="2"/>
          <w:highlight w:val="none"/>
          <w:lang w:bidi="ar"/>
        </w:rPr>
        <w:t>负责支付所派出全部工作人员工资、社保、残疾人基金、工会基金、住房公积金等费用及各项补助、节日福利等，人员工资标准不得低于本地的最低工资标准，采购人对此不承担任何的法律责任和义务，不得以人工工资价格上涨要求相关补助，采购人不额外向个人支付费用(应采购人实际工作需要，</w:t>
      </w:r>
      <w:r>
        <w:rPr>
          <w:rFonts w:hint="eastAsia" w:cs="宋体"/>
          <w:color w:val="auto"/>
          <w:highlight w:val="none"/>
        </w:rPr>
        <w:t>投标人</w:t>
      </w:r>
      <w:r>
        <w:rPr>
          <w:rFonts w:hint="eastAsia" w:cs="宋体"/>
          <w:color w:val="auto"/>
          <w:kern w:val="2"/>
          <w:highlight w:val="none"/>
          <w:lang w:bidi="ar"/>
        </w:rPr>
        <w:t>要求提供的特约有偿服务或派员参加重大活动协助的除外)。</w:t>
      </w:r>
    </w:p>
    <w:p>
      <w:pPr>
        <w:pStyle w:val="42"/>
        <w:widowControl w:val="0"/>
        <w:spacing w:before="0" w:beforeAutospacing="0" w:after="0" w:afterAutospacing="0" w:line="440" w:lineRule="exact"/>
        <w:ind w:firstLine="480" w:firstLineChars="200"/>
        <w:jc w:val="both"/>
        <w:rPr>
          <w:rFonts w:cs="宋体"/>
          <w:color w:val="auto"/>
          <w:kern w:val="2"/>
          <w:highlight w:val="none"/>
        </w:rPr>
      </w:pPr>
      <w:r>
        <w:rPr>
          <w:rFonts w:hint="eastAsia" w:cs="宋体"/>
          <w:color w:val="auto"/>
          <w:kern w:val="2"/>
          <w:highlight w:val="none"/>
          <w:lang w:bidi="ar"/>
        </w:rPr>
        <w:t>2.采购人不向</w:t>
      </w:r>
      <w:r>
        <w:rPr>
          <w:rFonts w:hint="eastAsia" w:cs="宋体"/>
          <w:color w:val="auto"/>
          <w:highlight w:val="none"/>
        </w:rPr>
        <w:t>投标人</w:t>
      </w:r>
      <w:r>
        <w:rPr>
          <w:rFonts w:hint="eastAsia" w:cs="宋体"/>
          <w:color w:val="auto"/>
          <w:kern w:val="2"/>
          <w:highlight w:val="none"/>
          <w:lang w:bidi="ar"/>
        </w:rPr>
        <w:t>提供员工住宿(因工作需要采购人向</w:t>
      </w:r>
      <w:r>
        <w:rPr>
          <w:rFonts w:hint="eastAsia" w:cs="宋体"/>
          <w:color w:val="auto"/>
          <w:highlight w:val="none"/>
        </w:rPr>
        <w:t>投标人</w:t>
      </w:r>
      <w:r>
        <w:rPr>
          <w:rFonts w:hint="eastAsia" w:cs="宋体"/>
          <w:color w:val="auto"/>
          <w:kern w:val="2"/>
          <w:highlight w:val="none"/>
          <w:lang w:bidi="ar"/>
        </w:rPr>
        <w:t>提供必要备勤室除外)，</w:t>
      </w:r>
      <w:r>
        <w:rPr>
          <w:rFonts w:hint="eastAsia" w:cs="宋体"/>
          <w:color w:val="auto"/>
          <w:highlight w:val="none"/>
        </w:rPr>
        <w:t>投标人</w:t>
      </w:r>
      <w:r>
        <w:rPr>
          <w:rFonts w:hint="eastAsia" w:cs="宋体"/>
          <w:color w:val="auto"/>
          <w:kern w:val="2"/>
          <w:highlight w:val="none"/>
          <w:lang w:bidi="ar"/>
        </w:rPr>
        <w:t>的现场服务人员的工作用餐可以在采购人的食堂用餐，但必须遵守采购人的就餐时间安排，由</w:t>
      </w:r>
      <w:r>
        <w:rPr>
          <w:rFonts w:hint="eastAsia" w:cs="宋体"/>
          <w:color w:val="auto"/>
          <w:highlight w:val="none"/>
        </w:rPr>
        <w:t>投标人</w:t>
      </w:r>
      <w:r>
        <w:rPr>
          <w:rFonts w:hint="eastAsia" w:cs="宋体"/>
          <w:color w:val="auto"/>
          <w:kern w:val="2"/>
          <w:highlight w:val="none"/>
          <w:lang w:bidi="ar"/>
        </w:rPr>
        <w:t>向员工支付误餐补贴，该费用应计入投标报价。</w:t>
      </w:r>
    </w:p>
    <w:p>
      <w:pPr>
        <w:pStyle w:val="42"/>
        <w:widowControl w:val="0"/>
        <w:spacing w:before="0" w:beforeAutospacing="0" w:after="0" w:afterAutospacing="0" w:line="440" w:lineRule="exact"/>
        <w:ind w:firstLine="480" w:firstLineChars="200"/>
        <w:jc w:val="both"/>
        <w:rPr>
          <w:rFonts w:cs="宋体"/>
          <w:color w:val="auto"/>
          <w:kern w:val="2"/>
          <w:highlight w:val="none"/>
        </w:rPr>
      </w:pPr>
      <w:r>
        <w:rPr>
          <w:rFonts w:hint="eastAsia" w:cs="宋体"/>
          <w:color w:val="auto"/>
          <w:kern w:val="2"/>
          <w:highlight w:val="none"/>
          <w:lang w:bidi="ar"/>
        </w:rPr>
        <w:t>3.本项目物业服务人员最低配置人数要求：</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(1)项目经理1人：具有本科及以上学历，40周岁以下，无纹身，具有不少于五年物业管理相关工作经验。</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(2)会务服务人员4人：具有大专及以上学历，女性，身高165cm及以上，35周岁及以下。</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(3)工程领班1人：具有机电或工程相关专业职业资格证书。</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(4)安全领班1人：具有专科及以上学历，具有不少于五年秩序维护相关工作经验。</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(5)IT技术人员3人：具有信息化类专业专科及以上学历，40周岁及以下，</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(6)安全人员19人：具有中专及以上学历，身高173及以上，35周岁及以下。</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(7)维修人员5人：具有机电或工程相关专业大专及以上学历，40周岁及以下，具有有效的电工类证书。</w:t>
      </w:r>
    </w:p>
    <w:p>
      <w:pPr>
        <w:pStyle w:val="241"/>
        <w:numPr>
          <w:ilvl w:val="1"/>
          <w:numId w:val="0"/>
        </w:numPr>
        <w:spacing w:line="440" w:lineRule="exact"/>
        <w:ind w:firstLine="480" w:firstLineChars="200"/>
        <w:outlineLvl w:val="9"/>
        <w:rPr>
          <w:rFonts w:ascii="宋体" w:hAnsi="宋体" w:cs="宋体"/>
          <w:b w:val="0"/>
          <w:bCs/>
          <w:color w:val="auto"/>
          <w:sz w:val="24"/>
          <w:highlight w:val="none"/>
        </w:rPr>
      </w:pPr>
      <w:r>
        <w:rPr>
          <w:rFonts w:hint="eastAsia" w:ascii="宋体" w:hAnsi="宋体" w:cs="宋体"/>
          <w:b w:val="0"/>
          <w:bCs/>
          <w:color w:val="auto"/>
          <w:sz w:val="24"/>
          <w:highlight w:val="none"/>
        </w:rPr>
        <w:t>(8)保洁28人：55周岁及以下。</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4.本次采购中的设施设备运行所产生的能耗不计入本次釆购的运行总费用；本采购中涉及的公共设备设施的日常运行、维护及保养由</w:t>
      </w:r>
      <w:r>
        <w:rPr>
          <w:rFonts w:hint="eastAsia" w:cs="宋体"/>
          <w:color w:val="auto"/>
          <w:sz w:val="24"/>
          <w:highlight w:val="none"/>
        </w:rPr>
        <w:t>投标人</w:t>
      </w:r>
      <w:r>
        <w:rPr>
          <w:rFonts w:hint="eastAsia" w:ascii="宋体" w:hAnsi="宋体" w:cs="宋体"/>
          <w:color w:val="auto"/>
          <w:sz w:val="24"/>
          <w:highlight w:val="none"/>
        </w:rPr>
        <w:t>统一组织管理；运行总费用包含单价价格1000元以下的设施设备零部件更换辅材辅料、维修耗材、办公费等支出，1000元以上大件设施设备的维修更换费用由采购人承担；本次采购中的电梯系统、消防系统、监控录像系统等由</w:t>
      </w:r>
      <w:r>
        <w:rPr>
          <w:rFonts w:hint="eastAsia" w:cs="宋体"/>
          <w:color w:val="auto"/>
          <w:sz w:val="24"/>
          <w:highlight w:val="none"/>
        </w:rPr>
        <w:t>投标人</w:t>
      </w:r>
      <w:r>
        <w:rPr>
          <w:rFonts w:hint="eastAsia" w:ascii="宋体" w:hAnsi="宋体" w:cs="宋体"/>
          <w:color w:val="auto"/>
          <w:sz w:val="24"/>
          <w:highlight w:val="none"/>
        </w:rPr>
        <w:t>商或其分包委派的专业维保公司维护，所产生的费用计入合同总费用。</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5.★本项目允许中标人将物业公司无法承担的专业性工作分包给具有资质的第三方公司履约，但分包前应当告知采购人并须取得采购人同意，否则不能分包：</w:t>
      </w:r>
    </w:p>
    <w:p>
      <w:pPr>
        <w:numPr>
          <w:ilvl w:val="0"/>
          <w:numId w:val="45"/>
        </w:numPr>
        <w:spacing w:line="440" w:lineRule="exact"/>
        <w:rPr>
          <w:rFonts w:ascii="宋体" w:hAnsi="宋体" w:cs="宋体"/>
          <w:color w:val="auto"/>
          <w:sz w:val="24"/>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★负责物业管理区域建筑避雷系统检测的实施单位应具有气象部门颁发的《雷电防护装置检测资质证》。</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如不具备此资质的，则应委托具有此资质的实施单位进行建筑避雷系统检测。</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w:t>
      </w:r>
    </w:p>
    <w:p>
      <w:pPr>
        <w:numPr>
          <w:ilvl w:val="0"/>
          <w:numId w:val="45"/>
        </w:numPr>
        <w:spacing w:line="440" w:lineRule="exact"/>
        <w:rPr>
          <w:rFonts w:ascii="宋体" w:hAnsi="宋体" w:cs="宋体"/>
          <w:color w:val="auto"/>
          <w:sz w:val="24"/>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★6.负责物业管理区域二次供水水箱清洗的实施单位应具有县级以上卫生行政部门颁发的卫生许可证。</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如不具备此资质的，则应委托具有此资质的实施单位负责二次供水水箱清洗工作。</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w:t>
      </w:r>
    </w:p>
    <w:p>
      <w:pPr>
        <w:numPr>
          <w:ilvl w:val="0"/>
          <w:numId w:val="45"/>
        </w:numPr>
        <w:spacing w:line="440" w:lineRule="exact"/>
        <w:rPr>
          <w:rFonts w:ascii="宋体" w:hAnsi="宋体" w:cs="宋体"/>
          <w:color w:val="auto"/>
          <w:sz w:val="24"/>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★7.负责物业管理区域消防设施维护保养服务的实施单位应具有《消防技术服务机构从业条件》(应急[2019]88号)的要求。</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如不具备此资质的，则应委托具有此资质的实施单位进行消防设施维护保养服务。</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w:t>
      </w:r>
    </w:p>
    <w:p>
      <w:pPr>
        <w:numPr>
          <w:ilvl w:val="0"/>
          <w:numId w:val="45"/>
        </w:numPr>
        <w:spacing w:line="440" w:lineRule="exact"/>
        <w:rPr>
          <w:rFonts w:ascii="宋体" w:hAnsi="宋体" w:cs="宋体"/>
          <w:color w:val="auto"/>
          <w:sz w:val="28"/>
          <w:szCs w:val="28"/>
          <w:highlight w:val="none"/>
        </w:rPr>
      </w:pPr>
      <w:r>
        <w:rPr>
          <w:rFonts w:hint="eastAsia" w:ascii="宋体" w:hAnsi="宋体" w:cs="宋体"/>
          <w:b/>
          <w:bCs/>
          <w:color w:val="auto"/>
          <w:sz w:val="28"/>
          <w:szCs w:val="28"/>
          <w:highlight w:val="none"/>
        </w:rPr>
        <w:t>▲</w:t>
      </w:r>
      <w:r>
        <w:rPr>
          <w:rFonts w:hint="eastAsia" w:ascii="宋体" w:hAnsi="宋体" w:cs="宋体"/>
          <w:color w:val="auto"/>
          <w:sz w:val="24"/>
          <w:highlight w:val="none"/>
        </w:rPr>
        <w:t>★8.负责物业管理区域电梯维护保养服务的实施单位应具有质量技术监督部门颁发的《中华人民共和国特种设备安装改造维修许可证(电梯)》(乘客电梯安装、改造、维修许可证C级及以上)。</w:t>
      </w:r>
      <w:r>
        <w:rPr>
          <w:rFonts w:hint="eastAsia" w:cs="宋体"/>
          <w:color w:val="auto"/>
          <w:sz w:val="24"/>
          <w:highlight w:val="none"/>
        </w:rPr>
        <w:t>投标人</w:t>
      </w:r>
      <w:r>
        <w:rPr>
          <w:rFonts w:hint="eastAsia" w:ascii="宋体" w:hAnsi="宋体" w:cs="宋体"/>
          <w:color w:val="auto"/>
          <w:sz w:val="24"/>
          <w:highlight w:val="none"/>
        </w:rPr>
        <w:t>如不具备此资质的，则应委托具有此资质的实施单位进行电梯维护保养服务。</w:t>
      </w:r>
      <w:r>
        <w:rPr>
          <w:rFonts w:hint="eastAsia" w:cs="宋体"/>
          <w:color w:val="auto"/>
          <w:sz w:val="24"/>
          <w:highlight w:val="none"/>
        </w:rPr>
        <w:t>投标人</w:t>
      </w:r>
      <w:r>
        <w:rPr>
          <w:rFonts w:hint="eastAsia" w:ascii="宋体" w:hAnsi="宋体" w:cs="宋体"/>
          <w:color w:val="auto"/>
          <w:sz w:val="24"/>
          <w:highlight w:val="none"/>
        </w:rPr>
        <w:t>应与实施单位签订合同，并负责对其进行监督考核。</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四、第一年服务合同时间</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服务时间：从年 月 日 至年 月 日止。合同到期后自动终止，经甲方考核合格后续签下一年合同。</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五、服务费用及支付方式</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按月支付，当月未出现过任何事故及投诉，按物业工作考评结果支付当月服务费。当月考核分数为90分以上的为优秀，支付当月全额费用，考核分数为85-89分的为良好，支付当月95%的费用，考核分数为80-84分的为合格，支付当月90%的费用，当月考核分数在79分以下的为不合格，甲方有权要求其进行整改至合格为止，整改多次不合格的，甲方有权按相关规定中止合同。</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2.乙方须向甲方出具合法有效完整的增值税发票及凭证资料后进行支付结算，付款方式均采用公对公的银行转账，乙方接受转账的开户信息以采购合同载明的为准。</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ab/>
      </w:r>
      <w:r>
        <w:rPr>
          <w:rFonts w:hint="eastAsia" w:ascii="宋体" w:hAnsi="宋体" w:cs="宋体"/>
          <w:color w:val="auto"/>
          <w:sz w:val="28"/>
          <w:szCs w:val="28"/>
          <w:highlight w:val="none"/>
        </w:rPr>
        <w:t>3.合同签订后10个工作日内支付合同金额30%的预付款（以财金局批复当年预算额为准），剩余费用按月正常考核验收及支付，按月支付费用先以预付款抵扣，扣完后按要求支付，原则上次月10日前支付上月费用。</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乙方指定收款银行账号信息如下：</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户  名：</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开户行：</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账  号：</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乙方保证上述账户信息的真实性、准确性，因账户信息错误导致乙方无法收款或迟延收款的，甲方不承担责任。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六、甲方的权利和义务</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 甲方有权对合同约定范围内乙方的服务行为进行监督和检查，拥有监管权。有权定期检查乙方提供服务的质量。对不符合合同约定的部分有权提出整改意见，并要求乙方限期整改。若经甲方要求仍不整改或整改仍达不到甲方要求的，甲方有权单方解除本合同并要求乙方承担违约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2、甲方不干涉乙方的日常管理，包括但不限于人员配置、管理机制等。</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3、甲方有权依据考评办法对乙方提供的服务进行定期考核。当考核结果未达到标准时，有权依据考评办法约定的数额扣除相应的服务费。</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4、根据本合同约定，按时向乙方支付服务费用。</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5、国家法律、法规所规定由甲方承担的其他责任。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七、乙方的权利和义务</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1、对本合同约定的委托服务范围内的项目享有管理权及服务义务。</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2、根据本合同的约定向甲方收取相关服务费。</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3、及时向甲方通告本项目服务范围内有关服务的重大事项，并及时配合甲方处理投诉。</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乙方应与物业相关工作人员建立劳动关系并签订劳动合同。并按劳动合同约定及时支付其员工工资，为其购买社会保险。因其指派的物业人员产生的任何争议由乙方自行处理，与甲方无关。乙方服务人员在本合同有效期间发生的疾病、意外等情况，与甲方无关。</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5、接受项目行业管理部门及政府有关部门的指导，接受甲方的监督。</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6、乙方及其工作人员应维护甲方形象，不得与家长产生纠纷，不得造谣影响甲方声誉，不得作出任何有损甲方形象的行为。</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7、乙方及其工作人员对因履行服务而知悉的甲方所有信息负有保密义务，未经甲方书面允许，不得向任何第三方泄露、透露。此保密约定一直有效，不因本合同的解除或终止而失效。</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8、国家法律、法规所规定由乙方承担的其他责任。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八、违约责任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1、甲乙双方必须遵守本合同并执行合同中的各项规定，保证本合同的正常履行。</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3、因甲方原因逾期支付合同款的，除应及时付合同款外，应向乙方支付欠款总额万分之一/天的违约金；逾期付款超过30天的，乙方有权终止合同。</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4、甲方支付的违约金不足以弥补乙方损失的，还应按乙方损失尚未弥补的部分，支付赔偿金给乙方。</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5、签订合同后乙方不履行合同或不完全履行合同或单方面终止合同的，乙方承担违约责任。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6、乙方违约时应承担合同总金额20%违约金。给甲方造成的损失超过违约金的，乙方还应对超过部分予以赔偿，并依法承担相应的法律责任。</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九、解决合同纠纷的方式</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1、在执行本合同中发生的或与本合同有关的争端，双方应通过友好协商解决，经协商在10天内不能达成协议时，应提交成都仲裁委员会仲裁。</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2、仲裁裁决应为最终决定，并对双方具有约束力。</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 xml:space="preserve">3、除另有裁决外，仲裁费应由败诉方负担。 </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4、在仲裁期间，除正在进行仲裁部分外，合同其他部分继续执行。</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十、合同生效及其他</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1、合同经双方法定代表人或授权委托代理人（提交授权委托书）签字并加盖单位公章后生效。</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2、合同执行中涉及采购资金和采购内容修改或补充的，须经政府采购监管部门审批，并签书面补充协议报政府采购监督管理部门备案，方可作为主合同不可分割的一部分。</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3、本合同一式份，自双方签章之日起起效。甲方份，乙方份，政府采购代理机构份，同级财政部门备案份，具有同等法律效力。</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十一、附件</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1、项目招标文件</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2、项目投标文件</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3、中标通知书</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4、其他</w:t>
      </w:r>
    </w:p>
    <w:p>
      <w:pPr>
        <w:tabs>
          <w:tab w:val="left" w:pos="644"/>
        </w:tabs>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5、《物业服务考核表》</w:t>
      </w:r>
    </w:p>
    <w:p>
      <w:pPr>
        <w:rPr>
          <w:rFonts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1"/>
          <w:sz w:val="24"/>
          <w:szCs w:val="24"/>
          <w:highlight w:val="none"/>
        </w:rPr>
        <w:br w:type="page"/>
      </w:r>
    </w:p>
    <w:p>
      <w:pPr>
        <w:pStyle w:val="214"/>
        <w:widowControl w:val="0"/>
        <w:autoSpaceDE w:val="0"/>
        <w:autoSpaceDN w:val="0"/>
        <w:spacing w:before="0" w:after="0" w:line="500" w:lineRule="exact"/>
        <w:ind w:firstLine="476" w:firstLineChars="200"/>
        <w:rPr>
          <w:rFonts w:asciiTheme="minorEastAsia" w:hAnsiTheme="minorEastAsia" w:eastAsiaTheme="minorEastAsia" w:cstheme="minorEastAsia"/>
          <w:color w:val="auto"/>
          <w:spacing w:val="-1"/>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lang w:eastAsia="zh-CN"/>
        </w:rPr>
        <w:t xml:space="preserve"> </w:t>
      </w:r>
    </w:p>
    <w:tbl>
      <w:tblPr>
        <w:tblStyle w:val="45"/>
        <w:tblW w:w="0" w:type="auto"/>
        <w:jc w:val="center"/>
        <w:tblLayout w:type="fixed"/>
        <w:tblCellMar>
          <w:top w:w="0" w:type="dxa"/>
          <w:left w:w="108" w:type="dxa"/>
          <w:bottom w:w="0" w:type="dxa"/>
          <w:right w:w="108" w:type="dxa"/>
        </w:tblCellMar>
      </w:tblPr>
      <w:tblGrid>
        <w:gridCol w:w="4981"/>
        <w:gridCol w:w="4981"/>
      </w:tblGrid>
      <w:tr>
        <w:tblPrEx>
          <w:tblCellMar>
            <w:top w:w="0" w:type="dxa"/>
            <w:left w:w="108" w:type="dxa"/>
            <w:bottom w:w="0" w:type="dxa"/>
            <w:right w:w="108" w:type="dxa"/>
          </w:tblCellMar>
        </w:tblPrEx>
        <w:trPr>
          <w:trHeight w:val="718"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甲方：   (盖章)</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乙方：   (盖章)</w:t>
            </w:r>
          </w:p>
        </w:tc>
      </w:tr>
      <w:tr>
        <w:tblPrEx>
          <w:tblCellMar>
            <w:top w:w="0" w:type="dxa"/>
            <w:left w:w="108" w:type="dxa"/>
            <w:bottom w:w="0" w:type="dxa"/>
            <w:right w:w="108" w:type="dxa"/>
          </w:tblCellMar>
        </w:tblPrEx>
        <w:trPr>
          <w:trHeight w:val="718"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法定代表人(授权代表)：</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法定代表人(授权代表)：</w:t>
            </w:r>
          </w:p>
        </w:tc>
      </w:tr>
      <w:tr>
        <w:tblPrEx>
          <w:tblCellMar>
            <w:top w:w="0" w:type="dxa"/>
            <w:left w:w="108" w:type="dxa"/>
            <w:bottom w:w="0" w:type="dxa"/>
            <w:right w:w="108" w:type="dxa"/>
          </w:tblCellMar>
        </w:tblPrEx>
        <w:trPr>
          <w:trHeight w:val="718"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w:t>
            </w:r>
          </w:p>
        </w:tc>
      </w:tr>
      <w:tr>
        <w:tblPrEx>
          <w:tblCellMar>
            <w:top w:w="0" w:type="dxa"/>
            <w:left w:w="108" w:type="dxa"/>
            <w:bottom w:w="0" w:type="dxa"/>
            <w:right w:w="108" w:type="dxa"/>
          </w:tblCellMar>
        </w:tblPrEx>
        <w:trPr>
          <w:trHeight w:val="718"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开户银行：</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开户银行：</w:t>
            </w:r>
          </w:p>
        </w:tc>
      </w:tr>
      <w:tr>
        <w:tblPrEx>
          <w:tblCellMar>
            <w:top w:w="0" w:type="dxa"/>
            <w:left w:w="108" w:type="dxa"/>
            <w:bottom w:w="0" w:type="dxa"/>
            <w:right w:w="108" w:type="dxa"/>
          </w:tblCellMar>
        </w:tblPrEx>
        <w:trPr>
          <w:trHeight w:val="718"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账号：</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账号：</w:t>
            </w:r>
          </w:p>
        </w:tc>
      </w:tr>
      <w:tr>
        <w:tblPrEx>
          <w:tblCellMar>
            <w:top w:w="0" w:type="dxa"/>
            <w:left w:w="108" w:type="dxa"/>
            <w:bottom w:w="0" w:type="dxa"/>
            <w:right w:w="108" w:type="dxa"/>
          </w:tblCellMar>
        </w:tblPrEx>
        <w:trPr>
          <w:trHeight w:val="718"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电话： </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电话： </w:t>
            </w:r>
          </w:p>
        </w:tc>
      </w:tr>
      <w:tr>
        <w:tblPrEx>
          <w:tblCellMar>
            <w:top w:w="0" w:type="dxa"/>
            <w:left w:w="108" w:type="dxa"/>
            <w:bottom w:w="0" w:type="dxa"/>
            <w:right w:w="108" w:type="dxa"/>
          </w:tblCellMar>
        </w:tblPrEx>
        <w:trPr>
          <w:trHeight w:val="724"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传真：</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传真：</w:t>
            </w:r>
          </w:p>
        </w:tc>
      </w:tr>
      <w:tr>
        <w:tblPrEx>
          <w:tblCellMar>
            <w:top w:w="0" w:type="dxa"/>
            <w:left w:w="108" w:type="dxa"/>
            <w:bottom w:w="0" w:type="dxa"/>
            <w:right w:w="108" w:type="dxa"/>
          </w:tblCellMar>
        </w:tblPrEx>
        <w:trPr>
          <w:trHeight w:val="724" w:hRule="atLeast"/>
          <w:jc w:val="center"/>
        </w:trPr>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签约日期：XX年XX月XX日</w:t>
            </w:r>
          </w:p>
        </w:tc>
        <w:tc>
          <w:tcPr>
            <w:tcW w:w="4981" w:type="dxa"/>
            <w:tcBorders>
              <w:top w:val="nil"/>
              <w:left w:val="nil"/>
              <w:bottom w:val="nil"/>
              <w:right w:val="nil"/>
            </w:tcBorders>
            <w:vAlign w:val="center"/>
          </w:tcPr>
          <w:p>
            <w:pPr>
              <w:pStyle w:val="239"/>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签约日期：XX年XX月XX日</w:t>
            </w:r>
          </w:p>
        </w:tc>
      </w:tr>
    </w:tbl>
    <w:p>
      <w:pPr>
        <w:pStyle w:val="19"/>
        <w:ind w:firstLine="565" w:firstLineChars="202"/>
        <w:rPr>
          <w:rFonts w:ascii="宋体" w:hAnsi="宋体"/>
          <w:color w:val="auto"/>
          <w:sz w:val="28"/>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pStyle w:val="19"/>
        <w:rPr>
          <w:color w:val="auto"/>
          <w:highlight w:val="none"/>
        </w:rPr>
      </w:pPr>
    </w:p>
    <w:p>
      <w:pPr>
        <w:rPr>
          <w:color w:val="auto"/>
          <w:highlight w:val="none"/>
        </w:rPr>
      </w:pPr>
      <w:r>
        <w:rPr>
          <w:rFonts w:hint="eastAsia" w:ascii="宋体" w:hAnsi="宋体" w:cs="Tahoma"/>
          <w:b/>
          <w:color w:val="auto"/>
          <w:sz w:val="30"/>
          <w:szCs w:val="30"/>
          <w:highlight w:val="none"/>
        </w:rPr>
        <w:t>附件：</w:t>
      </w:r>
      <w:bookmarkEnd w:id="679"/>
      <w:bookmarkEnd w:id="680"/>
    </w:p>
    <w:p>
      <w:pPr>
        <w:rPr>
          <w:color w:val="auto"/>
          <w:highlight w:val="none"/>
        </w:rPr>
      </w:pPr>
      <w:r>
        <w:rPr>
          <w:color w:val="auto"/>
          <w:highlight w:val="none"/>
        </w:rPr>
        <w:drawing>
          <wp:inline distT="0" distB="0" distL="0" distR="0">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drawing>
          <wp:inline distT="0" distB="0" distL="0" distR="0">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pPr>
        <w:rPr>
          <w:color w:val="auto"/>
          <w:highlight w:val="none"/>
        </w:rPr>
      </w:pPr>
    </w:p>
    <w:p>
      <w:pPr>
        <w:rPr>
          <w:color w:val="auto"/>
          <w:highlight w:val="none"/>
        </w:rPr>
      </w:pPr>
    </w:p>
    <w:p>
      <w:pPr>
        <w:rPr>
          <w:color w:val="auto"/>
          <w:highlight w:val="none"/>
        </w:rPr>
      </w:pPr>
    </w:p>
    <w:p>
      <w:pPr>
        <w:pStyle w:val="19"/>
        <w:rPr>
          <w:color w:val="auto"/>
          <w:highlight w:val="none"/>
        </w:rPr>
      </w:pPr>
      <w:r>
        <w:rPr>
          <w:color w:val="auto"/>
          <w:highlight w:val="none"/>
        </w:rPr>
        <w:drawing>
          <wp:inline distT="0" distB="0" distL="0" distR="0">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pPr>
        <w:pStyle w:val="19"/>
        <w:rPr>
          <w:color w:val="auto"/>
          <w:highlight w:val="none"/>
        </w:rPr>
      </w:pPr>
      <w:r>
        <w:rPr>
          <w:color w:val="auto"/>
          <w:highlight w:val="none"/>
        </w:rPr>
        <w:drawing>
          <wp:inline distT="0" distB="0" distL="0" distR="0">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pPr>
        <w:pStyle w:val="19"/>
        <w:rPr>
          <w:color w:val="auto"/>
          <w:highlight w:val="none"/>
        </w:rPr>
      </w:pPr>
      <w:r>
        <w:rPr>
          <w:color w:val="auto"/>
          <w:highlight w:val="none"/>
        </w:rPr>
        <w:drawing>
          <wp:inline distT="0" distB="0" distL="0" distR="0">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pPr>
        <w:pStyle w:val="19"/>
        <w:rPr>
          <w:color w:val="auto"/>
          <w:highlight w:val="none"/>
        </w:rPr>
      </w:pPr>
      <w:r>
        <w:rPr>
          <w:color w:val="auto"/>
          <w:highlight w:val="none"/>
        </w:rPr>
        <w:drawing>
          <wp:inline distT="0" distB="0" distL="0" distR="0">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8" w:usb3="00000000" w:csb0="000001FF"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auto"/>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360"/>
    </w:pPr>
    <w: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90A501"/>
    <w:multiLevelType w:val="singleLevel"/>
    <w:tmpl w:val="9990A501"/>
    <w:lvl w:ilvl="0" w:tentative="0">
      <w:start w:val="1"/>
      <w:numFmt w:val="chineseCounting"/>
      <w:suff w:val="nothing"/>
      <w:lvlText w:val="（%1）"/>
      <w:lvlJc w:val="left"/>
      <w:rPr>
        <w:rFonts w:hint="eastAsia"/>
      </w:rPr>
    </w:lvl>
  </w:abstractNum>
  <w:abstractNum w:abstractNumId="1">
    <w:nsid w:val="A616A20A"/>
    <w:multiLevelType w:val="singleLevel"/>
    <w:tmpl w:val="A616A20A"/>
    <w:lvl w:ilvl="0" w:tentative="0">
      <w:start w:val="1"/>
      <w:numFmt w:val="bullet"/>
      <w:lvlText w:val=""/>
      <w:lvlJc w:val="left"/>
      <w:pPr>
        <w:ind w:left="420" w:hanging="420"/>
      </w:pPr>
      <w:rPr>
        <w:rFonts w:hint="default" w:ascii="Wingdings" w:hAnsi="Wingdings"/>
      </w:rPr>
    </w:lvl>
  </w:abstractNum>
  <w:abstractNum w:abstractNumId="2">
    <w:nsid w:val="B04D8E0A"/>
    <w:multiLevelType w:val="multilevel"/>
    <w:tmpl w:val="B04D8E0A"/>
    <w:lvl w:ilvl="0" w:tentative="0">
      <w:start w:val="1"/>
      <w:numFmt w:val="chineseCounting"/>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41"/>
      <w:suff w:val="nothing"/>
      <w:lvlText w:val="%2、"/>
      <w:lvlJc w:val="left"/>
      <w:pPr>
        <w:ind w:left="0" w:firstLine="0"/>
      </w:pPr>
      <w:rPr>
        <w:rFonts w:hint="eastAsia" w:ascii="宋体" w:hAnsi="宋体" w:eastAsia="宋体" w:cs="宋体"/>
      </w:rPr>
    </w:lvl>
    <w:lvl w:ilvl="2" w:tentative="0">
      <w:start w:val="1"/>
      <w:numFmt w:val="chineseCounting"/>
      <w:pStyle w:val="242"/>
      <w:suff w:val="nothing"/>
      <w:lvlText w:val="(%3)"/>
      <w:lvlJc w:val="left"/>
      <w:pPr>
        <w:tabs>
          <w:tab w:val="left" w:pos="0"/>
        </w:tabs>
        <w:ind w:left="0" w:firstLine="0"/>
      </w:pPr>
      <w:rPr>
        <w:rFonts w:hint="eastAsia" w:ascii="宋体" w:hAnsi="宋体" w:eastAsia="宋体" w:cs="宋体"/>
      </w:rPr>
    </w:lvl>
    <w:lvl w:ilvl="3" w:tentative="0">
      <w:start w:val="1"/>
      <w:numFmt w:val="decimal"/>
      <w:suff w:val="nothing"/>
      <w:lvlText w:val="%4."/>
      <w:lvlJc w:val="left"/>
      <w:pPr>
        <w:tabs>
          <w:tab w:val="left" w:pos="0"/>
        </w:tabs>
        <w:ind w:left="0" w:firstLine="0"/>
      </w:pPr>
      <w:rPr>
        <w:rFonts w:hint="eastAsia" w:ascii="宋体" w:hAnsi="宋体" w:eastAsia="宋体" w:cs="宋体"/>
      </w:rPr>
    </w:lvl>
    <w:lvl w:ilvl="4" w:tentative="0">
      <w:start w:val="1"/>
      <w:numFmt w:val="decimal"/>
      <w:suff w:val="nothing"/>
      <w:lvlText w:val="%4.%5"/>
      <w:lvlJc w:val="left"/>
      <w:pPr>
        <w:ind w:left="0" w:firstLine="0"/>
      </w:pPr>
      <w:rPr>
        <w:rFonts w:hint="eastAsia" w:ascii="宋体" w:hAnsi="宋体" w:eastAsia="宋体" w:cs="宋体"/>
      </w:rPr>
    </w:lvl>
    <w:lvl w:ilvl="5" w:tentative="0">
      <w:start w:val="1"/>
      <w:numFmt w:val="decimal"/>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CDB7EB7A"/>
    <w:multiLevelType w:val="singleLevel"/>
    <w:tmpl w:val="CDB7EB7A"/>
    <w:lvl w:ilvl="0" w:tentative="0">
      <w:start w:val="1"/>
      <w:numFmt w:val="decimal"/>
      <w:lvlText w:val="%1."/>
      <w:lvlJc w:val="left"/>
      <w:pPr>
        <w:ind w:left="425" w:hanging="425"/>
      </w:pPr>
      <w:rPr>
        <w:rFonts w:hint="default"/>
      </w:rPr>
    </w:lvl>
  </w:abstractNum>
  <w:abstractNum w:abstractNumId="4">
    <w:nsid w:val="F7A527A3"/>
    <w:multiLevelType w:val="singleLevel"/>
    <w:tmpl w:val="F7A527A3"/>
    <w:lvl w:ilvl="0" w:tentative="0">
      <w:start w:val="1"/>
      <w:numFmt w:val="chineseCounting"/>
      <w:suff w:val="nothing"/>
      <w:lvlText w:val="%1、"/>
      <w:lvlJc w:val="left"/>
      <w:pPr>
        <w:ind w:left="0" w:firstLine="420"/>
      </w:pPr>
      <w:rPr>
        <w:rFonts w:hint="eastAsia"/>
      </w:rPr>
    </w:lvl>
  </w:abstractNum>
  <w:abstractNum w:abstractNumId="5">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6">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4"/>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0">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1">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4">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8">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2268"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1">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2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5">
    <w:nsid w:val="010E0404"/>
    <w:multiLevelType w:val="singleLevel"/>
    <w:tmpl w:val="010E0404"/>
    <w:lvl w:ilvl="0" w:tentative="0">
      <w:start w:val="1"/>
      <w:numFmt w:val="chineseCounting"/>
      <w:suff w:val="nothing"/>
      <w:lvlText w:val="%1、"/>
      <w:lvlJc w:val="left"/>
      <w:pPr>
        <w:ind w:left="0" w:firstLine="420"/>
      </w:pPr>
      <w:rPr>
        <w:rFonts w:hint="eastAsia"/>
      </w:rPr>
    </w:lvl>
  </w:abstractNum>
  <w:abstractNum w:abstractNumId="26">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9">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1">
    <w:nsid w:val="17E7B4A4"/>
    <w:multiLevelType w:val="singleLevel"/>
    <w:tmpl w:val="17E7B4A4"/>
    <w:lvl w:ilvl="0" w:tentative="0">
      <w:start w:val="1"/>
      <w:numFmt w:val="chineseCounting"/>
      <w:suff w:val="nothing"/>
      <w:lvlText w:val="%1、"/>
      <w:lvlJc w:val="left"/>
      <w:rPr>
        <w:rFonts w:hint="eastAsia"/>
      </w:rPr>
    </w:lvl>
  </w:abstractNum>
  <w:abstractNum w:abstractNumId="32">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33">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4">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32732520"/>
    <w:multiLevelType w:val="multilevel"/>
    <w:tmpl w:val="32732520"/>
    <w:lvl w:ilvl="0" w:tentative="0">
      <w:start w:val="1"/>
      <w:numFmt w:val="chineseCountingThousand"/>
      <w:lvlText w:val="(%1)"/>
      <w:lvlJc w:val="left"/>
      <w:pPr>
        <w:ind w:left="96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41010A35"/>
    <w:multiLevelType w:val="multilevel"/>
    <w:tmpl w:val="41010A35"/>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4">
    <w:nsid w:val="51F311B1"/>
    <w:multiLevelType w:val="multilevel"/>
    <w:tmpl w:val="51F311B1"/>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675BC22E"/>
    <w:multiLevelType w:val="singleLevel"/>
    <w:tmpl w:val="675BC22E"/>
    <w:lvl w:ilvl="0" w:tentative="0">
      <w:start w:val="1"/>
      <w:numFmt w:val="chineseCounting"/>
      <w:suff w:val="nothing"/>
      <w:lvlText w:val="%1、"/>
      <w:lvlJc w:val="left"/>
      <w:rPr>
        <w:rFonts w:hint="eastAsia"/>
      </w:rPr>
    </w:lvl>
  </w:abstractNum>
  <w:abstractNum w:abstractNumId="50">
    <w:nsid w:val="696CD6F0"/>
    <w:multiLevelType w:val="singleLevel"/>
    <w:tmpl w:val="696CD6F0"/>
    <w:lvl w:ilvl="0" w:tentative="0">
      <w:start w:val="1"/>
      <w:numFmt w:val="chineseCounting"/>
      <w:suff w:val="nothing"/>
      <w:lvlText w:val="%1、"/>
      <w:lvlJc w:val="left"/>
      <w:pPr>
        <w:ind w:left="0" w:firstLine="420"/>
      </w:pPr>
      <w:rPr>
        <w:rFonts w:hint="eastAsia"/>
      </w:rPr>
    </w:lvl>
  </w:abstractNum>
  <w:abstractNum w:abstractNumId="51">
    <w:nsid w:val="70EAADD0"/>
    <w:multiLevelType w:val="singleLevel"/>
    <w:tmpl w:val="70EAADD0"/>
    <w:lvl w:ilvl="0" w:tentative="0">
      <w:start w:val="1"/>
      <w:numFmt w:val="decimal"/>
      <w:lvlText w:val="(%1)"/>
      <w:lvlJc w:val="left"/>
      <w:pPr>
        <w:ind w:left="425" w:hanging="425"/>
      </w:pPr>
      <w:rPr>
        <w:rFonts w:hint="default"/>
      </w:rPr>
    </w:lvl>
  </w:abstractNum>
  <w:abstractNum w:abstractNumId="5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4">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5">
    <w:nsid w:val="78EBD23D"/>
    <w:multiLevelType w:val="singleLevel"/>
    <w:tmpl w:val="78EBD23D"/>
    <w:lvl w:ilvl="0" w:tentative="0">
      <w:start w:val="1"/>
      <w:numFmt w:val="chineseCounting"/>
      <w:suff w:val="nothing"/>
      <w:lvlText w:val="（%1）"/>
      <w:lvlJc w:val="left"/>
      <w:pPr>
        <w:ind w:left="0" w:firstLine="420"/>
      </w:pPr>
      <w:rPr>
        <w:rFonts w:hint="eastAsia"/>
      </w:rPr>
    </w:lvl>
  </w:abstractNum>
  <w:abstractNum w:abstractNumId="56">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8"/>
  </w:num>
  <w:num w:numId="2">
    <w:abstractNumId w:val="13"/>
  </w:num>
  <w:num w:numId="3">
    <w:abstractNumId w:val="9"/>
  </w:num>
  <w:num w:numId="4">
    <w:abstractNumId w:val="2"/>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55"/>
  </w:num>
  <w:num w:numId="43">
    <w:abstractNumId w:val="3"/>
  </w:num>
  <w:num w:numId="44">
    <w:abstractNumId w:val="1"/>
  </w:num>
  <w:num w:numId="45">
    <w:abstractNumId w:val="51"/>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num>
  <w:num w:numId="48">
    <w:abstractNumId w:val="40"/>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53174">
    <w15:presenceInfo w15:providerId="None" w15:userId="53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11E2C"/>
    <w:rsid w:val="00017C65"/>
    <w:rsid w:val="00031675"/>
    <w:rsid w:val="000440AA"/>
    <w:rsid w:val="00046547"/>
    <w:rsid w:val="0006014A"/>
    <w:rsid w:val="00064008"/>
    <w:rsid w:val="00070D3F"/>
    <w:rsid w:val="00071BA9"/>
    <w:rsid w:val="00073FC1"/>
    <w:rsid w:val="00074CCC"/>
    <w:rsid w:val="00075E16"/>
    <w:rsid w:val="0008193D"/>
    <w:rsid w:val="00086C1B"/>
    <w:rsid w:val="000A4222"/>
    <w:rsid w:val="000B268C"/>
    <w:rsid w:val="000C0EB6"/>
    <w:rsid w:val="000E01D4"/>
    <w:rsid w:val="000E4FBE"/>
    <w:rsid w:val="000F0BF5"/>
    <w:rsid w:val="000F5214"/>
    <w:rsid w:val="00123F07"/>
    <w:rsid w:val="00126227"/>
    <w:rsid w:val="00130037"/>
    <w:rsid w:val="00142C44"/>
    <w:rsid w:val="00147768"/>
    <w:rsid w:val="001500A4"/>
    <w:rsid w:val="0015151D"/>
    <w:rsid w:val="00152293"/>
    <w:rsid w:val="00152E57"/>
    <w:rsid w:val="00153915"/>
    <w:rsid w:val="00167799"/>
    <w:rsid w:val="00171DDA"/>
    <w:rsid w:val="00175DA2"/>
    <w:rsid w:val="001922D3"/>
    <w:rsid w:val="001B34A4"/>
    <w:rsid w:val="001C2698"/>
    <w:rsid w:val="001C4FFA"/>
    <w:rsid w:val="001D392C"/>
    <w:rsid w:val="001D53CF"/>
    <w:rsid w:val="001E13EE"/>
    <w:rsid w:val="001E7B34"/>
    <w:rsid w:val="00214F93"/>
    <w:rsid w:val="00216FB4"/>
    <w:rsid w:val="002303BC"/>
    <w:rsid w:val="002304CC"/>
    <w:rsid w:val="00236C36"/>
    <w:rsid w:val="002441B7"/>
    <w:rsid w:val="0025011B"/>
    <w:rsid w:val="0025205A"/>
    <w:rsid w:val="00257EE4"/>
    <w:rsid w:val="0026015E"/>
    <w:rsid w:val="00266EFB"/>
    <w:rsid w:val="00285456"/>
    <w:rsid w:val="002933F7"/>
    <w:rsid w:val="002A5802"/>
    <w:rsid w:val="003074A8"/>
    <w:rsid w:val="003123B1"/>
    <w:rsid w:val="003145EF"/>
    <w:rsid w:val="00327DC2"/>
    <w:rsid w:val="00335B68"/>
    <w:rsid w:val="00337989"/>
    <w:rsid w:val="00354C2E"/>
    <w:rsid w:val="00360954"/>
    <w:rsid w:val="0036676F"/>
    <w:rsid w:val="003848EB"/>
    <w:rsid w:val="00390328"/>
    <w:rsid w:val="00390BF9"/>
    <w:rsid w:val="00394287"/>
    <w:rsid w:val="003A0F3D"/>
    <w:rsid w:val="003A29C7"/>
    <w:rsid w:val="003C6492"/>
    <w:rsid w:val="003D1D0F"/>
    <w:rsid w:val="003F007F"/>
    <w:rsid w:val="003F262E"/>
    <w:rsid w:val="003F3130"/>
    <w:rsid w:val="003F3F72"/>
    <w:rsid w:val="00410F3C"/>
    <w:rsid w:val="00413845"/>
    <w:rsid w:val="0042015A"/>
    <w:rsid w:val="004215D4"/>
    <w:rsid w:val="0042187C"/>
    <w:rsid w:val="0045547F"/>
    <w:rsid w:val="004844B0"/>
    <w:rsid w:val="00485E64"/>
    <w:rsid w:val="004870EE"/>
    <w:rsid w:val="004A610A"/>
    <w:rsid w:val="004C1B1A"/>
    <w:rsid w:val="004C2A73"/>
    <w:rsid w:val="004C3093"/>
    <w:rsid w:val="004D49CB"/>
    <w:rsid w:val="004E1C00"/>
    <w:rsid w:val="004E603E"/>
    <w:rsid w:val="004F5D29"/>
    <w:rsid w:val="00500F25"/>
    <w:rsid w:val="00506303"/>
    <w:rsid w:val="005200B0"/>
    <w:rsid w:val="00527A66"/>
    <w:rsid w:val="00536A2E"/>
    <w:rsid w:val="00545144"/>
    <w:rsid w:val="00546BC5"/>
    <w:rsid w:val="00546BE5"/>
    <w:rsid w:val="00563198"/>
    <w:rsid w:val="00570266"/>
    <w:rsid w:val="00570A4B"/>
    <w:rsid w:val="0057488F"/>
    <w:rsid w:val="00576E04"/>
    <w:rsid w:val="005816DE"/>
    <w:rsid w:val="0058786A"/>
    <w:rsid w:val="00592A25"/>
    <w:rsid w:val="00592B92"/>
    <w:rsid w:val="005D7D78"/>
    <w:rsid w:val="005E2B4D"/>
    <w:rsid w:val="005E4485"/>
    <w:rsid w:val="00606AFB"/>
    <w:rsid w:val="00610A61"/>
    <w:rsid w:val="006216DE"/>
    <w:rsid w:val="00626D44"/>
    <w:rsid w:val="00634D91"/>
    <w:rsid w:val="006408B0"/>
    <w:rsid w:val="00652875"/>
    <w:rsid w:val="00652F59"/>
    <w:rsid w:val="006623DB"/>
    <w:rsid w:val="006840AB"/>
    <w:rsid w:val="00685B94"/>
    <w:rsid w:val="0069098F"/>
    <w:rsid w:val="006B1930"/>
    <w:rsid w:val="006B2418"/>
    <w:rsid w:val="006C2309"/>
    <w:rsid w:val="006D0D2A"/>
    <w:rsid w:val="0070048F"/>
    <w:rsid w:val="00702324"/>
    <w:rsid w:val="0073282C"/>
    <w:rsid w:val="00752731"/>
    <w:rsid w:val="00761CE2"/>
    <w:rsid w:val="00764541"/>
    <w:rsid w:val="007672B0"/>
    <w:rsid w:val="00770E63"/>
    <w:rsid w:val="007714CB"/>
    <w:rsid w:val="00775AD2"/>
    <w:rsid w:val="0078281B"/>
    <w:rsid w:val="00785D11"/>
    <w:rsid w:val="00794228"/>
    <w:rsid w:val="007A16F0"/>
    <w:rsid w:val="007C3748"/>
    <w:rsid w:val="007C4260"/>
    <w:rsid w:val="007D62B3"/>
    <w:rsid w:val="007E1B96"/>
    <w:rsid w:val="007F6DFD"/>
    <w:rsid w:val="00804CED"/>
    <w:rsid w:val="0081056F"/>
    <w:rsid w:val="00824DA8"/>
    <w:rsid w:val="008253BA"/>
    <w:rsid w:val="00826151"/>
    <w:rsid w:val="008410FC"/>
    <w:rsid w:val="0086125A"/>
    <w:rsid w:val="00862CEA"/>
    <w:rsid w:val="00862D3A"/>
    <w:rsid w:val="00873952"/>
    <w:rsid w:val="00876051"/>
    <w:rsid w:val="008907C8"/>
    <w:rsid w:val="00891F19"/>
    <w:rsid w:val="008B6817"/>
    <w:rsid w:val="008C122C"/>
    <w:rsid w:val="008E5E8F"/>
    <w:rsid w:val="009210F7"/>
    <w:rsid w:val="0092431B"/>
    <w:rsid w:val="00941F87"/>
    <w:rsid w:val="00944068"/>
    <w:rsid w:val="00950315"/>
    <w:rsid w:val="00955F71"/>
    <w:rsid w:val="00963021"/>
    <w:rsid w:val="00966025"/>
    <w:rsid w:val="00970330"/>
    <w:rsid w:val="00976A7C"/>
    <w:rsid w:val="009A253C"/>
    <w:rsid w:val="009A6862"/>
    <w:rsid w:val="009E237A"/>
    <w:rsid w:val="00A00871"/>
    <w:rsid w:val="00A03833"/>
    <w:rsid w:val="00A068BA"/>
    <w:rsid w:val="00A0732E"/>
    <w:rsid w:val="00A10608"/>
    <w:rsid w:val="00A254C7"/>
    <w:rsid w:val="00A36BBE"/>
    <w:rsid w:val="00A41BDF"/>
    <w:rsid w:val="00A4727E"/>
    <w:rsid w:val="00A5235E"/>
    <w:rsid w:val="00A531AE"/>
    <w:rsid w:val="00A656A5"/>
    <w:rsid w:val="00A7160C"/>
    <w:rsid w:val="00A72E3F"/>
    <w:rsid w:val="00A739BA"/>
    <w:rsid w:val="00A73E15"/>
    <w:rsid w:val="00A75D49"/>
    <w:rsid w:val="00A84D0F"/>
    <w:rsid w:val="00A85DB8"/>
    <w:rsid w:val="00A93C9B"/>
    <w:rsid w:val="00A94D0A"/>
    <w:rsid w:val="00AA3745"/>
    <w:rsid w:val="00AA62B4"/>
    <w:rsid w:val="00AA7D6C"/>
    <w:rsid w:val="00AB552B"/>
    <w:rsid w:val="00AB6344"/>
    <w:rsid w:val="00AB7617"/>
    <w:rsid w:val="00AC0348"/>
    <w:rsid w:val="00AC0E68"/>
    <w:rsid w:val="00AD025E"/>
    <w:rsid w:val="00AD3CC5"/>
    <w:rsid w:val="00AD5E60"/>
    <w:rsid w:val="00AF35A3"/>
    <w:rsid w:val="00AF3933"/>
    <w:rsid w:val="00B11712"/>
    <w:rsid w:val="00B11843"/>
    <w:rsid w:val="00B127E9"/>
    <w:rsid w:val="00B200BE"/>
    <w:rsid w:val="00B2194B"/>
    <w:rsid w:val="00B30ECF"/>
    <w:rsid w:val="00B36D21"/>
    <w:rsid w:val="00B44C4C"/>
    <w:rsid w:val="00B50CEA"/>
    <w:rsid w:val="00B547D5"/>
    <w:rsid w:val="00B567AC"/>
    <w:rsid w:val="00B61C32"/>
    <w:rsid w:val="00B64E3B"/>
    <w:rsid w:val="00B74664"/>
    <w:rsid w:val="00B91BBF"/>
    <w:rsid w:val="00BC30FF"/>
    <w:rsid w:val="00BC3199"/>
    <w:rsid w:val="00BC3735"/>
    <w:rsid w:val="00BC59BF"/>
    <w:rsid w:val="00BC5A04"/>
    <w:rsid w:val="00BD6746"/>
    <w:rsid w:val="00BE1211"/>
    <w:rsid w:val="00BF6991"/>
    <w:rsid w:val="00C16572"/>
    <w:rsid w:val="00C268CC"/>
    <w:rsid w:val="00C33A0C"/>
    <w:rsid w:val="00C5371B"/>
    <w:rsid w:val="00C54D07"/>
    <w:rsid w:val="00C56E01"/>
    <w:rsid w:val="00C62AD4"/>
    <w:rsid w:val="00C63D55"/>
    <w:rsid w:val="00C650D3"/>
    <w:rsid w:val="00C675B8"/>
    <w:rsid w:val="00C67C1B"/>
    <w:rsid w:val="00C832DD"/>
    <w:rsid w:val="00CA6357"/>
    <w:rsid w:val="00CC4074"/>
    <w:rsid w:val="00CD0154"/>
    <w:rsid w:val="00CD0E71"/>
    <w:rsid w:val="00CF1862"/>
    <w:rsid w:val="00CF56C7"/>
    <w:rsid w:val="00D23C3B"/>
    <w:rsid w:val="00D245DB"/>
    <w:rsid w:val="00D34DD1"/>
    <w:rsid w:val="00D3764C"/>
    <w:rsid w:val="00D50B2B"/>
    <w:rsid w:val="00D51C67"/>
    <w:rsid w:val="00D623BF"/>
    <w:rsid w:val="00D7244E"/>
    <w:rsid w:val="00D75130"/>
    <w:rsid w:val="00D8071E"/>
    <w:rsid w:val="00D860A3"/>
    <w:rsid w:val="00DA241E"/>
    <w:rsid w:val="00DA2BA6"/>
    <w:rsid w:val="00DA547E"/>
    <w:rsid w:val="00DB22F1"/>
    <w:rsid w:val="00DB3253"/>
    <w:rsid w:val="00DC42DC"/>
    <w:rsid w:val="00DD16AF"/>
    <w:rsid w:val="00DD19A0"/>
    <w:rsid w:val="00DD7576"/>
    <w:rsid w:val="00DE7F5C"/>
    <w:rsid w:val="00DF26DE"/>
    <w:rsid w:val="00E029F6"/>
    <w:rsid w:val="00E056CE"/>
    <w:rsid w:val="00E17E77"/>
    <w:rsid w:val="00E20C59"/>
    <w:rsid w:val="00E23EC4"/>
    <w:rsid w:val="00E262EA"/>
    <w:rsid w:val="00E40C0B"/>
    <w:rsid w:val="00E42AA9"/>
    <w:rsid w:val="00E473C0"/>
    <w:rsid w:val="00E50AE6"/>
    <w:rsid w:val="00E547E7"/>
    <w:rsid w:val="00E5519E"/>
    <w:rsid w:val="00E618FD"/>
    <w:rsid w:val="00E66E07"/>
    <w:rsid w:val="00E87C88"/>
    <w:rsid w:val="00E922B6"/>
    <w:rsid w:val="00E93251"/>
    <w:rsid w:val="00E93BF2"/>
    <w:rsid w:val="00E945C6"/>
    <w:rsid w:val="00E951E2"/>
    <w:rsid w:val="00EA45D0"/>
    <w:rsid w:val="00EC2293"/>
    <w:rsid w:val="00ED0AEB"/>
    <w:rsid w:val="00EE4281"/>
    <w:rsid w:val="00EF54AE"/>
    <w:rsid w:val="00F00D97"/>
    <w:rsid w:val="00F16BA9"/>
    <w:rsid w:val="00F24CB6"/>
    <w:rsid w:val="00F26EBF"/>
    <w:rsid w:val="00F525FC"/>
    <w:rsid w:val="00F676B8"/>
    <w:rsid w:val="00F67D54"/>
    <w:rsid w:val="00F72EEB"/>
    <w:rsid w:val="00F765D9"/>
    <w:rsid w:val="00F8165B"/>
    <w:rsid w:val="00F939A1"/>
    <w:rsid w:val="00FA324E"/>
    <w:rsid w:val="00FB21F6"/>
    <w:rsid w:val="00FB2B94"/>
    <w:rsid w:val="00FB4F2E"/>
    <w:rsid w:val="00FD0C41"/>
    <w:rsid w:val="00FD41EA"/>
    <w:rsid w:val="00FE04E4"/>
    <w:rsid w:val="00FE39D8"/>
    <w:rsid w:val="00FE4CD3"/>
    <w:rsid w:val="023B644D"/>
    <w:rsid w:val="18735C16"/>
    <w:rsid w:val="22ED483C"/>
    <w:rsid w:val="263C2B65"/>
    <w:rsid w:val="2BE87557"/>
    <w:rsid w:val="2F30419F"/>
    <w:rsid w:val="34C354D9"/>
    <w:rsid w:val="43F06C1B"/>
    <w:rsid w:val="46BF1F48"/>
    <w:rsid w:val="48296547"/>
    <w:rsid w:val="48D97BBA"/>
    <w:rsid w:val="49E41526"/>
    <w:rsid w:val="53394E41"/>
    <w:rsid w:val="57A56F53"/>
    <w:rsid w:val="57F76DFC"/>
    <w:rsid w:val="5B1C0697"/>
    <w:rsid w:val="5DBA4556"/>
    <w:rsid w:val="626B5AAF"/>
    <w:rsid w:val="62F265CD"/>
    <w:rsid w:val="65565393"/>
    <w:rsid w:val="6EDA174C"/>
    <w:rsid w:val="73B8772A"/>
    <w:rsid w:val="74105A38"/>
    <w:rsid w:val="76C917AE"/>
    <w:rsid w:val="7C83652D"/>
    <w:rsid w:val="7F5C54F3"/>
    <w:rsid w:val="BD8FE6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2"/>
    <w:qFormat/>
    <w:uiPriority w:val="9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53"/>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6">
    <w:name w:val="heading 3"/>
    <w:basedOn w:val="1"/>
    <w:next w:val="1"/>
    <w:link w:val="54"/>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7">
    <w:name w:val="heading 4"/>
    <w:basedOn w:val="1"/>
    <w:next w:val="1"/>
    <w:link w:val="55"/>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8">
    <w:name w:val="heading 5"/>
    <w:basedOn w:val="1"/>
    <w:next w:val="1"/>
    <w:link w:val="56"/>
    <w:unhideWhenUsed/>
    <w:qFormat/>
    <w:uiPriority w:val="0"/>
    <w:pPr>
      <w:numPr>
        <w:ilvl w:val="4"/>
        <w:numId w:val="2"/>
      </w:numPr>
      <w:tabs>
        <w:tab w:val="left" w:pos="1134"/>
      </w:tabs>
      <w:spacing w:before="280" w:after="290" w:line="360" w:lineRule="auto"/>
      <w:outlineLvl w:val="4"/>
    </w:pPr>
    <w:rPr>
      <w:b/>
      <w:bCs/>
      <w:kern w:val="0"/>
      <w:sz w:val="28"/>
      <w:szCs w:val="28"/>
    </w:rPr>
  </w:style>
  <w:style w:type="paragraph" w:styleId="9">
    <w:name w:val="heading 6"/>
    <w:basedOn w:val="1"/>
    <w:next w:val="1"/>
    <w:link w:val="57"/>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10">
    <w:name w:val="heading 7"/>
    <w:basedOn w:val="1"/>
    <w:next w:val="1"/>
    <w:link w:val="58"/>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59"/>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60"/>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3">
    <w:name w:val="正文（绿盟科技）"/>
    <w:qFormat/>
    <w:uiPriority w:val="99"/>
    <w:pPr>
      <w:spacing w:line="300" w:lineRule="auto"/>
    </w:pPr>
    <w:rPr>
      <w:rFonts w:ascii="Arial" w:hAnsi="Arial" w:eastAsia="宋体" w:cs="黑体"/>
      <w:sz w:val="21"/>
      <w:szCs w:val="21"/>
      <w:lang w:val="en-US" w:eastAsia="zh-CN" w:bidi="ar-SA"/>
    </w:rPr>
  </w:style>
  <w:style w:type="paragraph" w:styleId="13">
    <w:name w:val="toc 7"/>
    <w:basedOn w:val="1"/>
    <w:next w:val="1"/>
    <w:semiHidden/>
    <w:unhideWhenUsed/>
    <w:qFormat/>
    <w:uiPriority w:val="0"/>
    <w:pPr>
      <w:ind w:left="2520" w:leftChars="1200"/>
    </w:pPr>
    <w:rPr>
      <w:rFonts w:ascii="Times New Roman" w:hAnsi="Times New Roman"/>
      <w:szCs w:val="24"/>
    </w:rPr>
  </w:style>
  <w:style w:type="paragraph" w:styleId="14">
    <w:name w:val="Normal Indent"/>
    <w:basedOn w:val="1"/>
    <w:link w:val="65"/>
    <w:unhideWhenUsed/>
    <w:qFormat/>
    <w:uiPriority w:val="0"/>
    <w:pPr>
      <w:spacing w:after="180" w:line="307" w:lineRule="auto"/>
      <w:ind w:firstLine="420"/>
    </w:pPr>
    <w:rPr>
      <w:rFonts w:asciiTheme="minorHAnsi" w:hAnsiTheme="minorHAnsi" w:eastAsiaTheme="minorEastAsia" w:cstheme="minorBidi"/>
    </w:rPr>
  </w:style>
  <w:style w:type="paragraph" w:styleId="15">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6">
    <w:name w:val="Document Map"/>
    <w:basedOn w:val="1"/>
    <w:link w:val="79"/>
    <w:unhideWhenUsed/>
    <w:qFormat/>
    <w:uiPriority w:val="99"/>
    <w:pPr>
      <w:shd w:val="clear" w:color="auto" w:fill="000080"/>
    </w:pPr>
    <w:rPr>
      <w:rFonts w:ascii="Times New Roman" w:hAnsi="Times New Roman"/>
      <w:kern w:val="0"/>
      <w:sz w:val="18"/>
      <w:szCs w:val="18"/>
    </w:rPr>
  </w:style>
  <w:style w:type="paragraph" w:styleId="17">
    <w:name w:val="annotation text"/>
    <w:basedOn w:val="1"/>
    <w:link w:val="198"/>
    <w:unhideWhenUsed/>
    <w:qFormat/>
    <w:uiPriority w:val="99"/>
    <w:pPr>
      <w:jc w:val="left"/>
    </w:pPr>
  </w:style>
  <w:style w:type="paragraph" w:styleId="18">
    <w:name w:val="Body Text 3"/>
    <w:basedOn w:val="1"/>
    <w:link w:val="76"/>
    <w:semiHidden/>
    <w:unhideWhenUsed/>
    <w:qFormat/>
    <w:uiPriority w:val="0"/>
    <w:pPr>
      <w:jc w:val="center"/>
    </w:pPr>
    <w:rPr>
      <w:rFonts w:ascii="Times New Roman" w:hAnsi="Times New Roman" w:eastAsia="黑体"/>
      <w:sz w:val="44"/>
      <w:szCs w:val="24"/>
    </w:rPr>
  </w:style>
  <w:style w:type="paragraph" w:styleId="19">
    <w:name w:val="Body Text"/>
    <w:basedOn w:val="1"/>
    <w:next w:val="20"/>
    <w:link w:val="185"/>
    <w:unhideWhenUsed/>
    <w:qFormat/>
    <w:uiPriority w:val="0"/>
    <w:pPr>
      <w:spacing w:after="120"/>
    </w:pPr>
    <w:rPr>
      <w:rFonts w:ascii="Times New Roman" w:hAnsi="Times New Roman"/>
      <w:kern w:val="0"/>
      <w:sz w:val="20"/>
      <w:szCs w:val="20"/>
    </w:rPr>
  </w:style>
  <w:style w:type="paragraph" w:styleId="20">
    <w:name w:val="Body Text First Indent"/>
    <w:basedOn w:val="19"/>
    <w:link w:val="74"/>
    <w:semiHidden/>
    <w:unhideWhenUsed/>
    <w:qFormat/>
    <w:uiPriority w:val="0"/>
    <w:pPr>
      <w:ind w:firstLine="420" w:firstLineChars="100"/>
    </w:pPr>
    <w:rPr>
      <w:sz w:val="18"/>
      <w:szCs w:val="18"/>
    </w:rPr>
  </w:style>
  <w:style w:type="paragraph" w:styleId="21">
    <w:name w:val="Body Text Indent"/>
    <w:basedOn w:val="1"/>
    <w:link w:val="71"/>
    <w:semiHidden/>
    <w:unhideWhenUsed/>
    <w:qFormat/>
    <w:uiPriority w:val="0"/>
    <w:pPr>
      <w:spacing w:after="120"/>
      <w:ind w:left="420" w:leftChars="200"/>
    </w:pPr>
    <w:rPr>
      <w:rFonts w:ascii="Times New Roman" w:hAnsi="Times New Roman"/>
      <w:kern w:val="0"/>
      <w:sz w:val="20"/>
      <w:szCs w:val="24"/>
    </w:rPr>
  </w:style>
  <w:style w:type="paragraph" w:styleId="22">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3">
    <w:name w:val="toc 5"/>
    <w:basedOn w:val="1"/>
    <w:next w:val="1"/>
    <w:semiHidden/>
    <w:unhideWhenUsed/>
    <w:qFormat/>
    <w:uiPriority w:val="0"/>
    <w:pPr>
      <w:ind w:left="1680" w:leftChars="800"/>
    </w:pPr>
    <w:rPr>
      <w:rFonts w:ascii="Times New Roman" w:hAnsi="Times New Roman"/>
      <w:sz w:val="18"/>
      <w:szCs w:val="18"/>
    </w:rPr>
  </w:style>
  <w:style w:type="paragraph" w:styleId="24">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5">
    <w:name w:val="Plain Text"/>
    <w:basedOn w:val="1"/>
    <w:link w:val="189"/>
    <w:unhideWhenUsed/>
    <w:qFormat/>
    <w:uiPriority w:val="99"/>
    <w:rPr>
      <w:rFonts w:ascii="宋体" w:hAnsi="Courier New"/>
      <w:kern w:val="0"/>
      <w:sz w:val="20"/>
      <w:szCs w:val="18"/>
    </w:rPr>
  </w:style>
  <w:style w:type="paragraph" w:styleId="26">
    <w:name w:val="toc 8"/>
    <w:basedOn w:val="1"/>
    <w:next w:val="1"/>
    <w:semiHidden/>
    <w:unhideWhenUsed/>
    <w:qFormat/>
    <w:uiPriority w:val="0"/>
    <w:pPr>
      <w:ind w:left="2940" w:leftChars="1400"/>
    </w:pPr>
    <w:rPr>
      <w:rFonts w:ascii="Times New Roman" w:hAnsi="Times New Roman"/>
      <w:szCs w:val="24"/>
    </w:rPr>
  </w:style>
  <w:style w:type="paragraph" w:styleId="27">
    <w:name w:val="Date"/>
    <w:basedOn w:val="1"/>
    <w:next w:val="1"/>
    <w:link w:val="73"/>
    <w:unhideWhenUsed/>
    <w:qFormat/>
    <w:uiPriority w:val="99"/>
    <w:pPr>
      <w:ind w:left="100" w:leftChars="2500"/>
    </w:pPr>
    <w:rPr>
      <w:rFonts w:ascii="Times New Roman" w:hAnsi="Times New Roman"/>
      <w:kern w:val="0"/>
      <w:sz w:val="24"/>
      <w:szCs w:val="24"/>
    </w:rPr>
  </w:style>
  <w:style w:type="paragraph" w:styleId="28">
    <w:name w:val="Body Text Indent 2"/>
    <w:basedOn w:val="1"/>
    <w:link w:val="77"/>
    <w:semiHidden/>
    <w:unhideWhenUsed/>
    <w:qFormat/>
    <w:uiPriority w:val="0"/>
    <w:pPr>
      <w:spacing w:after="120" w:line="480" w:lineRule="auto"/>
      <w:ind w:left="420" w:leftChars="200"/>
    </w:pPr>
    <w:rPr>
      <w:rFonts w:ascii="Times New Roman" w:hAnsi="Times New Roman"/>
      <w:kern w:val="0"/>
      <w:sz w:val="20"/>
      <w:szCs w:val="20"/>
    </w:rPr>
  </w:style>
  <w:style w:type="paragraph" w:styleId="29">
    <w:name w:val="Balloon Text"/>
    <w:basedOn w:val="1"/>
    <w:link w:val="82"/>
    <w:unhideWhenUsed/>
    <w:qFormat/>
    <w:uiPriority w:val="99"/>
    <w:rPr>
      <w:rFonts w:ascii="Times New Roman" w:hAnsi="Times New Roman"/>
      <w:kern w:val="0"/>
      <w:sz w:val="18"/>
      <w:szCs w:val="18"/>
    </w:rPr>
  </w:style>
  <w:style w:type="paragraph" w:styleId="30">
    <w:name w:val="footer"/>
    <w:basedOn w:val="1"/>
    <w:link w:val="69"/>
    <w:unhideWhenUsed/>
    <w:qFormat/>
    <w:uiPriority w:val="99"/>
    <w:pPr>
      <w:tabs>
        <w:tab w:val="center" w:pos="4153"/>
        <w:tab w:val="right" w:pos="8306"/>
      </w:tabs>
      <w:snapToGrid w:val="0"/>
      <w:jc w:val="left"/>
    </w:pPr>
    <w:rPr>
      <w:kern w:val="0"/>
      <w:sz w:val="18"/>
      <w:szCs w:val="18"/>
    </w:rPr>
  </w:style>
  <w:style w:type="paragraph" w:styleId="31">
    <w:name w:val="header"/>
    <w:basedOn w:val="1"/>
    <w:link w:val="68"/>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3">
    <w:name w:val="toc 4"/>
    <w:basedOn w:val="1"/>
    <w:next w:val="1"/>
    <w:semiHidden/>
    <w:unhideWhenUsed/>
    <w:qFormat/>
    <w:uiPriority w:val="0"/>
    <w:pPr>
      <w:ind w:left="1260" w:leftChars="600"/>
    </w:pPr>
    <w:rPr>
      <w:rFonts w:ascii="Times New Roman" w:hAnsi="Times New Roman"/>
      <w:sz w:val="18"/>
      <w:szCs w:val="18"/>
    </w:rPr>
  </w:style>
  <w:style w:type="paragraph" w:styleId="34">
    <w:name w:val="Subtitle"/>
    <w:basedOn w:val="1"/>
    <w:next w:val="1"/>
    <w:link w:val="72"/>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66"/>
    <w:semiHidden/>
    <w:unhideWhenUsed/>
    <w:qFormat/>
    <w:uiPriority w:val="0"/>
    <w:pPr>
      <w:snapToGrid w:val="0"/>
      <w:jc w:val="left"/>
    </w:pPr>
    <w:rPr>
      <w:sz w:val="18"/>
      <w:szCs w:val="18"/>
    </w:rPr>
  </w:style>
  <w:style w:type="paragraph" w:styleId="36">
    <w:name w:val="toc 6"/>
    <w:basedOn w:val="1"/>
    <w:next w:val="1"/>
    <w:semiHidden/>
    <w:unhideWhenUsed/>
    <w:qFormat/>
    <w:uiPriority w:val="0"/>
    <w:pPr>
      <w:ind w:left="2100" w:leftChars="1000"/>
    </w:pPr>
    <w:rPr>
      <w:rFonts w:ascii="Times New Roman" w:hAnsi="Times New Roman"/>
      <w:szCs w:val="24"/>
    </w:rPr>
  </w:style>
  <w:style w:type="paragraph" w:styleId="37">
    <w:name w:val="Body Text Indent 3"/>
    <w:basedOn w:val="1"/>
    <w:link w:val="78"/>
    <w:semiHidden/>
    <w:unhideWhenUsed/>
    <w:qFormat/>
    <w:uiPriority w:val="0"/>
    <w:pPr>
      <w:spacing w:line="360" w:lineRule="auto"/>
      <w:ind w:left="153" w:leftChars="85" w:firstLine="560" w:firstLineChars="200"/>
    </w:pPr>
    <w:rPr>
      <w:rFonts w:ascii="宋体" w:hAnsi="宋体"/>
      <w:kern w:val="0"/>
      <w:sz w:val="28"/>
      <w:szCs w:val="28"/>
    </w:rPr>
  </w:style>
  <w:style w:type="paragraph" w:styleId="38">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9">
    <w:name w:val="toc 9"/>
    <w:basedOn w:val="1"/>
    <w:next w:val="1"/>
    <w:semiHidden/>
    <w:unhideWhenUsed/>
    <w:qFormat/>
    <w:uiPriority w:val="0"/>
    <w:pPr>
      <w:ind w:left="3360" w:leftChars="1600"/>
    </w:pPr>
    <w:rPr>
      <w:rFonts w:ascii="Times New Roman" w:hAnsi="Times New Roman"/>
      <w:szCs w:val="24"/>
    </w:rPr>
  </w:style>
  <w:style w:type="paragraph" w:styleId="40">
    <w:name w:val="Body Text 2"/>
    <w:basedOn w:val="1"/>
    <w:link w:val="75"/>
    <w:semiHidden/>
    <w:unhideWhenUsed/>
    <w:qFormat/>
    <w:uiPriority w:val="0"/>
    <w:pPr>
      <w:spacing w:after="120" w:line="480" w:lineRule="auto"/>
    </w:pPr>
    <w:rPr>
      <w:rFonts w:ascii="Times New Roman" w:hAnsi="Times New Roman"/>
      <w:kern w:val="0"/>
      <w:sz w:val="18"/>
      <w:szCs w:val="18"/>
    </w:rPr>
  </w:style>
  <w:style w:type="paragraph" w:styleId="41">
    <w:name w:val="HTML Preformatted"/>
    <w:basedOn w:val="1"/>
    <w:link w:val="21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42">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3">
    <w:name w:val="index 1"/>
    <w:basedOn w:val="1"/>
    <w:next w:val="1"/>
    <w:semiHidden/>
    <w:unhideWhenUsed/>
    <w:qFormat/>
    <w:uiPriority w:val="0"/>
    <w:pPr>
      <w:ind w:firstLine="560" w:firstLineChars="200"/>
    </w:pPr>
    <w:rPr>
      <w:rFonts w:ascii="宋体" w:hAnsi="宋体" w:cs="宋体"/>
      <w:sz w:val="28"/>
      <w:szCs w:val="28"/>
    </w:rPr>
  </w:style>
  <w:style w:type="paragraph" w:styleId="44">
    <w:name w:val="annotation subject"/>
    <w:basedOn w:val="17"/>
    <w:next w:val="17"/>
    <w:link w:val="81"/>
    <w:unhideWhenUsed/>
    <w:qFormat/>
    <w:uiPriority w:val="99"/>
    <w:rPr>
      <w:b/>
      <w:bCs/>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FollowedHyperlink"/>
    <w:basedOn w:val="47"/>
    <w:semiHidden/>
    <w:unhideWhenUsed/>
    <w:qFormat/>
    <w:uiPriority w:val="99"/>
    <w:rPr>
      <w:color w:val="800080" w:themeColor="followedHyperlink"/>
      <w:u w:val="single"/>
      <w14:textFill>
        <w14:solidFill>
          <w14:schemeClr w14:val="folHlink"/>
        </w14:solidFill>
      </w14:textFill>
    </w:rPr>
  </w:style>
  <w:style w:type="character" w:styleId="49">
    <w:name w:val="Hyperlink"/>
    <w:unhideWhenUsed/>
    <w:qFormat/>
    <w:uiPriority w:val="99"/>
    <w:rPr>
      <w:color w:val="0000FF"/>
      <w:u w:val="single"/>
    </w:rPr>
  </w:style>
  <w:style w:type="character" w:styleId="50">
    <w:name w:val="annotation reference"/>
    <w:unhideWhenUsed/>
    <w:qFormat/>
    <w:uiPriority w:val="99"/>
    <w:rPr>
      <w:sz w:val="21"/>
      <w:szCs w:val="21"/>
    </w:rPr>
  </w:style>
  <w:style w:type="character" w:styleId="51">
    <w:name w:val="footnote reference"/>
    <w:semiHidden/>
    <w:unhideWhenUsed/>
    <w:qFormat/>
    <w:uiPriority w:val="0"/>
    <w:rPr>
      <w:vertAlign w:val="superscript"/>
    </w:rPr>
  </w:style>
  <w:style w:type="character" w:customStyle="1" w:styleId="52">
    <w:name w:val="标题 1 字符"/>
    <w:basedOn w:val="47"/>
    <w:link w:val="4"/>
    <w:qFormat/>
    <w:uiPriority w:val="99"/>
    <w:rPr>
      <w:rFonts w:ascii="宋体" w:hAnsi="宋体" w:eastAsia="宋体" w:cs="宋体"/>
      <w:b/>
      <w:bCs/>
      <w:spacing w:val="-20"/>
      <w:kern w:val="44"/>
      <w:sz w:val="32"/>
      <w:szCs w:val="32"/>
    </w:rPr>
  </w:style>
  <w:style w:type="character" w:customStyle="1" w:styleId="53">
    <w:name w:val="标题 2 字符"/>
    <w:basedOn w:val="47"/>
    <w:link w:val="5"/>
    <w:qFormat/>
    <w:uiPriority w:val="99"/>
    <w:rPr>
      <w:rFonts w:ascii="宋体" w:hAnsi="宋体" w:eastAsia="宋体" w:cs="宋体"/>
      <w:b/>
      <w:bCs/>
      <w:sz w:val="28"/>
      <w:szCs w:val="28"/>
    </w:rPr>
  </w:style>
  <w:style w:type="character" w:customStyle="1" w:styleId="54">
    <w:name w:val="标题 3 字符"/>
    <w:basedOn w:val="47"/>
    <w:link w:val="6"/>
    <w:qFormat/>
    <w:uiPriority w:val="99"/>
    <w:rPr>
      <w:rFonts w:ascii="宋体" w:hAnsi="宋体" w:eastAsia="宋体" w:cs="宋体"/>
      <w:b/>
      <w:bCs/>
      <w:color w:val="000000"/>
      <w:kern w:val="0"/>
      <w:sz w:val="28"/>
      <w:szCs w:val="28"/>
    </w:rPr>
  </w:style>
  <w:style w:type="character" w:customStyle="1" w:styleId="55">
    <w:name w:val="标题 4 字符"/>
    <w:basedOn w:val="47"/>
    <w:link w:val="7"/>
    <w:qFormat/>
    <w:uiPriority w:val="9"/>
    <w:rPr>
      <w:rFonts w:ascii="Arial" w:hAnsi="Arial" w:eastAsia="宋体" w:cs="Times New Roman"/>
      <w:b/>
      <w:bCs/>
      <w:kern w:val="0"/>
      <w:sz w:val="28"/>
      <w:szCs w:val="28"/>
    </w:rPr>
  </w:style>
  <w:style w:type="character" w:customStyle="1" w:styleId="56">
    <w:name w:val="标题 5 字符"/>
    <w:basedOn w:val="47"/>
    <w:link w:val="8"/>
    <w:qFormat/>
    <w:uiPriority w:val="0"/>
    <w:rPr>
      <w:rFonts w:ascii="Calibri" w:hAnsi="Calibri" w:eastAsia="宋体" w:cs="Times New Roman"/>
      <w:b/>
      <w:bCs/>
      <w:kern w:val="0"/>
      <w:sz w:val="28"/>
      <w:szCs w:val="28"/>
    </w:rPr>
  </w:style>
  <w:style w:type="character" w:customStyle="1" w:styleId="57">
    <w:name w:val="标题 6 字符"/>
    <w:basedOn w:val="47"/>
    <w:link w:val="9"/>
    <w:qFormat/>
    <w:uiPriority w:val="0"/>
    <w:rPr>
      <w:rFonts w:ascii="Arial" w:hAnsi="Arial" w:eastAsia="宋体" w:cs="Times New Roman"/>
      <w:b/>
      <w:bCs/>
      <w:kern w:val="0"/>
      <w:sz w:val="28"/>
      <w:szCs w:val="18"/>
    </w:rPr>
  </w:style>
  <w:style w:type="character" w:customStyle="1" w:styleId="58">
    <w:name w:val="标题 7 字符"/>
    <w:basedOn w:val="47"/>
    <w:link w:val="10"/>
    <w:qFormat/>
    <w:uiPriority w:val="0"/>
    <w:rPr>
      <w:rFonts w:ascii="Arial Narrow" w:hAnsi="Arial Narrow" w:eastAsia="宋体" w:cs="Times New Roman"/>
      <w:b/>
      <w:bCs/>
      <w:iCs/>
      <w:kern w:val="0"/>
      <w:sz w:val="20"/>
      <w:szCs w:val="24"/>
      <w:lang w:eastAsia="en-US"/>
    </w:rPr>
  </w:style>
  <w:style w:type="character" w:customStyle="1" w:styleId="59">
    <w:name w:val="标题 8 字符"/>
    <w:basedOn w:val="47"/>
    <w:link w:val="11"/>
    <w:semiHidden/>
    <w:qFormat/>
    <w:uiPriority w:val="0"/>
    <w:rPr>
      <w:rFonts w:ascii="Arial" w:hAnsi="Arial" w:eastAsia="黑体" w:cs="Times New Roman"/>
      <w:kern w:val="0"/>
      <w:sz w:val="24"/>
      <w:szCs w:val="24"/>
    </w:rPr>
  </w:style>
  <w:style w:type="character" w:customStyle="1" w:styleId="60">
    <w:name w:val="标题 9 字符"/>
    <w:basedOn w:val="47"/>
    <w:link w:val="12"/>
    <w:semiHidden/>
    <w:qFormat/>
    <w:uiPriority w:val="0"/>
    <w:rPr>
      <w:rFonts w:ascii="Arial" w:hAnsi="Arial" w:eastAsia="黑体" w:cs="Times New Roman"/>
      <w:kern w:val="0"/>
      <w:sz w:val="20"/>
      <w:szCs w:val="21"/>
    </w:rPr>
  </w:style>
  <w:style w:type="character" w:customStyle="1" w:styleId="61">
    <w:name w:val="标题 1 Char1"/>
    <w:qFormat/>
    <w:uiPriority w:val="0"/>
    <w:rPr>
      <w:b/>
      <w:bCs/>
      <w:kern w:val="44"/>
      <w:sz w:val="44"/>
      <w:szCs w:val="44"/>
    </w:rPr>
  </w:style>
  <w:style w:type="character" w:customStyle="1" w:styleId="62">
    <w:name w:val="标题 2 Char1"/>
    <w:basedOn w:val="47"/>
    <w:semiHidden/>
    <w:qFormat/>
    <w:uiPriority w:val="99"/>
    <w:rPr>
      <w:rFonts w:asciiTheme="majorHAnsi" w:hAnsiTheme="majorHAnsi" w:eastAsiaTheme="majorEastAsia" w:cstheme="majorBidi"/>
      <w:b/>
      <w:bCs/>
      <w:kern w:val="2"/>
      <w:sz w:val="32"/>
      <w:szCs w:val="32"/>
    </w:rPr>
  </w:style>
  <w:style w:type="character" w:customStyle="1" w:styleId="63">
    <w:name w:val="标题 3 Char1"/>
    <w:basedOn w:val="47"/>
    <w:semiHidden/>
    <w:qFormat/>
    <w:uiPriority w:val="99"/>
    <w:rPr>
      <w:rFonts w:ascii="Calibri" w:hAnsi="Calibri"/>
      <w:b/>
      <w:bCs/>
      <w:kern w:val="2"/>
      <w:sz w:val="32"/>
      <w:szCs w:val="32"/>
    </w:rPr>
  </w:style>
  <w:style w:type="character" w:customStyle="1" w:styleId="64">
    <w:name w:val="标题 4 Char1"/>
    <w:basedOn w:val="47"/>
    <w:semiHidden/>
    <w:qFormat/>
    <w:uiPriority w:val="9"/>
    <w:rPr>
      <w:rFonts w:asciiTheme="majorHAnsi" w:hAnsiTheme="majorHAnsi" w:eastAsiaTheme="majorEastAsia" w:cstheme="majorBidi"/>
      <w:b/>
      <w:bCs/>
      <w:kern w:val="2"/>
      <w:sz w:val="28"/>
      <w:szCs w:val="28"/>
    </w:rPr>
  </w:style>
  <w:style w:type="character" w:customStyle="1" w:styleId="65">
    <w:name w:val="正文缩进 字符"/>
    <w:link w:val="14"/>
    <w:qFormat/>
    <w:locked/>
    <w:uiPriority w:val="0"/>
  </w:style>
  <w:style w:type="character" w:customStyle="1" w:styleId="66">
    <w:name w:val="脚注文本 字符"/>
    <w:basedOn w:val="47"/>
    <w:link w:val="35"/>
    <w:semiHidden/>
    <w:qFormat/>
    <w:uiPriority w:val="0"/>
    <w:rPr>
      <w:rFonts w:ascii="Calibri" w:hAnsi="Calibri" w:eastAsia="宋体" w:cs="Times New Roman"/>
      <w:sz w:val="18"/>
      <w:szCs w:val="18"/>
    </w:rPr>
  </w:style>
  <w:style w:type="character" w:customStyle="1" w:styleId="67">
    <w:name w:val="批注文字 Char"/>
    <w:basedOn w:val="47"/>
    <w:qFormat/>
    <w:uiPriority w:val="99"/>
    <w:rPr>
      <w:rFonts w:ascii="Calibri" w:hAnsi="Calibri" w:eastAsia="宋体" w:cs="Times New Roman"/>
    </w:rPr>
  </w:style>
  <w:style w:type="character" w:customStyle="1" w:styleId="68">
    <w:name w:val="页眉 字符"/>
    <w:basedOn w:val="47"/>
    <w:link w:val="31"/>
    <w:qFormat/>
    <w:uiPriority w:val="99"/>
    <w:rPr>
      <w:rFonts w:ascii="Calibri" w:hAnsi="Calibri" w:eastAsia="宋体" w:cs="Times New Roman"/>
      <w:kern w:val="0"/>
      <w:sz w:val="18"/>
      <w:szCs w:val="18"/>
    </w:rPr>
  </w:style>
  <w:style w:type="character" w:customStyle="1" w:styleId="69">
    <w:name w:val="页脚 字符"/>
    <w:basedOn w:val="47"/>
    <w:link w:val="30"/>
    <w:qFormat/>
    <w:uiPriority w:val="99"/>
    <w:rPr>
      <w:rFonts w:ascii="Calibri" w:hAnsi="Calibri" w:eastAsia="宋体" w:cs="Times New Roman"/>
      <w:kern w:val="0"/>
      <w:sz w:val="18"/>
      <w:szCs w:val="18"/>
    </w:rPr>
  </w:style>
  <w:style w:type="character" w:customStyle="1" w:styleId="70">
    <w:name w:val="正文文本 Char"/>
    <w:basedOn w:val="47"/>
    <w:qFormat/>
    <w:uiPriority w:val="99"/>
    <w:rPr>
      <w:rFonts w:ascii="Calibri" w:hAnsi="Calibri" w:eastAsia="宋体" w:cs="Times New Roman"/>
    </w:rPr>
  </w:style>
  <w:style w:type="character" w:customStyle="1" w:styleId="71">
    <w:name w:val="正文文本缩进 字符"/>
    <w:basedOn w:val="47"/>
    <w:link w:val="21"/>
    <w:semiHidden/>
    <w:qFormat/>
    <w:uiPriority w:val="0"/>
    <w:rPr>
      <w:rFonts w:ascii="Times New Roman" w:hAnsi="Times New Roman" w:eastAsia="宋体" w:cs="Times New Roman"/>
      <w:kern w:val="0"/>
      <w:sz w:val="20"/>
      <w:szCs w:val="24"/>
    </w:rPr>
  </w:style>
  <w:style w:type="character" w:customStyle="1" w:styleId="72">
    <w:name w:val="副标题 字符"/>
    <w:basedOn w:val="47"/>
    <w:link w:val="34"/>
    <w:qFormat/>
    <w:uiPriority w:val="0"/>
    <w:rPr>
      <w:rFonts w:ascii="Cambria" w:hAnsi="Cambria" w:eastAsia="宋体" w:cs="Times New Roman"/>
      <w:b/>
      <w:bCs/>
      <w:kern w:val="28"/>
      <w:sz w:val="32"/>
      <w:szCs w:val="32"/>
    </w:rPr>
  </w:style>
  <w:style w:type="character" w:customStyle="1" w:styleId="73">
    <w:name w:val="日期 字符"/>
    <w:basedOn w:val="47"/>
    <w:link w:val="27"/>
    <w:qFormat/>
    <w:uiPriority w:val="99"/>
    <w:rPr>
      <w:rFonts w:ascii="Times New Roman" w:hAnsi="Times New Roman" w:eastAsia="宋体" w:cs="Times New Roman"/>
      <w:kern w:val="0"/>
      <w:sz w:val="24"/>
      <w:szCs w:val="24"/>
    </w:rPr>
  </w:style>
  <w:style w:type="character" w:customStyle="1" w:styleId="74">
    <w:name w:val="正文首行缩进 字符"/>
    <w:basedOn w:val="70"/>
    <w:link w:val="20"/>
    <w:semiHidden/>
    <w:qFormat/>
    <w:uiPriority w:val="0"/>
    <w:rPr>
      <w:rFonts w:ascii="Times New Roman" w:hAnsi="Times New Roman" w:eastAsia="宋体" w:cs="Times New Roman"/>
      <w:kern w:val="0"/>
      <w:sz w:val="18"/>
      <w:szCs w:val="18"/>
    </w:rPr>
  </w:style>
  <w:style w:type="character" w:customStyle="1" w:styleId="75">
    <w:name w:val="正文文本 2 字符"/>
    <w:basedOn w:val="47"/>
    <w:link w:val="40"/>
    <w:semiHidden/>
    <w:qFormat/>
    <w:uiPriority w:val="0"/>
    <w:rPr>
      <w:rFonts w:ascii="Times New Roman" w:hAnsi="Times New Roman" w:eastAsia="宋体" w:cs="Times New Roman"/>
      <w:kern w:val="0"/>
      <w:sz w:val="18"/>
      <w:szCs w:val="18"/>
    </w:rPr>
  </w:style>
  <w:style w:type="character" w:customStyle="1" w:styleId="76">
    <w:name w:val="正文文本 3 字符"/>
    <w:basedOn w:val="47"/>
    <w:link w:val="18"/>
    <w:semiHidden/>
    <w:qFormat/>
    <w:uiPriority w:val="0"/>
    <w:rPr>
      <w:rFonts w:ascii="Times New Roman" w:hAnsi="Times New Roman" w:eastAsia="黑体" w:cs="Times New Roman"/>
      <w:sz w:val="44"/>
      <w:szCs w:val="24"/>
    </w:rPr>
  </w:style>
  <w:style w:type="character" w:customStyle="1" w:styleId="77">
    <w:name w:val="正文文本缩进 2 字符"/>
    <w:basedOn w:val="47"/>
    <w:link w:val="28"/>
    <w:semiHidden/>
    <w:qFormat/>
    <w:uiPriority w:val="0"/>
    <w:rPr>
      <w:rFonts w:ascii="Times New Roman" w:hAnsi="Times New Roman" w:eastAsia="宋体" w:cs="Times New Roman"/>
      <w:kern w:val="0"/>
      <w:sz w:val="20"/>
      <w:szCs w:val="20"/>
    </w:rPr>
  </w:style>
  <w:style w:type="character" w:customStyle="1" w:styleId="78">
    <w:name w:val="正文文本缩进 3 字符"/>
    <w:basedOn w:val="47"/>
    <w:link w:val="37"/>
    <w:semiHidden/>
    <w:qFormat/>
    <w:uiPriority w:val="0"/>
    <w:rPr>
      <w:rFonts w:ascii="宋体" w:hAnsi="宋体" w:eastAsia="宋体" w:cs="Times New Roman"/>
      <w:kern w:val="0"/>
      <w:sz w:val="28"/>
      <w:szCs w:val="28"/>
    </w:rPr>
  </w:style>
  <w:style w:type="character" w:customStyle="1" w:styleId="79">
    <w:name w:val="文档结构图 字符"/>
    <w:basedOn w:val="47"/>
    <w:link w:val="16"/>
    <w:qFormat/>
    <w:uiPriority w:val="99"/>
    <w:rPr>
      <w:rFonts w:ascii="Times New Roman" w:hAnsi="Times New Roman" w:eastAsia="宋体" w:cs="Times New Roman"/>
      <w:kern w:val="0"/>
      <w:sz w:val="18"/>
      <w:szCs w:val="18"/>
      <w:shd w:val="clear" w:color="auto" w:fill="000080"/>
    </w:rPr>
  </w:style>
  <w:style w:type="character" w:customStyle="1" w:styleId="80">
    <w:name w:val="纯文本 Char"/>
    <w:basedOn w:val="47"/>
    <w:semiHidden/>
    <w:qFormat/>
    <w:uiPriority w:val="99"/>
    <w:rPr>
      <w:rFonts w:ascii="宋体" w:hAnsi="Courier New" w:eastAsia="宋体" w:cs="Courier New"/>
      <w:szCs w:val="21"/>
    </w:rPr>
  </w:style>
  <w:style w:type="character" w:customStyle="1" w:styleId="81">
    <w:name w:val="批注主题 字符"/>
    <w:basedOn w:val="67"/>
    <w:link w:val="44"/>
    <w:qFormat/>
    <w:uiPriority w:val="99"/>
    <w:rPr>
      <w:rFonts w:ascii="Calibri" w:hAnsi="Calibri" w:eastAsia="宋体" w:cs="Times New Roman"/>
      <w:b/>
      <w:bCs/>
    </w:rPr>
  </w:style>
  <w:style w:type="character" w:customStyle="1" w:styleId="82">
    <w:name w:val="批注框文本 字符"/>
    <w:basedOn w:val="47"/>
    <w:link w:val="29"/>
    <w:qFormat/>
    <w:uiPriority w:val="99"/>
    <w:rPr>
      <w:rFonts w:ascii="Times New Roman" w:hAnsi="Times New Roman" w:eastAsia="宋体" w:cs="Times New Roman"/>
      <w:kern w:val="0"/>
      <w:sz w:val="18"/>
      <w:szCs w:val="18"/>
    </w:rPr>
  </w:style>
  <w:style w:type="paragraph" w:styleId="8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修订1"/>
    <w:semiHidden/>
    <w:qFormat/>
    <w:uiPriority w:val="99"/>
    <w:rPr>
      <w:rFonts w:ascii="Calibri" w:hAnsi="Calibri" w:eastAsia="宋体" w:cs="Times New Roman"/>
      <w:kern w:val="2"/>
      <w:sz w:val="21"/>
      <w:szCs w:val="22"/>
      <w:lang w:val="en-US" w:eastAsia="zh-CN" w:bidi="ar-SA"/>
    </w:rPr>
  </w:style>
  <w:style w:type="character" w:customStyle="1" w:styleId="85">
    <w:name w:val="列出段落 字符"/>
    <w:link w:val="86"/>
    <w:qFormat/>
    <w:locked/>
    <w:uiPriority w:val="0"/>
    <w:rPr>
      <w:rFonts w:ascii="Calibri" w:hAnsi="Calibri" w:cs="Calibri"/>
    </w:rPr>
  </w:style>
  <w:style w:type="paragraph" w:styleId="86">
    <w:name w:val="List Paragraph"/>
    <w:basedOn w:val="1"/>
    <w:link w:val="85"/>
    <w:qFormat/>
    <w:uiPriority w:val="0"/>
    <w:pPr>
      <w:ind w:firstLine="420" w:firstLineChars="200"/>
    </w:pPr>
    <w:rPr>
      <w:rFonts w:cs="Calibri" w:eastAsiaTheme="minorEastAsia"/>
    </w:rPr>
  </w:style>
  <w:style w:type="paragraph" w:customStyle="1" w:styleId="87">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8">
    <w:name w:val="MM Title"/>
    <w:basedOn w:val="1"/>
    <w:qFormat/>
    <w:uiPriority w:val="0"/>
    <w:pPr>
      <w:spacing w:before="240" w:after="60"/>
      <w:jc w:val="center"/>
      <w:outlineLvl w:val="0"/>
    </w:pPr>
    <w:rPr>
      <w:rFonts w:ascii="Arial" w:hAnsi="Arial" w:cs="Arial"/>
      <w:b/>
      <w:bCs/>
      <w:sz w:val="32"/>
      <w:szCs w:val="32"/>
    </w:rPr>
  </w:style>
  <w:style w:type="paragraph" w:customStyle="1" w:styleId="89">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90">
    <w:name w:val="gb_master正文"/>
    <w:basedOn w:val="1"/>
    <w:qFormat/>
    <w:uiPriority w:val="0"/>
    <w:pPr>
      <w:ind w:firstLine="200" w:firstLineChars="200"/>
    </w:pPr>
    <w:rPr>
      <w:rFonts w:ascii="Times New Roman" w:hAnsi="Times New Roman"/>
      <w:szCs w:val="24"/>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2">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3">
    <w:name w:val="Char2 Char Char Char"/>
    <w:basedOn w:val="1"/>
    <w:qFormat/>
    <w:uiPriority w:val="0"/>
    <w:rPr>
      <w:rFonts w:ascii="仿宋_GB2312" w:hAnsi="Times New Roman"/>
      <w:b/>
      <w:sz w:val="30"/>
      <w:szCs w:val="32"/>
    </w:rPr>
  </w:style>
  <w:style w:type="paragraph" w:customStyle="1" w:styleId="94">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6">
    <w:name w:val="默认段落字体 Para Char"/>
    <w:basedOn w:val="1"/>
    <w:qFormat/>
    <w:uiPriority w:val="0"/>
    <w:rPr>
      <w:rFonts w:ascii="Tahoma" w:hAnsi="Tahoma"/>
      <w:sz w:val="24"/>
      <w:szCs w:val="20"/>
    </w:rPr>
  </w:style>
  <w:style w:type="paragraph" w:customStyle="1" w:styleId="97">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9">
    <w:name w:val="样式 正文缩进 + (中文) 仿宋_GB2312 小四 Char"/>
    <w:basedOn w:val="14"/>
    <w:qFormat/>
    <w:uiPriority w:val="0"/>
    <w:pPr>
      <w:spacing w:after="0" w:line="360" w:lineRule="auto"/>
      <w:ind w:firstLine="480" w:firstLineChars="200"/>
    </w:pPr>
    <w:rPr>
      <w:rFonts w:ascii="宋体" w:hAnsi="宋体"/>
      <w:sz w:val="24"/>
      <w:szCs w:val="24"/>
    </w:rPr>
  </w:style>
  <w:style w:type="paragraph" w:customStyle="1" w:styleId="100">
    <w:name w:val="表格文字"/>
    <w:basedOn w:val="1"/>
    <w:qFormat/>
    <w:uiPriority w:val="0"/>
    <w:pPr>
      <w:spacing w:beforeLines="25"/>
    </w:pPr>
    <w:rPr>
      <w:rFonts w:ascii="Times New (W1)" w:hAnsi="Times New (W1)"/>
      <w:spacing w:val="10"/>
      <w:szCs w:val="24"/>
    </w:rPr>
  </w:style>
  <w:style w:type="paragraph" w:customStyle="1" w:styleId="101">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2">
    <w:name w:val="默认段落字体 Para Char Char"/>
    <w:basedOn w:val="1"/>
    <w:qFormat/>
    <w:uiPriority w:val="0"/>
    <w:rPr>
      <w:rFonts w:ascii="Times New Roman" w:hAnsi="Times New Roman"/>
      <w:szCs w:val="24"/>
    </w:rPr>
  </w:style>
  <w:style w:type="paragraph" w:customStyle="1" w:styleId="103">
    <w:name w:val="MM Topic 6"/>
    <w:basedOn w:val="9"/>
    <w:qFormat/>
    <w:uiPriority w:val="0"/>
    <w:pPr>
      <w:tabs>
        <w:tab w:val="left" w:pos="3260"/>
        <w:tab w:val="clear" w:pos="1702"/>
      </w:tabs>
    </w:pPr>
    <w:rPr>
      <w:rFonts w:eastAsia="黑体"/>
    </w:rPr>
  </w:style>
  <w:style w:type="paragraph" w:customStyle="1" w:styleId="104">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6">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7">
    <w:name w:val="标题 5 + 首行缩进:  2 字符"/>
    <w:basedOn w:val="8"/>
    <w:next w:val="21"/>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8">
    <w:name w:val="Char2 Char Char Char Char Char Char"/>
    <w:basedOn w:val="1"/>
    <w:qFormat/>
    <w:uiPriority w:val="0"/>
    <w:rPr>
      <w:rFonts w:ascii="仿宋_GB2312" w:hAnsi="Times New Roman"/>
      <w:b/>
      <w:sz w:val="30"/>
      <w:szCs w:val="32"/>
    </w:rPr>
  </w:style>
  <w:style w:type="paragraph" w:customStyle="1" w:styleId="109">
    <w:name w:val="MM Topic 2"/>
    <w:basedOn w:val="5"/>
    <w:qFormat/>
    <w:uiPriority w:val="0"/>
    <w:pPr>
      <w:numPr>
        <w:ilvl w:val="0"/>
        <w:numId w:val="0"/>
      </w:numPr>
      <w:tabs>
        <w:tab w:val="left" w:pos="992"/>
      </w:tabs>
    </w:pPr>
    <w:rPr>
      <w:rFonts w:cs="Times New Roman"/>
    </w:rPr>
  </w:style>
  <w:style w:type="paragraph" w:customStyle="1" w:styleId="110">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1">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2">
    <w:name w:val="MM Topic 8"/>
    <w:basedOn w:val="11"/>
    <w:qFormat/>
    <w:uiPriority w:val="0"/>
    <w:pPr>
      <w:tabs>
        <w:tab w:val="left" w:pos="4394"/>
      </w:tabs>
    </w:pPr>
  </w:style>
  <w:style w:type="paragraph" w:customStyle="1" w:styleId="113">
    <w:name w:val="Char1 Char Char Char Char Char Char"/>
    <w:basedOn w:val="1"/>
    <w:qFormat/>
    <w:uiPriority w:val="0"/>
    <w:rPr>
      <w:rFonts w:ascii="Tahoma" w:hAnsi="Tahoma"/>
      <w:sz w:val="24"/>
      <w:szCs w:val="20"/>
    </w:rPr>
  </w:style>
  <w:style w:type="paragraph" w:customStyle="1" w:styleId="114">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5">
    <w:name w:val="样式 小四2"/>
    <w:basedOn w:val="1"/>
    <w:qFormat/>
    <w:uiPriority w:val="0"/>
    <w:rPr>
      <w:rFonts w:ascii="宋体" w:hAnsi="宋体"/>
      <w:sz w:val="24"/>
      <w:szCs w:val="24"/>
    </w:rPr>
  </w:style>
  <w:style w:type="paragraph" w:customStyle="1" w:styleId="116">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7">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8">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9">
    <w:name w:val="文章正文"/>
    <w:basedOn w:val="1"/>
    <w:qFormat/>
    <w:uiPriority w:val="0"/>
    <w:pPr>
      <w:spacing w:line="360" w:lineRule="auto"/>
      <w:ind w:firstLine="420"/>
    </w:pPr>
    <w:rPr>
      <w:rFonts w:ascii="Times New Roman" w:hAnsi="Times New Roman"/>
      <w:sz w:val="24"/>
      <w:szCs w:val="24"/>
    </w:rPr>
  </w:style>
  <w:style w:type="paragraph" w:customStyle="1" w:styleId="120">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1">
    <w:name w:val="文章正文 Char Char1"/>
    <w:basedOn w:val="1"/>
    <w:qFormat/>
    <w:uiPriority w:val="0"/>
    <w:pPr>
      <w:spacing w:line="360" w:lineRule="auto"/>
      <w:ind w:firstLine="420"/>
    </w:pPr>
    <w:rPr>
      <w:rFonts w:ascii="Times New Roman" w:hAnsi="Times New Roman"/>
      <w:sz w:val="24"/>
      <w:szCs w:val="24"/>
    </w:rPr>
  </w:style>
  <w:style w:type="paragraph" w:customStyle="1" w:styleId="122">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3">
    <w:name w:val="样式"/>
    <w:link w:val="230"/>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4">
    <w:name w:val="图"/>
    <w:basedOn w:val="1"/>
    <w:qFormat/>
    <w:uiPriority w:val="0"/>
    <w:pPr>
      <w:widowControl/>
      <w:adjustRightInd w:val="0"/>
      <w:snapToGrid w:val="0"/>
      <w:jc w:val="center"/>
    </w:pPr>
    <w:rPr>
      <w:rFonts w:ascii="宋体" w:hAnsi="宋体"/>
      <w:bCs/>
      <w:szCs w:val="24"/>
    </w:rPr>
  </w:style>
  <w:style w:type="paragraph" w:customStyle="1" w:styleId="125">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6">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7">
    <w:name w:val="MM Topic 1"/>
    <w:basedOn w:val="4"/>
    <w:qFormat/>
    <w:uiPriority w:val="0"/>
    <w:pPr>
      <w:tabs>
        <w:tab w:val="left" w:pos="425"/>
      </w:tabs>
    </w:pPr>
    <w:rPr>
      <w:rFonts w:cs="Times New Roman"/>
      <w:sz w:val="44"/>
    </w:rPr>
  </w:style>
  <w:style w:type="paragraph" w:customStyle="1" w:styleId="128">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9">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30">
    <w:name w:val="彩色列表 - 强调文字颜色 1 Char"/>
    <w:link w:val="131"/>
    <w:qFormat/>
    <w:locked/>
    <w:uiPriority w:val="0"/>
    <w:rPr>
      <w:rFonts w:ascii="Calibri" w:hAnsi="Calibri" w:cs="Calibri"/>
    </w:rPr>
  </w:style>
  <w:style w:type="paragraph" w:customStyle="1" w:styleId="131">
    <w:name w:val="彩色列表 - 强调文字颜色 11"/>
    <w:basedOn w:val="1"/>
    <w:link w:val="130"/>
    <w:qFormat/>
    <w:uiPriority w:val="0"/>
    <w:pPr>
      <w:ind w:firstLine="420" w:firstLineChars="200"/>
    </w:pPr>
    <w:rPr>
      <w:rFonts w:cs="Calibri" w:eastAsiaTheme="minorEastAsia"/>
    </w:rPr>
  </w:style>
  <w:style w:type="paragraph" w:customStyle="1" w:styleId="132">
    <w:name w:val="我的正文"/>
    <w:basedOn w:val="1"/>
    <w:qFormat/>
    <w:uiPriority w:val="0"/>
    <w:pPr>
      <w:spacing w:line="360" w:lineRule="auto"/>
      <w:ind w:firstLine="420" w:firstLineChars="200"/>
    </w:pPr>
    <w:rPr>
      <w:rFonts w:ascii="宋体" w:hAnsi="宋体"/>
      <w:szCs w:val="24"/>
    </w:rPr>
  </w:style>
  <w:style w:type="paragraph" w:customStyle="1" w:styleId="133">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4">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5">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6">
    <w:name w:val="论文正文"/>
    <w:basedOn w:val="1"/>
    <w:qFormat/>
    <w:uiPriority w:val="0"/>
    <w:pPr>
      <w:spacing w:line="360" w:lineRule="auto"/>
      <w:ind w:firstLine="700" w:firstLineChars="250"/>
    </w:pPr>
    <w:rPr>
      <w:rFonts w:ascii="宋体" w:hAnsi="宋体"/>
      <w:bCs/>
      <w:sz w:val="28"/>
      <w:szCs w:val="28"/>
    </w:rPr>
  </w:style>
  <w:style w:type="paragraph" w:customStyle="1" w:styleId="137">
    <w:name w:val="样式1"/>
    <w:basedOn w:val="1"/>
    <w:qFormat/>
    <w:uiPriority w:val="0"/>
    <w:rPr>
      <w:rFonts w:ascii="Times New Roman" w:hAnsi="Times New Roman" w:eastAsia="隶书"/>
      <w:i/>
      <w:dstrike/>
      <w:sz w:val="28"/>
      <w:szCs w:val="18"/>
    </w:rPr>
  </w:style>
  <w:style w:type="paragraph" w:customStyle="1" w:styleId="138">
    <w:name w:val="表格"/>
    <w:basedOn w:val="1"/>
    <w:qFormat/>
    <w:uiPriority w:val="0"/>
    <w:pPr>
      <w:spacing w:line="400" w:lineRule="exact"/>
    </w:pPr>
    <w:rPr>
      <w:rFonts w:ascii="Times New Roman" w:hAnsi="Times New Roman"/>
      <w:sz w:val="24"/>
      <w:szCs w:val="24"/>
    </w:rPr>
  </w:style>
  <w:style w:type="paragraph" w:customStyle="1" w:styleId="139">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40">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41">
    <w:name w:val="Char Char Char Char Char Char Char Char Char Char Char Char Char"/>
    <w:basedOn w:val="16"/>
    <w:qFormat/>
    <w:uiPriority w:val="0"/>
    <w:rPr>
      <w:rFonts w:ascii="Tahoma" w:hAnsi="Tahoma"/>
      <w:sz w:val="24"/>
      <w:szCs w:val="24"/>
    </w:rPr>
  </w:style>
  <w:style w:type="paragraph" w:customStyle="1" w:styleId="142">
    <w:name w:val="MM Topic 3"/>
    <w:basedOn w:val="6"/>
    <w:qFormat/>
    <w:uiPriority w:val="0"/>
    <w:pPr>
      <w:numPr>
        <w:ilvl w:val="0"/>
        <w:numId w:val="0"/>
      </w:numPr>
      <w:tabs>
        <w:tab w:val="left" w:pos="1418"/>
      </w:tabs>
    </w:pPr>
    <w:rPr>
      <w:rFonts w:cs="Times New Roman"/>
    </w:rPr>
  </w:style>
  <w:style w:type="paragraph" w:customStyle="1" w:styleId="143">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4">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5">
    <w:name w:val="Char Char Char Char"/>
    <w:basedOn w:val="1"/>
    <w:qFormat/>
    <w:uiPriority w:val="0"/>
    <w:rPr>
      <w:rFonts w:ascii="Tahoma" w:hAnsi="Tahoma"/>
      <w:sz w:val="24"/>
      <w:szCs w:val="20"/>
    </w:rPr>
  </w:style>
  <w:style w:type="paragraph" w:customStyle="1" w:styleId="146">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7">
    <w:name w:val="MM Topic 9"/>
    <w:basedOn w:val="12"/>
    <w:qFormat/>
    <w:uiPriority w:val="0"/>
    <w:pPr>
      <w:tabs>
        <w:tab w:val="left" w:pos="5102"/>
      </w:tabs>
    </w:pPr>
  </w:style>
  <w:style w:type="paragraph" w:customStyle="1" w:styleId="148">
    <w:name w:val="MM Topic 5"/>
    <w:basedOn w:val="8"/>
    <w:qFormat/>
    <w:uiPriority w:val="0"/>
    <w:pPr>
      <w:tabs>
        <w:tab w:val="left" w:pos="2551"/>
        <w:tab w:val="clear" w:pos="1134"/>
        <w:tab w:val="clear" w:pos="1560"/>
      </w:tabs>
      <w:ind w:left="0" w:firstLine="0"/>
    </w:pPr>
  </w:style>
  <w:style w:type="paragraph" w:customStyle="1" w:styleId="149">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50">
    <w:name w:val="MM Topic 4"/>
    <w:basedOn w:val="7"/>
    <w:qFormat/>
    <w:uiPriority w:val="0"/>
    <w:pPr>
      <w:tabs>
        <w:tab w:val="left" w:pos="1984"/>
      </w:tabs>
      <w:ind w:left="0" w:firstLine="0"/>
    </w:pPr>
  </w:style>
  <w:style w:type="paragraph" w:customStyle="1" w:styleId="1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2">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3">
    <w:name w:val="样式 标题 2H2第一章 标题 2Heading 2 HiddenHeading 2 CCBSheading 2h2..."/>
    <w:basedOn w:val="5"/>
    <w:qFormat/>
    <w:uiPriority w:val="0"/>
    <w:pPr>
      <w:tabs>
        <w:tab w:val="left" w:pos="-2493"/>
      </w:tabs>
    </w:pPr>
    <w:rPr>
      <w:rFonts w:cs="Times New Roman"/>
      <w:szCs w:val="20"/>
    </w:rPr>
  </w:style>
  <w:style w:type="paragraph" w:customStyle="1" w:styleId="154">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5">
    <w:name w:val="列出段落2"/>
    <w:basedOn w:val="1"/>
    <w:qFormat/>
    <w:uiPriority w:val="0"/>
    <w:pPr>
      <w:ind w:firstLine="420" w:firstLineChars="200"/>
    </w:pPr>
  </w:style>
  <w:style w:type="paragraph" w:customStyle="1" w:styleId="156">
    <w:name w:val="列出段落4"/>
    <w:basedOn w:val="1"/>
    <w:qFormat/>
    <w:uiPriority w:val="0"/>
    <w:pPr>
      <w:ind w:firstLine="420" w:firstLineChars="200"/>
    </w:pPr>
    <w:rPr>
      <w:rFonts w:ascii="Times New Roman" w:hAnsi="Times New Roman"/>
      <w:szCs w:val="24"/>
    </w:rPr>
  </w:style>
  <w:style w:type="paragraph" w:customStyle="1" w:styleId="157">
    <w:name w:val="列出段落1"/>
    <w:basedOn w:val="1"/>
    <w:qFormat/>
    <w:uiPriority w:val="0"/>
    <w:pPr>
      <w:ind w:firstLine="420" w:firstLineChars="200"/>
    </w:pPr>
  </w:style>
  <w:style w:type="paragraph" w:customStyle="1" w:styleId="158">
    <w:name w:val="彩色列表 - 强调文字颜色 12"/>
    <w:basedOn w:val="1"/>
    <w:qFormat/>
    <w:uiPriority w:val="0"/>
    <w:pPr>
      <w:ind w:firstLine="420" w:firstLineChars="200"/>
    </w:p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7"/>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7"/>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7"/>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字符"/>
    <w:basedOn w:val="47"/>
    <w:link w:val="19"/>
    <w:qFormat/>
    <w:locked/>
    <w:uiPriority w:val="0"/>
    <w:rPr>
      <w:rFonts w:ascii="Times New Roman" w:hAnsi="Times New Roman" w:eastAsia="宋体" w:cs="Times New Roman"/>
      <w:kern w:val="0"/>
      <w:sz w:val="20"/>
      <w:szCs w:val="20"/>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表正文 Char1"/>
    <w:qFormat/>
    <w:uiPriority w:val="0"/>
    <w:rPr>
      <w:rFonts w:hint="eastAsia" w:ascii="宋体" w:hAnsi="宋体" w:eastAsia="宋体"/>
      <w:kern w:val="2"/>
      <w:sz w:val="21"/>
      <w:lang w:val="en-US" w:eastAsia="zh-CN" w:bidi="ar-SA"/>
    </w:rPr>
  </w:style>
  <w:style w:type="character" w:customStyle="1" w:styleId="189">
    <w:name w:val="纯文本 字符"/>
    <w:link w:val="25"/>
    <w:qFormat/>
    <w:locked/>
    <w:uiPriority w:val="99"/>
    <w:rPr>
      <w:rFonts w:ascii="宋体" w:hAnsi="Courier New" w:eastAsia="宋体" w:cs="Times New Roman"/>
      <w:kern w:val="0"/>
      <w:sz w:val="20"/>
      <w:szCs w:val="18"/>
    </w:rPr>
  </w:style>
  <w:style w:type="character" w:customStyle="1" w:styleId="190">
    <w:name w:val="Char Char Char"/>
    <w:qFormat/>
    <w:uiPriority w:val="0"/>
    <w:rPr>
      <w:rFonts w:hint="eastAsia" w:ascii="宋体" w:hAnsi="宋体" w:eastAsia="宋体"/>
      <w:kern w:val="2"/>
      <w:sz w:val="18"/>
      <w:szCs w:val="18"/>
      <w:lang w:val="en-US" w:eastAsia="zh-CN" w:bidi="ar-SA"/>
    </w:rPr>
  </w:style>
  <w:style w:type="character" w:customStyle="1" w:styleId="191">
    <w:name w:val="Char Char6"/>
    <w:qFormat/>
    <w:uiPriority w:val="0"/>
    <w:rPr>
      <w:kern w:val="2"/>
      <w:sz w:val="21"/>
      <w:szCs w:val="24"/>
    </w:rPr>
  </w:style>
  <w:style w:type="character" w:customStyle="1" w:styleId="192">
    <w:name w:val="正文文本缩进 2 Char1"/>
    <w:basedOn w:val="47"/>
    <w:semiHidden/>
    <w:qFormat/>
    <w:uiPriority w:val="99"/>
    <w:rPr>
      <w:rFonts w:hint="default" w:ascii="Calibri" w:hAnsi="Calibri" w:cs="Calibri"/>
      <w:kern w:val="2"/>
      <w:sz w:val="21"/>
      <w:szCs w:val="22"/>
    </w:rPr>
  </w:style>
  <w:style w:type="character" w:customStyle="1" w:styleId="193">
    <w:name w:val="正文文本缩进 Char1"/>
    <w:basedOn w:val="47"/>
    <w:semiHidden/>
    <w:qFormat/>
    <w:uiPriority w:val="99"/>
    <w:rPr>
      <w:rFonts w:hint="default" w:ascii="Calibri" w:hAnsi="Calibri" w:cs="Calibri"/>
      <w:kern w:val="2"/>
      <w:sz w:val="21"/>
      <w:szCs w:val="22"/>
    </w:rPr>
  </w:style>
  <w:style w:type="character" w:customStyle="1" w:styleId="194">
    <w:name w:val="页脚 Char1"/>
    <w:basedOn w:val="47"/>
    <w:semiHidden/>
    <w:qFormat/>
    <w:uiPriority w:val="99"/>
    <w:rPr>
      <w:rFonts w:hint="default" w:ascii="Calibri" w:hAnsi="Calibri" w:cs="Calibri"/>
      <w:kern w:val="2"/>
      <w:sz w:val="18"/>
      <w:szCs w:val="18"/>
    </w:rPr>
  </w:style>
  <w:style w:type="character" w:customStyle="1" w:styleId="195">
    <w:name w:val="正文文本 3 Char1"/>
    <w:basedOn w:val="47"/>
    <w:semiHidden/>
    <w:qFormat/>
    <w:uiPriority w:val="99"/>
    <w:rPr>
      <w:rFonts w:hint="default" w:ascii="Calibri" w:hAnsi="Calibri" w:cs="Calibri"/>
      <w:kern w:val="2"/>
      <w:sz w:val="16"/>
      <w:szCs w:val="16"/>
    </w:rPr>
  </w:style>
  <w:style w:type="character" w:customStyle="1" w:styleId="196">
    <w:name w:val="正文文本缩进 3 Char1"/>
    <w:basedOn w:val="47"/>
    <w:semiHidden/>
    <w:qFormat/>
    <w:uiPriority w:val="99"/>
    <w:rPr>
      <w:rFonts w:hint="default" w:ascii="Calibri" w:hAnsi="Calibri" w:cs="Calibri"/>
      <w:kern w:val="2"/>
      <w:sz w:val="16"/>
      <w:szCs w:val="16"/>
    </w:rPr>
  </w:style>
  <w:style w:type="character" w:customStyle="1" w:styleId="197">
    <w:name w:val="批注框文本 Char1"/>
    <w:basedOn w:val="47"/>
    <w:semiHidden/>
    <w:qFormat/>
    <w:uiPriority w:val="99"/>
    <w:rPr>
      <w:rFonts w:hint="default" w:ascii="Calibri" w:hAnsi="Calibri" w:cs="Calibri"/>
      <w:kern w:val="2"/>
      <w:sz w:val="18"/>
      <w:szCs w:val="18"/>
    </w:rPr>
  </w:style>
  <w:style w:type="character" w:customStyle="1" w:styleId="198">
    <w:name w:val="批注文字 字符"/>
    <w:basedOn w:val="47"/>
    <w:link w:val="17"/>
    <w:qFormat/>
    <w:locked/>
    <w:uiPriority w:val="99"/>
    <w:rPr>
      <w:rFonts w:ascii="Calibri" w:hAnsi="Calibri" w:eastAsia="宋体" w:cs="Times New Roman"/>
    </w:rPr>
  </w:style>
  <w:style w:type="character" w:customStyle="1" w:styleId="199">
    <w:name w:val="文档结构图 Char1"/>
    <w:basedOn w:val="47"/>
    <w:semiHidden/>
    <w:qFormat/>
    <w:uiPriority w:val="99"/>
    <w:rPr>
      <w:rFonts w:hint="eastAsia" w:ascii="宋体" w:hAnsi="Calibri" w:eastAsia="宋体"/>
      <w:kern w:val="2"/>
      <w:sz w:val="18"/>
      <w:szCs w:val="18"/>
    </w:rPr>
  </w:style>
  <w:style w:type="character" w:customStyle="1" w:styleId="200">
    <w:name w:val="页眉 Char1"/>
    <w:basedOn w:val="47"/>
    <w:semiHidden/>
    <w:qFormat/>
    <w:uiPriority w:val="99"/>
    <w:rPr>
      <w:rFonts w:hint="default" w:ascii="Calibri" w:hAnsi="Calibri" w:cs="Calibri"/>
      <w:kern w:val="2"/>
      <w:sz w:val="18"/>
      <w:szCs w:val="18"/>
    </w:rPr>
  </w:style>
  <w:style w:type="character" w:customStyle="1" w:styleId="201">
    <w:name w:val="日期 Char1"/>
    <w:basedOn w:val="47"/>
    <w:semiHidden/>
    <w:qFormat/>
    <w:uiPriority w:val="99"/>
    <w:rPr>
      <w:rFonts w:hint="default" w:ascii="Calibri" w:hAnsi="Calibri" w:cs="Calibri"/>
      <w:kern w:val="2"/>
      <w:sz w:val="21"/>
      <w:szCs w:val="22"/>
    </w:rPr>
  </w:style>
  <w:style w:type="character" w:customStyle="1" w:styleId="202">
    <w:name w:val="正文文本 Char3"/>
    <w:basedOn w:val="47"/>
    <w:semiHidden/>
    <w:qFormat/>
    <w:uiPriority w:val="99"/>
    <w:rPr>
      <w:rFonts w:hint="default" w:ascii="Calibri" w:hAnsi="Calibri" w:cs="Calibri"/>
      <w:kern w:val="2"/>
      <w:sz w:val="21"/>
      <w:szCs w:val="22"/>
    </w:rPr>
  </w:style>
  <w:style w:type="character" w:customStyle="1" w:styleId="203">
    <w:name w:val="纯文本 Char2"/>
    <w:basedOn w:val="47"/>
    <w:semiHidden/>
    <w:qFormat/>
    <w:uiPriority w:val="99"/>
    <w:rPr>
      <w:rFonts w:hint="eastAsia" w:ascii="宋体" w:hAnsi="Courier New" w:eastAsia="宋体" w:cs="Courier New"/>
      <w:kern w:val="2"/>
      <w:sz w:val="21"/>
      <w:szCs w:val="21"/>
    </w:rPr>
  </w:style>
  <w:style w:type="character" w:customStyle="1" w:styleId="204">
    <w:name w:val="正文首行缩进 Char1"/>
    <w:basedOn w:val="202"/>
    <w:semiHidden/>
    <w:qFormat/>
    <w:uiPriority w:val="99"/>
    <w:rPr>
      <w:rFonts w:hint="default" w:ascii="Calibri" w:hAnsi="Calibri" w:cs="Calibri"/>
      <w:kern w:val="2"/>
      <w:sz w:val="21"/>
      <w:szCs w:val="22"/>
    </w:rPr>
  </w:style>
  <w:style w:type="character" w:customStyle="1" w:styleId="205">
    <w:name w:val="正文文本 2 Char1"/>
    <w:basedOn w:val="47"/>
    <w:semiHidden/>
    <w:qFormat/>
    <w:uiPriority w:val="99"/>
    <w:rPr>
      <w:rFonts w:hint="default" w:ascii="Calibri" w:hAnsi="Calibri" w:cs="Calibri"/>
      <w:kern w:val="2"/>
      <w:sz w:val="21"/>
      <w:szCs w:val="22"/>
    </w:rPr>
  </w:style>
  <w:style w:type="character" w:customStyle="1" w:styleId="206">
    <w:name w:val="副标题 Char2"/>
    <w:basedOn w:val="47"/>
    <w:qFormat/>
    <w:uiPriority w:val="11"/>
    <w:rPr>
      <w:rFonts w:hint="default" w:asciiTheme="majorHAnsi" w:hAnsiTheme="majorHAnsi" w:cstheme="majorBidi"/>
      <w:b/>
      <w:bCs/>
      <w:kern w:val="28"/>
      <w:sz w:val="32"/>
      <w:szCs w:val="32"/>
    </w:rPr>
  </w:style>
  <w:style w:type="character" w:customStyle="1" w:styleId="207">
    <w:name w:val="正文缩进 Char"/>
    <w:qFormat/>
    <w:uiPriority w:val="0"/>
    <w:rPr>
      <w:kern w:val="2"/>
      <w:sz w:val="21"/>
    </w:rPr>
  </w:style>
  <w:style w:type="paragraph" w:customStyle="1" w:styleId="208">
    <w:name w:val="CD正文"/>
    <w:basedOn w:val="119"/>
    <w:qFormat/>
    <w:uiPriority w:val="0"/>
  </w:style>
  <w:style w:type="paragraph" w:customStyle="1" w:styleId="209">
    <w:name w:val="项目符号：一级"/>
    <w:basedOn w:val="128"/>
    <w:next w:val="128"/>
    <w:qFormat/>
    <w:uiPriority w:val="0"/>
  </w:style>
  <w:style w:type="paragraph" w:customStyle="1" w:styleId="21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11">
    <w:name w:val="HTML 预设格式 字符"/>
    <w:basedOn w:val="47"/>
    <w:link w:val="41"/>
    <w:qFormat/>
    <w:uiPriority w:val="0"/>
    <w:rPr>
      <w:rFonts w:ascii="Arial" w:hAnsi="Arial" w:eastAsia="宋体" w:cs="Arial"/>
      <w:kern w:val="0"/>
      <w:sz w:val="24"/>
      <w:szCs w:val="28"/>
    </w:rPr>
  </w:style>
  <w:style w:type="paragraph" w:customStyle="1" w:styleId="212">
    <w:name w:val="修订11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3">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4">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15">
    <w:name w:val="Char1 Char Char Char Char Char Char_0"/>
    <w:basedOn w:val="1"/>
    <w:qFormat/>
    <w:uiPriority w:val="0"/>
    <w:rPr>
      <w:rFonts w:ascii="Tahoma" w:hAnsi="Tahoma"/>
      <w:sz w:val="24"/>
      <w:szCs w:val="20"/>
    </w:rPr>
  </w:style>
  <w:style w:type="paragraph" w:customStyle="1" w:styleId="216">
    <w:name w:val="列出段落11"/>
    <w:basedOn w:val="1"/>
    <w:qFormat/>
    <w:uiPriority w:val="99"/>
    <w:pPr>
      <w:ind w:firstLine="420" w:firstLineChars="200"/>
    </w:pPr>
    <w:rPr>
      <w:rFonts w:ascii="Times New Roman" w:hAnsi="Times New Roman"/>
    </w:rPr>
  </w:style>
  <w:style w:type="paragraph" w:customStyle="1" w:styleId="217">
    <w:name w:val="样式 标题 2 + Times New Roman 四号 非加粗 段前: 5 磅 段后: 0 磅 行距: 固定值 20..."/>
    <w:basedOn w:val="5"/>
    <w:semiHidden/>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18">
    <w:name w:val="列出段落111"/>
    <w:basedOn w:val="1"/>
    <w:semiHidden/>
    <w:qFormat/>
    <w:uiPriority w:val="99"/>
    <w:pPr>
      <w:ind w:firstLine="420" w:firstLineChars="200"/>
    </w:pPr>
    <w:rPr>
      <w:rFonts w:ascii="Times New Roman" w:hAnsi="Times New Roman"/>
    </w:rPr>
  </w:style>
  <w:style w:type="character" w:customStyle="1" w:styleId="219">
    <w:name w:val="正文文本 Char2"/>
    <w:basedOn w:val="47"/>
    <w:qFormat/>
    <w:locked/>
    <w:uiPriority w:val="99"/>
    <w:rPr>
      <w:rFonts w:hint="default" w:ascii="Times New Roman" w:hAnsi="Times New Roman" w:eastAsia="宋体" w:cs="Times New Roman"/>
      <w:kern w:val="0"/>
      <w:sz w:val="20"/>
      <w:szCs w:val="20"/>
    </w:rPr>
  </w:style>
  <w:style w:type="character" w:customStyle="1" w:styleId="220">
    <w:name w:val="p121"/>
    <w:qFormat/>
    <w:uiPriority w:val="0"/>
    <w:rPr>
      <w:sz w:val="24"/>
    </w:rPr>
  </w:style>
  <w:style w:type="character" w:customStyle="1" w:styleId="221">
    <w:name w:val="列出段落 Char1"/>
    <w:qFormat/>
    <w:locked/>
    <w:uiPriority w:val="0"/>
    <w:rPr>
      <w:rFonts w:hint="default" w:ascii="Calibri" w:hAnsi="Calibri" w:cs="Calibri"/>
    </w:rPr>
  </w:style>
  <w:style w:type="paragraph" w:customStyle="1" w:styleId="222">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3">
    <w:name w:val="列表段落1"/>
    <w:basedOn w:val="1"/>
    <w:qFormat/>
    <w:uiPriority w:val="99"/>
    <w:pPr>
      <w:ind w:firstLine="420" w:firstLineChars="200"/>
    </w:pPr>
    <w:rPr>
      <w:rFonts w:ascii="宋体" w:hAnsi="宋体" w:cs="宋体"/>
      <w:sz w:val="28"/>
      <w:szCs w:val="28"/>
    </w:rPr>
  </w:style>
  <w:style w:type="character" w:customStyle="1" w:styleId="224">
    <w:name w:val="NormalCharacter"/>
    <w:qFormat/>
    <w:uiPriority w:val="0"/>
  </w:style>
  <w:style w:type="paragraph" w:customStyle="1" w:styleId="225">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6">
    <w:name w:val="AnnotationReference"/>
    <w:qFormat/>
    <w:uiPriority w:val="0"/>
    <w:rPr>
      <w:sz w:val="21"/>
      <w:szCs w:val="21"/>
    </w:rPr>
  </w:style>
  <w:style w:type="paragraph" w:customStyle="1" w:styleId="227">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8">
    <w:name w:val="Heading3"/>
    <w:basedOn w:val="1"/>
    <w:next w:val="1"/>
    <w:link w:val="229"/>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9">
    <w:name w:val="UserStyle_4"/>
    <w:link w:val="228"/>
    <w:qFormat/>
    <w:uiPriority w:val="0"/>
    <w:rPr>
      <w:rFonts w:ascii="宋体" w:hAnsi="宋体" w:eastAsia="宋体" w:cs="宋体"/>
      <w:b/>
      <w:bCs/>
      <w:kern w:val="0"/>
      <w:sz w:val="27"/>
      <w:szCs w:val="27"/>
    </w:rPr>
  </w:style>
  <w:style w:type="character" w:customStyle="1" w:styleId="230">
    <w:name w:val="样式 Char Char"/>
    <w:link w:val="123"/>
    <w:qFormat/>
    <w:locked/>
    <w:uiPriority w:val="0"/>
    <w:rPr>
      <w:rFonts w:ascii="宋体" w:hAnsi="宋体" w:eastAsia="宋体" w:cs="宋体"/>
      <w:kern w:val="0"/>
      <w:sz w:val="24"/>
      <w:szCs w:val="24"/>
    </w:rPr>
  </w:style>
  <w:style w:type="paragraph" w:customStyle="1" w:styleId="231">
    <w:name w:val="_Style 48"/>
    <w:basedOn w:val="1"/>
    <w:qFormat/>
    <w:uiPriority w:val="0"/>
    <w:pPr>
      <w:ind w:firstLine="420" w:firstLineChars="200"/>
    </w:pPr>
    <w:rPr>
      <w:rFonts w:ascii="宋体" w:hAnsi="宋体" w:cs="宋体"/>
      <w:sz w:val="28"/>
      <w:szCs w:val="28"/>
    </w:rPr>
  </w:style>
  <w:style w:type="character" w:customStyle="1" w:styleId="232">
    <w:name w:val="font61"/>
    <w:basedOn w:val="47"/>
    <w:qFormat/>
    <w:uiPriority w:val="0"/>
    <w:rPr>
      <w:rFonts w:hint="eastAsia" w:ascii="宋体" w:hAnsi="宋体" w:eastAsia="宋体" w:cs="宋体"/>
      <w:color w:val="000000"/>
      <w:sz w:val="18"/>
      <w:szCs w:val="18"/>
      <w:u w:val="none"/>
    </w:rPr>
  </w:style>
  <w:style w:type="character" w:customStyle="1" w:styleId="233">
    <w:name w:val="font91"/>
    <w:basedOn w:val="47"/>
    <w:qFormat/>
    <w:uiPriority w:val="0"/>
    <w:rPr>
      <w:rFonts w:hint="eastAsia" w:ascii="宋体" w:hAnsi="宋体" w:eastAsia="宋体" w:cs="宋体"/>
      <w:color w:val="000000"/>
      <w:sz w:val="18"/>
      <w:szCs w:val="18"/>
      <w:u w:val="none"/>
    </w:rPr>
  </w:style>
  <w:style w:type="character" w:customStyle="1" w:styleId="234">
    <w:name w:val="font41"/>
    <w:basedOn w:val="47"/>
    <w:qFormat/>
    <w:uiPriority w:val="0"/>
    <w:rPr>
      <w:rFonts w:hint="eastAsia" w:ascii="宋体" w:hAnsi="宋体" w:eastAsia="宋体" w:cs="宋体"/>
      <w:color w:val="000000"/>
      <w:sz w:val="21"/>
      <w:szCs w:val="21"/>
      <w:u w:val="none"/>
    </w:rPr>
  </w:style>
  <w:style w:type="character" w:customStyle="1" w:styleId="235">
    <w:name w:val="font31"/>
    <w:basedOn w:val="47"/>
    <w:qFormat/>
    <w:uiPriority w:val="0"/>
    <w:rPr>
      <w:rFonts w:hint="eastAsia" w:ascii="宋体" w:hAnsi="宋体" w:eastAsia="宋体" w:cs="宋体"/>
      <w:b/>
      <w:color w:val="000000"/>
      <w:sz w:val="18"/>
      <w:szCs w:val="18"/>
      <w:u w:val="none"/>
    </w:rPr>
  </w:style>
  <w:style w:type="character" w:customStyle="1" w:styleId="236">
    <w:name w:val="font101"/>
    <w:basedOn w:val="47"/>
    <w:qFormat/>
    <w:uiPriority w:val="0"/>
    <w:rPr>
      <w:rFonts w:hint="eastAsia" w:ascii="宋体" w:hAnsi="宋体" w:eastAsia="宋体" w:cs="宋体"/>
      <w:color w:val="FF0000"/>
      <w:sz w:val="18"/>
      <w:szCs w:val="18"/>
      <w:u w:val="none"/>
    </w:rPr>
  </w:style>
  <w:style w:type="character" w:customStyle="1" w:styleId="237">
    <w:name w:val="font51"/>
    <w:basedOn w:val="47"/>
    <w:qFormat/>
    <w:uiPriority w:val="0"/>
    <w:rPr>
      <w:rFonts w:ascii="Calibri" w:hAnsi="Calibri" w:cs="Calibri"/>
      <w:color w:val="000000"/>
      <w:sz w:val="21"/>
      <w:szCs w:val="21"/>
      <w:u w:val="none"/>
    </w:rPr>
  </w:style>
  <w:style w:type="paragraph" w:customStyle="1" w:styleId="238">
    <w:name w:val="Table Paragraph"/>
    <w:basedOn w:val="1"/>
    <w:qFormat/>
    <w:uiPriority w:val="1"/>
    <w:pPr>
      <w:ind w:firstLine="560" w:firstLineChars="200"/>
    </w:pPr>
    <w:rPr>
      <w:rFonts w:ascii="宋体" w:hAnsi="宋体" w:cs="宋体"/>
      <w:sz w:val="28"/>
      <w:szCs w:val="28"/>
      <w:lang w:val="zh-CN" w:bidi="zh-CN"/>
    </w:rPr>
  </w:style>
  <w:style w:type="paragraph" w:customStyle="1" w:styleId="239">
    <w:name w:val="01、普通正文"/>
    <w:basedOn w:val="1"/>
    <w:qFormat/>
    <w:uiPriority w:val="0"/>
    <w:pPr>
      <w:tabs>
        <w:tab w:val="left" w:pos="0"/>
      </w:tabs>
      <w:wordWrap w:val="0"/>
      <w:topLinePunct/>
      <w:spacing w:line="440" w:lineRule="exact"/>
      <w:ind w:firstLine="723" w:firstLineChars="200"/>
    </w:pPr>
    <w:rPr>
      <w:rFonts w:ascii="宋体" w:hAnsi="宋体"/>
      <w:snapToGrid w:val="0"/>
      <w:sz w:val="24"/>
    </w:rPr>
  </w:style>
  <w:style w:type="paragraph" w:customStyle="1" w:styleId="240">
    <w:name w:val="02、首行缩进2字符正文"/>
    <w:basedOn w:val="1"/>
    <w:qFormat/>
    <w:uiPriority w:val="0"/>
    <w:pPr>
      <w:tabs>
        <w:tab w:val="left" w:pos="0"/>
      </w:tabs>
      <w:wordWrap w:val="0"/>
      <w:topLinePunct/>
      <w:ind w:firstLine="480" w:firstLineChars="200"/>
    </w:pPr>
  </w:style>
  <w:style w:type="paragraph" w:customStyle="1" w:styleId="241">
    <w:name w:val="15、“一、”二级标题"/>
    <w:basedOn w:val="1"/>
    <w:qFormat/>
    <w:uiPriority w:val="0"/>
    <w:pPr>
      <w:numPr>
        <w:ilvl w:val="1"/>
        <w:numId w:val="4"/>
      </w:numPr>
      <w:tabs>
        <w:tab w:val="left" w:pos="0"/>
      </w:tabs>
      <w:wordWrap w:val="0"/>
      <w:topLinePunct/>
      <w:ind w:firstLine="803" w:firstLineChars="200"/>
      <w:outlineLvl w:val="1"/>
    </w:pPr>
    <w:rPr>
      <w:b/>
    </w:rPr>
  </w:style>
  <w:style w:type="paragraph" w:customStyle="1" w:styleId="242">
    <w:name w:val="16、“(一)”三级标题"/>
    <w:basedOn w:val="239"/>
    <w:qFormat/>
    <w:uiPriority w:val="0"/>
    <w:pPr>
      <w:numPr>
        <w:ilvl w:val="2"/>
        <w:numId w:val="4"/>
      </w:numPr>
      <w:ind w:firstLine="803"/>
      <w:outlineLvl w:val="2"/>
    </w:pPr>
    <w:rPr>
      <w:b/>
    </w:rPr>
  </w:style>
  <w:style w:type="paragraph" w:customStyle="1" w:styleId="243">
    <w:name w:val="13、表格内居中正文"/>
    <w:basedOn w:val="1"/>
    <w:qFormat/>
    <w:uiPriority w:val="0"/>
    <w:pPr>
      <w:tabs>
        <w:tab w:val="left" w:pos="0"/>
      </w:tabs>
      <w:wordWrap w:val="0"/>
      <w:topLinePunct/>
      <w:spacing w:line="360" w:lineRule="exact"/>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3" Type="http://schemas.microsoft.com/office/2011/relationships/people" Target="people.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10091</Words>
  <Characters>57522</Characters>
  <Lines>479</Lines>
  <Paragraphs>134</Paragraphs>
  <TotalTime>0</TotalTime>
  <ScaleCrop>false</ScaleCrop>
  <LinksUpToDate>false</LinksUpToDate>
  <CharactersWithSpaces>67479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2021-08-05T03:19:00Z</dcterms:created>
  <dc:creator>罗川</dc:creator>
  <cp:lastModifiedBy>Administrator</cp:lastModifiedBy>
  <cp:lastPrinted>2021-07-30T08:59:00Z</cp:lastPrinted>
  <dcterms:modified xsi:type="dcterms:W3CDTF">2021-08-05T07:15:50Z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847A1E8EC12943C199C789685ED07EEE</vt:lpwstr>
  </property>
</Properties>
</file>