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ascii="华文中宋" w:hAnsi="华文中宋" w:eastAsia="华文中宋"/>
          <w:color w:val="auto"/>
          <w:sz w:val="28"/>
          <w:szCs w:val="18"/>
          <w:highlight w:val="none"/>
        </w:rPr>
      </w:pPr>
    </w:p>
    <w:p>
      <w:pPr>
        <w:spacing w:line="360" w:lineRule="auto"/>
        <w:jc w:val="center"/>
        <w:rPr>
          <w:rFonts w:ascii="华文中宋" w:hAnsi="华文中宋" w:eastAsia="华文中宋"/>
          <w:color w:val="auto"/>
          <w:spacing w:val="42"/>
          <w:sz w:val="130"/>
          <w:szCs w:val="130"/>
          <w:highlight w:val="none"/>
        </w:rPr>
      </w:pPr>
      <w:r>
        <w:rPr>
          <w:rFonts w:hint="eastAsia" w:ascii="华文中宋" w:hAnsi="华文中宋" w:eastAsia="华文中宋"/>
          <w:color w:val="auto"/>
          <w:spacing w:val="42"/>
          <w:sz w:val="130"/>
          <w:szCs w:val="130"/>
          <w:highlight w:val="none"/>
        </w:rPr>
        <w:t>招 标 文 件</w:t>
      </w:r>
    </w:p>
    <w:p>
      <w:pPr>
        <w:tabs>
          <w:tab w:val="left" w:pos="2552"/>
        </w:tabs>
        <w:spacing w:line="360" w:lineRule="auto"/>
        <w:ind w:left="1733" w:leftChars="269" w:hanging="1168" w:hangingChars="487"/>
        <w:rPr>
          <w:rFonts w:ascii="华文中宋" w:hAnsi="华文中宋" w:eastAsia="华文中宋"/>
          <w:color w:val="auto"/>
          <w:sz w:val="24"/>
          <w:highlight w:val="none"/>
        </w:rPr>
      </w:pPr>
    </w:p>
    <w:p>
      <w:pPr>
        <w:tabs>
          <w:tab w:val="left" w:pos="2552"/>
        </w:tabs>
        <w:spacing w:line="360" w:lineRule="auto"/>
        <w:ind w:left="1733" w:leftChars="269" w:hanging="1168" w:hangingChars="487"/>
        <w:rPr>
          <w:rFonts w:ascii="华文中宋" w:hAnsi="华文中宋" w:eastAsia="华文中宋"/>
          <w:color w:val="auto"/>
          <w:sz w:val="24"/>
          <w:highlight w:val="none"/>
        </w:rPr>
      </w:pPr>
    </w:p>
    <w:p>
      <w:pPr>
        <w:tabs>
          <w:tab w:val="left" w:pos="2552"/>
        </w:tabs>
        <w:spacing w:line="360" w:lineRule="auto"/>
        <w:ind w:left="1733" w:leftChars="269" w:hanging="1168" w:hangingChars="487"/>
        <w:rPr>
          <w:rFonts w:ascii="华文中宋" w:hAnsi="华文中宋" w:eastAsia="华文中宋"/>
          <w:color w:val="auto"/>
          <w:sz w:val="24"/>
          <w:highlight w:val="none"/>
        </w:rPr>
      </w:pPr>
    </w:p>
    <w:p>
      <w:pPr>
        <w:tabs>
          <w:tab w:val="left" w:pos="2552"/>
        </w:tabs>
        <w:spacing w:line="360" w:lineRule="auto"/>
        <w:rPr>
          <w:rFonts w:ascii="华文中宋" w:hAnsi="华文中宋" w:eastAsia="华文中宋"/>
          <w:color w:val="auto"/>
          <w:sz w:val="24"/>
          <w:highlight w:val="none"/>
        </w:rPr>
      </w:pPr>
    </w:p>
    <w:p>
      <w:pPr>
        <w:spacing w:line="360" w:lineRule="auto"/>
        <w:rPr>
          <w:rFonts w:ascii="宋体" w:hAnsi="宋体"/>
          <w:color w:val="auto"/>
          <w:highlight w:val="none"/>
        </w:rPr>
      </w:pPr>
    </w:p>
    <w:p>
      <w:pPr>
        <w:spacing w:line="360" w:lineRule="auto"/>
        <w:ind w:left="2238" w:leftChars="304" w:hanging="1600" w:hangingChars="500"/>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项目名称：成都高新区芳草小学物业管理服务采购项目</w:t>
      </w:r>
    </w:p>
    <w:p>
      <w:pPr>
        <w:spacing w:line="360" w:lineRule="auto"/>
        <w:ind w:left="2409" w:leftChars="338" w:hanging="1699" w:hangingChars="531"/>
        <w:rPr>
          <w:rFonts w:hint="eastAsia" w:ascii="华文中宋" w:hAnsi="华文中宋" w:eastAsia="华文中宋"/>
          <w:color w:val="auto"/>
          <w:sz w:val="32"/>
          <w:szCs w:val="32"/>
          <w:highlight w:val="none"/>
          <w:lang w:eastAsia="zh-CN"/>
        </w:rPr>
      </w:pPr>
      <w:r>
        <w:rPr>
          <w:rFonts w:hint="eastAsia" w:ascii="华文中宋" w:hAnsi="华文中宋" w:eastAsia="华文中宋"/>
          <w:color w:val="auto"/>
          <w:sz w:val="32"/>
          <w:szCs w:val="32"/>
          <w:highlight w:val="none"/>
        </w:rPr>
        <w:t>项目编号：</w:t>
      </w:r>
      <w:r>
        <w:rPr>
          <w:rFonts w:hint="eastAsia" w:ascii="华文中宋" w:hAnsi="华文中宋" w:eastAsia="华文中宋"/>
          <w:color w:val="auto"/>
          <w:sz w:val="32"/>
          <w:szCs w:val="32"/>
          <w:highlight w:val="none"/>
          <w:lang w:eastAsia="zh-CN"/>
        </w:rPr>
        <w:t>成都高新技术产业开发区政采（2021）A0045号</w:t>
      </w:r>
    </w:p>
    <w:p>
      <w:pPr>
        <w:spacing w:line="360" w:lineRule="auto"/>
        <w:rPr>
          <w:rFonts w:ascii="华文中宋" w:hAnsi="华文中宋" w:eastAsia="华文中宋"/>
          <w:color w:val="auto"/>
          <w:kern w:val="24"/>
          <w:sz w:val="32"/>
          <w:szCs w:val="32"/>
          <w:highlight w:val="none"/>
        </w:rPr>
      </w:pPr>
    </w:p>
    <w:p>
      <w:pPr>
        <w:pStyle w:val="18"/>
        <w:rPr>
          <w:rFonts w:ascii="华文中宋" w:hAnsi="华文中宋" w:eastAsia="华文中宋"/>
          <w:color w:val="auto"/>
          <w:kern w:val="24"/>
          <w:sz w:val="32"/>
          <w:szCs w:val="32"/>
          <w:highlight w:val="none"/>
        </w:rPr>
      </w:pPr>
    </w:p>
    <w:p>
      <w:pPr>
        <w:pStyle w:val="18"/>
        <w:rPr>
          <w:rFonts w:ascii="华文中宋" w:hAnsi="华文中宋" w:eastAsia="华文中宋"/>
          <w:color w:val="auto"/>
          <w:kern w:val="24"/>
          <w:sz w:val="32"/>
          <w:szCs w:val="32"/>
          <w:highlight w:val="none"/>
        </w:rPr>
      </w:pPr>
    </w:p>
    <w:p>
      <w:pPr>
        <w:pStyle w:val="18"/>
        <w:rPr>
          <w:rFonts w:ascii="华文中宋" w:hAnsi="华文中宋" w:eastAsia="华文中宋"/>
          <w:color w:val="auto"/>
          <w:kern w:val="24"/>
          <w:sz w:val="32"/>
          <w:szCs w:val="32"/>
          <w:highlight w:val="none"/>
        </w:rPr>
      </w:pPr>
    </w:p>
    <w:p>
      <w:pPr>
        <w:spacing w:line="360" w:lineRule="auto"/>
        <w:jc w:val="center"/>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成都高新区芳草小学、</w:t>
      </w:r>
    </w:p>
    <w:p>
      <w:pPr>
        <w:spacing w:line="360" w:lineRule="auto"/>
        <w:jc w:val="center"/>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成都高新区政府采购服务中心共同编制</w:t>
      </w:r>
    </w:p>
    <w:p>
      <w:pPr>
        <w:spacing w:line="360" w:lineRule="auto"/>
        <w:jc w:val="center"/>
        <w:rPr>
          <w:rFonts w:ascii="华文中宋" w:hAnsi="华文中宋" w:eastAsia="华文中宋"/>
          <w:color w:val="auto"/>
          <w:sz w:val="32"/>
          <w:szCs w:val="32"/>
          <w:highlight w:val="none"/>
        </w:rPr>
      </w:pPr>
      <w:r>
        <w:rPr>
          <w:rFonts w:hint="eastAsia" w:ascii="华文中宋" w:hAnsi="华文中宋" w:eastAsia="华文中宋"/>
          <w:color w:val="auto"/>
          <w:sz w:val="32"/>
          <w:szCs w:val="32"/>
          <w:highlight w:val="none"/>
        </w:rPr>
        <w:t>二〇二一年十月</w:t>
      </w:r>
    </w:p>
    <w:p>
      <w:pPr>
        <w:spacing w:line="360" w:lineRule="auto"/>
        <w:jc w:val="center"/>
        <w:rPr>
          <w:rFonts w:ascii="宋体" w:hAnsi="宋体"/>
          <w:b/>
          <w:color w:val="auto"/>
          <w:sz w:val="32"/>
          <w:highlight w:val="none"/>
        </w:rPr>
      </w:pPr>
      <w:r>
        <w:rPr>
          <w:rFonts w:hint="eastAsia" w:ascii="宋体" w:hAnsi="宋体"/>
          <w:color w:val="auto"/>
          <w:kern w:val="0"/>
          <w:highlight w:val="none"/>
        </w:rPr>
        <w:br w:type="page"/>
      </w:r>
      <w:bookmarkStart w:id="0" w:name="_Toc101234248"/>
      <w:bookmarkStart w:id="1" w:name="_Toc101247312"/>
      <w:bookmarkStart w:id="2" w:name="_Toc101328520"/>
      <w:bookmarkStart w:id="3" w:name="_Toc148505181"/>
      <w:r>
        <w:rPr>
          <w:rFonts w:hint="eastAsia" w:ascii="宋体" w:hAnsi="宋体"/>
          <w:b/>
          <w:color w:val="auto"/>
          <w:sz w:val="28"/>
          <w:szCs w:val="32"/>
          <w:highlight w:val="none"/>
        </w:rPr>
        <w:t>目 录</w:t>
      </w:r>
    </w:p>
    <w:sdt>
      <w:sdtPr>
        <w:rPr>
          <w:rFonts w:ascii="宋体" w:hAnsi="宋体" w:eastAsia="华文中宋"/>
          <w:smallCaps/>
          <w:color w:val="auto"/>
          <w:sz w:val="20"/>
          <w:szCs w:val="20"/>
          <w:highlight w:val="none"/>
        </w:rPr>
        <w:id w:val="147456339"/>
      </w:sdtPr>
      <w:sdtEndPr>
        <w:rPr>
          <w:rFonts w:ascii="宋体" w:hAnsi="宋体" w:eastAsia="华文中宋"/>
          <w:smallCaps/>
          <w:color w:val="auto"/>
          <w:sz w:val="20"/>
          <w:szCs w:val="20"/>
          <w:highlight w:val="none"/>
        </w:rPr>
      </w:sdtEndPr>
      <w:sdtContent>
        <w:p>
          <w:pPr>
            <w:rPr>
              <w:color w:val="auto"/>
              <w:highlight w:val="none"/>
            </w:rPr>
          </w:pPr>
        </w:p>
        <w:p>
          <w:pPr>
            <w:pStyle w:val="30"/>
            <w:tabs>
              <w:tab w:val="right" w:leader="dot" w:pos="8306"/>
              <w:tab w:val="clear" w:pos="709"/>
              <w:tab w:val="clear" w:pos="8364"/>
            </w:tabs>
            <w:rPr>
              <w:color w:val="auto"/>
              <w:highlight w:val="none"/>
            </w:rPr>
          </w:pPr>
          <w:r>
            <w:rPr>
              <w:rFonts w:hint="eastAsia"/>
              <w:color w:val="auto"/>
              <w:highlight w:val="none"/>
            </w:rPr>
            <w:fldChar w:fldCharType="begin"/>
          </w:r>
          <w:r>
            <w:rPr>
              <w:rFonts w:hint="eastAsia"/>
              <w:color w:val="auto"/>
              <w:highlight w:val="none"/>
            </w:rPr>
            <w:instrText xml:space="preserve">TOC \o "1-2" \h \u </w:instrText>
          </w:r>
          <w:r>
            <w:rPr>
              <w:rFonts w:hint="eastAsia"/>
              <w:color w:val="auto"/>
              <w:highlight w:val="none"/>
            </w:rPr>
            <w:fldChar w:fldCharType="separate"/>
          </w:r>
          <w:r>
            <w:rPr>
              <w:color w:val="auto"/>
              <w:highlight w:val="none"/>
            </w:rPr>
            <w:fldChar w:fldCharType="begin"/>
          </w:r>
          <w:r>
            <w:rPr>
              <w:color w:val="auto"/>
              <w:highlight w:val="none"/>
            </w:rPr>
            <w:instrText xml:space="preserve"> HYPERLINK \l "_Toc23452" </w:instrText>
          </w:r>
          <w:r>
            <w:rPr>
              <w:color w:val="auto"/>
              <w:highlight w:val="none"/>
            </w:rPr>
            <w:fldChar w:fldCharType="separate"/>
          </w:r>
          <w:r>
            <w:rPr>
              <w:rFonts w:ascii="Times New Roman" w:hAnsi="Times New Roman" w:eastAsia="宋体"/>
              <w:color w:val="auto"/>
              <w:szCs w:val="32"/>
              <w:highlight w:val="none"/>
            </w:rPr>
            <w:t xml:space="preserve">第1章 </w:t>
          </w:r>
          <w:r>
            <w:rPr>
              <w:rFonts w:hint="eastAsia"/>
              <w:color w:val="auto"/>
              <w:highlight w:val="none"/>
            </w:rPr>
            <w:t>投标邀请</w:t>
          </w:r>
          <w:r>
            <w:rPr>
              <w:color w:val="auto"/>
              <w:highlight w:val="none"/>
            </w:rPr>
            <w:tab/>
          </w:r>
          <w:r>
            <w:rPr>
              <w:color w:val="auto"/>
              <w:highlight w:val="none"/>
            </w:rPr>
            <w:fldChar w:fldCharType="begin"/>
          </w:r>
          <w:r>
            <w:rPr>
              <w:color w:val="auto"/>
              <w:highlight w:val="none"/>
            </w:rPr>
            <w:instrText xml:space="preserve"> PAGEREF _Toc23452 \h </w:instrText>
          </w:r>
          <w:r>
            <w:rPr>
              <w:color w:val="auto"/>
              <w:highlight w:val="none"/>
            </w:rPr>
            <w:fldChar w:fldCharType="separate"/>
          </w:r>
          <w:r>
            <w:rPr>
              <w:color w:val="auto"/>
              <w:highlight w:val="none"/>
            </w:rPr>
            <w:t>3</w:t>
          </w:r>
          <w:r>
            <w:rPr>
              <w:color w:val="auto"/>
              <w:highlight w:val="none"/>
            </w:rPr>
            <w:fldChar w:fldCharType="end"/>
          </w:r>
          <w:r>
            <w:rPr>
              <w:color w:val="auto"/>
              <w:highlight w:val="none"/>
            </w:rPr>
            <w:fldChar w:fldCharType="end"/>
          </w:r>
        </w:p>
        <w:p>
          <w:pPr>
            <w:pStyle w:val="30"/>
            <w:tabs>
              <w:tab w:val="right" w:leader="dot" w:pos="8306"/>
              <w:tab w:val="clear" w:pos="709"/>
              <w:tab w:val="clear" w:pos="8364"/>
            </w:tabs>
            <w:rPr>
              <w:color w:val="auto"/>
              <w:highlight w:val="none"/>
            </w:rPr>
          </w:pPr>
          <w:r>
            <w:rPr>
              <w:color w:val="auto"/>
              <w:highlight w:val="none"/>
            </w:rPr>
            <w:fldChar w:fldCharType="begin"/>
          </w:r>
          <w:r>
            <w:rPr>
              <w:color w:val="auto"/>
              <w:highlight w:val="none"/>
            </w:rPr>
            <w:instrText xml:space="preserve"> HYPERLINK \l "_Toc14731" </w:instrText>
          </w:r>
          <w:r>
            <w:rPr>
              <w:color w:val="auto"/>
              <w:highlight w:val="none"/>
            </w:rPr>
            <w:fldChar w:fldCharType="separate"/>
          </w:r>
          <w:r>
            <w:rPr>
              <w:rFonts w:ascii="Times New Roman" w:hAnsi="Times New Roman" w:eastAsia="宋体"/>
              <w:color w:val="auto"/>
              <w:szCs w:val="32"/>
              <w:highlight w:val="none"/>
            </w:rPr>
            <w:t xml:space="preserve">第2章 </w:t>
          </w:r>
          <w:r>
            <w:rPr>
              <w:rFonts w:hint="eastAsia"/>
              <w:color w:val="auto"/>
              <w:highlight w:val="none"/>
            </w:rPr>
            <w:t>投标人须知</w:t>
          </w:r>
          <w:r>
            <w:rPr>
              <w:color w:val="auto"/>
              <w:highlight w:val="none"/>
            </w:rPr>
            <w:tab/>
          </w:r>
          <w:r>
            <w:rPr>
              <w:color w:val="auto"/>
              <w:highlight w:val="none"/>
            </w:rPr>
            <w:fldChar w:fldCharType="begin"/>
          </w:r>
          <w:r>
            <w:rPr>
              <w:color w:val="auto"/>
              <w:highlight w:val="none"/>
            </w:rPr>
            <w:instrText xml:space="preserve"> PAGEREF _Toc14731 \h </w:instrText>
          </w:r>
          <w:r>
            <w:rPr>
              <w:color w:val="auto"/>
              <w:highlight w:val="none"/>
            </w:rPr>
            <w:fldChar w:fldCharType="separate"/>
          </w:r>
          <w:r>
            <w:rPr>
              <w:color w:val="auto"/>
              <w:highlight w:val="none"/>
            </w:rPr>
            <w:t>7</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"_Toc17336" </w:instrText>
          </w:r>
          <w:r>
            <w:rPr>
              <w:color w:val="auto"/>
              <w:highlight w:val="none"/>
            </w:rPr>
            <w:fldChar w:fldCharType="separate"/>
          </w:r>
          <w:r>
            <w:rPr>
              <w:rFonts w:ascii="Times New Roman" w:hAnsi="Times New Roman" w:eastAsia="宋体"/>
              <w:color w:val="auto"/>
              <w:szCs w:val="28"/>
              <w:highlight w:val="none"/>
            </w:rPr>
            <w:t xml:space="preserve">2.1 </w:t>
          </w:r>
          <w:r>
            <w:rPr>
              <w:rFonts w:hint="eastAsia"/>
              <w:color w:val="auto"/>
              <w:highlight w:val="none"/>
            </w:rPr>
            <w:t>投标人须知前附表</w:t>
          </w:r>
          <w:r>
            <w:rPr>
              <w:color w:val="auto"/>
              <w:highlight w:val="none"/>
            </w:rPr>
            <w:tab/>
          </w:r>
          <w:r>
            <w:rPr>
              <w:color w:val="auto"/>
              <w:highlight w:val="none"/>
            </w:rPr>
            <w:fldChar w:fldCharType="begin"/>
          </w:r>
          <w:r>
            <w:rPr>
              <w:color w:val="auto"/>
              <w:highlight w:val="none"/>
            </w:rPr>
            <w:instrText xml:space="preserve"> PAGEREF _Toc17336 \h </w:instrText>
          </w:r>
          <w:r>
            <w:rPr>
              <w:color w:val="auto"/>
              <w:highlight w:val="none"/>
            </w:rPr>
            <w:fldChar w:fldCharType="separate"/>
          </w:r>
          <w:r>
            <w:rPr>
              <w:color w:val="auto"/>
              <w:highlight w:val="none"/>
            </w:rPr>
            <w:t>7</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"_Toc2484" </w:instrText>
          </w:r>
          <w:r>
            <w:rPr>
              <w:color w:val="auto"/>
              <w:highlight w:val="none"/>
            </w:rPr>
            <w:fldChar w:fldCharType="separate"/>
          </w:r>
          <w:r>
            <w:rPr>
              <w:rFonts w:ascii="Times New Roman" w:hAnsi="Times New Roman" w:eastAsia="宋体"/>
              <w:color w:val="auto"/>
              <w:szCs w:val="28"/>
              <w:highlight w:val="none"/>
            </w:rPr>
            <w:t xml:space="preserve">2.2 </w:t>
          </w:r>
          <w:r>
            <w:rPr>
              <w:rFonts w:hint="eastAsia"/>
              <w:color w:val="auto"/>
              <w:highlight w:val="none"/>
            </w:rPr>
            <w:t>总则</w:t>
          </w:r>
          <w:r>
            <w:rPr>
              <w:color w:val="auto"/>
              <w:highlight w:val="none"/>
            </w:rPr>
            <w:tab/>
          </w:r>
          <w:r>
            <w:rPr>
              <w:color w:val="auto"/>
              <w:highlight w:val="none"/>
            </w:rPr>
            <w:fldChar w:fldCharType="begin"/>
          </w:r>
          <w:r>
            <w:rPr>
              <w:color w:val="auto"/>
              <w:highlight w:val="none"/>
            </w:rPr>
            <w:instrText xml:space="preserve"> PAGEREF _Toc2484 \h </w:instrText>
          </w:r>
          <w:r>
            <w:rPr>
              <w:color w:val="auto"/>
              <w:highlight w:val="none"/>
            </w:rPr>
            <w:fldChar w:fldCharType="separate"/>
          </w:r>
          <w:r>
            <w:rPr>
              <w:color w:val="auto"/>
              <w:highlight w:val="none"/>
            </w:rPr>
            <w:t>9</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"_Toc22758" </w:instrText>
          </w:r>
          <w:r>
            <w:rPr>
              <w:color w:val="auto"/>
              <w:highlight w:val="none"/>
            </w:rPr>
            <w:fldChar w:fldCharType="separate"/>
          </w:r>
          <w:r>
            <w:rPr>
              <w:rFonts w:ascii="Times New Roman" w:hAnsi="Times New Roman" w:eastAsia="宋体"/>
              <w:color w:val="auto"/>
              <w:szCs w:val="28"/>
              <w:highlight w:val="none"/>
            </w:rPr>
            <w:t xml:space="preserve">2.3 </w:t>
          </w:r>
          <w:r>
            <w:rPr>
              <w:rFonts w:hint="eastAsia"/>
              <w:color w:val="auto"/>
              <w:highlight w:val="none"/>
            </w:rPr>
            <w:t>招标文件</w:t>
          </w:r>
          <w:r>
            <w:rPr>
              <w:color w:val="auto"/>
              <w:highlight w:val="none"/>
            </w:rPr>
            <w:tab/>
          </w:r>
          <w:r>
            <w:rPr>
              <w:color w:val="auto"/>
              <w:highlight w:val="none"/>
            </w:rPr>
            <w:fldChar w:fldCharType="begin"/>
          </w:r>
          <w:r>
            <w:rPr>
              <w:color w:val="auto"/>
              <w:highlight w:val="none"/>
            </w:rPr>
            <w:instrText xml:space="preserve"> PAGEREF _Toc22758 \h </w:instrText>
          </w:r>
          <w:r>
            <w:rPr>
              <w:color w:val="auto"/>
              <w:highlight w:val="none"/>
            </w:rPr>
            <w:fldChar w:fldCharType="separate"/>
          </w:r>
          <w:r>
            <w:rPr>
              <w:color w:val="auto"/>
              <w:highlight w:val="none"/>
            </w:rPr>
            <w:t>11</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"_Toc23505" </w:instrText>
          </w:r>
          <w:r>
            <w:rPr>
              <w:color w:val="auto"/>
              <w:highlight w:val="none"/>
            </w:rPr>
            <w:fldChar w:fldCharType="separate"/>
          </w:r>
          <w:r>
            <w:rPr>
              <w:rFonts w:ascii="Times New Roman" w:hAnsi="Times New Roman" w:eastAsia="宋体"/>
              <w:color w:val="auto"/>
              <w:szCs w:val="28"/>
              <w:highlight w:val="none"/>
            </w:rPr>
            <w:t xml:space="preserve">2.4 </w:t>
          </w:r>
          <w:r>
            <w:rPr>
              <w:rFonts w:hint="eastAsia"/>
              <w:color w:val="auto"/>
              <w:highlight w:val="none"/>
            </w:rPr>
            <w:t>投标文件</w:t>
          </w:r>
          <w:r>
            <w:rPr>
              <w:color w:val="auto"/>
              <w:highlight w:val="none"/>
            </w:rPr>
            <w:tab/>
          </w:r>
          <w:r>
            <w:rPr>
              <w:color w:val="auto"/>
              <w:highlight w:val="none"/>
            </w:rPr>
            <w:fldChar w:fldCharType="begin"/>
          </w:r>
          <w:r>
            <w:rPr>
              <w:color w:val="auto"/>
              <w:highlight w:val="none"/>
            </w:rPr>
            <w:instrText xml:space="preserve"> PAGEREF _Toc23505 \h </w:instrText>
          </w:r>
          <w:r>
            <w:rPr>
              <w:color w:val="auto"/>
              <w:highlight w:val="none"/>
            </w:rPr>
            <w:fldChar w:fldCharType="separate"/>
          </w:r>
          <w:r>
            <w:rPr>
              <w:color w:val="auto"/>
              <w:highlight w:val="none"/>
            </w:rPr>
            <w:t>12</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"_Toc17847" </w:instrText>
          </w:r>
          <w:r>
            <w:rPr>
              <w:color w:val="auto"/>
              <w:highlight w:val="none"/>
            </w:rPr>
            <w:fldChar w:fldCharType="separate"/>
          </w:r>
          <w:r>
            <w:rPr>
              <w:rFonts w:ascii="Times New Roman" w:hAnsi="Times New Roman" w:eastAsia="宋体"/>
              <w:color w:val="auto"/>
              <w:szCs w:val="28"/>
              <w:highlight w:val="none"/>
            </w:rPr>
            <w:t xml:space="preserve">2.5 </w:t>
          </w:r>
          <w:r>
            <w:rPr>
              <w:rFonts w:hint="eastAsia"/>
              <w:color w:val="auto"/>
              <w:highlight w:val="none"/>
            </w:rPr>
            <w:t>开标、资格审查、评标和中标</w:t>
          </w:r>
          <w:r>
            <w:rPr>
              <w:color w:val="auto"/>
              <w:highlight w:val="none"/>
            </w:rPr>
            <w:tab/>
          </w:r>
          <w:r>
            <w:rPr>
              <w:color w:val="auto"/>
              <w:highlight w:val="none"/>
            </w:rPr>
            <w:fldChar w:fldCharType="begin"/>
          </w:r>
          <w:r>
            <w:rPr>
              <w:color w:val="auto"/>
              <w:highlight w:val="none"/>
            </w:rPr>
            <w:instrText xml:space="preserve"> PAGEREF _Toc17847 \h </w:instrText>
          </w:r>
          <w:r>
            <w:rPr>
              <w:color w:val="auto"/>
              <w:highlight w:val="none"/>
            </w:rPr>
            <w:fldChar w:fldCharType="separate"/>
          </w:r>
          <w:r>
            <w:rPr>
              <w:color w:val="auto"/>
              <w:highlight w:val="none"/>
            </w:rPr>
            <w:t>20</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"_Toc9092" </w:instrText>
          </w:r>
          <w:r>
            <w:rPr>
              <w:color w:val="auto"/>
              <w:highlight w:val="none"/>
            </w:rPr>
            <w:fldChar w:fldCharType="separate"/>
          </w:r>
          <w:r>
            <w:rPr>
              <w:rFonts w:ascii="Times New Roman" w:hAnsi="Times New Roman" w:eastAsia="宋体"/>
              <w:color w:val="auto"/>
              <w:szCs w:val="28"/>
              <w:highlight w:val="none"/>
            </w:rPr>
            <w:t xml:space="preserve">2.6 </w:t>
          </w:r>
          <w:r>
            <w:rPr>
              <w:rFonts w:hint="eastAsia"/>
              <w:color w:val="auto"/>
              <w:highlight w:val="none"/>
            </w:rPr>
            <w:t>签订及履行合同和验收</w:t>
          </w:r>
          <w:r>
            <w:rPr>
              <w:color w:val="auto"/>
              <w:highlight w:val="none"/>
            </w:rPr>
            <w:tab/>
          </w:r>
          <w:r>
            <w:rPr>
              <w:color w:val="auto"/>
              <w:highlight w:val="none"/>
            </w:rPr>
            <w:fldChar w:fldCharType="begin"/>
          </w:r>
          <w:r>
            <w:rPr>
              <w:color w:val="auto"/>
              <w:highlight w:val="none"/>
            </w:rPr>
            <w:instrText xml:space="preserve"> PAGEREF _Toc9092 \h </w:instrText>
          </w:r>
          <w:r>
            <w:rPr>
              <w:color w:val="auto"/>
              <w:highlight w:val="none"/>
            </w:rPr>
            <w:fldChar w:fldCharType="separate"/>
          </w:r>
          <w:r>
            <w:rPr>
              <w:color w:val="auto"/>
              <w:highlight w:val="none"/>
            </w:rPr>
            <w:t>23</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"_Toc7508" </w:instrText>
          </w:r>
          <w:r>
            <w:rPr>
              <w:color w:val="auto"/>
              <w:highlight w:val="none"/>
            </w:rPr>
            <w:fldChar w:fldCharType="separate"/>
          </w:r>
          <w:r>
            <w:rPr>
              <w:rFonts w:ascii="Times New Roman" w:hAnsi="Times New Roman" w:eastAsia="宋体"/>
              <w:color w:val="auto"/>
              <w:szCs w:val="28"/>
              <w:highlight w:val="none"/>
            </w:rPr>
            <w:t xml:space="preserve">2.7 </w:t>
          </w:r>
          <w:r>
            <w:rPr>
              <w:rFonts w:hint="eastAsia"/>
              <w:color w:val="auto"/>
              <w:highlight w:val="none"/>
            </w:rPr>
            <w:t>投标纪律要求</w:t>
          </w:r>
          <w:r>
            <w:rPr>
              <w:color w:val="auto"/>
              <w:highlight w:val="none"/>
            </w:rPr>
            <w:tab/>
          </w:r>
          <w:r>
            <w:rPr>
              <w:color w:val="auto"/>
              <w:highlight w:val="none"/>
            </w:rPr>
            <w:fldChar w:fldCharType="begin"/>
          </w:r>
          <w:r>
            <w:rPr>
              <w:color w:val="auto"/>
              <w:highlight w:val="none"/>
            </w:rPr>
            <w:instrText xml:space="preserve"> PAGEREF _Toc7508 \h </w:instrText>
          </w:r>
          <w:r>
            <w:rPr>
              <w:color w:val="auto"/>
              <w:highlight w:val="none"/>
            </w:rPr>
            <w:fldChar w:fldCharType="separate"/>
          </w:r>
          <w:r>
            <w:rPr>
              <w:color w:val="auto"/>
              <w:highlight w:val="none"/>
            </w:rPr>
            <w:t>25</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"_Toc1327" </w:instrText>
          </w:r>
          <w:r>
            <w:rPr>
              <w:color w:val="auto"/>
              <w:highlight w:val="none"/>
            </w:rPr>
            <w:fldChar w:fldCharType="separate"/>
          </w:r>
          <w:r>
            <w:rPr>
              <w:rFonts w:ascii="Times New Roman" w:hAnsi="Times New Roman" w:eastAsia="宋体"/>
              <w:color w:val="auto"/>
              <w:szCs w:val="28"/>
              <w:highlight w:val="none"/>
            </w:rPr>
            <w:t xml:space="preserve">2.8 </w:t>
          </w:r>
          <w:r>
            <w:rPr>
              <w:rFonts w:hint="eastAsia"/>
              <w:color w:val="auto"/>
              <w:highlight w:val="none"/>
            </w:rPr>
            <w:t>询问、质疑和投诉</w:t>
          </w:r>
          <w:r>
            <w:rPr>
              <w:color w:val="auto"/>
              <w:highlight w:val="none"/>
            </w:rPr>
            <w:tab/>
          </w:r>
          <w:r>
            <w:rPr>
              <w:color w:val="auto"/>
              <w:highlight w:val="none"/>
            </w:rPr>
            <w:fldChar w:fldCharType="begin"/>
          </w:r>
          <w:r>
            <w:rPr>
              <w:color w:val="auto"/>
              <w:highlight w:val="none"/>
            </w:rPr>
            <w:instrText xml:space="preserve"> PAGEREF _Toc1327 \h </w:instrText>
          </w:r>
          <w:r>
            <w:rPr>
              <w:color w:val="auto"/>
              <w:highlight w:val="none"/>
            </w:rPr>
            <w:fldChar w:fldCharType="separate"/>
          </w:r>
          <w:r>
            <w:rPr>
              <w:color w:val="auto"/>
              <w:highlight w:val="none"/>
            </w:rPr>
            <w:t>28</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"_Toc24812" </w:instrText>
          </w:r>
          <w:r>
            <w:rPr>
              <w:color w:val="auto"/>
              <w:highlight w:val="none"/>
            </w:rPr>
            <w:fldChar w:fldCharType="separate"/>
          </w:r>
          <w:r>
            <w:rPr>
              <w:rFonts w:ascii="Times New Roman" w:hAnsi="Times New Roman" w:eastAsia="宋体"/>
              <w:color w:val="auto"/>
              <w:szCs w:val="28"/>
              <w:highlight w:val="none"/>
            </w:rPr>
            <w:t xml:space="preserve">2.9 </w:t>
          </w:r>
          <w:r>
            <w:rPr>
              <w:rFonts w:hint="eastAsia"/>
              <w:color w:val="auto"/>
              <w:highlight w:val="none"/>
            </w:rPr>
            <w:t>中小企业政府采购信用融资</w:t>
          </w:r>
          <w:r>
            <w:rPr>
              <w:color w:val="auto"/>
              <w:highlight w:val="none"/>
            </w:rPr>
            <w:tab/>
          </w:r>
          <w:r>
            <w:rPr>
              <w:color w:val="auto"/>
              <w:highlight w:val="none"/>
            </w:rPr>
            <w:fldChar w:fldCharType="begin"/>
          </w:r>
          <w:r>
            <w:rPr>
              <w:color w:val="auto"/>
              <w:highlight w:val="none"/>
            </w:rPr>
            <w:instrText xml:space="preserve"> PAGEREF _Toc24812 \h </w:instrText>
          </w:r>
          <w:r>
            <w:rPr>
              <w:color w:val="auto"/>
              <w:highlight w:val="none"/>
            </w:rPr>
            <w:fldChar w:fldCharType="separate"/>
          </w:r>
          <w:r>
            <w:rPr>
              <w:color w:val="auto"/>
              <w:highlight w:val="none"/>
            </w:rPr>
            <w:t>29</w:t>
          </w:r>
          <w:r>
            <w:rPr>
              <w:color w:val="auto"/>
              <w:highlight w:val="none"/>
            </w:rPr>
            <w:fldChar w:fldCharType="end"/>
          </w:r>
          <w:r>
            <w:rPr>
              <w:color w:val="auto"/>
              <w:highlight w:val="none"/>
            </w:rPr>
            <w:fldChar w:fldCharType="end"/>
          </w:r>
        </w:p>
        <w:p>
          <w:pPr>
            <w:pStyle w:val="30"/>
            <w:tabs>
              <w:tab w:val="right" w:leader="dot" w:pos="8306"/>
              <w:tab w:val="clear" w:pos="709"/>
              <w:tab w:val="clear" w:pos="8364"/>
            </w:tabs>
            <w:rPr>
              <w:color w:val="auto"/>
              <w:highlight w:val="none"/>
            </w:rPr>
          </w:pPr>
          <w:r>
            <w:rPr>
              <w:color w:val="auto"/>
              <w:highlight w:val="none"/>
            </w:rPr>
            <w:fldChar w:fldCharType="begin"/>
          </w:r>
          <w:r>
            <w:rPr>
              <w:color w:val="auto"/>
              <w:highlight w:val="none"/>
            </w:rPr>
            <w:instrText xml:space="preserve"> HYPERLINK \l "_Toc6713" </w:instrText>
          </w:r>
          <w:r>
            <w:rPr>
              <w:color w:val="auto"/>
              <w:highlight w:val="none"/>
            </w:rPr>
            <w:fldChar w:fldCharType="separate"/>
          </w:r>
          <w:r>
            <w:rPr>
              <w:rFonts w:ascii="Times New Roman" w:hAnsi="Times New Roman" w:eastAsia="宋体"/>
              <w:color w:val="auto"/>
              <w:szCs w:val="32"/>
              <w:highlight w:val="none"/>
            </w:rPr>
            <w:t xml:space="preserve">第3章 </w:t>
          </w:r>
          <w:r>
            <w:rPr>
              <w:rFonts w:hint="eastAsia"/>
              <w:color w:val="auto"/>
              <w:highlight w:val="none"/>
            </w:rPr>
            <w:t>投标文件格式</w:t>
          </w:r>
          <w:r>
            <w:rPr>
              <w:color w:val="auto"/>
              <w:highlight w:val="none"/>
            </w:rPr>
            <w:tab/>
          </w:r>
          <w:r>
            <w:rPr>
              <w:color w:val="auto"/>
              <w:highlight w:val="none"/>
            </w:rPr>
            <w:fldChar w:fldCharType="begin"/>
          </w:r>
          <w:r>
            <w:rPr>
              <w:color w:val="auto"/>
              <w:highlight w:val="none"/>
            </w:rPr>
            <w:instrText xml:space="preserve"> PAGEREF _Toc6713 \h </w:instrText>
          </w:r>
          <w:r>
            <w:rPr>
              <w:color w:val="auto"/>
              <w:highlight w:val="none"/>
            </w:rPr>
            <w:fldChar w:fldCharType="separate"/>
          </w:r>
          <w:r>
            <w:rPr>
              <w:color w:val="auto"/>
              <w:highlight w:val="none"/>
            </w:rPr>
            <w:t>30</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"_Toc13686" </w:instrText>
          </w:r>
          <w:r>
            <w:rPr>
              <w:color w:val="auto"/>
              <w:highlight w:val="none"/>
            </w:rPr>
            <w:fldChar w:fldCharType="separate"/>
          </w:r>
          <w:r>
            <w:rPr>
              <w:rFonts w:ascii="Times New Roman" w:hAnsi="Times New Roman" w:eastAsia="宋体"/>
              <w:color w:val="auto"/>
              <w:szCs w:val="28"/>
              <w:highlight w:val="none"/>
            </w:rPr>
            <w:t xml:space="preserve">3.1 </w:t>
          </w:r>
          <w:r>
            <w:rPr>
              <w:rFonts w:hint="eastAsia"/>
              <w:color w:val="auto"/>
              <w:highlight w:val="none"/>
            </w:rPr>
            <w:t>投标文件封面格式</w:t>
          </w:r>
          <w:r>
            <w:rPr>
              <w:color w:val="auto"/>
              <w:highlight w:val="none"/>
            </w:rPr>
            <w:tab/>
          </w:r>
          <w:r>
            <w:rPr>
              <w:color w:val="auto"/>
              <w:highlight w:val="none"/>
            </w:rPr>
            <w:fldChar w:fldCharType="begin"/>
          </w:r>
          <w:r>
            <w:rPr>
              <w:color w:val="auto"/>
              <w:highlight w:val="none"/>
            </w:rPr>
            <w:instrText xml:space="preserve"> PAGEREF _Toc13686 \h </w:instrText>
          </w:r>
          <w:r>
            <w:rPr>
              <w:color w:val="auto"/>
              <w:highlight w:val="none"/>
            </w:rPr>
            <w:fldChar w:fldCharType="separate"/>
          </w:r>
          <w:r>
            <w:rPr>
              <w:color w:val="auto"/>
              <w:highlight w:val="none"/>
            </w:rPr>
            <w:t>30</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"_Toc18495" </w:instrText>
          </w:r>
          <w:r>
            <w:rPr>
              <w:color w:val="auto"/>
              <w:highlight w:val="none"/>
            </w:rPr>
            <w:fldChar w:fldCharType="separate"/>
          </w:r>
          <w:r>
            <w:rPr>
              <w:rFonts w:ascii="Times New Roman" w:hAnsi="Times New Roman" w:eastAsia="宋体"/>
              <w:color w:val="auto"/>
              <w:szCs w:val="28"/>
              <w:highlight w:val="none"/>
            </w:rPr>
            <w:t xml:space="preserve">3.2 </w:t>
          </w:r>
          <w:r>
            <w:rPr>
              <w:rFonts w:hint="eastAsia"/>
              <w:color w:val="auto"/>
              <w:highlight w:val="none"/>
            </w:rPr>
            <w:t>资格响应文件</w:t>
          </w:r>
          <w:r>
            <w:rPr>
              <w:color w:val="auto"/>
              <w:highlight w:val="none"/>
            </w:rPr>
            <w:tab/>
          </w:r>
          <w:r>
            <w:rPr>
              <w:color w:val="auto"/>
              <w:highlight w:val="none"/>
            </w:rPr>
            <w:fldChar w:fldCharType="begin"/>
          </w:r>
          <w:r>
            <w:rPr>
              <w:color w:val="auto"/>
              <w:highlight w:val="none"/>
            </w:rPr>
            <w:instrText xml:space="preserve"> PAGEREF _Toc18495 \h </w:instrText>
          </w:r>
          <w:r>
            <w:rPr>
              <w:color w:val="auto"/>
              <w:highlight w:val="none"/>
            </w:rPr>
            <w:fldChar w:fldCharType="separate"/>
          </w:r>
          <w:r>
            <w:rPr>
              <w:color w:val="auto"/>
              <w:highlight w:val="none"/>
            </w:rPr>
            <w:t>31</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"_Toc29848" </w:instrText>
          </w:r>
          <w:r>
            <w:rPr>
              <w:color w:val="auto"/>
              <w:highlight w:val="none"/>
            </w:rPr>
            <w:fldChar w:fldCharType="separate"/>
          </w:r>
          <w:r>
            <w:rPr>
              <w:rFonts w:ascii="Times New Roman" w:hAnsi="Times New Roman" w:eastAsia="宋体"/>
              <w:color w:val="auto"/>
              <w:szCs w:val="28"/>
              <w:highlight w:val="none"/>
            </w:rPr>
            <w:t xml:space="preserve">3.3 </w:t>
          </w:r>
          <w:r>
            <w:rPr>
              <w:rFonts w:hint="eastAsia"/>
              <w:color w:val="auto"/>
              <w:highlight w:val="none"/>
            </w:rPr>
            <w:t>商务技术</w:t>
          </w:r>
          <w:r>
            <w:rPr>
              <w:color w:val="auto"/>
              <w:highlight w:val="none"/>
            </w:rPr>
            <w:t>响应文件</w:t>
          </w:r>
          <w:r>
            <w:rPr>
              <w:color w:val="auto"/>
              <w:highlight w:val="none"/>
            </w:rPr>
            <w:tab/>
          </w:r>
          <w:r>
            <w:rPr>
              <w:color w:val="auto"/>
              <w:highlight w:val="none"/>
            </w:rPr>
            <w:fldChar w:fldCharType="begin"/>
          </w:r>
          <w:r>
            <w:rPr>
              <w:color w:val="auto"/>
              <w:highlight w:val="none"/>
            </w:rPr>
            <w:instrText xml:space="preserve"> PAGEREF _Toc29848 \h </w:instrText>
          </w:r>
          <w:r>
            <w:rPr>
              <w:color w:val="auto"/>
              <w:highlight w:val="none"/>
            </w:rPr>
            <w:fldChar w:fldCharType="separate"/>
          </w:r>
          <w:r>
            <w:rPr>
              <w:color w:val="auto"/>
              <w:highlight w:val="none"/>
            </w:rPr>
            <w:t>37</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"_Toc19171" </w:instrText>
          </w:r>
          <w:r>
            <w:rPr>
              <w:color w:val="auto"/>
              <w:highlight w:val="none"/>
            </w:rPr>
            <w:fldChar w:fldCharType="separate"/>
          </w:r>
          <w:r>
            <w:rPr>
              <w:rFonts w:ascii="Times New Roman" w:hAnsi="Times New Roman" w:eastAsia="宋体"/>
              <w:color w:val="auto"/>
              <w:szCs w:val="28"/>
              <w:highlight w:val="none"/>
            </w:rPr>
            <w:t xml:space="preserve">3.4 </w:t>
          </w:r>
          <w:r>
            <w:rPr>
              <w:rFonts w:hint="eastAsia" w:ascii="宋体" w:hAnsi="宋体"/>
              <w:color w:val="auto"/>
              <w:highlight w:val="none"/>
            </w:rPr>
            <w:t>报价</w:t>
          </w:r>
          <w:r>
            <w:rPr>
              <w:rFonts w:hint="eastAsia" w:ascii="宋体" w:hAnsi="宋体"/>
              <w:bCs/>
              <w:color w:val="auto"/>
              <w:szCs w:val="28"/>
              <w:highlight w:val="none"/>
            </w:rPr>
            <w:t>要求</w:t>
          </w:r>
          <w:r>
            <w:rPr>
              <w:rFonts w:hint="eastAsia" w:ascii="宋体" w:hAnsi="宋体"/>
              <w:color w:val="auto"/>
              <w:highlight w:val="none"/>
            </w:rPr>
            <w:t>响应文件</w:t>
          </w:r>
          <w:r>
            <w:rPr>
              <w:color w:val="auto"/>
              <w:highlight w:val="none"/>
            </w:rPr>
            <w:tab/>
          </w:r>
          <w:r>
            <w:rPr>
              <w:color w:val="auto"/>
              <w:highlight w:val="none"/>
            </w:rPr>
            <w:fldChar w:fldCharType="begin"/>
          </w:r>
          <w:r>
            <w:rPr>
              <w:color w:val="auto"/>
              <w:highlight w:val="none"/>
            </w:rPr>
            <w:instrText xml:space="preserve"> PAGEREF _Toc19171 \h </w:instrText>
          </w:r>
          <w:r>
            <w:rPr>
              <w:color w:val="auto"/>
              <w:highlight w:val="none"/>
            </w:rPr>
            <w:fldChar w:fldCharType="separate"/>
          </w:r>
          <w:r>
            <w:rPr>
              <w:color w:val="auto"/>
              <w:highlight w:val="none"/>
            </w:rPr>
            <w:t>45</w:t>
          </w:r>
          <w:r>
            <w:rPr>
              <w:color w:val="auto"/>
              <w:highlight w:val="none"/>
            </w:rPr>
            <w:fldChar w:fldCharType="end"/>
          </w:r>
          <w:r>
            <w:rPr>
              <w:color w:val="auto"/>
              <w:highlight w:val="none"/>
            </w:rPr>
            <w:fldChar w:fldCharType="end"/>
          </w:r>
        </w:p>
        <w:p>
          <w:pPr>
            <w:pStyle w:val="30"/>
            <w:tabs>
              <w:tab w:val="right" w:leader="dot" w:pos="8306"/>
              <w:tab w:val="clear" w:pos="709"/>
              <w:tab w:val="clear" w:pos="8364"/>
            </w:tabs>
            <w:rPr>
              <w:color w:val="auto"/>
              <w:highlight w:val="none"/>
            </w:rPr>
          </w:pPr>
          <w:r>
            <w:rPr>
              <w:color w:val="auto"/>
              <w:highlight w:val="none"/>
            </w:rPr>
            <w:fldChar w:fldCharType="begin"/>
          </w:r>
          <w:r>
            <w:rPr>
              <w:color w:val="auto"/>
              <w:highlight w:val="none"/>
            </w:rPr>
            <w:instrText xml:space="preserve"> HYPERLINK \l "_Toc22961" </w:instrText>
          </w:r>
          <w:r>
            <w:rPr>
              <w:color w:val="auto"/>
              <w:highlight w:val="none"/>
            </w:rPr>
            <w:fldChar w:fldCharType="separate"/>
          </w:r>
          <w:r>
            <w:rPr>
              <w:rFonts w:ascii="Times New Roman" w:hAnsi="Times New Roman" w:eastAsia="宋体"/>
              <w:color w:val="auto"/>
              <w:szCs w:val="32"/>
              <w:highlight w:val="none"/>
            </w:rPr>
            <w:t xml:space="preserve">第4章 </w:t>
          </w:r>
          <w:r>
            <w:rPr>
              <w:rFonts w:hint="eastAsia"/>
              <w:color w:val="auto"/>
              <w:highlight w:val="none"/>
            </w:rPr>
            <w:t>招标项目服务、商务及其他要求</w:t>
          </w:r>
          <w:r>
            <w:rPr>
              <w:color w:val="auto"/>
              <w:highlight w:val="none"/>
            </w:rPr>
            <w:tab/>
          </w:r>
          <w:r>
            <w:rPr>
              <w:color w:val="auto"/>
              <w:highlight w:val="none"/>
            </w:rPr>
            <w:fldChar w:fldCharType="begin"/>
          </w:r>
          <w:r>
            <w:rPr>
              <w:color w:val="auto"/>
              <w:highlight w:val="none"/>
            </w:rPr>
            <w:instrText xml:space="preserve"> PAGEREF _Toc22961 \h </w:instrText>
          </w:r>
          <w:r>
            <w:rPr>
              <w:color w:val="auto"/>
              <w:highlight w:val="none"/>
            </w:rPr>
            <w:fldChar w:fldCharType="separate"/>
          </w:r>
          <w:r>
            <w:rPr>
              <w:color w:val="auto"/>
              <w:highlight w:val="none"/>
            </w:rPr>
            <w:t>47</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"_Toc19749" </w:instrText>
          </w:r>
          <w:r>
            <w:rPr>
              <w:color w:val="auto"/>
              <w:highlight w:val="none"/>
            </w:rPr>
            <w:fldChar w:fldCharType="separate"/>
          </w:r>
          <w:r>
            <w:rPr>
              <w:rFonts w:ascii="Times New Roman" w:hAnsi="Times New Roman" w:eastAsia="宋体"/>
              <w:color w:val="auto"/>
              <w:szCs w:val="28"/>
              <w:highlight w:val="none"/>
            </w:rPr>
            <w:t xml:space="preserve">4.1 </w:t>
          </w:r>
          <w:r>
            <w:rPr>
              <w:rFonts w:hint="eastAsia"/>
              <w:color w:val="auto"/>
              <w:highlight w:val="none"/>
            </w:rPr>
            <w:t>项目概况</w:t>
          </w:r>
          <w:r>
            <w:rPr>
              <w:color w:val="auto"/>
              <w:highlight w:val="none"/>
            </w:rPr>
            <w:tab/>
          </w:r>
          <w:r>
            <w:rPr>
              <w:color w:val="auto"/>
              <w:highlight w:val="none"/>
            </w:rPr>
            <w:fldChar w:fldCharType="begin"/>
          </w:r>
          <w:r>
            <w:rPr>
              <w:color w:val="auto"/>
              <w:highlight w:val="none"/>
            </w:rPr>
            <w:instrText xml:space="preserve"> PAGEREF _Toc19749 \h </w:instrText>
          </w:r>
          <w:r>
            <w:rPr>
              <w:color w:val="auto"/>
              <w:highlight w:val="none"/>
            </w:rPr>
            <w:fldChar w:fldCharType="separate"/>
          </w:r>
          <w:r>
            <w:rPr>
              <w:color w:val="auto"/>
              <w:highlight w:val="none"/>
            </w:rPr>
            <w:t>47</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"_Toc21599" </w:instrText>
          </w:r>
          <w:r>
            <w:rPr>
              <w:color w:val="auto"/>
              <w:highlight w:val="none"/>
            </w:rPr>
            <w:fldChar w:fldCharType="separate"/>
          </w:r>
          <w:r>
            <w:rPr>
              <w:rFonts w:ascii="Times New Roman" w:hAnsi="Times New Roman" w:eastAsia="宋体"/>
              <w:color w:val="auto"/>
              <w:szCs w:val="28"/>
              <w:highlight w:val="none"/>
            </w:rPr>
            <w:t xml:space="preserve">4.2 </w:t>
          </w:r>
          <w:r>
            <w:rPr>
              <w:rFonts w:hint="eastAsia"/>
              <w:color w:val="auto"/>
              <w:highlight w:val="none"/>
            </w:rPr>
            <w:t>服务内容及要求</w:t>
          </w:r>
          <w:r>
            <w:rPr>
              <w:color w:val="auto"/>
              <w:highlight w:val="none"/>
            </w:rPr>
            <w:tab/>
          </w:r>
          <w:r>
            <w:rPr>
              <w:color w:val="auto"/>
              <w:highlight w:val="none"/>
            </w:rPr>
            <w:fldChar w:fldCharType="begin"/>
          </w:r>
          <w:r>
            <w:rPr>
              <w:color w:val="auto"/>
              <w:highlight w:val="none"/>
            </w:rPr>
            <w:instrText xml:space="preserve"> PAGEREF _Toc21599 \h </w:instrText>
          </w:r>
          <w:r>
            <w:rPr>
              <w:color w:val="auto"/>
              <w:highlight w:val="none"/>
            </w:rPr>
            <w:fldChar w:fldCharType="separate"/>
          </w:r>
          <w:r>
            <w:rPr>
              <w:color w:val="auto"/>
              <w:highlight w:val="none"/>
            </w:rPr>
            <w:t>47</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"_Toc5730" </w:instrText>
          </w:r>
          <w:r>
            <w:rPr>
              <w:color w:val="auto"/>
              <w:highlight w:val="none"/>
            </w:rPr>
            <w:fldChar w:fldCharType="separate"/>
          </w:r>
          <w:r>
            <w:rPr>
              <w:rFonts w:ascii="Times New Roman" w:hAnsi="Times New Roman" w:eastAsia="宋体"/>
              <w:color w:val="auto"/>
              <w:szCs w:val="28"/>
              <w:highlight w:val="none"/>
            </w:rPr>
            <w:t xml:space="preserve">4.3 </w:t>
          </w:r>
          <w:r>
            <w:rPr>
              <w:rFonts w:hint="eastAsia"/>
              <w:color w:val="auto"/>
              <w:highlight w:val="none"/>
            </w:rPr>
            <w:t>商务要求</w:t>
          </w:r>
          <w:r>
            <w:rPr>
              <w:color w:val="auto"/>
              <w:highlight w:val="none"/>
            </w:rPr>
            <w:tab/>
          </w:r>
          <w:r>
            <w:rPr>
              <w:color w:val="auto"/>
              <w:highlight w:val="none"/>
            </w:rPr>
            <w:fldChar w:fldCharType="begin"/>
          </w:r>
          <w:r>
            <w:rPr>
              <w:color w:val="auto"/>
              <w:highlight w:val="none"/>
            </w:rPr>
            <w:instrText xml:space="preserve"> PAGEREF _Toc5730 \h </w:instrText>
          </w:r>
          <w:r>
            <w:rPr>
              <w:color w:val="auto"/>
              <w:highlight w:val="none"/>
            </w:rPr>
            <w:fldChar w:fldCharType="separate"/>
          </w:r>
          <w:r>
            <w:rPr>
              <w:color w:val="auto"/>
              <w:highlight w:val="none"/>
            </w:rPr>
            <w:t>58</w:t>
          </w:r>
          <w:r>
            <w:rPr>
              <w:color w:val="auto"/>
              <w:highlight w:val="none"/>
            </w:rPr>
            <w:fldChar w:fldCharType="end"/>
          </w:r>
          <w:r>
            <w:rPr>
              <w:color w:val="auto"/>
              <w:highlight w:val="none"/>
            </w:rPr>
            <w:fldChar w:fldCharType="end"/>
          </w:r>
        </w:p>
        <w:p>
          <w:pPr>
            <w:pStyle w:val="30"/>
            <w:tabs>
              <w:tab w:val="right" w:leader="dot" w:pos="8306"/>
              <w:tab w:val="clear" w:pos="709"/>
              <w:tab w:val="clear" w:pos="8364"/>
            </w:tabs>
            <w:rPr>
              <w:color w:val="auto"/>
              <w:highlight w:val="none"/>
            </w:rPr>
          </w:pPr>
          <w:r>
            <w:rPr>
              <w:color w:val="auto"/>
              <w:highlight w:val="none"/>
            </w:rPr>
            <w:fldChar w:fldCharType="begin"/>
          </w:r>
          <w:r>
            <w:rPr>
              <w:color w:val="auto"/>
              <w:highlight w:val="none"/>
            </w:rPr>
            <w:instrText xml:space="preserve"> HYPERLINK \l "_Toc5104" </w:instrText>
          </w:r>
          <w:r>
            <w:rPr>
              <w:color w:val="auto"/>
              <w:highlight w:val="none"/>
            </w:rPr>
            <w:fldChar w:fldCharType="separate"/>
          </w:r>
          <w:r>
            <w:rPr>
              <w:rFonts w:ascii="Times New Roman" w:hAnsi="Times New Roman" w:eastAsia="宋体"/>
              <w:color w:val="auto"/>
              <w:szCs w:val="32"/>
              <w:highlight w:val="none"/>
            </w:rPr>
            <w:t xml:space="preserve">第5章 </w:t>
          </w:r>
          <w:r>
            <w:rPr>
              <w:rFonts w:hint="eastAsia"/>
              <w:color w:val="auto"/>
              <w:highlight w:val="none"/>
            </w:rPr>
            <w:t>资格性审查</w:t>
          </w:r>
          <w:r>
            <w:rPr>
              <w:color w:val="auto"/>
              <w:highlight w:val="none"/>
            </w:rPr>
            <w:tab/>
          </w:r>
          <w:r>
            <w:rPr>
              <w:color w:val="auto"/>
              <w:highlight w:val="none"/>
            </w:rPr>
            <w:fldChar w:fldCharType="begin"/>
          </w:r>
          <w:r>
            <w:rPr>
              <w:color w:val="auto"/>
              <w:highlight w:val="none"/>
            </w:rPr>
            <w:instrText xml:space="preserve"> PAGEREF _Toc5104 \h </w:instrText>
          </w:r>
          <w:r>
            <w:rPr>
              <w:color w:val="auto"/>
              <w:highlight w:val="none"/>
            </w:rPr>
            <w:fldChar w:fldCharType="separate"/>
          </w:r>
          <w:r>
            <w:rPr>
              <w:color w:val="auto"/>
              <w:highlight w:val="none"/>
            </w:rPr>
            <w:t>69</w:t>
          </w:r>
          <w:r>
            <w:rPr>
              <w:color w:val="auto"/>
              <w:highlight w:val="none"/>
            </w:rPr>
            <w:fldChar w:fldCharType="end"/>
          </w:r>
          <w:r>
            <w:rPr>
              <w:color w:val="auto"/>
              <w:highlight w:val="none"/>
            </w:rPr>
            <w:fldChar w:fldCharType="end"/>
          </w:r>
        </w:p>
        <w:p>
          <w:pPr>
            <w:pStyle w:val="30"/>
            <w:tabs>
              <w:tab w:val="right" w:leader="dot" w:pos="8306"/>
              <w:tab w:val="clear" w:pos="709"/>
              <w:tab w:val="clear" w:pos="8364"/>
            </w:tabs>
            <w:rPr>
              <w:color w:val="auto"/>
              <w:highlight w:val="none"/>
            </w:rPr>
          </w:pPr>
          <w:r>
            <w:rPr>
              <w:color w:val="auto"/>
              <w:highlight w:val="none"/>
            </w:rPr>
            <w:fldChar w:fldCharType="begin"/>
          </w:r>
          <w:r>
            <w:rPr>
              <w:color w:val="auto"/>
              <w:highlight w:val="none"/>
            </w:rPr>
            <w:instrText xml:space="preserve"> HYPERLINK \l "_Toc12401" </w:instrText>
          </w:r>
          <w:r>
            <w:rPr>
              <w:color w:val="auto"/>
              <w:highlight w:val="none"/>
            </w:rPr>
            <w:fldChar w:fldCharType="separate"/>
          </w:r>
          <w:r>
            <w:rPr>
              <w:rFonts w:ascii="Times New Roman" w:hAnsi="Times New Roman" w:eastAsia="宋体"/>
              <w:color w:val="auto"/>
              <w:szCs w:val="32"/>
              <w:highlight w:val="none"/>
            </w:rPr>
            <w:t xml:space="preserve">第6章 </w:t>
          </w:r>
          <w:r>
            <w:rPr>
              <w:rFonts w:hint="eastAsia"/>
              <w:color w:val="auto"/>
              <w:highlight w:val="none"/>
            </w:rPr>
            <w:t>评标办法</w:t>
          </w:r>
          <w:r>
            <w:rPr>
              <w:color w:val="auto"/>
              <w:highlight w:val="none"/>
            </w:rPr>
            <w:tab/>
          </w:r>
          <w:r>
            <w:rPr>
              <w:color w:val="auto"/>
              <w:highlight w:val="none"/>
            </w:rPr>
            <w:fldChar w:fldCharType="begin"/>
          </w:r>
          <w:r>
            <w:rPr>
              <w:color w:val="auto"/>
              <w:highlight w:val="none"/>
            </w:rPr>
            <w:instrText xml:space="preserve"> PAGEREF _Toc12401 \h </w:instrText>
          </w:r>
          <w:r>
            <w:rPr>
              <w:color w:val="auto"/>
              <w:highlight w:val="none"/>
            </w:rPr>
            <w:fldChar w:fldCharType="separate"/>
          </w:r>
          <w:r>
            <w:rPr>
              <w:color w:val="auto"/>
              <w:highlight w:val="none"/>
            </w:rPr>
            <w:t>74</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"_Toc15264" </w:instrText>
          </w:r>
          <w:r>
            <w:rPr>
              <w:color w:val="auto"/>
              <w:highlight w:val="none"/>
            </w:rPr>
            <w:fldChar w:fldCharType="separate"/>
          </w:r>
          <w:r>
            <w:rPr>
              <w:rFonts w:ascii="Times New Roman" w:hAnsi="Times New Roman" w:eastAsia="宋体"/>
              <w:color w:val="auto"/>
              <w:szCs w:val="28"/>
              <w:highlight w:val="none"/>
            </w:rPr>
            <w:t xml:space="preserve">6.1 </w:t>
          </w:r>
          <w:r>
            <w:rPr>
              <w:rFonts w:hint="eastAsia"/>
              <w:color w:val="auto"/>
              <w:highlight w:val="none"/>
            </w:rPr>
            <w:t>总则</w:t>
          </w:r>
          <w:r>
            <w:rPr>
              <w:color w:val="auto"/>
              <w:highlight w:val="none"/>
            </w:rPr>
            <w:tab/>
          </w:r>
          <w:r>
            <w:rPr>
              <w:color w:val="auto"/>
              <w:highlight w:val="none"/>
            </w:rPr>
            <w:fldChar w:fldCharType="begin"/>
          </w:r>
          <w:r>
            <w:rPr>
              <w:color w:val="auto"/>
              <w:highlight w:val="none"/>
            </w:rPr>
            <w:instrText xml:space="preserve"> PAGEREF _Toc15264 \h </w:instrText>
          </w:r>
          <w:r>
            <w:rPr>
              <w:color w:val="auto"/>
              <w:highlight w:val="none"/>
            </w:rPr>
            <w:fldChar w:fldCharType="separate"/>
          </w:r>
          <w:r>
            <w:rPr>
              <w:color w:val="auto"/>
              <w:highlight w:val="none"/>
            </w:rPr>
            <w:t>74</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"_Toc22385" </w:instrText>
          </w:r>
          <w:r>
            <w:rPr>
              <w:color w:val="auto"/>
              <w:highlight w:val="none"/>
            </w:rPr>
            <w:fldChar w:fldCharType="separate"/>
          </w:r>
          <w:r>
            <w:rPr>
              <w:rFonts w:ascii="Times New Roman" w:hAnsi="Times New Roman" w:eastAsia="宋体"/>
              <w:color w:val="auto"/>
              <w:szCs w:val="28"/>
              <w:highlight w:val="none"/>
            </w:rPr>
            <w:t xml:space="preserve">6.2 </w:t>
          </w:r>
          <w:r>
            <w:rPr>
              <w:rFonts w:hint="eastAsia"/>
              <w:color w:val="auto"/>
              <w:highlight w:val="none"/>
            </w:rPr>
            <w:t>评标方法</w:t>
          </w:r>
          <w:r>
            <w:rPr>
              <w:color w:val="auto"/>
              <w:highlight w:val="none"/>
            </w:rPr>
            <w:tab/>
          </w:r>
          <w:r>
            <w:rPr>
              <w:color w:val="auto"/>
              <w:highlight w:val="none"/>
            </w:rPr>
            <w:fldChar w:fldCharType="begin"/>
          </w:r>
          <w:r>
            <w:rPr>
              <w:color w:val="auto"/>
              <w:highlight w:val="none"/>
            </w:rPr>
            <w:instrText xml:space="preserve"> PAGEREF _Toc22385 \h </w:instrText>
          </w:r>
          <w:r>
            <w:rPr>
              <w:color w:val="auto"/>
              <w:highlight w:val="none"/>
            </w:rPr>
            <w:fldChar w:fldCharType="separate"/>
          </w:r>
          <w:r>
            <w:rPr>
              <w:color w:val="auto"/>
              <w:highlight w:val="none"/>
            </w:rPr>
            <w:t>75</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"_Toc28055" </w:instrText>
          </w:r>
          <w:r>
            <w:rPr>
              <w:color w:val="auto"/>
              <w:highlight w:val="none"/>
            </w:rPr>
            <w:fldChar w:fldCharType="separate"/>
          </w:r>
          <w:r>
            <w:rPr>
              <w:rFonts w:ascii="Times New Roman" w:hAnsi="Times New Roman" w:eastAsia="宋体"/>
              <w:color w:val="auto"/>
              <w:szCs w:val="28"/>
              <w:highlight w:val="none"/>
            </w:rPr>
            <w:t xml:space="preserve">6.3 </w:t>
          </w:r>
          <w:r>
            <w:rPr>
              <w:rFonts w:hint="eastAsia"/>
              <w:color w:val="auto"/>
              <w:highlight w:val="none"/>
            </w:rPr>
            <w:t>评标程序</w:t>
          </w:r>
          <w:r>
            <w:rPr>
              <w:color w:val="auto"/>
              <w:highlight w:val="none"/>
            </w:rPr>
            <w:tab/>
          </w:r>
          <w:r>
            <w:rPr>
              <w:color w:val="auto"/>
              <w:highlight w:val="none"/>
            </w:rPr>
            <w:fldChar w:fldCharType="begin"/>
          </w:r>
          <w:r>
            <w:rPr>
              <w:color w:val="auto"/>
              <w:highlight w:val="none"/>
            </w:rPr>
            <w:instrText xml:space="preserve"> PAGEREF _Toc28055 \h </w:instrText>
          </w:r>
          <w:r>
            <w:rPr>
              <w:color w:val="auto"/>
              <w:highlight w:val="none"/>
            </w:rPr>
            <w:fldChar w:fldCharType="separate"/>
          </w:r>
          <w:r>
            <w:rPr>
              <w:color w:val="auto"/>
              <w:highlight w:val="none"/>
            </w:rPr>
            <w:t>75</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"_Toc18759" </w:instrText>
          </w:r>
          <w:r>
            <w:rPr>
              <w:color w:val="auto"/>
              <w:highlight w:val="none"/>
            </w:rPr>
            <w:fldChar w:fldCharType="separate"/>
          </w:r>
          <w:r>
            <w:rPr>
              <w:rFonts w:ascii="Times New Roman" w:hAnsi="Times New Roman" w:eastAsia="宋体"/>
              <w:color w:val="auto"/>
              <w:szCs w:val="28"/>
              <w:highlight w:val="none"/>
            </w:rPr>
            <w:t xml:space="preserve">6.4 </w:t>
          </w:r>
          <w:r>
            <w:rPr>
              <w:rFonts w:hint="eastAsia"/>
              <w:color w:val="auto"/>
              <w:highlight w:val="none"/>
            </w:rPr>
            <w:t>评标争议处理规则</w:t>
          </w:r>
          <w:r>
            <w:rPr>
              <w:color w:val="auto"/>
              <w:highlight w:val="none"/>
            </w:rPr>
            <w:tab/>
          </w:r>
          <w:r>
            <w:rPr>
              <w:color w:val="auto"/>
              <w:highlight w:val="none"/>
            </w:rPr>
            <w:fldChar w:fldCharType="begin"/>
          </w:r>
          <w:r>
            <w:rPr>
              <w:color w:val="auto"/>
              <w:highlight w:val="none"/>
            </w:rPr>
            <w:instrText xml:space="preserve"> PAGEREF _Toc18759 \h </w:instrText>
          </w:r>
          <w:r>
            <w:rPr>
              <w:color w:val="auto"/>
              <w:highlight w:val="none"/>
            </w:rPr>
            <w:fldChar w:fldCharType="separate"/>
          </w:r>
          <w:r>
            <w:rPr>
              <w:color w:val="auto"/>
              <w:highlight w:val="none"/>
            </w:rPr>
            <w:t>82</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"_Toc2818" </w:instrText>
          </w:r>
          <w:r>
            <w:rPr>
              <w:color w:val="auto"/>
              <w:highlight w:val="none"/>
            </w:rPr>
            <w:fldChar w:fldCharType="separate"/>
          </w:r>
          <w:r>
            <w:rPr>
              <w:rFonts w:ascii="Times New Roman" w:hAnsi="Times New Roman" w:eastAsia="宋体"/>
              <w:color w:val="auto"/>
              <w:szCs w:val="28"/>
              <w:highlight w:val="none"/>
            </w:rPr>
            <w:t xml:space="preserve">6.5 </w:t>
          </w:r>
          <w:r>
            <w:rPr>
              <w:rFonts w:hint="eastAsia"/>
              <w:color w:val="auto"/>
              <w:highlight w:val="none"/>
            </w:rPr>
            <w:t>评标细则及标准</w:t>
          </w:r>
          <w:r>
            <w:rPr>
              <w:color w:val="auto"/>
              <w:highlight w:val="none"/>
            </w:rPr>
            <w:tab/>
          </w:r>
          <w:r>
            <w:rPr>
              <w:color w:val="auto"/>
              <w:highlight w:val="none"/>
            </w:rPr>
            <w:fldChar w:fldCharType="begin"/>
          </w:r>
          <w:r>
            <w:rPr>
              <w:color w:val="auto"/>
              <w:highlight w:val="none"/>
            </w:rPr>
            <w:instrText xml:space="preserve"> PAGEREF _Toc2818 \h </w:instrText>
          </w:r>
          <w:r>
            <w:rPr>
              <w:color w:val="auto"/>
              <w:highlight w:val="none"/>
            </w:rPr>
            <w:fldChar w:fldCharType="separate"/>
          </w:r>
          <w:r>
            <w:rPr>
              <w:color w:val="auto"/>
              <w:highlight w:val="none"/>
            </w:rPr>
            <w:t>82</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"_Toc31203" </w:instrText>
          </w:r>
          <w:r>
            <w:rPr>
              <w:color w:val="auto"/>
              <w:highlight w:val="none"/>
            </w:rPr>
            <w:fldChar w:fldCharType="separate"/>
          </w:r>
          <w:r>
            <w:rPr>
              <w:rFonts w:ascii="Times New Roman" w:hAnsi="Times New Roman" w:eastAsia="宋体"/>
              <w:color w:val="auto"/>
              <w:szCs w:val="28"/>
              <w:highlight w:val="none"/>
            </w:rPr>
            <w:t xml:space="preserve">6.6 </w:t>
          </w:r>
          <w:r>
            <w:rPr>
              <w:rFonts w:hint="eastAsia"/>
              <w:color w:val="auto"/>
              <w:highlight w:val="none"/>
            </w:rPr>
            <w:t>废标</w:t>
          </w:r>
          <w:r>
            <w:rPr>
              <w:color w:val="auto"/>
              <w:highlight w:val="none"/>
            </w:rPr>
            <w:tab/>
          </w:r>
          <w:r>
            <w:rPr>
              <w:color w:val="auto"/>
              <w:highlight w:val="none"/>
            </w:rPr>
            <w:fldChar w:fldCharType="begin"/>
          </w:r>
          <w:r>
            <w:rPr>
              <w:color w:val="auto"/>
              <w:highlight w:val="none"/>
            </w:rPr>
            <w:instrText xml:space="preserve"> PAGEREF _Toc31203 \h </w:instrText>
          </w:r>
          <w:r>
            <w:rPr>
              <w:color w:val="auto"/>
              <w:highlight w:val="none"/>
            </w:rPr>
            <w:fldChar w:fldCharType="separate"/>
          </w:r>
          <w:r>
            <w:rPr>
              <w:color w:val="auto"/>
              <w:highlight w:val="none"/>
            </w:rPr>
            <w:t>86</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"_Toc14777" </w:instrText>
          </w:r>
          <w:r>
            <w:rPr>
              <w:color w:val="auto"/>
              <w:highlight w:val="none"/>
            </w:rPr>
            <w:fldChar w:fldCharType="separate"/>
          </w:r>
          <w:r>
            <w:rPr>
              <w:rFonts w:ascii="Times New Roman" w:hAnsi="Times New Roman" w:eastAsia="宋体"/>
              <w:color w:val="auto"/>
              <w:szCs w:val="28"/>
              <w:highlight w:val="none"/>
            </w:rPr>
            <w:t xml:space="preserve">6.7 </w:t>
          </w:r>
          <w:r>
            <w:rPr>
              <w:rFonts w:hint="eastAsia"/>
              <w:color w:val="auto"/>
              <w:highlight w:val="none"/>
            </w:rPr>
            <w:t>定标</w:t>
          </w:r>
          <w:r>
            <w:rPr>
              <w:color w:val="auto"/>
              <w:highlight w:val="none"/>
            </w:rPr>
            <w:tab/>
          </w:r>
          <w:r>
            <w:rPr>
              <w:color w:val="auto"/>
              <w:highlight w:val="none"/>
            </w:rPr>
            <w:fldChar w:fldCharType="begin"/>
          </w:r>
          <w:r>
            <w:rPr>
              <w:color w:val="auto"/>
              <w:highlight w:val="none"/>
            </w:rPr>
            <w:instrText xml:space="preserve"> PAGEREF _Toc14777 \h </w:instrText>
          </w:r>
          <w:r>
            <w:rPr>
              <w:color w:val="auto"/>
              <w:highlight w:val="none"/>
            </w:rPr>
            <w:fldChar w:fldCharType="separate"/>
          </w:r>
          <w:r>
            <w:rPr>
              <w:color w:val="auto"/>
              <w:highlight w:val="none"/>
            </w:rPr>
            <w:t>87</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"_Toc6845" </w:instrText>
          </w:r>
          <w:r>
            <w:rPr>
              <w:color w:val="auto"/>
              <w:highlight w:val="none"/>
            </w:rPr>
            <w:fldChar w:fldCharType="separate"/>
          </w:r>
          <w:r>
            <w:rPr>
              <w:rFonts w:ascii="Times New Roman" w:hAnsi="Times New Roman" w:eastAsia="宋体"/>
              <w:color w:val="auto"/>
              <w:szCs w:val="28"/>
              <w:highlight w:val="none"/>
            </w:rPr>
            <w:t xml:space="preserve">6.8 </w:t>
          </w:r>
          <w:r>
            <w:rPr>
              <w:rFonts w:hint="eastAsia"/>
              <w:color w:val="auto"/>
              <w:highlight w:val="none"/>
            </w:rPr>
            <w:t>评标专家在政府采购活动中承担以下义务</w:t>
          </w:r>
          <w:r>
            <w:rPr>
              <w:color w:val="auto"/>
              <w:highlight w:val="none"/>
            </w:rPr>
            <w:tab/>
          </w:r>
          <w:r>
            <w:rPr>
              <w:color w:val="auto"/>
              <w:highlight w:val="none"/>
            </w:rPr>
            <w:fldChar w:fldCharType="begin"/>
          </w:r>
          <w:r>
            <w:rPr>
              <w:color w:val="auto"/>
              <w:highlight w:val="none"/>
            </w:rPr>
            <w:instrText xml:space="preserve"> PAGEREF _Toc6845 \h </w:instrText>
          </w:r>
          <w:r>
            <w:rPr>
              <w:color w:val="auto"/>
              <w:highlight w:val="none"/>
            </w:rPr>
            <w:fldChar w:fldCharType="separate"/>
          </w:r>
          <w:r>
            <w:rPr>
              <w:color w:val="auto"/>
              <w:highlight w:val="none"/>
            </w:rPr>
            <w:t>88</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"_Toc1103" </w:instrText>
          </w:r>
          <w:r>
            <w:rPr>
              <w:color w:val="auto"/>
              <w:highlight w:val="none"/>
            </w:rPr>
            <w:fldChar w:fldCharType="separate"/>
          </w:r>
          <w:r>
            <w:rPr>
              <w:rFonts w:ascii="Times New Roman" w:hAnsi="Times New Roman" w:eastAsia="宋体"/>
              <w:color w:val="auto"/>
              <w:szCs w:val="28"/>
              <w:highlight w:val="none"/>
            </w:rPr>
            <w:t xml:space="preserve">6.9 </w:t>
          </w:r>
          <w:r>
            <w:rPr>
              <w:rFonts w:hint="eastAsia"/>
              <w:color w:val="auto"/>
              <w:highlight w:val="none"/>
            </w:rPr>
            <w:t>评标委员会及其成员不得有下列行为：</w:t>
          </w:r>
          <w:r>
            <w:rPr>
              <w:color w:val="auto"/>
              <w:highlight w:val="none"/>
            </w:rPr>
            <w:tab/>
          </w:r>
          <w:r>
            <w:rPr>
              <w:color w:val="auto"/>
              <w:highlight w:val="none"/>
            </w:rPr>
            <w:fldChar w:fldCharType="begin"/>
          </w:r>
          <w:r>
            <w:rPr>
              <w:color w:val="auto"/>
              <w:highlight w:val="none"/>
            </w:rPr>
            <w:instrText xml:space="preserve"> PAGEREF _Toc1103 \h </w:instrText>
          </w:r>
          <w:r>
            <w:rPr>
              <w:color w:val="auto"/>
              <w:highlight w:val="none"/>
            </w:rPr>
            <w:fldChar w:fldCharType="separate"/>
          </w:r>
          <w:r>
            <w:rPr>
              <w:color w:val="auto"/>
              <w:highlight w:val="none"/>
            </w:rPr>
            <w:t>88</w:t>
          </w:r>
          <w:r>
            <w:rPr>
              <w:color w:val="auto"/>
              <w:highlight w:val="none"/>
            </w:rPr>
            <w:fldChar w:fldCharType="end"/>
          </w:r>
          <w:r>
            <w:rPr>
              <w:color w:val="auto"/>
              <w:highlight w:val="none"/>
            </w:rPr>
            <w:fldChar w:fldCharType="end"/>
          </w:r>
        </w:p>
        <w:p>
          <w:pPr>
            <w:pStyle w:val="36"/>
            <w:tabs>
              <w:tab w:val="right" w:leader="dot" w:pos="8306"/>
              <w:tab w:val="clear" w:pos="620"/>
              <w:tab w:val="clear" w:pos="8364"/>
            </w:tabs>
            <w:rPr>
              <w:color w:val="auto"/>
              <w:highlight w:val="none"/>
            </w:rPr>
          </w:pPr>
          <w:r>
            <w:rPr>
              <w:color w:val="auto"/>
              <w:highlight w:val="none"/>
            </w:rPr>
            <w:fldChar w:fldCharType="begin"/>
          </w:r>
          <w:r>
            <w:rPr>
              <w:color w:val="auto"/>
              <w:highlight w:val="none"/>
            </w:rPr>
            <w:instrText xml:space="preserve"> HYPERLINK \l "_Toc5931" </w:instrText>
          </w:r>
          <w:r>
            <w:rPr>
              <w:color w:val="auto"/>
              <w:highlight w:val="none"/>
            </w:rPr>
            <w:fldChar w:fldCharType="separate"/>
          </w:r>
          <w:r>
            <w:rPr>
              <w:rFonts w:ascii="Times New Roman" w:hAnsi="Times New Roman" w:eastAsia="宋体"/>
              <w:color w:val="auto"/>
              <w:szCs w:val="28"/>
              <w:highlight w:val="none"/>
            </w:rPr>
            <w:t xml:space="preserve">6.10 </w:t>
          </w:r>
          <w:r>
            <w:rPr>
              <w:rFonts w:hint="eastAsia"/>
              <w:color w:val="auto"/>
              <w:highlight w:val="none"/>
            </w:rPr>
            <w:t>评审专家在政府采购活动中应当遵守以下工作纪律</w:t>
          </w:r>
          <w:r>
            <w:rPr>
              <w:color w:val="auto"/>
              <w:highlight w:val="none"/>
            </w:rPr>
            <w:tab/>
          </w:r>
          <w:r>
            <w:rPr>
              <w:color w:val="auto"/>
              <w:highlight w:val="none"/>
            </w:rPr>
            <w:fldChar w:fldCharType="begin"/>
          </w:r>
          <w:r>
            <w:rPr>
              <w:color w:val="auto"/>
              <w:highlight w:val="none"/>
            </w:rPr>
            <w:instrText xml:space="preserve"> PAGEREF _Toc5931 \h </w:instrText>
          </w:r>
          <w:r>
            <w:rPr>
              <w:color w:val="auto"/>
              <w:highlight w:val="none"/>
            </w:rPr>
            <w:fldChar w:fldCharType="separate"/>
          </w:r>
          <w:r>
            <w:rPr>
              <w:color w:val="auto"/>
              <w:highlight w:val="none"/>
            </w:rPr>
            <w:t>89</w:t>
          </w:r>
          <w:r>
            <w:rPr>
              <w:color w:val="auto"/>
              <w:highlight w:val="none"/>
            </w:rPr>
            <w:fldChar w:fldCharType="end"/>
          </w:r>
          <w:r>
            <w:rPr>
              <w:color w:val="auto"/>
              <w:highlight w:val="none"/>
            </w:rPr>
            <w:fldChar w:fldCharType="end"/>
          </w:r>
        </w:p>
        <w:p>
          <w:pPr>
            <w:pStyle w:val="30"/>
            <w:tabs>
              <w:tab w:val="right" w:leader="dot" w:pos="8306"/>
              <w:tab w:val="clear" w:pos="709"/>
              <w:tab w:val="clear" w:pos="8364"/>
            </w:tabs>
            <w:rPr>
              <w:color w:val="auto"/>
              <w:highlight w:val="none"/>
            </w:rPr>
          </w:pPr>
          <w:r>
            <w:rPr>
              <w:color w:val="auto"/>
              <w:highlight w:val="none"/>
            </w:rPr>
            <w:fldChar w:fldCharType="begin"/>
          </w:r>
          <w:r>
            <w:rPr>
              <w:color w:val="auto"/>
              <w:highlight w:val="none"/>
            </w:rPr>
            <w:instrText xml:space="preserve"> HYPERLINK \l "_Toc20362" </w:instrText>
          </w:r>
          <w:r>
            <w:rPr>
              <w:color w:val="auto"/>
              <w:highlight w:val="none"/>
            </w:rPr>
            <w:fldChar w:fldCharType="separate"/>
          </w:r>
          <w:r>
            <w:rPr>
              <w:rFonts w:ascii="Times New Roman" w:hAnsi="Times New Roman" w:eastAsia="宋体"/>
              <w:color w:val="auto"/>
              <w:szCs w:val="32"/>
              <w:highlight w:val="none"/>
            </w:rPr>
            <w:t xml:space="preserve">第7章 </w:t>
          </w:r>
          <w:r>
            <w:rPr>
              <w:rFonts w:hint="eastAsia"/>
              <w:color w:val="auto"/>
              <w:highlight w:val="none"/>
            </w:rPr>
            <w:t>拟签订合同文本</w:t>
          </w:r>
          <w:r>
            <w:rPr>
              <w:color w:val="auto"/>
              <w:highlight w:val="none"/>
            </w:rPr>
            <w:tab/>
          </w:r>
          <w:r>
            <w:rPr>
              <w:color w:val="auto"/>
              <w:highlight w:val="none"/>
            </w:rPr>
            <w:fldChar w:fldCharType="begin"/>
          </w:r>
          <w:r>
            <w:rPr>
              <w:color w:val="auto"/>
              <w:highlight w:val="none"/>
            </w:rPr>
            <w:instrText xml:space="preserve"> PAGEREF _Toc20362 \h </w:instrText>
          </w:r>
          <w:r>
            <w:rPr>
              <w:color w:val="auto"/>
              <w:highlight w:val="none"/>
            </w:rPr>
            <w:fldChar w:fldCharType="separate"/>
          </w:r>
          <w:r>
            <w:rPr>
              <w:color w:val="auto"/>
              <w:highlight w:val="none"/>
            </w:rPr>
            <w:t>91</w:t>
          </w:r>
          <w:r>
            <w:rPr>
              <w:color w:val="auto"/>
              <w:highlight w:val="none"/>
            </w:rPr>
            <w:fldChar w:fldCharType="end"/>
          </w:r>
          <w:r>
            <w:rPr>
              <w:color w:val="auto"/>
              <w:highlight w:val="none"/>
            </w:rPr>
            <w:fldChar w:fldCharType="end"/>
          </w:r>
        </w:p>
        <w:p>
          <w:pPr>
            <w:pStyle w:val="36"/>
            <w:tabs>
              <w:tab w:val="right" w:leader="dot" w:pos="8647"/>
              <w:tab w:val="clear" w:pos="8364"/>
            </w:tabs>
            <w:ind w:left="0"/>
            <w:rPr>
              <w:color w:val="auto"/>
              <w:highlight w:val="none"/>
            </w:rPr>
          </w:pPr>
          <w:r>
            <w:rPr>
              <w:rFonts w:hint="eastAsia"/>
              <w:color w:val="auto"/>
              <w:highlight w:val="none"/>
            </w:rPr>
            <w:fldChar w:fldCharType="end"/>
          </w:r>
        </w:p>
      </w:sdtContent>
    </w:sdt>
    <w:p>
      <w:pPr>
        <w:rPr>
          <w:color w:val="auto"/>
          <w:highlight w:val="none"/>
        </w:rPr>
      </w:pPr>
    </w:p>
    <w:p>
      <w:pPr>
        <w:pStyle w:val="18"/>
        <w:rPr>
          <w:color w:val="auto"/>
          <w:highlight w:val="none"/>
        </w:rPr>
      </w:pPr>
    </w:p>
    <w:p>
      <w:pPr>
        <w:pStyle w:val="3"/>
        <w:numPr>
          <w:ilvl w:val="0"/>
          <w:numId w:val="4"/>
        </w:numPr>
        <w:spacing w:before="0" w:after="0" w:line="560" w:lineRule="exact"/>
        <w:ind w:left="142" w:firstLine="0"/>
        <w:rPr>
          <w:color w:val="auto"/>
          <w:highlight w:val="none"/>
        </w:rPr>
      </w:pPr>
      <w:bookmarkStart w:id="4" w:name="_Toc181591102"/>
      <w:bookmarkStart w:id="5" w:name="_Toc23452"/>
      <w:bookmarkStart w:id="6" w:name="_Toc20241"/>
      <w:bookmarkStart w:id="7" w:name="_Toc26321"/>
      <w:bookmarkStart w:id="8" w:name="_Toc204575871"/>
      <w:bookmarkStart w:id="9" w:name="_Toc25954"/>
      <w:bookmarkStart w:id="10" w:name="_Toc22017"/>
      <w:bookmarkStart w:id="11" w:name="_Toc181610856"/>
      <w:r>
        <w:rPr>
          <w:rFonts w:hint="eastAsia"/>
          <w:color w:val="auto"/>
          <w:highlight w:val="none"/>
        </w:rPr>
        <w:t>投标邀请</w:t>
      </w:r>
      <w:bookmarkEnd w:id="4"/>
      <w:bookmarkEnd w:id="5"/>
      <w:bookmarkEnd w:id="6"/>
      <w:bookmarkEnd w:id="7"/>
      <w:bookmarkEnd w:id="8"/>
      <w:bookmarkEnd w:id="9"/>
      <w:bookmarkEnd w:id="10"/>
      <w:bookmarkEnd w:id="11"/>
    </w:p>
    <w:p>
      <w:pPr>
        <w:tabs>
          <w:tab w:val="left" w:pos="2552"/>
        </w:tabs>
        <w:spacing w:line="560" w:lineRule="exact"/>
        <w:ind w:left="1" w:firstLine="562" w:firstLineChars="201"/>
        <w:rPr>
          <w:rFonts w:ascii="宋体" w:hAnsi="宋体"/>
          <w:color w:val="auto"/>
          <w:sz w:val="28"/>
          <w:szCs w:val="28"/>
          <w:highlight w:val="none"/>
        </w:rPr>
      </w:pPr>
      <w:r>
        <w:rPr>
          <w:rFonts w:hint="eastAsia" w:ascii="宋体" w:hAnsi="宋体"/>
          <w:color w:val="auto"/>
          <w:sz w:val="28"/>
          <w:szCs w:val="28"/>
          <w:highlight w:val="none"/>
        </w:rPr>
        <w:t>成都高新区政府采购服务中心(以下简称“高新区采购中心”)</w:t>
      </w:r>
      <w:r>
        <w:rPr>
          <w:rFonts w:hint="eastAsia" w:asciiTheme="minorEastAsia" w:hAnsiTheme="minorEastAsia" w:eastAsiaTheme="minorEastAsia"/>
          <w:color w:val="auto"/>
          <w:sz w:val="28"/>
          <w:szCs w:val="28"/>
          <w:highlight w:val="none"/>
        </w:rPr>
        <w:t>受</w:t>
      </w:r>
      <w:r>
        <w:rPr>
          <w:rFonts w:hint="eastAsia" w:asciiTheme="minorEastAsia" w:hAnsiTheme="minorEastAsia" w:eastAsiaTheme="minorEastAsia"/>
          <w:b/>
          <w:color w:val="auto"/>
          <w:sz w:val="28"/>
          <w:szCs w:val="28"/>
          <w:highlight w:val="none"/>
        </w:rPr>
        <w:t>成都高新区芳草小学</w:t>
      </w:r>
      <w:r>
        <w:rPr>
          <w:rFonts w:hint="eastAsia" w:asciiTheme="minorEastAsia" w:hAnsiTheme="minorEastAsia" w:eastAsiaTheme="minorEastAsia"/>
          <w:color w:val="auto"/>
          <w:sz w:val="28"/>
          <w:szCs w:val="28"/>
          <w:highlight w:val="none"/>
        </w:rPr>
        <w:t>委托</w:t>
      </w:r>
      <w:r>
        <w:rPr>
          <w:rFonts w:hint="eastAsia" w:ascii="宋体" w:hAnsi="宋体"/>
          <w:color w:val="auto"/>
          <w:sz w:val="28"/>
          <w:szCs w:val="28"/>
          <w:highlight w:val="none"/>
        </w:rPr>
        <w:t>拟对</w:t>
      </w:r>
      <w:r>
        <w:rPr>
          <w:rFonts w:hint="eastAsia" w:ascii="宋体" w:hAnsi="宋体"/>
          <w:b/>
          <w:color w:val="auto"/>
          <w:sz w:val="28"/>
          <w:szCs w:val="28"/>
          <w:highlight w:val="none"/>
          <w:u w:val="single"/>
        </w:rPr>
        <w:t>成都高新区芳草小学物业管理服务采购项目</w:t>
      </w:r>
      <w:r>
        <w:rPr>
          <w:rFonts w:hint="eastAsia" w:ascii="宋体" w:hAnsi="宋体"/>
          <w:color w:val="auto"/>
          <w:sz w:val="28"/>
          <w:szCs w:val="28"/>
          <w:highlight w:val="none"/>
        </w:rPr>
        <w:t>进行国内公开招标，兹邀请符合本次招标要求的供应商参加投标。</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项目编号：</w:t>
      </w:r>
      <w:r>
        <w:rPr>
          <w:rFonts w:hint="eastAsia" w:ascii="宋体" w:hAnsi="宋体"/>
          <w:b/>
          <w:color w:val="auto"/>
          <w:sz w:val="28"/>
          <w:szCs w:val="28"/>
          <w:highlight w:val="none"/>
          <w:lang w:eastAsia="zh-CN"/>
        </w:rPr>
        <w:t>成都高新技术产业开发区政采（2021）A0045号</w:t>
      </w:r>
    </w:p>
    <w:p>
      <w:pPr>
        <w:pStyle w:val="18"/>
        <w:spacing w:after="0"/>
        <w:ind w:firstLine="413" w:firstLineChars="147"/>
        <w:rPr>
          <w:color w:val="auto"/>
          <w:highlight w:val="none"/>
        </w:rPr>
      </w:pPr>
      <w:r>
        <w:rPr>
          <w:rFonts w:hint="eastAsia" w:ascii="宋体" w:hAnsi="宋体"/>
          <w:b/>
          <w:color w:val="auto"/>
          <w:sz w:val="28"/>
          <w:szCs w:val="28"/>
          <w:highlight w:val="none"/>
        </w:rPr>
        <w:t>（采购项目编号：</w:t>
      </w:r>
      <w:r>
        <w:rPr>
          <w:rFonts w:hint="eastAsia" w:ascii="宋体" w:hAnsi="宋体"/>
          <w:b/>
          <w:color w:val="auto"/>
          <w:sz w:val="28"/>
          <w:szCs w:val="28"/>
          <w:highlight w:val="none"/>
          <w:lang w:eastAsia="zh-CN"/>
        </w:rPr>
        <w:t>510188202100265</w:t>
      </w:r>
      <w:r>
        <w:rPr>
          <w:rFonts w:hint="eastAsia" w:ascii="宋体" w:hAnsi="宋体"/>
          <w:b/>
          <w:color w:val="auto"/>
          <w:sz w:val="28"/>
          <w:szCs w:val="28"/>
          <w:highlight w:val="none"/>
        </w:rPr>
        <w:t>）</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项目名称：成都高新区芳草小学物业管理服务采购项目</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资金来源、预算金额及最高限价：</w:t>
      </w:r>
      <w:r>
        <w:rPr>
          <w:rFonts w:hint="eastAsia" w:ascii="宋体" w:hAnsi="宋体"/>
          <w:color w:val="auto"/>
          <w:sz w:val="28"/>
          <w:szCs w:val="28"/>
          <w:highlight w:val="none"/>
        </w:rPr>
        <w:t>财政性资金，政府采购实施计划备案表号：（2021）1</w:t>
      </w:r>
      <w:r>
        <w:rPr>
          <w:rFonts w:hint="eastAsia" w:ascii="宋体" w:hAnsi="宋体"/>
          <w:color w:val="auto"/>
          <w:sz w:val="28"/>
          <w:szCs w:val="28"/>
          <w:highlight w:val="none"/>
          <w:lang w:val="en-US" w:eastAsia="zh-CN"/>
        </w:rPr>
        <w:t>295</w:t>
      </w:r>
      <w:r>
        <w:rPr>
          <w:rFonts w:hint="eastAsia" w:ascii="宋体" w:hAnsi="宋体"/>
          <w:color w:val="auto"/>
          <w:sz w:val="28"/>
          <w:szCs w:val="28"/>
          <w:highlight w:val="none"/>
        </w:rPr>
        <w:t>号。预算品目：C1204物业管理服务；预算金额：1965000.00元；最高限价：1965000.00元；采购标的：</w:t>
      </w:r>
      <w:r>
        <w:rPr>
          <w:rFonts w:ascii="宋体" w:hAnsi="宋体"/>
          <w:color w:val="auto"/>
          <w:sz w:val="28"/>
          <w:szCs w:val="28"/>
          <w:highlight w:val="none"/>
        </w:rPr>
        <w:t>物业管理服务</w:t>
      </w:r>
      <w:r>
        <w:rPr>
          <w:rFonts w:hint="eastAsia" w:ascii="宋体" w:hAnsi="宋体"/>
          <w:color w:val="auto"/>
          <w:sz w:val="28"/>
          <w:szCs w:val="28"/>
          <w:highlight w:val="none"/>
        </w:rPr>
        <w:t>；所属行业：</w:t>
      </w:r>
      <w:r>
        <w:rPr>
          <w:rFonts w:ascii="宋体" w:hAnsi="宋体"/>
          <w:color w:val="auto"/>
          <w:sz w:val="28"/>
          <w:szCs w:val="28"/>
          <w:highlight w:val="none"/>
        </w:rPr>
        <w:t>物业管理</w:t>
      </w:r>
      <w:r>
        <w:rPr>
          <w:rFonts w:hint="eastAsia" w:ascii="宋体" w:hAnsi="宋体"/>
          <w:color w:val="auto"/>
          <w:sz w:val="28"/>
          <w:szCs w:val="28"/>
          <w:highlight w:val="none"/>
        </w:rPr>
        <w:t>。</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招标项目简介</w:t>
      </w:r>
    </w:p>
    <w:p>
      <w:pPr>
        <w:spacing w:line="6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本次采购服务内容为成都高新区芳草小学物业管理服务，包括：1、安全管理；2、环境卫生保洁；3、水电维护及维修；4、绿化养护；5、文印服务；6、体育管理；7、接待管理8、应急事件处置。</w:t>
      </w:r>
    </w:p>
    <w:p>
      <w:pPr>
        <w:pStyle w:val="18"/>
        <w:spacing w:after="0"/>
        <w:ind w:firstLine="560" w:firstLineChars="200"/>
        <w:rPr>
          <w:b/>
          <w:color w:val="auto"/>
          <w:highlight w:val="none"/>
        </w:rPr>
      </w:pPr>
      <w:r>
        <w:rPr>
          <w:rFonts w:hint="eastAsia" w:ascii="宋体" w:hAnsi="宋体"/>
          <w:color w:val="auto"/>
          <w:sz w:val="28"/>
          <w:szCs w:val="28"/>
          <w:highlight w:val="none"/>
        </w:rPr>
        <w:t>详细的服务、商务及其他要求见招标文件第4章。</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供应商参加本次政府采购活动应具备的条件</w:t>
      </w:r>
    </w:p>
    <w:p>
      <w:pPr>
        <w:numPr>
          <w:ilvl w:val="0"/>
          <w:numId w:val="6"/>
        </w:num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符合《政府采购法》第二十二条第一款规定的条件；</w:t>
      </w:r>
    </w:p>
    <w:p>
      <w:pPr>
        <w:numPr>
          <w:ilvl w:val="0"/>
          <w:numId w:val="6"/>
        </w:num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本项目为专门面向中小企业采购项目，供应商为符合政策要求的中小企业。（说明：监狱企业、残疾人福利性单位视同小型、微型企业）；</w:t>
      </w:r>
    </w:p>
    <w:p>
      <w:pPr>
        <w:numPr>
          <w:ilvl w:val="0"/>
          <w:numId w:val="6"/>
        </w:num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在中华人民共和国境内依法登记注册，并有效存续具有独立法人资格的供应商；</w:t>
      </w:r>
    </w:p>
    <w:p>
      <w:pPr>
        <w:numPr>
          <w:ilvl w:val="0"/>
          <w:numId w:val="6"/>
        </w:num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 xml:space="preserve">未被列入失信被执行人、重大税收违法案件当事人名单、政府采购严重违法失信行为记录名单； </w:t>
      </w:r>
    </w:p>
    <w:p>
      <w:pPr>
        <w:numPr>
          <w:ilvl w:val="0"/>
          <w:numId w:val="6"/>
        </w:num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在行贿犯罪信息查询期限内，投标人及其现任法定代表人、主要负责人没有行贿犯罪记录；</w:t>
      </w:r>
    </w:p>
    <w:p>
      <w:pPr>
        <w:numPr>
          <w:ilvl w:val="0"/>
          <w:numId w:val="6"/>
        </w:num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未处于被行政部门禁止参与政府采购活动的期限内；</w:t>
      </w:r>
    </w:p>
    <w:p>
      <w:pPr>
        <w:numPr>
          <w:ilvl w:val="0"/>
          <w:numId w:val="6"/>
        </w:num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不属于其他国家相关法律法规规定的禁止参加投标的供应商；</w:t>
      </w:r>
    </w:p>
    <w:p>
      <w:pPr>
        <w:numPr>
          <w:ilvl w:val="0"/>
          <w:numId w:val="6"/>
        </w:num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本项目不接受联合体投标。</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招标文件获取时间</w:t>
      </w:r>
    </w:p>
    <w:p>
      <w:pPr>
        <w:numPr>
          <w:ilvl w:val="0"/>
          <w:numId w:val="7"/>
        </w:numPr>
        <w:spacing w:line="360" w:lineRule="auto"/>
        <w:ind w:left="0" w:firstLine="567"/>
        <w:rPr>
          <w:rFonts w:ascii="宋体" w:hAnsi="宋体"/>
          <w:b/>
          <w:color w:val="auto"/>
          <w:sz w:val="28"/>
          <w:highlight w:val="none"/>
        </w:rPr>
      </w:pPr>
      <w:r>
        <w:rPr>
          <w:rFonts w:hint="eastAsia" w:ascii="宋体" w:hAnsi="宋体"/>
          <w:b/>
          <w:color w:val="auto"/>
          <w:sz w:val="28"/>
          <w:szCs w:val="28"/>
          <w:highlight w:val="none"/>
        </w:rPr>
        <w:t>招标文件获取时间：2021年10月</w:t>
      </w:r>
      <w:r>
        <w:rPr>
          <w:rFonts w:hint="eastAsia" w:ascii="宋体" w:hAnsi="宋体"/>
          <w:b/>
          <w:color w:val="auto"/>
          <w:sz w:val="28"/>
          <w:szCs w:val="28"/>
          <w:highlight w:val="none"/>
          <w:lang w:val="en-US" w:eastAsia="zh-CN"/>
        </w:rPr>
        <w:t>27</w:t>
      </w:r>
      <w:r>
        <w:rPr>
          <w:rFonts w:hint="eastAsia" w:ascii="宋体" w:hAnsi="宋体"/>
          <w:b/>
          <w:color w:val="auto"/>
          <w:sz w:val="28"/>
          <w:szCs w:val="28"/>
          <w:highlight w:val="none"/>
        </w:rPr>
        <w:t>日至1</w:t>
      </w:r>
      <w:r>
        <w:rPr>
          <w:rFonts w:hint="eastAsia" w:ascii="宋体" w:hAnsi="宋体"/>
          <w:b/>
          <w:color w:val="auto"/>
          <w:sz w:val="28"/>
          <w:szCs w:val="28"/>
          <w:highlight w:val="none"/>
          <w:lang w:val="en-US" w:eastAsia="zh-CN"/>
        </w:rPr>
        <w:t>1</w:t>
      </w:r>
      <w:r>
        <w:rPr>
          <w:rFonts w:hint="eastAsia" w:ascii="宋体" w:hAnsi="宋体"/>
          <w:b/>
          <w:color w:val="auto"/>
          <w:sz w:val="28"/>
          <w:szCs w:val="28"/>
          <w:highlight w:val="none"/>
        </w:rPr>
        <w:t>月</w:t>
      </w:r>
      <w:r>
        <w:rPr>
          <w:rFonts w:hint="eastAsia" w:ascii="宋体" w:hAnsi="宋体"/>
          <w:b/>
          <w:color w:val="auto"/>
          <w:sz w:val="28"/>
          <w:szCs w:val="28"/>
          <w:highlight w:val="none"/>
          <w:lang w:val="en-US" w:eastAsia="zh-CN"/>
        </w:rPr>
        <w:t>2</w:t>
      </w:r>
      <w:r>
        <w:rPr>
          <w:rFonts w:hint="eastAsia" w:ascii="宋体" w:hAnsi="宋体"/>
          <w:b/>
          <w:color w:val="auto"/>
          <w:sz w:val="28"/>
          <w:szCs w:val="28"/>
          <w:highlight w:val="none"/>
        </w:rPr>
        <w:t>日。</w:t>
      </w:r>
    </w:p>
    <w:p>
      <w:pPr>
        <w:numPr>
          <w:ilvl w:val="0"/>
          <w:numId w:val="7"/>
        </w:numPr>
        <w:spacing w:line="360" w:lineRule="auto"/>
        <w:ind w:left="0" w:firstLine="567"/>
        <w:rPr>
          <w:rFonts w:ascii="宋体" w:hAnsi="宋体"/>
          <w:b/>
          <w:color w:val="auto"/>
          <w:sz w:val="28"/>
          <w:highlight w:val="none"/>
        </w:rPr>
      </w:pPr>
      <w:r>
        <w:rPr>
          <w:rFonts w:hint="eastAsia" w:ascii="宋体" w:hAnsi="宋体"/>
          <w:b/>
          <w:color w:val="auto"/>
          <w:sz w:val="28"/>
          <w:szCs w:val="28"/>
          <w:highlight w:val="none"/>
        </w:rPr>
        <w:t>公告期限：2021年10月</w:t>
      </w:r>
      <w:r>
        <w:rPr>
          <w:rFonts w:hint="eastAsia" w:ascii="宋体" w:hAnsi="宋体"/>
          <w:b/>
          <w:color w:val="auto"/>
          <w:sz w:val="28"/>
          <w:szCs w:val="28"/>
          <w:highlight w:val="none"/>
          <w:lang w:val="en-US" w:eastAsia="zh-CN"/>
        </w:rPr>
        <w:t>27</w:t>
      </w:r>
      <w:r>
        <w:rPr>
          <w:rFonts w:hint="eastAsia" w:ascii="宋体" w:hAnsi="宋体"/>
          <w:b/>
          <w:color w:val="auto"/>
          <w:sz w:val="28"/>
          <w:szCs w:val="28"/>
          <w:highlight w:val="none"/>
        </w:rPr>
        <w:t>日至1</w:t>
      </w:r>
      <w:r>
        <w:rPr>
          <w:rFonts w:hint="eastAsia" w:ascii="宋体" w:hAnsi="宋体"/>
          <w:b/>
          <w:color w:val="auto"/>
          <w:sz w:val="28"/>
          <w:szCs w:val="28"/>
          <w:highlight w:val="none"/>
          <w:lang w:val="en-US" w:eastAsia="zh-CN"/>
        </w:rPr>
        <w:t>1</w:t>
      </w:r>
      <w:r>
        <w:rPr>
          <w:rFonts w:hint="eastAsia" w:ascii="宋体" w:hAnsi="宋体"/>
          <w:b/>
          <w:color w:val="auto"/>
          <w:sz w:val="28"/>
          <w:szCs w:val="28"/>
          <w:highlight w:val="none"/>
        </w:rPr>
        <w:t>月</w:t>
      </w:r>
      <w:r>
        <w:rPr>
          <w:rFonts w:hint="eastAsia" w:ascii="宋体" w:hAnsi="宋体"/>
          <w:b/>
          <w:color w:val="auto"/>
          <w:sz w:val="28"/>
          <w:szCs w:val="28"/>
          <w:highlight w:val="none"/>
          <w:lang w:val="en-US" w:eastAsia="zh-CN"/>
        </w:rPr>
        <w:t>2</w:t>
      </w:r>
      <w:r>
        <w:rPr>
          <w:rFonts w:hint="eastAsia" w:ascii="宋体" w:hAnsi="宋体"/>
          <w:b/>
          <w:color w:val="auto"/>
          <w:sz w:val="28"/>
          <w:szCs w:val="28"/>
          <w:highlight w:val="none"/>
        </w:rPr>
        <w:t>日。</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招标文件获取方式</w:t>
      </w:r>
    </w:p>
    <w:p>
      <w:pPr>
        <w:keepNext w:val="0"/>
        <w:keepLines w:val="0"/>
        <w:pageBreakBefore w:val="0"/>
        <w:widowControl w:val="0"/>
        <w:kinsoku/>
        <w:wordWrap w:val="0"/>
        <w:overflowPunct/>
        <w:topLinePunct w:val="0"/>
        <w:autoSpaceDE/>
        <w:autoSpaceDN/>
        <w:bidi w:val="0"/>
        <w:adjustRightInd/>
        <w:snapToGrid/>
        <w:spacing w:line="360" w:lineRule="auto"/>
        <w:ind w:firstLine="565" w:firstLineChars="202"/>
        <w:textAlignment w:val="auto"/>
        <w:rPr>
          <w:rFonts w:ascii="宋体" w:hAnsi="宋体"/>
          <w:color w:val="auto"/>
          <w:sz w:val="28"/>
          <w:szCs w:val="28"/>
          <w:highlight w:val="none"/>
        </w:rPr>
      </w:pPr>
      <w:r>
        <w:rPr>
          <w:rFonts w:hint="eastAsia" w:ascii="宋体" w:hAnsi="宋体"/>
          <w:color w:val="auto"/>
          <w:sz w:val="28"/>
          <w:szCs w:val="28"/>
          <w:highlight w:val="none"/>
        </w:rPr>
        <w:t>投标人要参加投标，应在“政府采购云平台（</w:t>
      </w:r>
      <w:r>
        <w:rPr>
          <w:rFonts w:hint="eastAsia" w:ascii="宋体" w:hAnsi="宋体"/>
          <w:color w:val="auto"/>
          <w:sz w:val="28"/>
          <w:szCs w:val="28"/>
          <w:highlight w:val="none"/>
        </w:rPr>
        <w:fldChar w:fldCharType="begin"/>
      </w:r>
      <w:r>
        <w:rPr>
          <w:rFonts w:hint="eastAsia" w:ascii="宋体" w:hAnsi="宋体"/>
          <w:color w:val="auto"/>
          <w:sz w:val="28"/>
          <w:szCs w:val="28"/>
          <w:highlight w:val="none"/>
        </w:rPr>
        <w:instrText xml:space="preserve"> HYPERLINK "http://www.zcygov.cn" </w:instrText>
      </w:r>
      <w:r>
        <w:rPr>
          <w:rFonts w:hint="eastAsia" w:ascii="宋体" w:hAnsi="宋体"/>
          <w:color w:val="auto"/>
          <w:sz w:val="28"/>
          <w:szCs w:val="28"/>
          <w:highlight w:val="none"/>
        </w:rPr>
        <w:fldChar w:fldCharType="separate"/>
      </w:r>
      <w:r>
        <w:rPr>
          <w:rFonts w:hint="eastAsia" w:ascii="宋体" w:hAnsi="宋体"/>
          <w:color w:val="auto"/>
          <w:sz w:val="28"/>
          <w:szCs w:val="28"/>
          <w:highlight w:val="none"/>
        </w:rPr>
        <w:t>www.zcygov.cn</w:t>
      </w:r>
      <w:r>
        <w:rPr>
          <w:rFonts w:hint="eastAsia" w:ascii="宋体" w:hAnsi="宋体"/>
          <w:color w:val="auto"/>
          <w:sz w:val="28"/>
          <w:szCs w:val="28"/>
          <w:highlight w:val="none"/>
        </w:rPr>
        <w:fldChar w:fldCharType="end"/>
      </w:r>
      <w:r>
        <w:rPr>
          <w:rFonts w:hint="eastAsia" w:ascii="宋体" w:hAnsi="宋体"/>
          <w:color w:val="auto"/>
          <w:sz w:val="28"/>
          <w:szCs w:val="28"/>
          <w:highlight w:val="none"/>
        </w:rPr>
        <w:t>）”获取采购文件。登录政府采购云平台(www.zcygov.cn)—我的工作台—项目采购—获取采购文件—申请获取采购文件。</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提示：</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（1）本项目采购文件免费获取。</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2）成都市公共资源交易服务中心门户网站上采购公告附件内的采购文件仅供下载阅览使用，投标人只有在“政府采购云平台”完成获取采购文件申请并下载采购文件后才视作依法参与本项目。如未在“政府采购云平台”内完成相关流程，引起的投标无效责任自负。</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（3）首次登录政府采购云平台(www.zcygov.cn)的新用户</w:t>
      </w:r>
      <w:r>
        <w:rPr>
          <w:rFonts w:hint="eastAsia" w:ascii="宋体" w:hAnsi="宋体"/>
          <w:color w:val="auto"/>
          <w:sz w:val="28"/>
          <w:szCs w:val="28"/>
          <w:highlight w:val="none"/>
          <w:lang w:eastAsia="zh-CN"/>
        </w:rPr>
        <w:t>，网页左上角切换至“成都市本级”，再点击“供应商入驻”，</w:t>
      </w:r>
      <w:r>
        <w:rPr>
          <w:rFonts w:hint="eastAsia" w:ascii="宋体" w:hAnsi="宋体"/>
          <w:color w:val="auto"/>
          <w:sz w:val="28"/>
          <w:szCs w:val="28"/>
          <w:highlight w:val="none"/>
        </w:rPr>
        <w:t>注册成功后再登录。</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（4）本项目为电子招标投标项目，投标人参与本项目全过程中凡涉及系统操作请详见《成都市全流程电子化采购系统操作指南——供应商版》。</w:t>
      </w:r>
      <w:bookmarkStart w:id="12" w:name="_Toc184023104"/>
      <w:bookmarkStart w:id="13" w:name="_Toc174185149"/>
      <w:bookmarkStart w:id="14" w:name="_Toc186274101"/>
      <w:bookmarkStart w:id="15" w:name="_Toc180051012"/>
      <w:bookmarkStart w:id="16" w:name="_Toc184013605"/>
      <w:r>
        <w:rPr>
          <w:rFonts w:hint="eastAsia" w:ascii="宋体" w:hAnsi="宋体"/>
          <w:color w:val="auto"/>
          <w:sz w:val="28"/>
          <w:szCs w:val="28"/>
          <w:highlight w:val="none"/>
        </w:rPr>
        <w:t>（操作指南请登录政府采购云平台后，点击“前台大厅</w:t>
      </w:r>
      <w:r>
        <w:rPr>
          <w:rFonts w:ascii="宋体" w:hAnsi="宋体"/>
          <w:color w:val="auto"/>
          <w:sz w:val="28"/>
          <w:szCs w:val="28"/>
          <w:highlight w:val="none"/>
        </w:rPr>
        <w:t>—</w:t>
      </w:r>
      <w:r>
        <w:rPr>
          <w:rFonts w:hint="eastAsia" w:ascii="宋体" w:hAnsi="宋体"/>
          <w:color w:val="auto"/>
          <w:sz w:val="28"/>
          <w:szCs w:val="28"/>
          <w:highlight w:val="none"/>
        </w:rPr>
        <w:t>操作指南</w:t>
      </w:r>
      <w:r>
        <w:rPr>
          <w:rFonts w:ascii="宋体" w:hAnsi="宋体"/>
          <w:color w:val="auto"/>
          <w:sz w:val="28"/>
          <w:szCs w:val="28"/>
          <w:highlight w:val="none"/>
        </w:rPr>
        <w:t>—</w:t>
      </w:r>
      <w:r>
        <w:rPr>
          <w:rFonts w:hint="eastAsia" w:ascii="宋体" w:hAnsi="宋体"/>
          <w:color w:val="auto"/>
          <w:sz w:val="28"/>
          <w:szCs w:val="28"/>
          <w:highlight w:val="none"/>
        </w:rPr>
        <w:t>供应商”处下载查看）。</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招标文件获取地点</w:t>
      </w:r>
    </w:p>
    <w:p>
      <w:pPr>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登录政府采购云平台（</w:t>
      </w:r>
      <w:r>
        <w:rPr>
          <w:rFonts w:ascii="宋体" w:hAnsi="宋体"/>
          <w:color w:val="auto"/>
          <w:sz w:val="28"/>
          <w:szCs w:val="28"/>
          <w:highlight w:val="none"/>
        </w:rPr>
        <w:fldChar w:fldCharType="begin"/>
      </w:r>
      <w:r>
        <w:rPr>
          <w:rFonts w:ascii="宋体" w:hAnsi="宋体"/>
          <w:color w:val="auto"/>
          <w:sz w:val="28"/>
          <w:szCs w:val="28"/>
          <w:highlight w:val="none"/>
        </w:rPr>
        <w:instrText xml:space="preserve"> HYPERLINK "http://www.zcygov.cn" </w:instrText>
      </w:r>
      <w:r>
        <w:rPr>
          <w:rFonts w:ascii="宋体" w:hAnsi="宋体"/>
          <w:color w:val="auto"/>
          <w:sz w:val="28"/>
          <w:szCs w:val="28"/>
          <w:highlight w:val="none"/>
        </w:rPr>
        <w:fldChar w:fldCharType="separate"/>
      </w:r>
      <w:r>
        <w:rPr>
          <w:rFonts w:ascii="宋体" w:hAnsi="宋体"/>
          <w:color w:val="auto"/>
          <w:sz w:val="28"/>
          <w:szCs w:val="28"/>
          <w:highlight w:val="none"/>
        </w:rPr>
        <w:t>www.zcygov.cn</w:t>
      </w:r>
      <w:r>
        <w:rPr>
          <w:rFonts w:ascii="宋体" w:hAnsi="宋体"/>
          <w:color w:val="auto"/>
          <w:sz w:val="28"/>
          <w:szCs w:val="28"/>
          <w:highlight w:val="none"/>
        </w:rPr>
        <w:fldChar w:fldCharType="end"/>
      </w:r>
      <w:r>
        <w:rPr>
          <w:rFonts w:hint="eastAsia" w:ascii="宋体" w:hAnsi="宋体"/>
          <w:color w:val="auto"/>
          <w:sz w:val="28"/>
          <w:szCs w:val="28"/>
          <w:highlight w:val="none"/>
        </w:rPr>
        <w:t>）获取。</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投标文件递交截止时间及开标时间</w:t>
      </w:r>
      <w:bookmarkEnd w:id="12"/>
      <w:bookmarkEnd w:id="13"/>
      <w:bookmarkEnd w:id="14"/>
      <w:bookmarkEnd w:id="15"/>
      <w:bookmarkEnd w:id="16"/>
      <w:r>
        <w:rPr>
          <w:rFonts w:hint="eastAsia" w:ascii="宋体" w:hAnsi="宋体"/>
          <w:b/>
          <w:color w:val="auto"/>
          <w:sz w:val="28"/>
          <w:szCs w:val="28"/>
          <w:highlight w:val="none"/>
        </w:rPr>
        <w:t>(北京时间)、地点、方式</w:t>
      </w:r>
    </w:p>
    <w:p>
      <w:pPr>
        <w:spacing w:line="560" w:lineRule="exact"/>
        <w:ind w:firstLine="560" w:firstLineChars="200"/>
        <w:rPr>
          <w:rFonts w:ascii="宋体" w:hAnsi="宋体"/>
          <w:b/>
          <w:color w:val="auto"/>
          <w:sz w:val="28"/>
          <w:szCs w:val="28"/>
          <w:highlight w:val="none"/>
        </w:rPr>
      </w:pPr>
      <w:r>
        <w:rPr>
          <w:rFonts w:hint="eastAsia" w:ascii="宋体" w:hAnsi="宋体"/>
          <w:color w:val="auto"/>
          <w:sz w:val="28"/>
          <w:szCs w:val="28"/>
          <w:highlight w:val="none"/>
        </w:rPr>
        <w:t>（一）投标文件递交截止时间及开标时间：</w:t>
      </w:r>
      <w:r>
        <w:rPr>
          <w:rFonts w:hint="eastAsia" w:ascii="宋体" w:hAnsi="宋体"/>
          <w:b/>
          <w:color w:val="auto"/>
          <w:sz w:val="28"/>
          <w:szCs w:val="28"/>
          <w:highlight w:val="none"/>
        </w:rPr>
        <w:t>2021年1</w:t>
      </w:r>
      <w:r>
        <w:rPr>
          <w:rFonts w:hint="eastAsia" w:ascii="宋体" w:hAnsi="宋体"/>
          <w:b/>
          <w:color w:val="auto"/>
          <w:sz w:val="28"/>
          <w:szCs w:val="28"/>
          <w:highlight w:val="none"/>
          <w:lang w:val="en-US" w:eastAsia="zh-CN"/>
        </w:rPr>
        <w:t>1</w:t>
      </w:r>
      <w:r>
        <w:rPr>
          <w:rFonts w:hint="eastAsia" w:ascii="宋体" w:hAnsi="宋体"/>
          <w:b/>
          <w:color w:val="auto"/>
          <w:sz w:val="28"/>
          <w:szCs w:val="28"/>
          <w:highlight w:val="none"/>
        </w:rPr>
        <w:t>月</w:t>
      </w:r>
      <w:r>
        <w:rPr>
          <w:rFonts w:hint="eastAsia" w:ascii="宋体" w:hAnsi="宋体"/>
          <w:b/>
          <w:color w:val="auto"/>
          <w:sz w:val="28"/>
          <w:szCs w:val="28"/>
          <w:highlight w:val="none"/>
          <w:lang w:val="en-US" w:eastAsia="zh-CN"/>
        </w:rPr>
        <w:t>16</w:t>
      </w:r>
      <w:r>
        <w:rPr>
          <w:rFonts w:hint="eastAsia" w:ascii="宋体" w:hAnsi="宋体"/>
          <w:b/>
          <w:color w:val="auto"/>
          <w:sz w:val="28"/>
          <w:szCs w:val="28"/>
          <w:highlight w:val="none"/>
        </w:rPr>
        <w:t>日上午09:30。</w:t>
      </w:r>
    </w:p>
    <w:p>
      <w:pPr>
        <w:spacing w:line="560" w:lineRule="exact"/>
        <w:ind w:firstLine="560" w:firstLineChars="200"/>
        <w:rPr>
          <w:rFonts w:ascii="宋体" w:hAnsi="宋体"/>
          <w:b/>
          <w:color w:val="auto"/>
          <w:sz w:val="28"/>
          <w:szCs w:val="28"/>
          <w:highlight w:val="none"/>
        </w:rPr>
      </w:pPr>
      <w:r>
        <w:rPr>
          <w:rFonts w:hint="eastAsia" w:ascii="宋体" w:hAnsi="宋体"/>
          <w:color w:val="auto"/>
          <w:sz w:val="28"/>
          <w:szCs w:val="28"/>
          <w:highlight w:val="none"/>
        </w:rPr>
        <w:t>（二）投标文件递交方式、地点：投标截止时间前，投标人应将加密的电子投标文件递交至“政府采购云平台”对应项目（包件）。</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开标地点</w:t>
      </w:r>
    </w:p>
    <w:p>
      <w:pPr>
        <w:spacing w:line="360" w:lineRule="auto"/>
        <w:ind w:firstLine="420" w:firstLineChars="150"/>
        <w:jc w:val="left"/>
        <w:rPr>
          <w:rFonts w:ascii="宋体" w:hAnsi="宋体"/>
          <w:color w:val="auto"/>
          <w:sz w:val="28"/>
          <w:szCs w:val="28"/>
          <w:highlight w:val="none"/>
        </w:rPr>
      </w:pPr>
      <w:r>
        <w:rPr>
          <w:rFonts w:hint="eastAsia" w:ascii="宋体" w:hAnsi="宋体"/>
          <w:color w:val="auto"/>
          <w:sz w:val="28"/>
          <w:szCs w:val="28"/>
          <w:highlight w:val="none"/>
        </w:rPr>
        <w:t>本项目为不见面开标项目。</w:t>
      </w:r>
    </w:p>
    <w:p>
      <w:pPr>
        <w:spacing w:line="360" w:lineRule="auto"/>
        <w:ind w:firstLine="420" w:firstLineChars="150"/>
        <w:jc w:val="left"/>
        <w:rPr>
          <w:rFonts w:ascii="宋体" w:hAnsi="宋体"/>
          <w:color w:val="auto"/>
          <w:sz w:val="28"/>
          <w:szCs w:val="28"/>
          <w:highlight w:val="none"/>
        </w:rPr>
      </w:pPr>
      <w:r>
        <w:rPr>
          <w:rFonts w:hint="eastAsia" w:ascii="宋体" w:hAnsi="宋体"/>
          <w:color w:val="auto"/>
          <w:sz w:val="28"/>
          <w:szCs w:val="28"/>
          <w:highlight w:val="none"/>
        </w:rPr>
        <w:t>开标地点为：“政府采购云平台”。</w:t>
      </w:r>
    </w:p>
    <w:p>
      <w:pPr>
        <w:spacing w:line="360" w:lineRule="auto"/>
        <w:ind w:firstLine="420" w:firstLineChars="150"/>
        <w:jc w:val="left"/>
        <w:rPr>
          <w:rFonts w:ascii="宋体" w:hAnsi="宋体"/>
          <w:color w:val="auto"/>
          <w:sz w:val="28"/>
          <w:szCs w:val="28"/>
          <w:highlight w:val="none"/>
        </w:rPr>
      </w:pPr>
      <w:r>
        <w:rPr>
          <w:rFonts w:hint="eastAsia" w:ascii="宋体" w:hAnsi="宋体"/>
          <w:color w:val="auto"/>
          <w:sz w:val="28"/>
          <w:szCs w:val="28"/>
          <w:highlight w:val="none"/>
        </w:rPr>
        <w:t>本项目只接受投标人加密并递交至“政府采购云平台”的投标文件。</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政采中小企业政府采购信用担保融资</w:t>
      </w:r>
    </w:p>
    <w:p>
      <w:p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本投标邀请在“四川政府采购网”和“成都市公共资源交易服务中心”网站上以公告形式发布</w:t>
      </w:r>
    </w:p>
    <w:p>
      <w:pPr>
        <w:numPr>
          <w:ilvl w:val="0"/>
          <w:numId w:val="5"/>
        </w:numPr>
        <w:spacing w:line="560" w:lineRule="exact"/>
        <w:ind w:left="0" w:firstLine="567"/>
        <w:rPr>
          <w:rFonts w:ascii="宋体" w:hAnsi="宋体"/>
          <w:b/>
          <w:color w:val="auto"/>
          <w:sz w:val="28"/>
          <w:szCs w:val="28"/>
          <w:highlight w:val="none"/>
        </w:rPr>
      </w:pPr>
      <w:r>
        <w:rPr>
          <w:rFonts w:hint="eastAsia" w:ascii="宋体" w:hAnsi="宋体"/>
          <w:b/>
          <w:color w:val="auto"/>
          <w:sz w:val="28"/>
          <w:szCs w:val="28"/>
          <w:highlight w:val="none"/>
        </w:rPr>
        <w:t>联系方式</w:t>
      </w:r>
    </w:p>
    <w:p>
      <w:pPr>
        <w:pStyle w:val="156"/>
        <w:spacing w:line="580" w:lineRule="exact"/>
        <w:ind w:firstLine="562"/>
        <w:rPr>
          <w:rFonts w:ascii="宋体" w:hAnsi="宋体"/>
          <w:b/>
          <w:color w:val="auto"/>
          <w:kern w:val="0"/>
          <w:sz w:val="28"/>
          <w:szCs w:val="22"/>
          <w:highlight w:val="none"/>
        </w:rPr>
      </w:pPr>
      <w:r>
        <w:rPr>
          <w:rFonts w:hint="eastAsia" w:ascii="宋体" w:hAnsi="宋体"/>
          <w:b/>
          <w:color w:val="auto"/>
          <w:kern w:val="0"/>
          <w:sz w:val="28"/>
          <w:szCs w:val="22"/>
          <w:highlight w:val="none"/>
        </w:rPr>
        <w:t>采购人：</w:t>
      </w:r>
      <w:r>
        <w:rPr>
          <w:rFonts w:hint="eastAsia" w:ascii="宋体" w:hAnsi="宋体"/>
          <w:b/>
          <w:color w:val="auto"/>
          <w:sz w:val="28"/>
          <w:szCs w:val="28"/>
          <w:highlight w:val="none"/>
        </w:rPr>
        <w:t>成都高新区芳草小学</w:t>
      </w:r>
    </w:p>
    <w:p>
      <w:pPr>
        <w:ind w:firstLine="560" w:firstLineChars="200"/>
        <w:rPr>
          <w:rFonts w:ascii="宋体" w:hAnsi="宋体"/>
          <w:color w:val="auto"/>
          <w:kern w:val="0"/>
          <w:sz w:val="28"/>
          <w:highlight w:val="none"/>
        </w:rPr>
      </w:pPr>
      <w:r>
        <w:rPr>
          <w:rFonts w:hint="eastAsia" w:ascii="宋体" w:hAnsi="宋体"/>
          <w:color w:val="auto"/>
          <w:kern w:val="0"/>
          <w:sz w:val="28"/>
          <w:highlight w:val="none"/>
        </w:rPr>
        <w:t>地  址：成都高新区玉林西路沙子堰中巷29号</w:t>
      </w:r>
    </w:p>
    <w:p>
      <w:pPr>
        <w:pStyle w:val="156"/>
        <w:spacing w:line="480" w:lineRule="exact"/>
        <w:ind w:firstLine="560"/>
        <w:rPr>
          <w:rFonts w:ascii="宋体" w:hAnsi="宋体"/>
          <w:color w:val="auto"/>
          <w:kern w:val="0"/>
          <w:sz w:val="28"/>
          <w:szCs w:val="22"/>
          <w:highlight w:val="none"/>
        </w:rPr>
      </w:pPr>
      <w:r>
        <w:rPr>
          <w:rFonts w:hint="eastAsia" w:ascii="宋体" w:hAnsi="宋体"/>
          <w:color w:val="auto"/>
          <w:kern w:val="0"/>
          <w:sz w:val="28"/>
          <w:szCs w:val="22"/>
          <w:highlight w:val="none"/>
        </w:rPr>
        <w:t>邮  编：610041</w:t>
      </w:r>
    </w:p>
    <w:p>
      <w:pPr>
        <w:pStyle w:val="156"/>
        <w:spacing w:line="480" w:lineRule="exact"/>
        <w:ind w:firstLine="560"/>
        <w:rPr>
          <w:rFonts w:ascii="宋体" w:hAnsi="宋体"/>
          <w:color w:val="auto"/>
          <w:kern w:val="0"/>
          <w:sz w:val="28"/>
          <w:szCs w:val="22"/>
          <w:highlight w:val="none"/>
        </w:rPr>
      </w:pPr>
      <w:r>
        <w:rPr>
          <w:rFonts w:hint="eastAsia" w:ascii="宋体" w:hAnsi="宋体"/>
          <w:color w:val="auto"/>
          <w:kern w:val="0"/>
          <w:sz w:val="28"/>
          <w:szCs w:val="22"/>
          <w:highlight w:val="none"/>
        </w:rPr>
        <w:t>联系人：张辉毅</w:t>
      </w:r>
    </w:p>
    <w:p>
      <w:pPr>
        <w:spacing w:line="360" w:lineRule="auto"/>
        <w:ind w:firstLine="565" w:firstLineChars="202"/>
        <w:rPr>
          <w:rFonts w:ascii="宋体" w:hAnsi="宋体"/>
          <w:color w:val="auto"/>
          <w:kern w:val="0"/>
          <w:sz w:val="28"/>
          <w:highlight w:val="none"/>
        </w:rPr>
      </w:pPr>
      <w:r>
        <w:rPr>
          <w:rFonts w:hint="eastAsia" w:ascii="宋体" w:hAnsi="宋体"/>
          <w:color w:val="auto"/>
          <w:kern w:val="0"/>
          <w:sz w:val="28"/>
          <w:highlight w:val="none"/>
        </w:rPr>
        <w:t>联系电话：028-83387117</w:t>
      </w:r>
    </w:p>
    <w:p>
      <w:pPr>
        <w:spacing w:line="360" w:lineRule="auto"/>
        <w:ind w:firstLine="568" w:firstLineChars="202"/>
        <w:rPr>
          <w:rFonts w:ascii="宋体" w:hAnsi="宋体"/>
          <w:b/>
          <w:color w:val="auto"/>
          <w:sz w:val="28"/>
          <w:highlight w:val="none"/>
        </w:rPr>
      </w:pPr>
      <w:r>
        <w:rPr>
          <w:rFonts w:hint="eastAsia" w:ascii="宋体" w:hAnsi="宋体"/>
          <w:b/>
          <w:color w:val="auto"/>
          <w:sz w:val="28"/>
          <w:highlight w:val="none"/>
        </w:rPr>
        <w:t>成都高新区政府采购服务中心</w:t>
      </w:r>
    </w:p>
    <w:p>
      <w:pPr>
        <w:pStyle w:val="156"/>
        <w:spacing w:line="560" w:lineRule="exact"/>
        <w:ind w:firstLine="560"/>
        <w:rPr>
          <w:rFonts w:ascii="宋体" w:hAnsi="宋体"/>
          <w:color w:val="auto"/>
          <w:kern w:val="0"/>
          <w:sz w:val="28"/>
          <w:szCs w:val="22"/>
          <w:highlight w:val="none"/>
        </w:rPr>
      </w:pPr>
      <w:r>
        <w:rPr>
          <w:rFonts w:hint="eastAsia" w:ascii="宋体" w:hAnsi="宋体"/>
          <w:color w:val="auto"/>
          <w:kern w:val="0"/>
          <w:sz w:val="28"/>
          <w:szCs w:val="22"/>
          <w:highlight w:val="none"/>
        </w:rPr>
        <w:t>地  址：成都市天府大道北段18号A座高新区管委会11楼</w:t>
      </w:r>
    </w:p>
    <w:p>
      <w:pPr>
        <w:pStyle w:val="156"/>
        <w:spacing w:line="560" w:lineRule="exact"/>
        <w:ind w:firstLine="560"/>
        <w:rPr>
          <w:rFonts w:ascii="宋体" w:hAnsi="宋体"/>
          <w:color w:val="auto"/>
          <w:kern w:val="0"/>
          <w:sz w:val="28"/>
          <w:szCs w:val="22"/>
          <w:highlight w:val="none"/>
        </w:rPr>
      </w:pPr>
      <w:r>
        <w:rPr>
          <w:rFonts w:hint="eastAsia" w:ascii="宋体" w:hAnsi="宋体"/>
          <w:color w:val="auto"/>
          <w:kern w:val="0"/>
          <w:sz w:val="28"/>
          <w:szCs w:val="22"/>
          <w:highlight w:val="none"/>
        </w:rPr>
        <w:t>联系人：陈莉玮</w:t>
      </w:r>
    </w:p>
    <w:p>
      <w:pPr>
        <w:pStyle w:val="156"/>
        <w:spacing w:line="560" w:lineRule="exact"/>
        <w:ind w:firstLine="560"/>
        <w:rPr>
          <w:rFonts w:ascii="宋体" w:hAnsi="宋体"/>
          <w:color w:val="auto"/>
          <w:kern w:val="0"/>
          <w:sz w:val="28"/>
          <w:szCs w:val="22"/>
          <w:highlight w:val="none"/>
        </w:rPr>
      </w:pPr>
      <w:r>
        <w:rPr>
          <w:rFonts w:hint="eastAsia" w:ascii="宋体" w:hAnsi="宋体"/>
          <w:color w:val="auto"/>
          <w:kern w:val="0"/>
          <w:sz w:val="28"/>
          <w:szCs w:val="22"/>
          <w:highlight w:val="none"/>
        </w:rPr>
        <w:t>邮编：610041</w:t>
      </w:r>
    </w:p>
    <w:p>
      <w:pPr>
        <w:pStyle w:val="156"/>
        <w:spacing w:line="560" w:lineRule="exact"/>
        <w:ind w:firstLine="560"/>
        <w:rPr>
          <w:rFonts w:ascii="宋体" w:hAnsi="宋体"/>
          <w:color w:val="auto"/>
          <w:kern w:val="0"/>
          <w:sz w:val="28"/>
          <w:highlight w:val="none"/>
        </w:rPr>
      </w:pPr>
      <w:r>
        <w:rPr>
          <w:rFonts w:hint="eastAsia" w:ascii="宋体" w:hAnsi="宋体"/>
          <w:color w:val="auto"/>
          <w:kern w:val="0"/>
          <w:sz w:val="28"/>
          <w:szCs w:val="22"/>
          <w:highlight w:val="none"/>
        </w:rPr>
        <w:t>联系电话：028-85177566</w:t>
      </w:r>
    </w:p>
    <w:p>
      <w:pPr>
        <w:pStyle w:val="156"/>
        <w:spacing w:line="560" w:lineRule="exact"/>
        <w:ind w:firstLine="560"/>
        <w:rPr>
          <w:rFonts w:ascii="宋体" w:hAnsi="宋体"/>
          <w:color w:val="auto"/>
          <w:kern w:val="0"/>
          <w:sz w:val="28"/>
          <w:highlight w:val="none"/>
        </w:rPr>
      </w:pPr>
    </w:p>
    <w:p>
      <w:pPr>
        <w:pStyle w:val="156"/>
        <w:spacing w:line="560" w:lineRule="exact"/>
        <w:ind w:firstLine="560"/>
        <w:rPr>
          <w:rFonts w:ascii="宋体" w:hAnsi="宋体"/>
          <w:color w:val="auto"/>
          <w:kern w:val="0"/>
          <w:sz w:val="28"/>
          <w:highlight w:val="none"/>
        </w:rPr>
      </w:pPr>
      <w:r>
        <w:rPr>
          <w:rFonts w:hint="eastAsia" w:ascii="宋体" w:hAnsi="宋体"/>
          <w:color w:val="auto"/>
          <w:kern w:val="0"/>
          <w:sz w:val="28"/>
          <w:highlight w:val="none"/>
        </w:rPr>
        <w:t>技术支持</w:t>
      </w:r>
      <w:r>
        <w:rPr>
          <w:rFonts w:ascii="宋体" w:hAnsi="宋体"/>
          <w:color w:val="auto"/>
          <w:kern w:val="0"/>
          <w:sz w:val="28"/>
          <w:highlight w:val="none"/>
        </w:rPr>
        <w:t>联系电话：</w:t>
      </w:r>
      <w:r>
        <w:rPr>
          <w:rFonts w:hint="eastAsia" w:ascii="宋体" w:hAnsi="宋体"/>
          <w:color w:val="auto"/>
          <w:sz w:val="28"/>
          <w:szCs w:val="28"/>
          <w:highlight w:val="none"/>
        </w:rPr>
        <w:t>400-881-7190</w:t>
      </w:r>
    </w:p>
    <w:p>
      <w:pPr>
        <w:pStyle w:val="133"/>
        <w:tabs>
          <w:tab w:val="left" w:pos="900"/>
        </w:tabs>
        <w:spacing w:line="560" w:lineRule="exact"/>
        <w:ind w:firstLine="562"/>
        <w:jc w:val="left"/>
        <w:rPr>
          <w:rFonts w:ascii="宋体" w:hAnsi="宋体" w:cs="Times New Roman"/>
          <w:b/>
          <w:color w:val="auto"/>
          <w:kern w:val="0"/>
          <w:sz w:val="28"/>
          <w:highlight w:val="none"/>
        </w:rPr>
      </w:pPr>
      <w:r>
        <w:rPr>
          <w:rFonts w:hint="eastAsia" w:ascii="宋体" w:hAnsi="宋体" w:cs="Times New Roman"/>
          <w:b/>
          <w:color w:val="auto"/>
          <w:sz w:val="28"/>
          <w:highlight w:val="none"/>
        </w:rPr>
        <w:t>集中采购监督机构：成都高新区财政金融局</w:t>
      </w:r>
    </w:p>
    <w:p>
      <w:pPr>
        <w:pStyle w:val="133"/>
        <w:tabs>
          <w:tab w:val="left" w:pos="900"/>
        </w:tabs>
        <w:spacing w:line="560" w:lineRule="exact"/>
        <w:ind w:firstLine="560"/>
        <w:jc w:val="left"/>
        <w:rPr>
          <w:rFonts w:ascii="宋体" w:hAnsi="宋体" w:cs="Times New Roman"/>
          <w:color w:val="auto"/>
          <w:sz w:val="28"/>
          <w:highlight w:val="none"/>
        </w:rPr>
      </w:pPr>
      <w:r>
        <w:rPr>
          <w:rFonts w:hint="eastAsia" w:ascii="宋体" w:hAnsi="宋体" w:cs="Times New Roman"/>
          <w:color w:val="auto"/>
          <w:sz w:val="28"/>
          <w:highlight w:val="none"/>
        </w:rPr>
        <w:t>地 址：成都市天府大道北段18号A座高新区管委会5楼</w:t>
      </w:r>
    </w:p>
    <w:p>
      <w:pPr>
        <w:pStyle w:val="133"/>
        <w:tabs>
          <w:tab w:val="left" w:pos="900"/>
        </w:tabs>
        <w:spacing w:line="560" w:lineRule="exact"/>
        <w:ind w:firstLine="560"/>
        <w:jc w:val="left"/>
        <w:rPr>
          <w:rFonts w:ascii="宋体" w:hAnsi="宋体"/>
          <w:color w:val="auto"/>
          <w:sz w:val="28"/>
          <w:szCs w:val="28"/>
          <w:highlight w:val="none"/>
        </w:rPr>
      </w:pPr>
      <w:r>
        <w:rPr>
          <w:rFonts w:hint="eastAsia" w:ascii="宋体" w:hAnsi="宋体" w:cs="Times New Roman"/>
          <w:color w:val="auto"/>
          <w:sz w:val="28"/>
          <w:highlight w:val="none"/>
        </w:rPr>
        <w:t>联系电话：028-82829642</w:t>
      </w:r>
    </w:p>
    <w:p>
      <w:pPr>
        <w:rPr>
          <w:color w:val="auto"/>
          <w:highlight w:val="none"/>
        </w:rPr>
      </w:pPr>
      <w:bookmarkStart w:id="17" w:name="_Toc22501"/>
      <w:bookmarkStart w:id="18" w:name="_Toc14731"/>
      <w:bookmarkStart w:id="19" w:name="_Toc16071"/>
      <w:bookmarkStart w:id="20" w:name="_Toc11280"/>
      <w:bookmarkStart w:id="21" w:name="_Toc23978"/>
      <w:r>
        <w:rPr>
          <w:rFonts w:hint="eastAsia"/>
          <w:color w:val="auto"/>
          <w:highlight w:val="none"/>
        </w:rPr>
        <w:br w:type="page"/>
      </w:r>
    </w:p>
    <w:p>
      <w:pPr>
        <w:pStyle w:val="3"/>
        <w:numPr>
          <w:ilvl w:val="0"/>
          <w:numId w:val="4"/>
        </w:numPr>
        <w:spacing w:before="0" w:after="0" w:line="240" w:lineRule="auto"/>
        <w:ind w:left="142" w:firstLine="0"/>
        <w:rPr>
          <w:color w:val="auto"/>
          <w:highlight w:val="none"/>
        </w:rPr>
      </w:pPr>
      <w:r>
        <w:rPr>
          <w:rFonts w:hint="eastAsia"/>
          <w:color w:val="auto"/>
          <w:highlight w:val="none"/>
        </w:rPr>
        <w:t>投标人须知</w:t>
      </w:r>
      <w:bookmarkEnd w:id="17"/>
      <w:bookmarkEnd w:id="18"/>
      <w:bookmarkEnd w:id="19"/>
      <w:bookmarkEnd w:id="20"/>
      <w:bookmarkEnd w:id="21"/>
    </w:p>
    <w:p>
      <w:pPr>
        <w:pStyle w:val="4"/>
        <w:numPr>
          <w:ilvl w:val="1"/>
          <w:numId w:val="4"/>
        </w:numPr>
        <w:spacing w:before="0" w:after="0" w:line="240" w:lineRule="auto"/>
        <w:ind w:left="2269" w:hanging="2127"/>
        <w:rPr>
          <w:color w:val="auto"/>
          <w:highlight w:val="none"/>
        </w:rPr>
      </w:pPr>
      <w:bookmarkStart w:id="22" w:name="_Toc217446032"/>
      <w:bookmarkStart w:id="23" w:name="_Toc213397010"/>
      <w:bookmarkStart w:id="24" w:name="_Toc189727030"/>
      <w:bookmarkStart w:id="25" w:name="_Toc213396946"/>
      <w:bookmarkStart w:id="26" w:name="_Toc14528"/>
      <w:bookmarkStart w:id="27" w:name="_Toc1773"/>
      <w:bookmarkStart w:id="28" w:name="_Toc32366"/>
      <w:bookmarkStart w:id="29" w:name="_Toc17336"/>
      <w:bookmarkStart w:id="30" w:name="_Toc15505"/>
      <w:bookmarkStart w:id="31" w:name="_Toc213396760"/>
      <w:bookmarkStart w:id="32" w:name="_Toc316462344"/>
      <w:bookmarkStart w:id="33" w:name="_Toc213496268"/>
      <w:r>
        <w:rPr>
          <w:rFonts w:hint="eastAsia"/>
          <w:color w:val="auto"/>
          <w:highlight w:val="none"/>
        </w:rPr>
        <w:t>投标人须知前附表</w:t>
      </w:r>
      <w:bookmarkEnd w:id="22"/>
      <w:bookmarkEnd w:id="23"/>
      <w:bookmarkEnd w:id="24"/>
      <w:bookmarkEnd w:id="25"/>
      <w:bookmarkEnd w:id="26"/>
      <w:bookmarkEnd w:id="27"/>
      <w:bookmarkEnd w:id="28"/>
      <w:bookmarkEnd w:id="29"/>
      <w:bookmarkEnd w:id="30"/>
      <w:bookmarkEnd w:id="31"/>
      <w:bookmarkEnd w:id="32"/>
      <w:bookmarkEnd w:id="33"/>
    </w:p>
    <w:tbl>
      <w:tblPr>
        <w:tblStyle w:val="44"/>
        <w:tblW w:w="9312"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689"/>
        <w:gridCol w:w="1942"/>
        <w:gridCol w:w="6681"/>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1" w:hRule="exact"/>
          <w:jc w:val="center"/>
        </w:trPr>
        <w:tc>
          <w:tcPr>
            <w:tcW w:w="689" w:type="dxa"/>
            <w:tcBorders>
              <w:top w:val="single" w:color="auto" w:sz="18" w:space="0"/>
              <w:left w:val="single" w:color="auto" w:sz="18" w:space="0"/>
              <w:bottom w:val="single" w:color="auto" w:sz="8" w:space="0"/>
              <w:right w:val="single" w:color="auto" w:sz="8" w:space="0"/>
            </w:tcBorders>
            <w:vAlign w:val="center"/>
          </w:tcPr>
          <w:p>
            <w:pPr>
              <w:snapToGrid w:val="0"/>
              <w:jc w:val="center"/>
              <w:rPr>
                <w:rFonts w:ascii="宋体" w:hAnsi="宋体"/>
                <w:b/>
                <w:color w:val="auto"/>
                <w:sz w:val="24"/>
                <w:highlight w:val="none"/>
              </w:rPr>
            </w:pPr>
            <w:r>
              <w:rPr>
                <w:rFonts w:hint="eastAsia" w:ascii="宋体" w:hAnsi="宋体"/>
                <w:b/>
                <w:color w:val="auto"/>
                <w:sz w:val="28"/>
                <w:szCs w:val="28"/>
                <w:highlight w:val="none"/>
                <w:lang w:val="zh-CN"/>
              </w:rPr>
              <w:t>序号</w:t>
            </w:r>
          </w:p>
        </w:tc>
        <w:tc>
          <w:tcPr>
            <w:tcW w:w="1942" w:type="dxa"/>
            <w:tcBorders>
              <w:top w:val="single" w:color="auto" w:sz="18" w:space="0"/>
              <w:left w:val="single" w:color="auto" w:sz="8" w:space="0"/>
              <w:bottom w:val="single" w:color="auto" w:sz="8" w:space="0"/>
              <w:right w:val="single" w:color="auto" w:sz="8" w:space="0"/>
            </w:tcBorders>
            <w:vAlign w:val="center"/>
          </w:tcPr>
          <w:p>
            <w:pPr>
              <w:pStyle w:val="125"/>
              <w:ind w:left="38"/>
              <w:jc w:val="center"/>
              <w:rPr>
                <w:b/>
                <w:color w:val="auto"/>
                <w:kern w:val="2"/>
                <w:highlight w:val="none"/>
                <w:lang w:val="zh-CN"/>
              </w:rPr>
            </w:pPr>
            <w:r>
              <w:rPr>
                <w:rFonts w:hint="eastAsia"/>
                <w:b/>
                <w:color w:val="auto"/>
                <w:kern w:val="2"/>
                <w:sz w:val="28"/>
                <w:szCs w:val="28"/>
                <w:highlight w:val="none"/>
                <w:lang w:val="zh-CN"/>
              </w:rPr>
              <w:t>应知事项</w:t>
            </w:r>
          </w:p>
        </w:tc>
        <w:tc>
          <w:tcPr>
            <w:tcW w:w="6681" w:type="dxa"/>
            <w:tcBorders>
              <w:top w:val="single" w:color="auto" w:sz="18" w:space="0"/>
              <w:left w:val="single" w:color="auto" w:sz="8" w:space="0"/>
              <w:bottom w:val="single" w:color="auto" w:sz="8" w:space="0"/>
              <w:right w:val="single" w:color="auto" w:sz="18" w:space="0"/>
            </w:tcBorders>
            <w:vAlign w:val="center"/>
          </w:tcPr>
          <w:p>
            <w:pPr>
              <w:pStyle w:val="125"/>
              <w:jc w:val="center"/>
              <w:rPr>
                <w:b/>
                <w:color w:val="auto"/>
                <w:kern w:val="2"/>
                <w:highlight w:val="none"/>
                <w:lang w:val="zh-CN"/>
              </w:rPr>
            </w:pPr>
            <w:r>
              <w:rPr>
                <w:rFonts w:hint="eastAsia"/>
                <w:b/>
                <w:color w:val="auto"/>
                <w:kern w:val="2"/>
                <w:sz w:val="28"/>
                <w:szCs w:val="28"/>
                <w:highlight w:val="none"/>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42" w:hRule="exac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b/>
                <w:color w:val="auto"/>
                <w:sz w:val="28"/>
                <w:szCs w:val="28"/>
                <w:highlight w:val="none"/>
                <w:lang w:val="zh-CN"/>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5"/>
              <w:ind w:left="38"/>
              <w:rPr>
                <w:color w:val="auto"/>
                <w:kern w:val="2"/>
                <w:highlight w:val="none"/>
                <w:lang w:val="zh-CN"/>
              </w:rPr>
            </w:pPr>
            <w:r>
              <w:rPr>
                <w:rFonts w:hint="eastAsia"/>
                <w:color w:val="auto"/>
                <w:kern w:val="2"/>
                <w:highlight w:val="none"/>
                <w:lang w:val="zh-CN"/>
              </w:rPr>
              <w:t>采购预算</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5"/>
              <w:rPr>
                <w:b/>
                <w:color w:val="auto"/>
                <w:kern w:val="2"/>
                <w:highlight w:val="none"/>
                <w:lang w:val="zh-CN"/>
              </w:rPr>
            </w:pPr>
            <w:r>
              <w:rPr>
                <w:rFonts w:hint="eastAsia"/>
                <w:b/>
                <w:color w:val="auto"/>
                <w:kern w:val="2"/>
                <w:highlight w:val="none"/>
                <w:lang w:val="zh-CN"/>
              </w:rPr>
              <w:t>人民币</w:t>
            </w:r>
            <w:r>
              <w:rPr>
                <w:rFonts w:hint="eastAsia"/>
                <w:b/>
                <w:color w:val="auto"/>
                <w:highlight w:val="none"/>
                <w:lang w:val="zh-CN"/>
              </w:rPr>
              <w:t>1965000.00元</w:t>
            </w:r>
            <w:r>
              <w:rPr>
                <w:rFonts w:hint="eastAsia"/>
                <w:b/>
                <w:color w:val="auto"/>
                <w:kern w:val="2"/>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20" w:hRule="exac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b/>
                <w:color w:val="auto"/>
                <w:sz w:val="28"/>
                <w:szCs w:val="28"/>
                <w:highlight w:val="none"/>
                <w:lang w:val="zh-CN"/>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5"/>
              <w:ind w:left="38"/>
              <w:rPr>
                <w:color w:val="auto"/>
                <w:kern w:val="2"/>
                <w:highlight w:val="none"/>
                <w:lang w:val="zh-CN"/>
              </w:rPr>
            </w:pPr>
            <w:r>
              <w:rPr>
                <w:rFonts w:hint="eastAsia"/>
                <w:color w:val="auto"/>
                <w:kern w:val="2"/>
                <w:highlight w:val="none"/>
                <w:lang w:val="zh-CN"/>
              </w:rPr>
              <w:t>最高限价</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5"/>
              <w:ind w:left="38"/>
              <w:rPr>
                <w:b/>
                <w:color w:val="auto"/>
                <w:kern w:val="2"/>
                <w:highlight w:val="none"/>
                <w:lang w:val="zh-CN"/>
              </w:rPr>
            </w:pPr>
            <w:r>
              <w:rPr>
                <w:rFonts w:hint="eastAsia"/>
                <w:b/>
                <w:color w:val="auto"/>
                <w:kern w:val="2"/>
                <w:highlight w:val="none"/>
                <w:lang w:val="zh-CN"/>
              </w:rPr>
              <w:t>本项目最高限价为人民币</w:t>
            </w:r>
            <w:r>
              <w:rPr>
                <w:rFonts w:hint="eastAsia"/>
                <w:b/>
                <w:color w:val="auto"/>
                <w:highlight w:val="none"/>
                <w:lang w:val="zh-CN"/>
              </w:rPr>
              <w:t>1965000.00元</w:t>
            </w:r>
            <w:r>
              <w:rPr>
                <w:rFonts w:hint="eastAsia"/>
                <w:b/>
                <w:color w:val="auto"/>
                <w:kern w:val="2"/>
                <w:highlight w:val="none"/>
                <w:lang w:val="zh-CN"/>
              </w:rPr>
              <w:t>。投标人投标报价高于最高限价的则其投标文件将按无效投标文件处理。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60" w:hRule="exac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5"/>
              <w:ind w:left="38"/>
              <w:rPr>
                <w:color w:val="auto"/>
                <w:kern w:val="2"/>
                <w:highlight w:val="none"/>
                <w:lang w:val="zh-CN"/>
              </w:rPr>
            </w:pPr>
            <w:r>
              <w:rPr>
                <w:rFonts w:hint="eastAsia"/>
                <w:color w:val="auto"/>
                <w:kern w:val="2"/>
                <w:highlight w:val="none"/>
                <w:lang w:val="zh-CN"/>
              </w:rPr>
              <w:t>采购方式</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5"/>
              <w:jc w:val="both"/>
              <w:rPr>
                <w:color w:val="auto"/>
                <w:kern w:val="2"/>
                <w:highlight w:val="none"/>
                <w:lang w:val="zh-CN"/>
              </w:rPr>
            </w:pPr>
            <w:r>
              <w:rPr>
                <w:rFonts w:hint="eastAsia"/>
                <w:color w:val="auto"/>
                <w:kern w:val="2"/>
                <w:highlight w:val="none"/>
                <w:lang w:val="zh-CN"/>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14"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5"/>
              <w:ind w:left="96"/>
              <w:rPr>
                <w:color w:val="auto"/>
                <w:kern w:val="2"/>
                <w:highlight w:val="none"/>
                <w:lang w:val="zh-CN"/>
              </w:rPr>
            </w:pPr>
            <w:r>
              <w:rPr>
                <w:rFonts w:hint="eastAsia"/>
                <w:color w:val="auto"/>
                <w:kern w:val="2"/>
                <w:highlight w:val="none"/>
                <w:lang w:val="zh-CN"/>
              </w:rPr>
              <w:t>评标方法</w:t>
            </w:r>
          </w:p>
        </w:tc>
        <w:tc>
          <w:tcPr>
            <w:tcW w:w="6681" w:type="dxa"/>
            <w:tcBorders>
              <w:top w:val="single" w:color="auto" w:sz="8" w:space="0"/>
              <w:left w:val="single" w:color="auto" w:sz="8" w:space="0"/>
              <w:bottom w:val="single" w:color="auto" w:sz="8" w:space="0"/>
              <w:right w:val="single" w:color="auto" w:sz="18" w:space="0"/>
            </w:tcBorders>
            <w:vAlign w:val="center"/>
          </w:tcPr>
          <w:p>
            <w:pPr>
              <w:pStyle w:val="125"/>
              <w:rPr>
                <w:color w:val="auto"/>
                <w:kern w:val="2"/>
                <w:highlight w:val="none"/>
                <w:lang w:val="zh-CN"/>
              </w:rPr>
            </w:pPr>
            <w:r>
              <w:rPr>
                <w:rFonts w:hint="eastAsia"/>
                <w:color w:val="auto"/>
                <w:kern w:val="2"/>
                <w:highlight w:val="none"/>
                <w:lang w:val="zh-CN"/>
              </w:rPr>
              <w:t>综合评分法(详见第6章)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5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5"/>
              <w:ind w:left="96"/>
              <w:rPr>
                <w:color w:val="auto"/>
                <w:kern w:val="2"/>
                <w:highlight w:val="none"/>
                <w:lang w:val="zh-CN"/>
              </w:rPr>
            </w:pPr>
            <w:r>
              <w:rPr>
                <w:rFonts w:hint="eastAsia"/>
                <w:color w:val="auto"/>
                <w:kern w:val="2"/>
                <w:highlight w:val="none"/>
                <w:lang w:val="zh-CN"/>
              </w:rPr>
              <w:t>低于成本价不正当竞争预防措施</w:t>
            </w:r>
          </w:p>
        </w:tc>
        <w:tc>
          <w:tcPr>
            <w:tcW w:w="6681" w:type="dxa"/>
            <w:tcBorders>
              <w:top w:val="single" w:color="auto" w:sz="8" w:space="0"/>
              <w:left w:val="single" w:color="auto" w:sz="8" w:space="0"/>
              <w:bottom w:val="single" w:color="auto" w:sz="8" w:space="0"/>
              <w:right w:val="single" w:color="auto" w:sz="18" w:space="0"/>
            </w:tcBorders>
            <w:vAlign w:val="center"/>
          </w:tcPr>
          <w:p>
            <w:pPr>
              <w:ind w:right="94" w:rightChars="45"/>
              <w:rPr>
                <w:rFonts w:ascii="宋体" w:hAnsi="宋体"/>
                <w:b/>
                <w:color w:val="auto"/>
                <w:sz w:val="24"/>
                <w:highlight w:val="none"/>
              </w:rPr>
            </w:pPr>
            <w:r>
              <w:rPr>
                <w:rFonts w:hint="eastAsia" w:ascii="宋体" w:hAnsi="宋体" w:cs="宋体"/>
                <w:color w:val="auto"/>
                <w:sz w:val="24"/>
                <w:szCs w:val="24"/>
                <w:highlight w:val="none"/>
                <w:lang w:val="zh-CN"/>
              </w:rPr>
              <w:t>在评标过程中，评标委员会认为投标人投标报价明显低于其他通过符合性审查投标人的投标报价，有可能影响产品质量或者不能诚信履约的，评标委员会应当要求其在合理的时间内提供书面说明，必要时提交相关证明材料。投标人提交的书面说明、相关证明材料（如涉及），应当加盖投标人（法定名称）电子签章，在评标委员会要求的时间内通过政府采购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5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pStyle w:val="125"/>
              <w:ind w:left="96"/>
              <w:rPr>
                <w:color w:val="auto"/>
                <w:kern w:val="2"/>
                <w:highlight w:val="none"/>
                <w:lang w:val="zh-CN"/>
              </w:rPr>
            </w:pPr>
            <w:r>
              <w:rPr>
                <w:rFonts w:hint="eastAsia"/>
                <w:color w:val="auto"/>
                <w:kern w:val="2"/>
                <w:highlight w:val="none"/>
                <w:lang w:val="zh-CN"/>
              </w:rPr>
              <w:t>投标保证金</w:t>
            </w:r>
          </w:p>
        </w:tc>
        <w:tc>
          <w:tcPr>
            <w:tcW w:w="6681" w:type="dxa"/>
            <w:tcBorders>
              <w:top w:val="single" w:color="auto" w:sz="8" w:space="0"/>
              <w:left w:val="single" w:color="auto" w:sz="8" w:space="0"/>
              <w:bottom w:val="single" w:color="auto" w:sz="8" w:space="0"/>
              <w:right w:val="single" w:color="auto" w:sz="18" w:space="0"/>
            </w:tcBorders>
            <w:vAlign w:val="center"/>
          </w:tcPr>
          <w:p>
            <w:pPr>
              <w:rPr>
                <w:rFonts w:ascii="宋体" w:hAnsi="宋体"/>
                <w:color w:val="auto"/>
                <w:sz w:val="24"/>
                <w:highlight w:val="none"/>
                <w:lang w:val="zh-CN"/>
              </w:rPr>
            </w:pPr>
            <w:r>
              <w:rPr>
                <w:rFonts w:hint="eastAsia" w:ascii="宋体" w:hAnsi="宋体"/>
                <w:color w:val="auto"/>
                <w:sz w:val="24"/>
                <w:highlight w:val="none"/>
                <w:lang w:val="zh-CN"/>
              </w:rPr>
              <w:t>本项目不收取投标保证金。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0"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snapToGrid w:val="0"/>
              <w:jc w:val="left"/>
              <w:rPr>
                <w:rFonts w:ascii="宋体" w:hAnsi="宋体"/>
                <w:color w:val="auto"/>
                <w:sz w:val="24"/>
                <w:highlight w:val="none"/>
              </w:rPr>
            </w:pPr>
            <w:r>
              <w:rPr>
                <w:rFonts w:hint="eastAsia" w:ascii="宋体" w:hAnsi="宋体" w:cs="宋体"/>
                <w:color w:val="auto"/>
                <w:kern w:val="0"/>
                <w:sz w:val="24"/>
                <w:szCs w:val="24"/>
                <w:highlight w:val="none"/>
                <w:lang w:val="zh-CN"/>
              </w:rPr>
              <w:t>履约保证金</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color w:val="auto"/>
                <w:kern w:val="0"/>
                <w:sz w:val="24"/>
                <w:highlight w:val="none"/>
              </w:rPr>
            </w:pPr>
            <w:r>
              <w:rPr>
                <w:rFonts w:hint="eastAsia" w:ascii="宋体" w:hAnsi="宋体"/>
                <w:color w:val="auto"/>
                <w:kern w:val="0"/>
                <w:sz w:val="24"/>
                <w:highlight w:val="none"/>
              </w:rPr>
              <w:t>详见投标人须知2.6.4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574"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highlight w:val="none"/>
              </w:rPr>
              <w:t>投标有效期</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rPr>
                <w:rFonts w:ascii="宋体" w:hAnsi="宋体"/>
                <w:color w:val="auto"/>
                <w:sz w:val="24"/>
                <w:highlight w:val="none"/>
              </w:rPr>
            </w:pPr>
            <w:r>
              <w:rPr>
                <w:rFonts w:hint="eastAsia" w:ascii="Helvetica" w:hAnsi="Helvetica" w:cs="Helvetica"/>
                <w:color w:val="auto"/>
                <w:kern w:val="0"/>
                <w:sz w:val="24"/>
                <w:szCs w:val="24"/>
                <w:highlight w:val="none"/>
              </w:rPr>
              <w:t>提交投标文件的截止</w:t>
            </w:r>
            <w:r>
              <w:rPr>
                <w:rFonts w:ascii="Helvetica" w:hAnsi="Helvetica" w:cs="Helvetica"/>
                <w:color w:val="auto"/>
                <w:kern w:val="0"/>
                <w:sz w:val="24"/>
                <w:szCs w:val="24"/>
                <w:highlight w:val="none"/>
              </w:rPr>
              <w:t xml:space="preserve"> </w:t>
            </w:r>
            <w:r>
              <w:rPr>
                <w:rFonts w:hint="eastAsia" w:ascii="Helvetica" w:hAnsi="Helvetica" w:cs="Helvetica"/>
                <w:color w:val="auto"/>
                <w:kern w:val="0"/>
                <w:sz w:val="24"/>
                <w:szCs w:val="24"/>
                <w:highlight w:val="none"/>
              </w:rPr>
              <w:t>之日起</w:t>
            </w:r>
            <w:r>
              <w:rPr>
                <w:rFonts w:hint="eastAsia" w:ascii="宋体" w:hAnsi="宋体"/>
                <w:color w:val="auto"/>
                <w:sz w:val="24"/>
                <w:szCs w:val="24"/>
                <w:highlight w:val="none"/>
                <w:u w:val="single"/>
              </w:rPr>
              <w:t xml:space="preserve"> 120</w:t>
            </w:r>
            <w:r>
              <w:rPr>
                <w:rFonts w:hint="eastAsia" w:ascii="宋体" w:hAnsi="宋体"/>
                <w:color w:val="auto"/>
                <w:sz w:val="24"/>
                <w:szCs w:val="24"/>
                <w:highlight w:val="none"/>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909"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highlight w:val="none"/>
              </w:rPr>
              <w:t>投标文件的制作和签章、加密</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highlight w:val="none"/>
              </w:rPr>
              <w:t>详见投标人须知2.4.11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20"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4" w:space="0"/>
              <w:right w:val="single" w:color="auto" w:sz="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highlight w:val="none"/>
              </w:rPr>
              <w:t>投标文件的递交</w:t>
            </w:r>
          </w:p>
        </w:tc>
        <w:tc>
          <w:tcPr>
            <w:tcW w:w="6681"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highlight w:val="none"/>
              </w:rPr>
              <w:t>详见投标人须知2.4.12</w:t>
            </w:r>
          </w:p>
          <w:p>
            <w:pPr>
              <w:tabs>
                <w:tab w:val="left" w:pos="7665"/>
              </w:tabs>
              <w:snapToGrid w:val="0"/>
              <w:jc w:val="left"/>
              <w:rPr>
                <w:color w:val="auto"/>
                <w:highlight w:val="none"/>
              </w:rPr>
            </w:pPr>
            <w:r>
              <w:rPr>
                <w:rFonts w:hint="eastAsia" w:ascii="宋体" w:hAnsi="宋体"/>
                <w:color w:val="auto"/>
                <w:sz w:val="24"/>
                <w:highlight w:val="none"/>
              </w:rPr>
              <w:t>注：投标人使用CA证书在投标截止时间前，将电子投标文件上传至政府采购云平台，上传前须对电子投标文件是否有电子签章等进行核对。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56"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4" w:space="0"/>
              <w:left w:val="single" w:color="auto" w:sz="8" w:space="0"/>
              <w:bottom w:val="single" w:color="auto" w:sz="4" w:space="0"/>
              <w:right w:val="single" w:color="auto" w:sz="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highlight w:val="none"/>
              </w:rPr>
              <w:t>投标文件的补充、修改</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highlight w:val="none"/>
              </w:rPr>
              <w:t>详见投标人须知2.4.13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80" w:hRule="atLeast"/>
          <w:jc w:val="center"/>
        </w:trPr>
        <w:tc>
          <w:tcPr>
            <w:tcW w:w="689" w:type="dxa"/>
            <w:tcBorders>
              <w:top w:val="single" w:color="auto" w:sz="4"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4"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highlight w:val="none"/>
              </w:rPr>
              <w:t>投标文件的撤回</w:t>
            </w:r>
          </w:p>
        </w:tc>
        <w:tc>
          <w:tcPr>
            <w:tcW w:w="6681" w:type="dxa"/>
            <w:tcBorders>
              <w:top w:val="single" w:color="auto" w:sz="4"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highlight w:val="none"/>
              </w:rPr>
              <w:t>详见投标人须知2.4.14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80" w:hRule="atLeast"/>
          <w:jc w:val="center"/>
        </w:trPr>
        <w:tc>
          <w:tcPr>
            <w:tcW w:w="689" w:type="dxa"/>
            <w:tcBorders>
              <w:top w:val="single" w:color="auto" w:sz="4"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4"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auto"/>
                <w:sz w:val="24"/>
                <w:highlight w:val="none"/>
              </w:rPr>
            </w:pPr>
            <w:r>
              <w:rPr>
                <w:rFonts w:hint="eastAsia"/>
                <w:b/>
                <w:color w:val="auto"/>
                <w:highlight w:val="none"/>
              </w:rPr>
              <w:t>开标及开标程序</w:t>
            </w:r>
          </w:p>
        </w:tc>
        <w:tc>
          <w:tcPr>
            <w:tcW w:w="6681" w:type="dxa"/>
            <w:tcBorders>
              <w:top w:val="single" w:color="auto" w:sz="4" w:space="0"/>
              <w:left w:val="single" w:color="auto" w:sz="8" w:space="0"/>
              <w:bottom w:val="single" w:color="auto" w:sz="8" w:space="0"/>
              <w:right w:val="single" w:color="auto" w:sz="18" w:space="0"/>
            </w:tcBorders>
            <w:vAlign w:val="center"/>
          </w:tcPr>
          <w:p>
            <w:pPr>
              <w:snapToGrid w:val="0"/>
              <w:spacing w:line="360" w:lineRule="auto"/>
              <w:rPr>
                <w:rFonts w:ascii="宋体" w:hAnsi="宋体"/>
                <w:b/>
                <w:color w:val="auto"/>
                <w:highlight w:val="none"/>
              </w:rPr>
            </w:pPr>
            <w:r>
              <w:rPr>
                <w:rFonts w:hint="eastAsia" w:ascii="宋体" w:hAnsi="宋体"/>
                <w:b/>
                <w:color w:val="auto"/>
                <w:highlight w:val="none"/>
              </w:rPr>
              <w:t>详见投标人须知2.5.1。</w:t>
            </w:r>
          </w:p>
          <w:p>
            <w:pPr>
              <w:snapToGrid w:val="0"/>
              <w:spacing w:line="360" w:lineRule="auto"/>
              <w:rPr>
                <w:rFonts w:ascii="宋体" w:hAnsi="宋体"/>
                <w:b/>
                <w:color w:val="auto"/>
                <w:highlight w:val="none"/>
              </w:rPr>
            </w:pPr>
            <w:r>
              <w:rPr>
                <w:rFonts w:hint="eastAsia" w:ascii="宋体" w:hAnsi="宋体"/>
                <w:b/>
                <w:color w:val="auto"/>
                <w:highlight w:val="none"/>
              </w:rPr>
              <w:t>投标文件解密：开启解密后，投标人应在系统提示的解密开始时间后</w:t>
            </w:r>
            <w:r>
              <w:rPr>
                <w:rFonts w:ascii="宋体" w:hAnsi="宋体"/>
                <w:b/>
                <w:color w:val="auto"/>
                <w:highlight w:val="none"/>
              </w:rPr>
              <w:t>60</w:t>
            </w:r>
            <w:r>
              <w:rPr>
                <w:rFonts w:hint="eastAsia" w:ascii="宋体" w:hAnsi="宋体"/>
                <w:b/>
                <w:color w:val="auto"/>
                <w:highlight w:val="none"/>
              </w:rPr>
              <w:t>分钟内 ，使用对投标文件进行加密的CA证书在线完成对投标人递交至政府采购云平台的投标文件的解密。</w:t>
            </w:r>
          </w:p>
          <w:p>
            <w:pPr>
              <w:snapToGrid w:val="0"/>
              <w:spacing w:line="360" w:lineRule="auto"/>
              <w:rPr>
                <w:rFonts w:hint="eastAsia" w:ascii="宋体" w:hAnsi="宋体"/>
                <w:b/>
                <w:color w:val="auto"/>
                <w:highlight w:val="none"/>
              </w:rPr>
            </w:pPr>
            <w:r>
              <w:rPr>
                <w:rFonts w:hint="eastAsia" w:ascii="宋体" w:hAnsi="宋体"/>
                <w:b/>
                <w:color w:val="auto"/>
                <w:highlight w:val="none"/>
              </w:rPr>
              <w:t>投标人电脑终端等硬件设备和软件系统配置：投标人电脑终端等硬件设备和软件系统配置应符合开标大厅投标人电脑终端配置要求并运行正常，投标人承担因未尽职责产生的不利后果。</w:t>
            </w:r>
          </w:p>
          <w:p>
            <w:pPr>
              <w:snapToGrid w:val="0"/>
              <w:spacing w:line="360" w:lineRule="auto"/>
              <w:rPr>
                <w:rFonts w:hint="eastAsia" w:ascii="宋体" w:hAnsi="宋体"/>
                <w:b/>
                <w:color w:val="auto"/>
                <w:highlight w:val="none"/>
              </w:rPr>
            </w:pPr>
            <w:r>
              <w:rPr>
                <w:rFonts w:hint="eastAsia" w:ascii="宋体" w:hAnsi="宋体"/>
                <w:b/>
                <w:color w:val="auto"/>
                <w:highlight w:val="none"/>
              </w:rPr>
              <w:t>政府采购云平台运行基本环境要求：电脑应安装并顺利运行64位win7以上操作系统，谷歌浏览器；正确的CA及签章驱动等；能流畅访问互联网。</w:t>
            </w:r>
          </w:p>
          <w:p>
            <w:pPr>
              <w:snapToGrid w:val="0"/>
              <w:spacing w:line="360" w:lineRule="auto"/>
              <w:jc w:val="left"/>
              <w:rPr>
                <w:rFonts w:ascii="宋体" w:hAnsi="宋体"/>
                <w:color w:val="auto"/>
                <w:sz w:val="24"/>
                <w:highlight w:val="none"/>
              </w:rPr>
            </w:pPr>
            <w:r>
              <w:rPr>
                <w:rFonts w:hint="eastAsia" w:ascii="宋体" w:hAnsi="宋体"/>
                <w:b/>
                <w:color w:val="auto"/>
                <w:highlight w:val="none"/>
              </w:rPr>
              <w:t>开标、投标文件的解密详见《成都市全流程电子化采购系统操作指南——供应商版》。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37"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snapToGrid w:val="0"/>
              <w:jc w:val="left"/>
              <w:rPr>
                <w:rFonts w:ascii="宋体" w:hAnsi="宋体"/>
                <w:color w:val="auto"/>
                <w:sz w:val="24"/>
                <w:highlight w:val="none"/>
              </w:rPr>
            </w:pPr>
            <w:r>
              <w:rPr>
                <w:rFonts w:hint="eastAsia" w:ascii="宋体" w:hAnsi="宋体"/>
                <w:color w:val="auto"/>
                <w:sz w:val="24"/>
                <w:szCs w:val="24"/>
                <w:highlight w:val="none"/>
              </w:rPr>
              <w:t>对招标文件中供应商参加本次政府采购活动应当具备的条件，招标项目服务、商务及其他要求，评标细则及标准，以及关于资格审查的询问、质疑</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ind w:right="210"/>
              <w:rPr>
                <w:rFonts w:ascii="宋体" w:hAnsi="宋体" w:eastAsia="仿宋_GB2312" w:cs="宋体"/>
                <w:color w:val="auto"/>
                <w:kern w:val="0"/>
                <w:sz w:val="24"/>
                <w:highlight w:val="none"/>
              </w:rPr>
            </w:pPr>
            <w:r>
              <w:rPr>
                <w:rFonts w:hint="eastAsia" w:ascii="宋体" w:hAnsi="宋体"/>
                <w:color w:val="auto"/>
                <w:sz w:val="24"/>
                <w:szCs w:val="24"/>
                <w:highlight w:val="none"/>
              </w:rPr>
              <w:t>向采购人提出，并由</w:t>
            </w:r>
            <w:r>
              <w:rPr>
                <w:rFonts w:hint="eastAsia" w:ascii="宋体" w:hAnsi="宋体"/>
                <w:color w:val="auto"/>
                <w:kern w:val="0"/>
                <w:sz w:val="24"/>
                <w:highlight w:val="none"/>
              </w:rPr>
              <w:t>采购人</w:t>
            </w:r>
            <w:r>
              <w:rPr>
                <w:rFonts w:hint="eastAsia" w:ascii="宋体" w:hAnsi="宋体"/>
                <w:color w:val="auto"/>
                <w:sz w:val="24"/>
                <w:szCs w:val="24"/>
                <w:highlight w:val="none"/>
              </w:rPr>
              <w:t>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64"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snapToGrid w:val="0"/>
              <w:jc w:val="left"/>
              <w:rPr>
                <w:rFonts w:ascii="宋体" w:hAnsi="宋体"/>
                <w:color w:val="auto"/>
                <w:sz w:val="24"/>
                <w:highlight w:val="none"/>
              </w:rPr>
            </w:pPr>
            <w:r>
              <w:rPr>
                <w:rFonts w:hint="eastAsia" w:ascii="宋体" w:hAnsi="宋体"/>
                <w:color w:val="auto"/>
                <w:sz w:val="24"/>
                <w:szCs w:val="24"/>
                <w:highlight w:val="none"/>
              </w:rPr>
              <w:t>对招标文件中的其他内容、采购过程及中标结果（除资格审查）的询问、质疑</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ind w:right="210"/>
              <w:rPr>
                <w:rFonts w:ascii="宋体" w:hAnsi="宋体" w:eastAsia="仿宋_GB2312" w:cs="宋体"/>
                <w:color w:val="auto"/>
                <w:kern w:val="0"/>
                <w:sz w:val="24"/>
                <w:highlight w:val="none"/>
              </w:rPr>
            </w:pPr>
            <w:r>
              <w:rPr>
                <w:rFonts w:hint="eastAsia" w:ascii="宋体" w:hAnsi="宋体"/>
                <w:color w:val="auto"/>
                <w:kern w:val="0"/>
                <w:sz w:val="24"/>
                <w:highlight w:val="none"/>
              </w:rPr>
              <w:t>向高新区采购中心提出，</w:t>
            </w:r>
            <w:r>
              <w:rPr>
                <w:rFonts w:hint="eastAsia" w:ascii="宋体" w:hAnsi="宋体"/>
                <w:color w:val="auto"/>
                <w:sz w:val="24"/>
                <w:szCs w:val="24"/>
                <w:highlight w:val="none"/>
              </w:rPr>
              <w:t>并由</w:t>
            </w:r>
            <w:r>
              <w:rPr>
                <w:rFonts w:hint="eastAsia" w:ascii="宋体" w:hAnsi="宋体"/>
                <w:color w:val="auto"/>
                <w:kern w:val="0"/>
                <w:sz w:val="24"/>
                <w:highlight w:val="none"/>
              </w:rPr>
              <w:t>高新区采购中心</w:t>
            </w:r>
            <w:r>
              <w:rPr>
                <w:rFonts w:hint="eastAsia" w:ascii="宋体" w:hAnsi="宋体"/>
                <w:color w:val="auto"/>
                <w:sz w:val="24"/>
                <w:szCs w:val="24"/>
                <w:highlight w:val="none"/>
              </w:rPr>
              <w:t>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37" w:hRule="atLeast"/>
          <w:jc w:val="center"/>
        </w:trPr>
        <w:tc>
          <w:tcPr>
            <w:tcW w:w="689" w:type="dxa"/>
            <w:tcBorders>
              <w:top w:val="single" w:color="auto" w:sz="8" w:space="0"/>
              <w:left w:val="single" w:color="auto" w:sz="18" w:space="0"/>
              <w:bottom w:val="single" w:color="auto" w:sz="8" w:space="0"/>
              <w:right w:val="single" w:color="auto" w:sz="8" w:space="0"/>
            </w:tcBorders>
            <w:vAlign w:val="center"/>
          </w:tcPr>
          <w:p>
            <w:pPr>
              <w:numPr>
                <w:ilvl w:val="0"/>
                <w:numId w:val="8"/>
              </w:numPr>
              <w:snapToGrid w:val="0"/>
              <w:spacing w:after="200"/>
              <w:jc w:val="center"/>
              <w:rPr>
                <w:rFonts w:ascii="宋体" w:hAnsi="宋体"/>
                <w:color w:val="auto"/>
                <w:sz w:val="24"/>
                <w:highlight w:val="none"/>
              </w:rPr>
            </w:pPr>
          </w:p>
        </w:tc>
        <w:tc>
          <w:tcPr>
            <w:tcW w:w="1942" w:type="dxa"/>
            <w:tcBorders>
              <w:top w:val="single" w:color="auto" w:sz="8" w:space="0"/>
              <w:left w:val="single" w:color="auto" w:sz="8" w:space="0"/>
              <w:bottom w:val="single" w:color="auto" w:sz="8" w:space="0"/>
              <w:right w:val="single" w:color="auto" w:sz="8" w:space="0"/>
            </w:tcBorders>
            <w:vAlign w:val="center"/>
          </w:tcPr>
          <w:p>
            <w:pPr>
              <w:tabs>
                <w:tab w:val="left" w:pos="7665"/>
              </w:tabs>
              <w:snapToGrid w:val="0"/>
              <w:jc w:val="left"/>
              <w:rPr>
                <w:rFonts w:ascii="宋体" w:hAnsi="宋体"/>
                <w:color w:val="auto"/>
                <w:sz w:val="24"/>
                <w:highlight w:val="none"/>
              </w:rPr>
            </w:pPr>
            <w:r>
              <w:rPr>
                <w:rFonts w:hint="eastAsia" w:ascii="宋体" w:hAnsi="宋体"/>
                <w:color w:val="auto"/>
                <w:sz w:val="24"/>
                <w:szCs w:val="24"/>
                <w:highlight w:val="none"/>
              </w:rPr>
              <w:t>投标人投诉</w:t>
            </w:r>
          </w:p>
        </w:tc>
        <w:tc>
          <w:tcPr>
            <w:tcW w:w="6681" w:type="dxa"/>
            <w:tcBorders>
              <w:top w:val="single" w:color="auto" w:sz="8" w:space="0"/>
              <w:left w:val="single" w:color="auto" w:sz="8" w:space="0"/>
              <w:bottom w:val="single" w:color="auto" w:sz="8" w:space="0"/>
              <w:right w:val="single" w:color="auto" w:sz="18" w:space="0"/>
            </w:tcBorders>
            <w:vAlign w:val="center"/>
          </w:tcPr>
          <w:p>
            <w:pPr>
              <w:tabs>
                <w:tab w:val="left" w:pos="7665"/>
              </w:tabs>
              <w:snapToGrid w:val="0"/>
              <w:jc w:val="left"/>
              <w:rPr>
                <w:rFonts w:ascii="宋体" w:hAnsi="宋体"/>
                <w:color w:val="auto"/>
                <w:sz w:val="24"/>
                <w:szCs w:val="24"/>
                <w:highlight w:val="none"/>
              </w:rPr>
            </w:pPr>
            <w:r>
              <w:rPr>
                <w:rFonts w:hint="eastAsia" w:ascii="宋体" w:hAnsi="宋体"/>
                <w:color w:val="auto"/>
                <w:sz w:val="24"/>
                <w:szCs w:val="24"/>
                <w:highlight w:val="none"/>
              </w:rPr>
              <w:t>投诉受理单位：本项目同级财政部门，即成都高新区财政金融局。</w:t>
            </w:r>
          </w:p>
          <w:p>
            <w:pPr>
              <w:tabs>
                <w:tab w:val="left" w:pos="7665"/>
              </w:tabs>
              <w:snapToGrid w:val="0"/>
              <w:jc w:val="left"/>
              <w:rPr>
                <w:rFonts w:ascii="宋体" w:hAnsi="宋体"/>
                <w:color w:val="auto"/>
                <w:sz w:val="24"/>
                <w:szCs w:val="24"/>
                <w:highlight w:val="none"/>
              </w:rPr>
            </w:pPr>
            <w:r>
              <w:rPr>
                <w:rFonts w:hint="eastAsia" w:ascii="宋体" w:hAnsi="宋体"/>
                <w:color w:val="auto"/>
                <w:sz w:val="24"/>
                <w:szCs w:val="24"/>
                <w:highlight w:val="none"/>
              </w:rPr>
              <w:t>联系电话：028-82829642。</w:t>
            </w:r>
          </w:p>
          <w:p>
            <w:pPr>
              <w:tabs>
                <w:tab w:val="left" w:pos="7665"/>
              </w:tabs>
              <w:snapToGrid w:val="0"/>
              <w:jc w:val="left"/>
              <w:rPr>
                <w:rFonts w:ascii="宋体" w:hAnsi="宋体"/>
                <w:color w:val="auto"/>
                <w:sz w:val="24"/>
                <w:szCs w:val="24"/>
                <w:highlight w:val="none"/>
              </w:rPr>
            </w:pPr>
            <w:r>
              <w:rPr>
                <w:rFonts w:hint="eastAsia" w:ascii="宋体" w:hAnsi="宋体"/>
                <w:color w:val="auto"/>
                <w:sz w:val="24"/>
                <w:szCs w:val="24"/>
                <w:highlight w:val="none"/>
              </w:rPr>
              <w:t>地址：成都市天府大道北段18号A座高新区管委会5楼。</w:t>
            </w:r>
          </w:p>
          <w:p>
            <w:pPr>
              <w:tabs>
                <w:tab w:val="left" w:pos="7665"/>
              </w:tabs>
              <w:snapToGrid w:val="0"/>
              <w:jc w:val="left"/>
              <w:rPr>
                <w:rFonts w:ascii="宋体" w:hAnsi="宋体"/>
                <w:color w:val="auto"/>
                <w:sz w:val="24"/>
                <w:highlight w:val="none"/>
              </w:rPr>
            </w:pPr>
            <w:r>
              <w:rPr>
                <w:rFonts w:hint="eastAsia" w:ascii="宋体" w:hAnsi="宋体"/>
                <w:color w:val="auto"/>
                <w:sz w:val="24"/>
                <w:szCs w:val="24"/>
                <w:highlight w:val="none"/>
              </w:rPr>
              <w:t>邮编：610041。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auto"/>
                <w:sz w:val="24"/>
                <w:highlight w:val="none"/>
              </w:rPr>
            </w:pPr>
          </w:p>
        </w:tc>
        <w:tc>
          <w:tcPr>
            <w:tcW w:w="1942" w:type="dxa"/>
            <w:tcBorders>
              <w:top w:val="single" w:color="auto" w:sz="8" w:space="0"/>
              <w:left w:val="single" w:color="auto" w:sz="8" w:space="0"/>
              <w:bottom w:val="single" w:color="auto" w:sz="4" w:space="0"/>
              <w:right w:val="single" w:color="auto" w:sz="8" w:space="0"/>
            </w:tcBorders>
            <w:vAlign w:val="center"/>
          </w:tcPr>
          <w:p>
            <w:pPr>
              <w:snapToGrid w:val="0"/>
              <w:jc w:val="left"/>
              <w:rPr>
                <w:rFonts w:ascii="宋体" w:hAnsi="宋体" w:cs="宋体"/>
                <w:color w:val="auto"/>
                <w:kern w:val="0"/>
                <w:sz w:val="24"/>
                <w:szCs w:val="24"/>
                <w:highlight w:val="none"/>
                <w:lang w:val="zh-CN"/>
              </w:rPr>
            </w:pPr>
            <w:r>
              <w:rPr>
                <w:rFonts w:hint="eastAsia" w:ascii="宋体" w:hAnsi="宋体" w:cs="宋体"/>
                <w:color w:val="auto"/>
                <w:kern w:val="0"/>
                <w:sz w:val="24"/>
                <w:szCs w:val="24"/>
                <w:highlight w:val="none"/>
                <w:lang w:val="zh-CN"/>
              </w:rPr>
              <w:t>评标情况公告</w:t>
            </w:r>
          </w:p>
        </w:tc>
        <w:tc>
          <w:tcPr>
            <w:tcW w:w="6681" w:type="dxa"/>
            <w:tcBorders>
              <w:top w:val="single" w:color="auto" w:sz="8" w:space="0"/>
              <w:left w:val="single" w:color="auto" w:sz="8" w:space="0"/>
              <w:bottom w:val="single" w:color="auto" w:sz="4" w:space="0"/>
              <w:right w:val="single" w:color="auto" w:sz="18" w:space="0"/>
            </w:tcBorders>
            <w:vAlign w:val="center"/>
          </w:tcPr>
          <w:p>
            <w:pPr>
              <w:widowControl/>
              <w:tabs>
                <w:tab w:val="left" w:pos="7665"/>
              </w:tabs>
              <w:jc w:val="left"/>
              <w:rPr>
                <w:rFonts w:ascii="宋体" w:hAnsi="宋体" w:cs="宋体"/>
                <w:color w:val="auto"/>
                <w:kern w:val="0"/>
                <w:sz w:val="24"/>
                <w:szCs w:val="24"/>
                <w:highlight w:val="none"/>
                <w:lang w:val="zh-CN"/>
              </w:rPr>
            </w:pPr>
            <w:r>
              <w:rPr>
                <w:rFonts w:hint="eastAsia" w:ascii="宋体" w:hAnsi="宋体" w:cs="宋体"/>
                <w:color w:val="auto"/>
                <w:kern w:val="0"/>
                <w:sz w:val="24"/>
                <w:szCs w:val="24"/>
                <w:highlight w:val="none"/>
                <w:lang w:val="zh-CN"/>
              </w:rPr>
              <w:t>所有</w:t>
            </w:r>
            <w:r>
              <w:rPr>
                <w:rFonts w:hint="eastAsia" w:ascii="宋体" w:hAnsi="宋体"/>
                <w:color w:val="auto"/>
                <w:sz w:val="24"/>
                <w:szCs w:val="24"/>
                <w:highlight w:val="none"/>
              </w:rPr>
              <w:t>投标人</w:t>
            </w:r>
            <w:r>
              <w:rPr>
                <w:rFonts w:hint="eastAsia" w:ascii="宋体" w:hAnsi="宋体" w:cs="宋体"/>
                <w:color w:val="auto"/>
                <w:kern w:val="0"/>
                <w:sz w:val="24"/>
                <w:szCs w:val="24"/>
                <w:highlight w:val="none"/>
                <w:lang w:val="zh-CN"/>
              </w:rPr>
              <w:t>投标文件资格性、符合性检查情况、采用综合评分法时的得分情况、评标结果等将在成都市公共资源交易服务中心网、四川政府采购网上采购结果公告栏中予以公告。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auto"/>
                <w:sz w:val="24"/>
                <w:highlight w:val="none"/>
              </w:rPr>
            </w:pPr>
          </w:p>
        </w:tc>
        <w:tc>
          <w:tcPr>
            <w:tcW w:w="1942" w:type="dxa"/>
            <w:tcBorders>
              <w:top w:val="single" w:color="auto" w:sz="8" w:space="0"/>
              <w:left w:val="single" w:color="auto" w:sz="8" w:space="0"/>
              <w:bottom w:val="single" w:color="auto" w:sz="4" w:space="0"/>
              <w:right w:val="single" w:color="auto" w:sz="8" w:space="0"/>
            </w:tcBorders>
            <w:vAlign w:val="center"/>
          </w:tcPr>
          <w:p>
            <w:pPr>
              <w:snapToGrid w:val="0"/>
              <w:jc w:val="left"/>
              <w:rPr>
                <w:rFonts w:ascii="宋体" w:hAnsi="宋体"/>
                <w:color w:val="auto"/>
                <w:sz w:val="24"/>
                <w:szCs w:val="24"/>
                <w:highlight w:val="none"/>
              </w:rPr>
            </w:pPr>
            <w:r>
              <w:rPr>
                <w:rFonts w:hint="eastAsia" w:ascii="宋体" w:hAnsi="宋体" w:cs="宋体"/>
                <w:color w:val="auto"/>
                <w:kern w:val="0"/>
                <w:sz w:val="24"/>
                <w:szCs w:val="24"/>
                <w:highlight w:val="none"/>
                <w:lang w:val="zh-CN"/>
              </w:rPr>
              <w:t>中标通知书</w:t>
            </w:r>
          </w:p>
        </w:tc>
        <w:tc>
          <w:tcPr>
            <w:tcW w:w="6681"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rPr>
                <w:rFonts w:ascii="宋体" w:hAnsi="宋体"/>
                <w:color w:val="auto"/>
                <w:kern w:val="0"/>
                <w:sz w:val="24"/>
                <w:szCs w:val="24"/>
                <w:highlight w:val="none"/>
              </w:rPr>
            </w:pPr>
            <w:r>
              <w:rPr>
                <w:rFonts w:hint="eastAsia" w:ascii="宋体" w:hAnsi="宋体"/>
                <w:color w:val="auto"/>
                <w:kern w:val="0"/>
                <w:sz w:val="24"/>
                <w:szCs w:val="24"/>
                <w:highlight w:val="none"/>
              </w:rPr>
              <w:t>中标公告在四川政府采购网上公告后，中标供应商自行登录政府采购云平台下载中标通知书。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18" w:hRule="atLeast"/>
          <w:jc w:val="center"/>
        </w:trPr>
        <w:tc>
          <w:tcPr>
            <w:tcW w:w="689" w:type="dxa"/>
            <w:tcBorders>
              <w:top w:val="single" w:color="auto" w:sz="8"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auto"/>
                <w:sz w:val="24"/>
                <w:highlight w:val="none"/>
              </w:rPr>
            </w:pPr>
          </w:p>
        </w:tc>
        <w:tc>
          <w:tcPr>
            <w:tcW w:w="1942" w:type="dxa"/>
            <w:tcBorders>
              <w:top w:val="single" w:color="auto" w:sz="8" w:space="0"/>
              <w:left w:val="single" w:color="auto" w:sz="8" w:space="0"/>
              <w:bottom w:val="single" w:color="auto" w:sz="4" w:space="0"/>
              <w:right w:val="single" w:color="auto" w:sz="8" w:space="0"/>
            </w:tcBorders>
            <w:vAlign w:val="center"/>
          </w:tcPr>
          <w:p>
            <w:pPr>
              <w:snapToGrid w:val="0"/>
              <w:jc w:val="left"/>
              <w:rPr>
                <w:rFonts w:ascii="宋体" w:hAnsi="宋体"/>
                <w:color w:val="auto"/>
                <w:sz w:val="24"/>
                <w:highlight w:val="none"/>
              </w:rPr>
            </w:pPr>
            <w:r>
              <w:rPr>
                <w:rFonts w:hint="eastAsia" w:ascii="宋体" w:hAnsi="宋体"/>
                <w:color w:val="auto"/>
                <w:sz w:val="24"/>
                <w:highlight w:val="none"/>
              </w:rPr>
              <w:t>合同签订地点</w:t>
            </w:r>
          </w:p>
        </w:tc>
        <w:tc>
          <w:tcPr>
            <w:tcW w:w="6681" w:type="dxa"/>
            <w:tcBorders>
              <w:top w:val="single" w:color="auto" w:sz="8" w:space="0"/>
              <w:left w:val="single" w:color="auto" w:sz="8" w:space="0"/>
              <w:bottom w:val="single" w:color="auto" w:sz="4" w:space="0"/>
              <w:right w:val="single" w:color="auto" w:sz="18" w:space="0"/>
            </w:tcBorders>
            <w:vAlign w:val="center"/>
          </w:tcPr>
          <w:p>
            <w:pPr>
              <w:tabs>
                <w:tab w:val="left" w:pos="7665"/>
              </w:tabs>
              <w:snapToGrid w:val="0"/>
              <w:rPr>
                <w:rFonts w:ascii="宋体" w:hAnsi="宋体"/>
                <w:color w:val="auto"/>
                <w:kern w:val="0"/>
                <w:sz w:val="24"/>
                <w:highlight w:val="none"/>
              </w:rPr>
            </w:pPr>
            <w:r>
              <w:rPr>
                <w:rFonts w:hint="eastAsia" w:ascii="宋体" w:hAnsi="宋体"/>
                <w:color w:val="auto"/>
                <w:kern w:val="0"/>
                <w:sz w:val="24"/>
                <w:highlight w:val="none"/>
              </w:rPr>
              <w:t>四川省成都市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16"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auto"/>
                <w:sz w:val="24"/>
                <w:highlight w:val="none"/>
              </w:rPr>
            </w:pPr>
          </w:p>
        </w:tc>
        <w:tc>
          <w:tcPr>
            <w:tcW w:w="1942" w:type="dxa"/>
            <w:tcBorders>
              <w:top w:val="single" w:color="auto" w:sz="4" w:space="0"/>
              <w:left w:val="single" w:color="auto" w:sz="8" w:space="0"/>
              <w:bottom w:val="single" w:color="auto" w:sz="4" w:space="0"/>
              <w:right w:val="single" w:color="auto" w:sz="8" w:space="0"/>
            </w:tcBorders>
            <w:vAlign w:val="center"/>
          </w:tcPr>
          <w:p>
            <w:pPr>
              <w:snapToGrid w:val="0"/>
              <w:ind w:right="210" w:rightChars="100"/>
              <w:jc w:val="left"/>
              <w:rPr>
                <w:rFonts w:ascii="宋体" w:hAnsi="宋体"/>
                <w:color w:val="auto"/>
                <w:sz w:val="24"/>
                <w:highlight w:val="none"/>
              </w:rPr>
            </w:pPr>
            <w:r>
              <w:rPr>
                <w:rFonts w:hint="eastAsia" w:ascii="宋体" w:hAnsi="宋体"/>
                <w:color w:val="auto"/>
                <w:sz w:val="24"/>
                <w:highlight w:val="none"/>
              </w:rPr>
              <w:t>政府采购合同公告、备案</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ind w:left="-4" w:leftChars="-2" w:right="210"/>
              <w:rPr>
                <w:rFonts w:ascii="宋体" w:hAnsi="宋体"/>
                <w:color w:val="auto"/>
                <w:sz w:val="24"/>
                <w:highlight w:val="none"/>
              </w:rPr>
            </w:pPr>
            <w:r>
              <w:rPr>
                <w:rFonts w:hint="eastAsia" w:ascii="宋体"/>
                <w:color w:val="auto"/>
                <w:sz w:val="24"/>
                <w:highlight w:val="none"/>
              </w:rPr>
              <w:t>政府采购合同签订之日起2个工作日内，采购人将在四川政府采购网公告政府采购合同；</w:t>
            </w:r>
            <w:r>
              <w:rPr>
                <w:rFonts w:hint="eastAsia" w:ascii="宋体" w:hAnsi="宋体" w:cs="宋体"/>
                <w:color w:val="auto"/>
                <w:kern w:val="0"/>
                <w:sz w:val="24"/>
                <w:szCs w:val="24"/>
                <w:highlight w:val="none"/>
                <w:lang w:val="zh-CN"/>
              </w:rPr>
              <w:t>疫情防控期间，采购人原则上在5个工作日内与供应商签订政府采购合同及向本采购项目同级财政部门，即成都高新区财政金融局备案政府采购合同。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41"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auto"/>
                <w:sz w:val="24"/>
                <w:highlight w:val="none"/>
              </w:rPr>
            </w:pPr>
          </w:p>
        </w:tc>
        <w:tc>
          <w:tcPr>
            <w:tcW w:w="1942" w:type="dxa"/>
            <w:tcBorders>
              <w:top w:val="single" w:color="auto" w:sz="4" w:space="0"/>
              <w:left w:val="single" w:color="auto" w:sz="8" w:space="0"/>
              <w:bottom w:val="single" w:color="auto" w:sz="4" w:space="0"/>
              <w:right w:val="single" w:color="auto" w:sz="8" w:space="0"/>
            </w:tcBorders>
            <w:vAlign w:val="center"/>
          </w:tcPr>
          <w:p>
            <w:pPr>
              <w:tabs>
                <w:tab w:val="left" w:pos="7665"/>
              </w:tabs>
              <w:snapToGrid w:val="0"/>
              <w:ind w:left="-4" w:leftChars="-2" w:right="210"/>
              <w:rPr>
                <w:rFonts w:ascii="宋体" w:hAnsi="宋体" w:cs="宋体"/>
                <w:color w:val="auto"/>
                <w:kern w:val="0"/>
                <w:sz w:val="24"/>
                <w:szCs w:val="24"/>
                <w:highlight w:val="none"/>
                <w:lang w:val="zh-CN"/>
              </w:rPr>
            </w:pPr>
            <w:r>
              <w:rPr>
                <w:rFonts w:hint="eastAsia" w:ascii="宋体" w:hAnsi="宋体" w:cs="宋体"/>
                <w:color w:val="auto"/>
                <w:kern w:val="0"/>
                <w:sz w:val="24"/>
                <w:szCs w:val="24"/>
                <w:highlight w:val="none"/>
                <w:lang w:val="zh-CN"/>
              </w:rPr>
              <w:t>中小企业政府采购信用融资（“蓉采贷”）</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ind w:left="-4" w:leftChars="-2" w:right="210"/>
              <w:rPr>
                <w:rFonts w:ascii="宋体" w:hAnsi="宋体" w:cs="宋体"/>
                <w:color w:val="auto"/>
                <w:kern w:val="0"/>
                <w:sz w:val="24"/>
                <w:szCs w:val="24"/>
                <w:highlight w:val="none"/>
                <w:lang w:val="zh-CN"/>
              </w:rPr>
            </w:pPr>
            <w:r>
              <w:rPr>
                <w:rFonts w:hint="eastAsia" w:ascii="宋体" w:hAnsi="宋体"/>
                <w:color w:val="auto"/>
                <w:highlight w:val="none"/>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900" w:hRule="atLeast"/>
          <w:jc w:val="center"/>
        </w:trPr>
        <w:tc>
          <w:tcPr>
            <w:tcW w:w="689" w:type="dxa"/>
            <w:tcBorders>
              <w:top w:val="single" w:color="auto" w:sz="4" w:space="0"/>
              <w:left w:val="single" w:color="auto" w:sz="18" w:space="0"/>
              <w:bottom w:val="single" w:color="auto" w:sz="4" w:space="0"/>
              <w:right w:val="single" w:color="auto" w:sz="8" w:space="0"/>
            </w:tcBorders>
            <w:vAlign w:val="center"/>
          </w:tcPr>
          <w:p>
            <w:pPr>
              <w:numPr>
                <w:ilvl w:val="0"/>
                <w:numId w:val="8"/>
              </w:numPr>
              <w:snapToGrid w:val="0"/>
              <w:spacing w:after="200"/>
              <w:ind w:left="0" w:firstLine="0"/>
              <w:jc w:val="center"/>
              <w:rPr>
                <w:rFonts w:ascii="宋体" w:hAnsi="宋体"/>
                <w:color w:val="auto"/>
                <w:sz w:val="24"/>
                <w:highlight w:val="none"/>
              </w:rPr>
            </w:pPr>
          </w:p>
        </w:tc>
        <w:tc>
          <w:tcPr>
            <w:tcW w:w="1942" w:type="dxa"/>
            <w:tcBorders>
              <w:top w:val="single" w:color="auto" w:sz="4" w:space="0"/>
              <w:left w:val="single" w:color="auto" w:sz="8" w:space="0"/>
              <w:bottom w:val="single" w:color="auto" w:sz="4" w:space="0"/>
              <w:right w:val="single" w:color="auto" w:sz="8" w:space="0"/>
            </w:tcBorders>
            <w:vAlign w:val="center"/>
          </w:tcPr>
          <w:p>
            <w:pPr>
              <w:snapToGrid w:val="0"/>
              <w:jc w:val="left"/>
              <w:rPr>
                <w:rFonts w:ascii="宋体" w:hAnsi="宋体"/>
                <w:color w:val="auto"/>
                <w:sz w:val="24"/>
                <w:highlight w:val="none"/>
              </w:rPr>
            </w:pPr>
            <w:r>
              <w:rPr>
                <w:rFonts w:hint="eastAsia" w:ascii="宋体" w:hAnsi="宋体"/>
                <w:color w:val="auto"/>
                <w:sz w:val="24"/>
                <w:highlight w:val="none"/>
              </w:rPr>
              <w:t>进口产品</w:t>
            </w:r>
          </w:p>
        </w:tc>
        <w:tc>
          <w:tcPr>
            <w:tcW w:w="6681" w:type="dxa"/>
            <w:tcBorders>
              <w:top w:val="single" w:color="auto" w:sz="4" w:space="0"/>
              <w:left w:val="single" w:color="auto" w:sz="8" w:space="0"/>
              <w:bottom w:val="single" w:color="auto" w:sz="4" w:space="0"/>
              <w:right w:val="single" w:color="auto" w:sz="18" w:space="0"/>
            </w:tcBorders>
            <w:vAlign w:val="center"/>
          </w:tcPr>
          <w:p>
            <w:pPr>
              <w:tabs>
                <w:tab w:val="left" w:pos="7665"/>
              </w:tabs>
              <w:snapToGrid w:val="0"/>
              <w:rPr>
                <w:rFonts w:ascii="宋体" w:hAnsi="宋体"/>
                <w:color w:val="auto"/>
                <w:sz w:val="24"/>
                <w:highlight w:val="none"/>
              </w:rPr>
            </w:pPr>
            <w:r>
              <w:rPr>
                <w:rFonts w:hint="eastAsia" w:ascii="宋体" w:hAnsi="宋体"/>
                <w:color w:val="auto"/>
                <w:sz w:val="24"/>
                <w:highlight w:val="none"/>
              </w:rPr>
              <w:t>招标文件中未载明“允许采购进口产品”的产品，拒绝进口产品的投标。招标文件中载明“允许采购进口产品”的产品，允许国产产品参与投标竞争。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7" w:hRule="atLeast"/>
          <w:jc w:val="center"/>
        </w:trPr>
        <w:tc>
          <w:tcPr>
            <w:tcW w:w="689" w:type="dxa"/>
            <w:tcBorders>
              <w:top w:val="single" w:color="auto" w:sz="4" w:space="0"/>
              <w:left w:val="single" w:color="auto" w:sz="18" w:space="0"/>
              <w:bottom w:val="single" w:color="auto" w:sz="18" w:space="0"/>
              <w:right w:val="single" w:color="auto" w:sz="8" w:space="0"/>
            </w:tcBorders>
            <w:vAlign w:val="center"/>
          </w:tcPr>
          <w:p>
            <w:pPr>
              <w:numPr>
                <w:ilvl w:val="0"/>
                <w:numId w:val="8"/>
              </w:numPr>
              <w:snapToGrid w:val="0"/>
              <w:spacing w:after="200"/>
              <w:ind w:left="0" w:firstLine="0"/>
              <w:jc w:val="center"/>
              <w:rPr>
                <w:rFonts w:ascii="宋体" w:hAnsi="宋体"/>
                <w:color w:val="auto"/>
                <w:sz w:val="24"/>
                <w:highlight w:val="none"/>
              </w:rPr>
            </w:pPr>
          </w:p>
        </w:tc>
        <w:tc>
          <w:tcPr>
            <w:tcW w:w="8623" w:type="dxa"/>
            <w:gridSpan w:val="2"/>
            <w:tcBorders>
              <w:top w:val="single" w:color="auto" w:sz="4" w:space="0"/>
              <w:left w:val="single" w:color="auto" w:sz="8" w:space="0"/>
              <w:bottom w:val="single" w:color="auto" w:sz="18" w:space="0"/>
              <w:right w:val="single" w:color="auto" w:sz="18" w:space="0"/>
            </w:tcBorders>
            <w:vAlign w:val="center"/>
          </w:tcPr>
          <w:p>
            <w:pPr>
              <w:tabs>
                <w:tab w:val="left" w:pos="7665"/>
              </w:tabs>
              <w:snapToGrid w:val="0"/>
              <w:rPr>
                <w:rFonts w:ascii="宋体" w:hAnsi="宋体"/>
                <w:color w:val="auto"/>
                <w:sz w:val="24"/>
                <w:highlight w:val="none"/>
              </w:rPr>
            </w:pPr>
            <w:r>
              <w:rPr>
                <w:rFonts w:hint="eastAsia" w:ascii="宋体" w:hAnsi="宋体"/>
                <w:color w:val="auto"/>
                <w:sz w:val="24"/>
                <w:highlight w:val="none"/>
              </w:rPr>
              <w:t>采购人可以要求参加政府采购的供应商提供有关资质证明文件和业绩情况，并根据《中华人民共和国政府采购法》规定的供应商条件和采购项目对供应商的特定要求，对供应商的资格进行审查。</w:t>
            </w:r>
          </w:p>
        </w:tc>
      </w:tr>
    </w:tbl>
    <w:p>
      <w:pPr>
        <w:pStyle w:val="4"/>
        <w:numPr>
          <w:ilvl w:val="1"/>
          <w:numId w:val="4"/>
        </w:numPr>
        <w:spacing w:before="0" w:after="0" w:line="240" w:lineRule="auto"/>
        <w:ind w:left="2269" w:hanging="2127"/>
        <w:rPr>
          <w:color w:val="auto"/>
          <w:highlight w:val="none"/>
        </w:rPr>
      </w:pPr>
      <w:bookmarkStart w:id="34" w:name="_Toc29824"/>
      <w:bookmarkStart w:id="35" w:name="_Toc30390"/>
      <w:bookmarkStart w:id="36" w:name="_Toc22447"/>
      <w:bookmarkStart w:id="37" w:name="_Toc2484"/>
      <w:bookmarkStart w:id="38" w:name="_Toc10565"/>
      <w:r>
        <w:rPr>
          <w:rFonts w:hint="eastAsia"/>
          <w:color w:val="auto"/>
          <w:highlight w:val="none"/>
        </w:rPr>
        <w:t>总则</w:t>
      </w:r>
      <w:bookmarkEnd w:id="34"/>
      <w:bookmarkEnd w:id="35"/>
      <w:bookmarkEnd w:id="36"/>
      <w:bookmarkEnd w:id="37"/>
      <w:bookmarkEnd w:id="38"/>
    </w:p>
    <w:p>
      <w:pPr>
        <w:pStyle w:val="5"/>
        <w:numPr>
          <w:ilvl w:val="2"/>
          <w:numId w:val="4"/>
        </w:numPr>
        <w:spacing w:after="200" w:line="240" w:lineRule="auto"/>
        <w:ind w:left="-141" w:leftChars="-67" w:firstLine="0"/>
        <w:rPr>
          <w:color w:val="auto"/>
          <w:highlight w:val="none"/>
        </w:rPr>
      </w:pPr>
      <w:r>
        <w:rPr>
          <w:rFonts w:hint="eastAsia"/>
          <w:color w:val="auto"/>
          <w:highlight w:val="none"/>
        </w:rPr>
        <w:t>适用范围</w:t>
      </w:r>
    </w:p>
    <w:p>
      <w:pPr>
        <w:numPr>
          <w:ilvl w:val="0"/>
          <w:numId w:val="9"/>
        </w:numPr>
        <w:tabs>
          <w:tab w:val="left" w:pos="1134"/>
        </w:tabs>
        <w:spacing w:after="200"/>
        <w:ind w:left="0" w:firstLine="565" w:firstLineChars="202"/>
        <w:rPr>
          <w:rFonts w:ascii="宋体" w:hAnsi="宋体"/>
          <w:color w:val="auto"/>
          <w:sz w:val="28"/>
          <w:szCs w:val="28"/>
          <w:highlight w:val="none"/>
        </w:rPr>
      </w:pPr>
      <w:r>
        <w:rPr>
          <w:rFonts w:hint="eastAsia" w:ascii="宋体" w:hAnsi="宋体"/>
          <w:color w:val="auto"/>
          <w:sz w:val="28"/>
          <w:szCs w:val="28"/>
          <w:highlight w:val="none"/>
        </w:rPr>
        <w:t>本招标文件仅适用于本次公开招标采购项目。</w:t>
      </w:r>
    </w:p>
    <w:p>
      <w:pPr>
        <w:numPr>
          <w:ilvl w:val="0"/>
          <w:numId w:val="9"/>
        </w:numPr>
        <w:tabs>
          <w:tab w:val="left" w:pos="1134"/>
        </w:tabs>
        <w:spacing w:after="200"/>
        <w:ind w:left="0" w:firstLine="565" w:firstLineChars="202"/>
        <w:rPr>
          <w:rFonts w:ascii="宋体" w:hAnsi="宋体"/>
          <w:color w:val="auto"/>
          <w:sz w:val="28"/>
          <w:szCs w:val="28"/>
          <w:highlight w:val="none"/>
        </w:rPr>
      </w:pPr>
      <w:r>
        <w:rPr>
          <w:rFonts w:hint="eastAsia" w:ascii="宋体" w:hAnsi="宋体"/>
          <w:color w:val="auto"/>
          <w:sz w:val="28"/>
          <w:szCs w:val="28"/>
          <w:highlight w:val="none"/>
        </w:rPr>
        <w:t>本招标文件的最终解释权由采购人或高新区采购中心享有。对招标文件中供应商参加本次政府采购活动应当具备的条件，招标项目服务、商务及其他要求，评标细则及标准由采购人负责解释。除上述招标文件内容，其他内容由高新区采购中心负责解释。</w:t>
      </w:r>
    </w:p>
    <w:p>
      <w:pPr>
        <w:pStyle w:val="5"/>
        <w:numPr>
          <w:ilvl w:val="2"/>
          <w:numId w:val="4"/>
        </w:numPr>
        <w:spacing w:after="200" w:line="240" w:lineRule="auto"/>
        <w:ind w:left="0" w:firstLine="0"/>
        <w:rPr>
          <w:color w:val="auto"/>
          <w:highlight w:val="none"/>
        </w:rPr>
      </w:pPr>
      <w:r>
        <w:rPr>
          <w:rFonts w:hint="eastAsia"/>
          <w:color w:val="auto"/>
          <w:highlight w:val="none"/>
        </w:rPr>
        <w:t>有关定义</w:t>
      </w:r>
    </w:p>
    <w:p>
      <w:pPr>
        <w:numPr>
          <w:ilvl w:val="0"/>
          <w:numId w:val="10"/>
        </w:numPr>
        <w:tabs>
          <w:tab w:val="left" w:pos="1134"/>
        </w:tabs>
        <w:spacing w:after="200"/>
        <w:ind w:left="0" w:firstLine="567"/>
        <w:jc w:val="left"/>
        <w:rPr>
          <w:rFonts w:ascii="宋体" w:hAnsi="宋体"/>
          <w:color w:val="auto"/>
          <w:sz w:val="28"/>
          <w:szCs w:val="28"/>
          <w:highlight w:val="none"/>
        </w:rPr>
      </w:pPr>
      <w:r>
        <w:rPr>
          <w:rFonts w:hint="eastAsia" w:ascii="宋体" w:hAnsi="宋体"/>
          <w:color w:val="auto"/>
          <w:sz w:val="28"/>
          <w:szCs w:val="28"/>
          <w:highlight w:val="none"/>
        </w:rPr>
        <w:t>“采购人”和“甲方”系指依法进行政府采购的高新区级机关、事业单位、团体组织。本次招标的采购人是</w:t>
      </w:r>
      <w:r>
        <w:rPr>
          <w:rFonts w:hint="eastAsia" w:asciiTheme="minorEastAsia" w:hAnsiTheme="minorEastAsia" w:eastAsiaTheme="minorEastAsia"/>
          <w:b/>
          <w:color w:val="auto"/>
          <w:kern w:val="0"/>
          <w:sz w:val="28"/>
          <w:highlight w:val="none"/>
        </w:rPr>
        <w:t>成都高新区芳草小学</w:t>
      </w:r>
      <w:r>
        <w:rPr>
          <w:rFonts w:hint="eastAsia" w:ascii="宋体" w:hAnsi="宋体"/>
          <w:color w:val="auto"/>
          <w:sz w:val="28"/>
          <w:szCs w:val="28"/>
          <w:highlight w:val="none"/>
        </w:rPr>
        <w:t>。</w:t>
      </w:r>
    </w:p>
    <w:p>
      <w:pPr>
        <w:numPr>
          <w:ilvl w:val="0"/>
          <w:numId w:val="10"/>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“投标人”系指在系统中成功提交《采购文件获取登记表》拟参加投标和向采购人提供货物及服务的供应商。</w:t>
      </w:r>
    </w:p>
    <w:p>
      <w:pPr>
        <w:numPr>
          <w:ilvl w:val="0"/>
          <w:numId w:val="10"/>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本招标文件各部分规定的期间以时、日、月、年计算。期间开始的时和日，不计算在期间内，而从次日开始计算。期间届满的最后一天是节假日的，以节假日后的第一日为期间届满的日期。</w:t>
      </w:r>
    </w:p>
    <w:p>
      <w:pPr>
        <w:numPr>
          <w:ilvl w:val="0"/>
          <w:numId w:val="10"/>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本招标文件各部分规定的“以上”、“以下”、“内”、“以内”，包括本数；所称的“不足”，不包括本数。</w:t>
      </w:r>
    </w:p>
    <w:p>
      <w:pPr>
        <w:numPr>
          <w:ilvl w:val="0"/>
          <w:numId w:val="10"/>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重大违法记录是指供应商因违法经营受到刑事处罚或者责令停产停业、吊销许可证或者执照、较大数额罚款等行政处罚。</w:t>
      </w:r>
    </w:p>
    <w:p>
      <w:pPr>
        <w:numPr>
          <w:ilvl w:val="0"/>
          <w:numId w:val="10"/>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不见面开标是指，高新区采购中心依托政府采购云平台组织开标活动，供应商在线参与开标的一种组织形式。 </w:t>
      </w:r>
    </w:p>
    <w:p>
      <w:pPr>
        <w:pStyle w:val="5"/>
        <w:numPr>
          <w:ilvl w:val="2"/>
          <w:numId w:val="4"/>
        </w:numPr>
        <w:spacing w:after="200" w:line="240" w:lineRule="auto"/>
        <w:ind w:left="851"/>
        <w:rPr>
          <w:color w:val="auto"/>
          <w:highlight w:val="none"/>
        </w:rPr>
      </w:pPr>
      <w:bookmarkStart w:id="39" w:name="_Toc217446036"/>
      <w:bookmarkStart w:id="40" w:name="_Toc217390843"/>
      <w:bookmarkStart w:id="41" w:name="_Toc183682344"/>
      <w:bookmarkStart w:id="42" w:name="_Toc183582207"/>
      <w:r>
        <w:rPr>
          <w:rFonts w:hint="eastAsia"/>
          <w:color w:val="auto"/>
          <w:highlight w:val="none"/>
        </w:rPr>
        <w:t>合格的投标人</w:t>
      </w:r>
      <w:bookmarkEnd w:id="39"/>
      <w:bookmarkEnd w:id="40"/>
      <w:bookmarkEnd w:id="41"/>
      <w:bookmarkEnd w:id="42"/>
    </w:p>
    <w:p>
      <w:pPr>
        <w:tabs>
          <w:tab w:val="left" w:pos="7665"/>
        </w:tabs>
        <w:ind w:firstLine="565" w:firstLineChars="202"/>
        <w:rPr>
          <w:rFonts w:ascii="宋体" w:hAnsi="宋体"/>
          <w:color w:val="auto"/>
          <w:sz w:val="28"/>
          <w:szCs w:val="28"/>
          <w:highlight w:val="none"/>
        </w:rPr>
      </w:pPr>
      <w:r>
        <w:rPr>
          <w:rFonts w:hint="eastAsia" w:ascii="宋体" w:hAnsi="宋体"/>
          <w:color w:val="auto"/>
          <w:sz w:val="28"/>
          <w:szCs w:val="28"/>
          <w:highlight w:val="none"/>
        </w:rPr>
        <w:t>合格的投标人应具备以下条件：</w:t>
      </w:r>
    </w:p>
    <w:p>
      <w:pPr>
        <w:numPr>
          <w:ilvl w:val="0"/>
          <w:numId w:val="11"/>
        </w:numPr>
        <w:tabs>
          <w:tab w:val="left" w:pos="1134"/>
        </w:tabs>
        <w:spacing w:after="200"/>
        <w:rPr>
          <w:rFonts w:ascii="宋体" w:hAnsi="宋体"/>
          <w:color w:val="auto"/>
          <w:sz w:val="28"/>
          <w:szCs w:val="28"/>
          <w:highlight w:val="none"/>
        </w:rPr>
      </w:pPr>
      <w:r>
        <w:rPr>
          <w:rFonts w:hint="eastAsia" w:ascii="宋体" w:hAnsi="宋体"/>
          <w:color w:val="auto"/>
          <w:sz w:val="28"/>
          <w:szCs w:val="28"/>
          <w:highlight w:val="none"/>
        </w:rPr>
        <w:t>本招标文件“投标邀请”第五条规定的条件；</w:t>
      </w:r>
    </w:p>
    <w:p>
      <w:pPr>
        <w:numPr>
          <w:ilvl w:val="0"/>
          <w:numId w:val="11"/>
        </w:numPr>
        <w:tabs>
          <w:tab w:val="left" w:pos="1134"/>
        </w:tabs>
        <w:spacing w:after="200"/>
        <w:ind w:left="0" w:firstLine="568"/>
        <w:rPr>
          <w:rFonts w:ascii="宋体" w:hAnsi="宋体"/>
          <w:color w:val="auto"/>
          <w:sz w:val="28"/>
          <w:szCs w:val="28"/>
          <w:highlight w:val="none"/>
        </w:rPr>
      </w:pPr>
      <w:r>
        <w:rPr>
          <w:rFonts w:hint="eastAsia" w:ascii="宋体" w:hAnsi="宋体"/>
          <w:color w:val="auto"/>
          <w:sz w:val="28"/>
          <w:szCs w:val="28"/>
          <w:highlight w:val="none"/>
        </w:rPr>
        <w:t>按照招标文件“投标邀请”中第六、七、八条规定获取了招标文件。</w:t>
      </w:r>
    </w:p>
    <w:p>
      <w:pPr>
        <w:pStyle w:val="5"/>
        <w:numPr>
          <w:ilvl w:val="2"/>
          <w:numId w:val="4"/>
        </w:numPr>
        <w:spacing w:after="200" w:line="240" w:lineRule="auto"/>
        <w:ind w:left="0" w:firstLine="0"/>
        <w:rPr>
          <w:color w:val="auto"/>
          <w:highlight w:val="none"/>
        </w:rPr>
      </w:pPr>
      <w:r>
        <w:rPr>
          <w:rFonts w:hint="eastAsia"/>
          <w:color w:val="auto"/>
          <w:highlight w:val="none"/>
        </w:rPr>
        <w:t>投标费用</w:t>
      </w:r>
    </w:p>
    <w:p>
      <w:pPr>
        <w:ind w:firstLine="660" w:firstLineChars="236"/>
        <w:rPr>
          <w:rFonts w:ascii="宋体" w:hAnsi="宋体"/>
          <w:color w:val="auto"/>
          <w:sz w:val="28"/>
          <w:szCs w:val="28"/>
          <w:highlight w:val="none"/>
        </w:rPr>
      </w:pPr>
      <w:r>
        <w:rPr>
          <w:rFonts w:hint="eastAsia" w:ascii="宋体" w:hAnsi="宋体"/>
          <w:color w:val="auto"/>
          <w:sz w:val="28"/>
          <w:szCs w:val="28"/>
          <w:highlight w:val="none"/>
        </w:rPr>
        <w:t>投标人应自行承担参加投标的全部费用。</w:t>
      </w:r>
    </w:p>
    <w:p>
      <w:pPr>
        <w:pStyle w:val="5"/>
        <w:numPr>
          <w:ilvl w:val="2"/>
          <w:numId w:val="4"/>
        </w:numPr>
        <w:spacing w:after="200" w:line="240" w:lineRule="auto"/>
        <w:ind w:left="0" w:firstLine="0"/>
        <w:rPr>
          <w:color w:val="auto"/>
          <w:highlight w:val="none"/>
        </w:rPr>
      </w:pPr>
      <w:r>
        <w:rPr>
          <w:rFonts w:hint="eastAsia"/>
          <w:color w:val="auto"/>
          <w:highlight w:val="none"/>
        </w:rPr>
        <w:t>充分、公平竞争保障措施</w:t>
      </w:r>
    </w:p>
    <w:p>
      <w:pPr>
        <w:pStyle w:val="118"/>
        <w:tabs>
          <w:tab w:val="left" w:pos="851"/>
        </w:tabs>
        <w:spacing w:before="156" w:line="240" w:lineRule="auto"/>
        <w:ind w:firstLine="560" w:firstLineChars="200"/>
        <w:rPr>
          <w:rFonts w:hAnsi="宋体"/>
          <w:color w:val="auto"/>
          <w:sz w:val="28"/>
          <w:szCs w:val="28"/>
          <w:highlight w:val="none"/>
        </w:rPr>
      </w:pPr>
      <w:r>
        <w:rPr>
          <w:rFonts w:hint="eastAsia" w:hAnsi="宋体"/>
          <w:color w:val="auto"/>
          <w:sz w:val="28"/>
          <w:szCs w:val="28"/>
          <w:highlight w:val="none"/>
        </w:rPr>
        <w:t>一、单位负责人为同一人或者存在直接控股、管理关系的不同供应商，不得参加同一项目的投标。</w:t>
      </w:r>
    </w:p>
    <w:p>
      <w:pPr>
        <w:pStyle w:val="118"/>
        <w:tabs>
          <w:tab w:val="left" w:pos="851"/>
        </w:tabs>
        <w:spacing w:before="156" w:line="240" w:lineRule="auto"/>
        <w:ind w:left="-143" w:leftChars="-68" w:firstLine="700" w:firstLineChars="250"/>
        <w:rPr>
          <w:rFonts w:hAnsi="宋体"/>
          <w:b/>
          <w:color w:val="auto"/>
          <w:sz w:val="28"/>
          <w:szCs w:val="28"/>
          <w:highlight w:val="none"/>
        </w:rPr>
      </w:pPr>
      <w:r>
        <w:rPr>
          <w:rFonts w:hint="eastAsia" w:hAnsi="宋体"/>
          <w:color w:val="auto"/>
          <w:sz w:val="28"/>
          <w:szCs w:val="28"/>
          <w:highlight w:val="none"/>
        </w:rPr>
        <w:t>二、为采购项目提供整体设计、规范编制或者项目管理、监理、检测等服务的供应商，不得再参加该采购项目的其他采购活动。供应商为采购人、采购代理机构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hAnsi="宋体"/>
          <w:b/>
          <w:color w:val="auto"/>
          <w:sz w:val="28"/>
          <w:szCs w:val="28"/>
          <w:highlight w:val="none"/>
        </w:rPr>
        <w:t>（说明：无供应商为本项目提供整体设计、规范编制或者项目管理、监理、检测等服务。）</w:t>
      </w:r>
    </w:p>
    <w:p>
      <w:pPr>
        <w:pStyle w:val="4"/>
        <w:numPr>
          <w:ilvl w:val="1"/>
          <w:numId w:val="4"/>
        </w:numPr>
        <w:spacing w:before="0" w:after="0" w:line="240" w:lineRule="auto"/>
        <w:ind w:left="2269" w:hanging="2127"/>
        <w:rPr>
          <w:color w:val="auto"/>
          <w:highlight w:val="none"/>
        </w:rPr>
      </w:pPr>
      <w:bookmarkStart w:id="43" w:name="_Toc14139"/>
      <w:bookmarkStart w:id="44" w:name="_Toc12455"/>
      <w:bookmarkStart w:id="45" w:name="_Toc22758"/>
      <w:bookmarkStart w:id="46" w:name="_Toc2675"/>
      <w:bookmarkStart w:id="47" w:name="_Toc32420"/>
      <w:r>
        <w:rPr>
          <w:rFonts w:hint="eastAsia"/>
          <w:color w:val="auto"/>
          <w:highlight w:val="none"/>
        </w:rPr>
        <w:t>招标文件</w:t>
      </w:r>
      <w:bookmarkEnd w:id="43"/>
      <w:bookmarkEnd w:id="44"/>
      <w:bookmarkEnd w:id="45"/>
      <w:bookmarkEnd w:id="46"/>
      <w:bookmarkEnd w:id="47"/>
    </w:p>
    <w:p>
      <w:pPr>
        <w:pStyle w:val="5"/>
        <w:numPr>
          <w:ilvl w:val="2"/>
          <w:numId w:val="4"/>
        </w:numPr>
        <w:spacing w:after="200" w:line="240" w:lineRule="auto"/>
        <w:ind w:left="0" w:firstLine="0"/>
        <w:rPr>
          <w:color w:val="auto"/>
          <w:highlight w:val="none"/>
        </w:rPr>
      </w:pPr>
      <w:bookmarkStart w:id="48" w:name="_Toc183582210"/>
      <w:bookmarkStart w:id="49" w:name="_Toc183682347"/>
      <w:bookmarkStart w:id="50" w:name="_Toc217446039"/>
      <w:r>
        <w:rPr>
          <w:rFonts w:hint="eastAsia"/>
          <w:color w:val="auto"/>
          <w:highlight w:val="none"/>
        </w:rPr>
        <w:t>招标文件的构成</w:t>
      </w:r>
      <w:bookmarkEnd w:id="48"/>
      <w:bookmarkEnd w:id="49"/>
      <w:bookmarkEnd w:id="50"/>
    </w:p>
    <w:p>
      <w:pPr>
        <w:numPr>
          <w:ilvl w:val="0"/>
          <w:numId w:val="12"/>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招标文件是供应商准备投标文件和参加投标的依据，同时也是评标的重要依据。招标文件用以阐明招标项目所需的资质、服务及报价等要求、招标投标程序、有关规定和注意事项以及合同主要条款等。本招标文件包括以下内容：</w:t>
      </w:r>
    </w:p>
    <w:p>
      <w:pPr>
        <w:numPr>
          <w:ilvl w:val="1"/>
          <w:numId w:val="13"/>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投标邀请；</w:t>
      </w:r>
    </w:p>
    <w:p>
      <w:pPr>
        <w:numPr>
          <w:ilvl w:val="1"/>
          <w:numId w:val="13"/>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投标人须知；</w:t>
      </w:r>
    </w:p>
    <w:p>
      <w:pPr>
        <w:numPr>
          <w:ilvl w:val="1"/>
          <w:numId w:val="13"/>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投标文件格式；</w:t>
      </w:r>
    </w:p>
    <w:p>
      <w:pPr>
        <w:numPr>
          <w:ilvl w:val="1"/>
          <w:numId w:val="13"/>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招标项目服务、商务及其他要求；</w:t>
      </w:r>
    </w:p>
    <w:p>
      <w:pPr>
        <w:numPr>
          <w:ilvl w:val="1"/>
          <w:numId w:val="13"/>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资格性审查；</w:t>
      </w:r>
    </w:p>
    <w:p>
      <w:pPr>
        <w:numPr>
          <w:ilvl w:val="1"/>
          <w:numId w:val="13"/>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评标办法；</w:t>
      </w:r>
    </w:p>
    <w:p>
      <w:pPr>
        <w:numPr>
          <w:ilvl w:val="1"/>
          <w:numId w:val="13"/>
        </w:numPr>
        <w:tabs>
          <w:tab w:val="left" w:pos="1134"/>
        </w:tabs>
        <w:spacing w:after="200"/>
        <w:ind w:left="567" w:firstLine="0"/>
        <w:rPr>
          <w:rFonts w:ascii="宋体" w:hAnsi="宋体"/>
          <w:color w:val="auto"/>
          <w:sz w:val="28"/>
          <w:szCs w:val="28"/>
          <w:highlight w:val="none"/>
        </w:rPr>
      </w:pPr>
      <w:r>
        <w:rPr>
          <w:rFonts w:hint="eastAsia" w:ascii="宋体" w:hAnsi="宋体"/>
          <w:color w:val="auto"/>
          <w:sz w:val="28"/>
          <w:szCs w:val="28"/>
          <w:highlight w:val="none"/>
        </w:rPr>
        <w:t>拟签订合同文本。</w:t>
      </w:r>
    </w:p>
    <w:p>
      <w:pPr>
        <w:numPr>
          <w:ilvl w:val="0"/>
          <w:numId w:val="12"/>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投标人应认真阅读和充分理解招标文件中所有的事项、格式条款和规范要求。投标人没有对招标文件全面做出实质性响应所产生的风险由投标人承担。</w:t>
      </w:r>
    </w:p>
    <w:p>
      <w:pPr>
        <w:pStyle w:val="5"/>
        <w:numPr>
          <w:ilvl w:val="2"/>
          <w:numId w:val="4"/>
        </w:numPr>
        <w:spacing w:after="200" w:line="240" w:lineRule="auto"/>
        <w:ind w:left="0" w:firstLine="0"/>
        <w:rPr>
          <w:color w:val="auto"/>
          <w:highlight w:val="none"/>
        </w:rPr>
      </w:pPr>
      <w:bookmarkStart w:id="51" w:name="_Toc183682348"/>
      <w:bookmarkStart w:id="52" w:name="_Toc183582211"/>
      <w:bookmarkStart w:id="53" w:name="_Toc217446040"/>
      <w:r>
        <w:rPr>
          <w:rFonts w:hint="eastAsia"/>
          <w:color w:val="auto"/>
          <w:highlight w:val="none"/>
        </w:rPr>
        <w:t>招标文件的澄清</w:t>
      </w:r>
      <w:bookmarkEnd w:id="51"/>
      <w:bookmarkEnd w:id="52"/>
      <w:r>
        <w:rPr>
          <w:rFonts w:hint="eastAsia"/>
          <w:color w:val="auto"/>
          <w:highlight w:val="none"/>
        </w:rPr>
        <w:t>和修改</w:t>
      </w:r>
      <w:bookmarkEnd w:id="53"/>
      <w:bookmarkStart w:id="54" w:name="_Toc183582214"/>
      <w:bookmarkStart w:id="55" w:name="_Toc27307"/>
      <w:bookmarkStart w:id="56" w:name="_Toc89075876"/>
      <w:bookmarkStart w:id="57" w:name="_Toc77400780"/>
      <w:bookmarkStart w:id="58" w:name="_Toc19128"/>
      <w:bookmarkStart w:id="59" w:name="_Toc183682351"/>
      <w:bookmarkStart w:id="60" w:name="_Toc31441"/>
      <w:bookmarkStart w:id="61" w:name="_Toc217446042"/>
      <w:bookmarkStart w:id="62" w:name="_Toc6071"/>
    </w:p>
    <w:p>
      <w:pPr>
        <w:numPr>
          <w:ilvl w:val="0"/>
          <w:numId w:val="14"/>
        </w:numPr>
        <w:tabs>
          <w:tab w:val="left" w:pos="142"/>
          <w:tab w:val="left" w:pos="1134"/>
        </w:tabs>
        <w:spacing w:after="200" w:line="360" w:lineRule="auto"/>
        <w:ind w:left="0" w:firstLine="560"/>
        <w:rPr>
          <w:rFonts w:ascii="宋体" w:hAnsi="宋体"/>
          <w:color w:val="auto"/>
          <w:sz w:val="28"/>
          <w:szCs w:val="28"/>
          <w:highlight w:val="none"/>
        </w:rPr>
      </w:pPr>
      <w:r>
        <w:rPr>
          <w:rFonts w:hint="eastAsia" w:ascii="宋体" w:hAnsi="宋体"/>
          <w:color w:val="auto"/>
          <w:sz w:val="28"/>
          <w:szCs w:val="28"/>
          <w:highlight w:val="none"/>
        </w:rPr>
        <w:t>在投标截止时间前，采购人或者</w:t>
      </w:r>
      <w:r>
        <w:rPr>
          <w:rFonts w:hint="eastAsia" w:cs="Arial"/>
          <w:color w:val="auto"/>
          <w:sz w:val="28"/>
          <w:szCs w:val="28"/>
          <w:highlight w:val="none"/>
        </w:rPr>
        <w:t>高新区采购中心</w:t>
      </w:r>
      <w:r>
        <w:rPr>
          <w:rFonts w:hint="eastAsia" w:ascii="宋体" w:hAnsi="宋体"/>
          <w:color w:val="auto"/>
          <w:sz w:val="28"/>
          <w:szCs w:val="28"/>
          <w:highlight w:val="none"/>
        </w:rPr>
        <w:t>可以对已发出的招标文件进行必要的澄清或者修改。</w:t>
      </w:r>
    </w:p>
    <w:p>
      <w:pPr>
        <w:numPr>
          <w:ilvl w:val="0"/>
          <w:numId w:val="14"/>
        </w:numPr>
        <w:spacing w:after="200" w:line="360" w:lineRule="auto"/>
        <w:ind w:left="0" w:firstLine="567"/>
        <w:rPr>
          <w:rFonts w:ascii="宋体" w:hAnsi="宋体"/>
          <w:color w:val="auto"/>
          <w:sz w:val="28"/>
          <w:szCs w:val="28"/>
          <w:highlight w:val="none"/>
        </w:rPr>
      </w:pPr>
      <w:r>
        <w:rPr>
          <w:rFonts w:hint="eastAsia" w:ascii="宋体" w:hAnsi="宋体"/>
          <w:color w:val="auto"/>
          <w:sz w:val="28"/>
          <w:szCs w:val="28"/>
          <w:highlight w:val="none"/>
        </w:rPr>
        <w:t>澄清或者修改的内容，高新区采购中心将在“四川政府采购网”和“成都市公共资源交易服务中心”网站上发布澄清公告，同时通过政府采购云平台将澄清或者修改的内容告知所有在系统中成功获取招标文件的潜在投标人（投标人通过账号或CA证书登录云平台查看）</w:t>
      </w:r>
    </w:p>
    <w:p>
      <w:pPr>
        <w:numPr>
          <w:ilvl w:val="0"/>
          <w:numId w:val="14"/>
        </w:numPr>
        <w:tabs>
          <w:tab w:val="left" w:pos="142"/>
          <w:tab w:val="left" w:pos="1134"/>
        </w:tabs>
        <w:spacing w:after="200" w:line="360" w:lineRule="auto"/>
        <w:ind w:left="0" w:firstLine="560"/>
        <w:rPr>
          <w:rFonts w:ascii="宋体" w:hAnsi="宋体"/>
          <w:color w:val="auto"/>
          <w:sz w:val="28"/>
          <w:szCs w:val="28"/>
          <w:highlight w:val="none"/>
        </w:rPr>
      </w:pPr>
      <w:r>
        <w:rPr>
          <w:rFonts w:hint="eastAsia" w:ascii="宋体" w:hAnsi="宋体"/>
          <w:color w:val="auto"/>
          <w:sz w:val="28"/>
          <w:szCs w:val="28"/>
          <w:highlight w:val="none"/>
        </w:rPr>
        <w:t>澄清或者修改的内容可能影响投标文件编制的，高新区采购中心应当在投标截止时间至少15日前，通过政府采购云平台通知所有获取招标文件的潜在投标人；不足15日的，采购人或高新区采购中心应当顺延提交投标文件的截止时间。</w:t>
      </w:r>
    </w:p>
    <w:p>
      <w:pPr>
        <w:pStyle w:val="4"/>
        <w:numPr>
          <w:ilvl w:val="1"/>
          <w:numId w:val="4"/>
        </w:numPr>
        <w:spacing w:before="0" w:after="0" w:line="240" w:lineRule="auto"/>
        <w:ind w:left="2269" w:hanging="2127"/>
        <w:rPr>
          <w:color w:val="auto"/>
          <w:highlight w:val="none"/>
        </w:rPr>
      </w:pPr>
      <w:bookmarkStart w:id="63" w:name="_Toc23505"/>
      <w:r>
        <w:rPr>
          <w:rFonts w:hint="eastAsia"/>
          <w:color w:val="auto"/>
          <w:highlight w:val="none"/>
        </w:rPr>
        <w:t>投标文件</w:t>
      </w:r>
      <w:bookmarkEnd w:id="54"/>
      <w:bookmarkEnd w:id="55"/>
      <w:bookmarkEnd w:id="56"/>
      <w:bookmarkEnd w:id="57"/>
      <w:bookmarkEnd w:id="58"/>
      <w:bookmarkEnd w:id="59"/>
      <w:bookmarkEnd w:id="60"/>
      <w:bookmarkEnd w:id="61"/>
      <w:bookmarkEnd w:id="62"/>
      <w:bookmarkEnd w:id="63"/>
    </w:p>
    <w:p>
      <w:pPr>
        <w:pStyle w:val="5"/>
        <w:numPr>
          <w:ilvl w:val="2"/>
          <w:numId w:val="4"/>
        </w:numPr>
        <w:spacing w:after="200" w:line="240" w:lineRule="auto"/>
        <w:ind w:left="0" w:firstLine="0"/>
        <w:rPr>
          <w:color w:val="auto"/>
          <w:highlight w:val="none"/>
        </w:rPr>
      </w:pPr>
      <w:bookmarkStart w:id="64" w:name="_Toc183682352"/>
      <w:bookmarkStart w:id="65" w:name="_Toc217446043"/>
      <w:bookmarkStart w:id="66" w:name="_Toc183582215"/>
      <w:r>
        <w:rPr>
          <w:rFonts w:hint="eastAsia"/>
          <w:color w:val="auto"/>
          <w:highlight w:val="none"/>
        </w:rPr>
        <w:t>投标文件的语言</w:t>
      </w:r>
      <w:bookmarkEnd w:id="64"/>
      <w:bookmarkEnd w:id="65"/>
      <w:bookmarkEnd w:id="66"/>
    </w:p>
    <w:p>
      <w:pPr>
        <w:numPr>
          <w:ilvl w:val="0"/>
          <w:numId w:val="15"/>
        </w:numPr>
        <w:tabs>
          <w:tab w:val="left" w:pos="1134"/>
        </w:tabs>
        <w:spacing w:after="200"/>
        <w:ind w:left="0" w:firstLine="560"/>
        <w:rPr>
          <w:rFonts w:ascii="宋体" w:hAnsi="宋体"/>
          <w:color w:val="auto"/>
          <w:sz w:val="28"/>
          <w:szCs w:val="28"/>
          <w:highlight w:val="none"/>
        </w:rPr>
      </w:pPr>
      <w:r>
        <w:rPr>
          <w:rFonts w:hint="eastAsia" w:ascii="宋体" w:hAnsi="宋体"/>
          <w:color w:val="auto"/>
          <w:sz w:val="28"/>
          <w:szCs w:val="28"/>
          <w:highlight w:val="none"/>
        </w:rPr>
        <w:t>投标人提交的投标文件以及投标人与采购人或高新区采购中心就有关投标的所有来往书面文件均须使用中文，投标文件中所附或引用的外文资料，应翻译成中文附在相关外文资料后面。（说明：投标人的法定代表人为外籍人士的，则法定代表人的签字和护照除外）。</w:t>
      </w:r>
    </w:p>
    <w:p>
      <w:pPr>
        <w:numPr>
          <w:ilvl w:val="0"/>
          <w:numId w:val="15"/>
        </w:numPr>
        <w:tabs>
          <w:tab w:val="left" w:pos="1134"/>
        </w:tabs>
        <w:spacing w:after="200"/>
        <w:ind w:left="0" w:firstLine="560"/>
        <w:rPr>
          <w:rFonts w:ascii="宋体" w:hAnsi="宋体"/>
          <w:color w:val="auto"/>
          <w:sz w:val="28"/>
          <w:szCs w:val="28"/>
          <w:highlight w:val="none"/>
        </w:rPr>
      </w:pPr>
      <w:r>
        <w:rPr>
          <w:rFonts w:hint="eastAsia" w:ascii="宋体" w:hAnsi="宋体"/>
          <w:color w:val="auto"/>
          <w:sz w:val="28"/>
          <w:szCs w:val="28"/>
          <w:highlight w:val="none"/>
        </w:rPr>
        <w:t xml:space="preserve">对不同文字文本投标文件的解释发生异议的，以中文文本为准。若投标人投标文件中提供的外文资料未翻译成中文，则评标委员会可将其视为无效材料。 </w:t>
      </w:r>
    </w:p>
    <w:p>
      <w:pPr>
        <w:pStyle w:val="5"/>
        <w:numPr>
          <w:ilvl w:val="2"/>
          <w:numId w:val="4"/>
        </w:numPr>
        <w:spacing w:after="200" w:line="240" w:lineRule="auto"/>
        <w:ind w:left="0" w:firstLine="0"/>
        <w:rPr>
          <w:color w:val="auto"/>
          <w:highlight w:val="none"/>
        </w:rPr>
      </w:pPr>
      <w:bookmarkStart w:id="67" w:name="_Toc217446044"/>
      <w:bookmarkStart w:id="68" w:name="_Toc183582216"/>
      <w:bookmarkStart w:id="69" w:name="_Toc183682353"/>
      <w:r>
        <w:rPr>
          <w:rFonts w:hint="eastAsia"/>
          <w:color w:val="auto"/>
          <w:highlight w:val="none"/>
        </w:rPr>
        <w:t>计量单位</w:t>
      </w:r>
      <w:bookmarkEnd w:id="67"/>
      <w:bookmarkEnd w:id="68"/>
      <w:bookmarkEnd w:id="69"/>
    </w:p>
    <w:p>
      <w:pPr>
        <w:tabs>
          <w:tab w:val="left" w:pos="7665"/>
        </w:tabs>
        <w:ind w:left="13" w:firstLine="554"/>
        <w:rPr>
          <w:rFonts w:ascii="宋体" w:hAnsi="宋体"/>
          <w:color w:val="auto"/>
          <w:sz w:val="28"/>
          <w:szCs w:val="28"/>
          <w:highlight w:val="none"/>
        </w:rPr>
      </w:pPr>
      <w:bookmarkStart w:id="70" w:name="_Toc217446045"/>
      <w:r>
        <w:rPr>
          <w:rFonts w:hint="eastAsia" w:ascii="宋体" w:hAnsi="宋体"/>
          <w:color w:val="auto"/>
          <w:sz w:val="28"/>
          <w:szCs w:val="28"/>
          <w:highlight w:val="none"/>
        </w:rPr>
        <w:t>除招标文件中另有规定外，本次采购项目所有合同项下的投标均采用国家法定的计量单位。</w:t>
      </w:r>
    </w:p>
    <w:p>
      <w:pPr>
        <w:pStyle w:val="5"/>
        <w:numPr>
          <w:ilvl w:val="2"/>
          <w:numId w:val="4"/>
        </w:numPr>
        <w:spacing w:after="200" w:line="240" w:lineRule="auto"/>
        <w:ind w:left="0" w:firstLine="0"/>
        <w:rPr>
          <w:color w:val="auto"/>
          <w:highlight w:val="none"/>
        </w:rPr>
      </w:pPr>
      <w:r>
        <w:rPr>
          <w:rFonts w:hint="eastAsia"/>
          <w:color w:val="auto"/>
          <w:highlight w:val="none"/>
        </w:rPr>
        <w:t>投标货币</w:t>
      </w:r>
      <w:bookmarkEnd w:id="70"/>
    </w:p>
    <w:p>
      <w:pPr>
        <w:tabs>
          <w:tab w:val="left" w:pos="7665"/>
        </w:tabs>
        <w:ind w:left="13" w:firstLine="554"/>
        <w:rPr>
          <w:rFonts w:ascii="宋体" w:hAnsi="宋体"/>
          <w:color w:val="auto"/>
          <w:sz w:val="28"/>
          <w:szCs w:val="28"/>
          <w:highlight w:val="none"/>
        </w:rPr>
      </w:pPr>
      <w:r>
        <w:rPr>
          <w:rFonts w:hint="eastAsia" w:ascii="宋体" w:hAnsi="宋体"/>
          <w:color w:val="auto"/>
          <w:sz w:val="28"/>
          <w:szCs w:val="28"/>
          <w:highlight w:val="none"/>
        </w:rPr>
        <w:t>本次招标项目的投标均以人民币报价。</w:t>
      </w:r>
    </w:p>
    <w:p>
      <w:pPr>
        <w:pStyle w:val="5"/>
        <w:numPr>
          <w:ilvl w:val="2"/>
          <w:numId w:val="4"/>
        </w:numPr>
        <w:spacing w:after="200" w:line="240" w:lineRule="auto"/>
        <w:ind w:left="0" w:firstLine="0"/>
        <w:rPr>
          <w:color w:val="auto"/>
          <w:highlight w:val="none"/>
        </w:rPr>
      </w:pPr>
      <w:bookmarkStart w:id="71" w:name="_Toc217446046"/>
      <w:r>
        <w:rPr>
          <w:rFonts w:hint="eastAsia"/>
          <w:color w:val="auto"/>
          <w:highlight w:val="none"/>
        </w:rPr>
        <w:t>联合体投标</w:t>
      </w:r>
      <w:bookmarkEnd w:id="71"/>
    </w:p>
    <w:p>
      <w:pPr>
        <w:tabs>
          <w:tab w:val="left" w:pos="1134"/>
        </w:tabs>
        <w:ind w:left="546"/>
        <w:rPr>
          <w:rFonts w:ascii="宋体" w:hAnsi="宋体"/>
          <w:color w:val="auto"/>
          <w:sz w:val="28"/>
          <w:szCs w:val="28"/>
          <w:highlight w:val="none"/>
        </w:rPr>
      </w:pPr>
      <w:bookmarkStart w:id="72" w:name="_Toc217446047"/>
      <w:r>
        <w:rPr>
          <w:rFonts w:hint="eastAsia" w:ascii="宋体" w:hAnsi="宋体"/>
          <w:color w:val="auto"/>
          <w:sz w:val="28"/>
          <w:szCs w:val="28"/>
          <w:highlight w:val="none"/>
        </w:rPr>
        <w:t>本次政府采购活动</w:t>
      </w:r>
      <w:r>
        <w:rPr>
          <w:rFonts w:hint="eastAsia" w:ascii="宋体" w:hAnsi="宋体"/>
          <w:b/>
          <w:color w:val="auto"/>
          <w:sz w:val="28"/>
          <w:szCs w:val="28"/>
          <w:highlight w:val="none"/>
        </w:rPr>
        <w:t>不接受</w:t>
      </w:r>
      <w:r>
        <w:rPr>
          <w:rFonts w:hint="eastAsia" w:ascii="宋体" w:hAnsi="宋体"/>
          <w:color w:val="auto"/>
          <w:sz w:val="28"/>
          <w:szCs w:val="28"/>
          <w:highlight w:val="none"/>
        </w:rPr>
        <w:t>联合体投标。</w:t>
      </w:r>
    </w:p>
    <w:p>
      <w:pPr>
        <w:pStyle w:val="5"/>
        <w:numPr>
          <w:ilvl w:val="2"/>
          <w:numId w:val="4"/>
        </w:numPr>
        <w:spacing w:after="200" w:line="240" w:lineRule="auto"/>
        <w:ind w:left="0" w:firstLine="0"/>
        <w:rPr>
          <w:color w:val="auto"/>
          <w:highlight w:val="none"/>
        </w:rPr>
      </w:pPr>
      <w:r>
        <w:rPr>
          <w:rFonts w:hint="eastAsia"/>
          <w:color w:val="auto"/>
          <w:highlight w:val="none"/>
        </w:rPr>
        <w:t>知识产权</w:t>
      </w:r>
      <w:bookmarkEnd w:id="72"/>
    </w:p>
    <w:p>
      <w:pPr>
        <w:pStyle w:val="159"/>
        <w:numPr>
          <w:ilvl w:val="0"/>
          <w:numId w:val="16"/>
        </w:numPr>
        <w:tabs>
          <w:tab w:val="left" w:pos="1134"/>
        </w:tabs>
        <w:spacing w:after="200"/>
        <w:ind w:left="0" w:firstLine="549" w:firstLineChars="0"/>
        <w:rPr>
          <w:rFonts w:ascii="宋体" w:hAnsi="宋体"/>
          <w:color w:val="auto"/>
          <w:sz w:val="28"/>
          <w:szCs w:val="28"/>
          <w:highlight w:val="none"/>
        </w:rPr>
      </w:pPr>
      <w:bookmarkStart w:id="73" w:name="_Toc183682354"/>
      <w:bookmarkStart w:id="74" w:name="_Toc217446048"/>
      <w:bookmarkStart w:id="75" w:name="_Toc183582217"/>
      <w:r>
        <w:rPr>
          <w:rFonts w:hint="eastAsia" w:ascii="宋体" w:hAnsi="宋体"/>
          <w:color w:val="auto"/>
          <w:sz w:val="28"/>
          <w:szCs w:val="28"/>
          <w:highlight w:val="none"/>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pStyle w:val="159"/>
        <w:numPr>
          <w:ilvl w:val="0"/>
          <w:numId w:val="16"/>
        </w:numPr>
        <w:tabs>
          <w:tab w:val="left" w:pos="1134"/>
        </w:tabs>
        <w:spacing w:after="200"/>
        <w:ind w:left="0" w:firstLine="549" w:firstLineChars="0"/>
        <w:rPr>
          <w:rFonts w:ascii="宋体" w:hAnsi="宋体"/>
          <w:color w:val="auto"/>
          <w:sz w:val="28"/>
          <w:szCs w:val="28"/>
          <w:highlight w:val="none"/>
        </w:rPr>
      </w:pPr>
      <w:r>
        <w:rPr>
          <w:rFonts w:hint="eastAsia" w:ascii="宋体" w:hAnsi="宋体"/>
          <w:color w:val="auto"/>
          <w:sz w:val="28"/>
          <w:szCs w:val="28"/>
          <w:highlight w:val="none"/>
        </w:rPr>
        <w:t>采购人享有本项目实施过程中产生的知识成果及知识产权。</w:t>
      </w:r>
    </w:p>
    <w:p>
      <w:pPr>
        <w:pStyle w:val="159"/>
        <w:numPr>
          <w:ilvl w:val="0"/>
          <w:numId w:val="16"/>
        </w:numPr>
        <w:tabs>
          <w:tab w:val="left" w:pos="1134"/>
        </w:tabs>
        <w:spacing w:after="200"/>
        <w:ind w:left="0" w:firstLine="549" w:firstLineChars="0"/>
        <w:rPr>
          <w:rFonts w:ascii="宋体" w:hAnsi="宋体"/>
          <w:color w:val="auto"/>
          <w:sz w:val="28"/>
          <w:szCs w:val="28"/>
          <w:highlight w:val="none"/>
        </w:rPr>
      </w:pPr>
      <w:r>
        <w:rPr>
          <w:rFonts w:hint="eastAsia" w:ascii="宋体" w:hAnsi="宋体"/>
          <w:color w:val="auto"/>
          <w:sz w:val="28"/>
          <w:szCs w:val="28"/>
          <w:highlight w:val="none"/>
        </w:rPr>
        <w:t>投标人如拟在项目实施过程中采用自有知识成果，需在投标文件中声明，并提供相关知识产权证明文件。使用该知识成果后，投标人需提供开发接口和开发手册等技术文档，并提供无限期技术支持，采购人享有永久使用权（含采购人委托第三方在该项目后续开发的使用权）。</w:t>
      </w:r>
    </w:p>
    <w:p>
      <w:pPr>
        <w:pStyle w:val="159"/>
        <w:numPr>
          <w:ilvl w:val="0"/>
          <w:numId w:val="16"/>
        </w:numPr>
        <w:tabs>
          <w:tab w:val="left" w:pos="1134"/>
        </w:tabs>
        <w:spacing w:after="200"/>
        <w:ind w:left="0" w:firstLine="549" w:firstLineChars="0"/>
        <w:rPr>
          <w:rFonts w:ascii="宋体" w:hAnsi="宋体"/>
          <w:color w:val="auto"/>
          <w:sz w:val="28"/>
          <w:szCs w:val="28"/>
          <w:highlight w:val="none"/>
        </w:rPr>
      </w:pPr>
      <w:r>
        <w:rPr>
          <w:rFonts w:hint="eastAsia" w:ascii="宋体" w:hAnsi="宋体"/>
          <w:color w:val="auto"/>
          <w:sz w:val="28"/>
          <w:szCs w:val="28"/>
          <w:highlight w:val="none"/>
        </w:rPr>
        <w:t>如采用投标人所不拥有的知识产权，则在投标报价中必须包括合法获取该知识产权的相关费用。</w:t>
      </w:r>
    </w:p>
    <w:p>
      <w:pPr>
        <w:pStyle w:val="5"/>
        <w:numPr>
          <w:ilvl w:val="2"/>
          <w:numId w:val="4"/>
        </w:numPr>
        <w:spacing w:after="200" w:line="240" w:lineRule="auto"/>
        <w:ind w:left="0" w:firstLine="0"/>
        <w:rPr>
          <w:color w:val="auto"/>
          <w:highlight w:val="none"/>
        </w:rPr>
      </w:pPr>
      <w:r>
        <w:rPr>
          <w:rFonts w:hint="eastAsia"/>
          <w:color w:val="auto"/>
          <w:highlight w:val="none"/>
        </w:rPr>
        <w:t>投标文件的组成</w:t>
      </w:r>
      <w:bookmarkEnd w:id="73"/>
      <w:bookmarkEnd w:id="74"/>
      <w:bookmarkEnd w:id="75"/>
    </w:p>
    <w:p>
      <w:pPr>
        <w:ind w:firstLine="548" w:firstLineChars="196"/>
        <w:rPr>
          <w:rFonts w:ascii="宋体" w:hAnsi="宋体"/>
          <w:color w:val="auto"/>
          <w:sz w:val="28"/>
          <w:szCs w:val="28"/>
          <w:highlight w:val="none"/>
        </w:rPr>
      </w:pPr>
      <w:r>
        <w:rPr>
          <w:rFonts w:hint="eastAsia" w:ascii="宋体" w:hAnsi="宋体"/>
          <w:color w:val="auto"/>
          <w:sz w:val="28"/>
          <w:szCs w:val="28"/>
          <w:highlight w:val="none"/>
        </w:rPr>
        <w:t>投标人应按照招标文件的规定和要求编制投标文件。投标人拟在中标后将中标项目的非主体、非关键性工作交由他人完成的，应当在投标文件中载明。投标人编写的投标文件应包括下列部分：</w:t>
      </w:r>
    </w:p>
    <w:p>
      <w:pPr>
        <w:pStyle w:val="6"/>
        <w:numPr>
          <w:ilvl w:val="3"/>
          <w:numId w:val="4"/>
        </w:numPr>
        <w:spacing w:line="560" w:lineRule="exact"/>
        <w:rPr>
          <w:rFonts w:ascii="宋体" w:hAnsi="宋体"/>
          <w:color w:val="auto"/>
          <w:highlight w:val="none"/>
        </w:rPr>
      </w:pPr>
      <w:r>
        <w:rPr>
          <w:rFonts w:hint="eastAsia" w:ascii="宋体" w:hAnsi="宋体"/>
          <w:color w:val="auto"/>
          <w:highlight w:val="none"/>
        </w:rPr>
        <w:t>资格响应文件：</w:t>
      </w:r>
    </w:p>
    <w:p>
      <w:pPr>
        <w:pStyle w:val="88"/>
        <w:numPr>
          <w:ilvl w:val="0"/>
          <w:numId w:val="17"/>
        </w:numPr>
        <w:tabs>
          <w:tab w:val="left" w:pos="1134"/>
        </w:tabs>
        <w:spacing w:after="200"/>
        <w:ind w:firstLineChars="0"/>
        <w:rPr>
          <w:rFonts w:ascii="宋体" w:hAnsi="宋体"/>
          <w:b/>
          <w:color w:val="auto"/>
          <w:kern w:val="0"/>
          <w:sz w:val="28"/>
          <w:szCs w:val="28"/>
          <w:highlight w:val="none"/>
        </w:rPr>
      </w:pPr>
      <w:r>
        <w:rPr>
          <w:rFonts w:hint="eastAsia" w:ascii="宋体" w:hAnsi="宋体"/>
          <w:b/>
          <w:color w:val="auto"/>
          <w:sz w:val="28"/>
          <w:szCs w:val="28"/>
          <w:highlight w:val="none"/>
        </w:rPr>
        <w:t>关于投标人资格申明的函；</w:t>
      </w:r>
    </w:p>
    <w:p>
      <w:pPr>
        <w:pStyle w:val="88"/>
        <w:numPr>
          <w:ilvl w:val="0"/>
          <w:numId w:val="17"/>
        </w:numPr>
        <w:tabs>
          <w:tab w:val="left" w:pos="1134"/>
        </w:tabs>
        <w:spacing w:after="200"/>
        <w:ind w:firstLineChars="0"/>
        <w:rPr>
          <w:rFonts w:ascii="宋体" w:hAnsi="宋体"/>
          <w:b/>
          <w:color w:val="auto"/>
          <w:sz w:val="28"/>
          <w:szCs w:val="28"/>
          <w:highlight w:val="none"/>
        </w:rPr>
      </w:pPr>
      <w:r>
        <w:rPr>
          <w:rFonts w:hint="eastAsia" w:ascii="宋体" w:hAnsi="宋体"/>
          <w:b/>
          <w:color w:val="auto"/>
          <w:sz w:val="28"/>
          <w:szCs w:val="28"/>
          <w:highlight w:val="none"/>
        </w:rPr>
        <w:t>声明；</w:t>
      </w:r>
    </w:p>
    <w:p>
      <w:pPr>
        <w:pStyle w:val="88"/>
        <w:numPr>
          <w:ilvl w:val="0"/>
          <w:numId w:val="17"/>
        </w:numPr>
        <w:tabs>
          <w:tab w:val="left" w:pos="1134"/>
        </w:tabs>
        <w:spacing w:after="200"/>
        <w:ind w:firstLineChars="0"/>
        <w:rPr>
          <w:rFonts w:ascii="宋体" w:hAnsi="宋体"/>
          <w:b/>
          <w:color w:val="auto"/>
          <w:sz w:val="28"/>
          <w:szCs w:val="28"/>
          <w:highlight w:val="none"/>
        </w:rPr>
      </w:pPr>
      <w:r>
        <w:rPr>
          <w:rFonts w:hint="eastAsia" w:ascii="宋体" w:hAnsi="宋体"/>
          <w:b/>
          <w:color w:val="auto"/>
          <w:sz w:val="28"/>
          <w:szCs w:val="28"/>
          <w:highlight w:val="none"/>
        </w:rPr>
        <w:t>中小企业声明函（说明：提供了《残疾人福利性单位声明</w:t>
      </w:r>
      <w:r>
        <w:rPr>
          <w:rFonts w:ascii="宋体" w:hAnsi="宋体"/>
          <w:b/>
          <w:color w:val="auto"/>
          <w:sz w:val="28"/>
          <w:szCs w:val="28"/>
          <w:highlight w:val="none"/>
        </w:rPr>
        <w:t>函</w:t>
      </w:r>
      <w:r>
        <w:rPr>
          <w:rFonts w:hint="eastAsia" w:ascii="宋体" w:hAnsi="宋体"/>
          <w:b/>
          <w:color w:val="auto"/>
          <w:sz w:val="28"/>
          <w:szCs w:val="28"/>
          <w:highlight w:val="none"/>
        </w:rPr>
        <w:t>》或监狱企业证明文件复印件的不需提供）；</w:t>
      </w:r>
    </w:p>
    <w:p>
      <w:pPr>
        <w:pStyle w:val="88"/>
        <w:numPr>
          <w:ilvl w:val="0"/>
          <w:numId w:val="17"/>
        </w:numPr>
        <w:tabs>
          <w:tab w:val="left" w:pos="1134"/>
        </w:tabs>
        <w:spacing w:after="200"/>
        <w:ind w:firstLineChars="0"/>
        <w:rPr>
          <w:rFonts w:ascii="宋体" w:hAnsi="宋体"/>
          <w:b/>
          <w:color w:val="auto"/>
          <w:sz w:val="28"/>
          <w:szCs w:val="28"/>
          <w:highlight w:val="none"/>
        </w:rPr>
      </w:pPr>
      <w:r>
        <w:rPr>
          <w:rFonts w:hint="eastAsia" w:ascii="宋体" w:hAnsi="宋体"/>
          <w:b/>
          <w:color w:val="auto"/>
          <w:sz w:val="28"/>
          <w:szCs w:val="28"/>
          <w:highlight w:val="none"/>
        </w:rPr>
        <w:t>残疾人福利性单位声明函（说明：提供了《中小</w:t>
      </w:r>
      <w:r>
        <w:rPr>
          <w:rFonts w:ascii="宋体" w:hAnsi="宋体"/>
          <w:b/>
          <w:color w:val="auto"/>
          <w:sz w:val="28"/>
          <w:szCs w:val="28"/>
          <w:highlight w:val="none"/>
        </w:rPr>
        <w:t>企业声明函</w:t>
      </w:r>
      <w:r>
        <w:rPr>
          <w:rFonts w:hint="eastAsia" w:ascii="宋体" w:hAnsi="宋体"/>
          <w:b/>
          <w:color w:val="auto"/>
          <w:sz w:val="28"/>
          <w:szCs w:val="28"/>
          <w:highlight w:val="none"/>
        </w:rPr>
        <w:t>》或监狱企业证明文件复印件的不需提供）；</w:t>
      </w:r>
    </w:p>
    <w:p>
      <w:pPr>
        <w:pStyle w:val="88"/>
        <w:numPr>
          <w:ilvl w:val="0"/>
          <w:numId w:val="17"/>
        </w:numPr>
        <w:tabs>
          <w:tab w:val="left" w:pos="1134"/>
        </w:tabs>
        <w:spacing w:after="200"/>
        <w:ind w:firstLineChars="0"/>
        <w:rPr>
          <w:rFonts w:ascii="宋体" w:hAnsi="宋体"/>
          <w:b/>
          <w:color w:val="auto"/>
          <w:sz w:val="28"/>
          <w:szCs w:val="28"/>
          <w:highlight w:val="none"/>
        </w:rPr>
      </w:pPr>
      <w:r>
        <w:rPr>
          <w:rFonts w:hint="eastAsia" w:ascii="宋体" w:hAnsi="宋体"/>
          <w:b/>
          <w:color w:val="auto"/>
          <w:sz w:val="28"/>
          <w:szCs w:val="28"/>
          <w:highlight w:val="none"/>
        </w:rPr>
        <w:t>投标人应提交的相关资格证明材料：</w:t>
      </w:r>
    </w:p>
    <w:p>
      <w:pPr>
        <w:pStyle w:val="88"/>
        <w:numPr>
          <w:ilvl w:val="0"/>
          <w:numId w:val="18"/>
        </w:numPr>
        <w:spacing w:after="200"/>
        <w:ind w:left="0" w:firstLine="567" w:firstLineChars="0"/>
        <w:rPr>
          <w:rFonts w:ascii="宋体" w:hAnsi="宋体"/>
          <w:b/>
          <w:color w:val="auto"/>
          <w:sz w:val="28"/>
          <w:szCs w:val="28"/>
          <w:highlight w:val="none"/>
        </w:rPr>
      </w:pPr>
      <w:r>
        <w:rPr>
          <w:rFonts w:hint="eastAsia" w:ascii="宋体" w:hAnsi="宋体"/>
          <w:b/>
          <w:color w:val="auto"/>
          <w:sz w:val="28"/>
          <w:szCs w:val="28"/>
          <w:highlight w:val="none"/>
        </w:rPr>
        <w:t>由省级以上监狱管理局、戒毒管理局（含新疆生产建设兵团）出具的投标产品生产厂商属于监狱企业的证明文件复印件（说明：提供了《中小企业声明函》或《残疾人福利性单位声明函》的不需提供）；</w:t>
      </w:r>
    </w:p>
    <w:p>
      <w:pPr>
        <w:pStyle w:val="88"/>
        <w:numPr>
          <w:ilvl w:val="0"/>
          <w:numId w:val="18"/>
        </w:numPr>
        <w:spacing w:after="200"/>
        <w:ind w:left="0" w:firstLine="567" w:firstLineChars="0"/>
        <w:rPr>
          <w:rFonts w:ascii="宋体" w:hAnsi="宋体"/>
          <w:b/>
          <w:color w:val="auto"/>
          <w:sz w:val="28"/>
          <w:szCs w:val="28"/>
          <w:highlight w:val="none"/>
        </w:rPr>
      </w:pPr>
      <w:r>
        <w:rPr>
          <w:rFonts w:hint="eastAsia" w:ascii="宋体" w:hAnsi="宋体"/>
          <w:b/>
          <w:color w:val="auto"/>
          <w:sz w:val="28"/>
          <w:szCs w:val="28"/>
          <w:highlight w:val="none"/>
        </w:rPr>
        <w:t>营业执照复印件（正本或副本）或法人证书复印件（正本或副本）；</w:t>
      </w:r>
    </w:p>
    <w:p>
      <w:pPr>
        <w:pStyle w:val="88"/>
        <w:numPr>
          <w:ilvl w:val="0"/>
          <w:numId w:val="18"/>
        </w:numPr>
        <w:spacing w:after="200"/>
        <w:ind w:left="0" w:firstLine="546" w:firstLineChars="0"/>
        <w:rPr>
          <w:rFonts w:ascii="宋体" w:hAnsi="宋体"/>
          <w:b/>
          <w:color w:val="auto"/>
          <w:sz w:val="28"/>
          <w:szCs w:val="28"/>
          <w:highlight w:val="none"/>
        </w:rPr>
      </w:pPr>
      <w:r>
        <w:rPr>
          <w:rFonts w:ascii="宋体" w:hAnsi="宋体"/>
          <w:b/>
          <w:color w:val="auto"/>
          <w:sz w:val="28"/>
          <w:szCs w:val="28"/>
          <w:highlight w:val="none"/>
        </w:rPr>
        <w:t>20</w:t>
      </w:r>
      <w:r>
        <w:rPr>
          <w:rFonts w:hint="eastAsia" w:ascii="宋体" w:hAnsi="宋体"/>
          <w:b/>
          <w:color w:val="auto"/>
          <w:sz w:val="28"/>
          <w:szCs w:val="28"/>
          <w:highlight w:val="none"/>
        </w:rPr>
        <w:t>19或</w:t>
      </w:r>
      <w:r>
        <w:rPr>
          <w:rFonts w:ascii="宋体" w:hAnsi="宋体"/>
          <w:b/>
          <w:color w:val="auto"/>
          <w:sz w:val="28"/>
          <w:szCs w:val="28"/>
          <w:highlight w:val="none"/>
        </w:rPr>
        <w:t>20</w:t>
      </w:r>
      <w:r>
        <w:rPr>
          <w:rFonts w:hint="eastAsia" w:ascii="宋体" w:hAnsi="宋体"/>
          <w:b/>
          <w:color w:val="auto"/>
          <w:sz w:val="28"/>
          <w:szCs w:val="28"/>
          <w:highlight w:val="none"/>
        </w:rPr>
        <w:t>20会计年度资产负债表复印件（说明：投标人成立时间至递交投标文件截止时间止不足一年的，提供成立后任意时段的资产负债表复印件）；</w:t>
      </w:r>
    </w:p>
    <w:p>
      <w:pPr>
        <w:pStyle w:val="88"/>
        <w:numPr>
          <w:ilvl w:val="0"/>
          <w:numId w:val="18"/>
        </w:numPr>
        <w:spacing w:after="200"/>
        <w:ind w:left="0" w:firstLine="546" w:firstLineChars="0"/>
        <w:rPr>
          <w:rFonts w:ascii="宋体" w:hAnsi="宋体"/>
          <w:b/>
          <w:color w:val="auto"/>
          <w:sz w:val="28"/>
          <w:szCs w:val="28"/>
          <w:highlight w:val="none"/>
        </w:rPr>
      </w:pPr>
      <w:r>
        <w:rPr>
          <w:rFonts w:hint="eastAsia" w:ascii="宋体" w:hAnsi="宋体"/>
          <w:b/>
          <w:color w:val="auto"/>
          <w:sz w:val="28"/>
          <w:szCs w:val="28"/>
          <w:highlight w:val="none"/>
        </w:rPr>
        <w:t>投标人缴纳</w:t>
      </w:r>
      <w:r>
        <w:rPr>
          <w:rFonts w:ascii="宋体" w:hAnsi="宋体"/>
          <w:b/>
          <w:color w:val="auto"/>
          <w:sz w:val="28"/>
          <w:szCs w:val="28"/>
          <w:highlight w:val="none"/>
        </w:rPr>
        <w:t>20</w:t>
      </w:r>
      <w:r>
        <w:rPr>
          <w:rFonts w:hint="eastAsia" w:ascii="宋体" w:hAnsi="宋体"/>
          <w:b/>
          <w:color w:val="auto"/>
          <w:sz w:val="28"/>
          <w:szCs w:val="28"/>
          <w:highlight w:val="none"/>
        </w:rPr>
        <w:t>20年或</w:t>
      </w:r>
      <w:r>
        <w:rPr>
          <w:rFonts w:ascii="宋体" w:hAnsi="宋体"/>
          <w:b/>
          <w:color w:val="auto"/>
          <w:sz w:val="28"/>
          <w:szCs w:val="28"/>
          <w:highlight w:val="none"/>
        </w:rPr>
        <w:t>20</w:t>
      </w:r>
      <w:r>
        <w:rPr>
          <w:rFonts w:hint="eastAsia" w:ascii="宋体" w:hAnsi="宋体"/>
          <w:b/>
          <w:color w:val="auto"/>
          <w:sz w:val="28"/>
          <w:szCs w:val="28"/>
          <w:highlight w:val="none"/>
        </w:rPr>
        <w:t>21年任意时段的税收的银行电子回单或者行政部门出具的纳税证明或完税证明复印件；</w:t>
      </w:r>
    </w:p>
    <w:p>
      <w:pPr>
        <w:pStyle w:val="88"/>
        <w:numPr>
          <w:ilvl w:val="0"/>
          <w:numId w:val="18"/>
        </w:numPr>
        <w:spacing w:after="200"/>
        <w:ind w:left="0" w:firstLine="546" w:firstLineChars="0"/>
        <w:rPr>
          <w:rFonts w:ascii="宋体" w:hAnsi="宋体"/>
          <w:b/>
          <w:color w:val="auto"/>
          <w:sz w:val="28"/>
          <w:szCs w:val="28"/>
          <w:highlight w:val="none"/>
        </w:rPr>
      </w:pPr>
      <w:r>
        <w:rPr>
          <w:rFonts w:hint="eastAsia" w:ascii="宋体" w:hAnsi="宋体"/>
          <w:b/>
          <w:color w:val="auto"/>
          <w:sz w:val="28"/>
          <w:szCs w:val="28"/>
          <w:highlight w:val="none"/>
        </w:rPr>
        <w:t>采购人对投标人履行合同所必须的设备和专业技术能力无其他特殊要求，投标人具有有效的营业执照或法人证书即可，可不提供其他证明材料；</w:t>
      </w:r>
    </w:p>
    <w:p>
      <w:pPr>
        <w:pStyle w:val="88"/>
        <w:numPr>
          <w:ilvl w:val="0"/>
          <w:numId w:val="18"/>
        </w:numPr>
        <w:spacing w:after="200"/>
        <w:ind w:left="0" w:firstLine="546" w:firstLineChars="0"/>
        <w:rPr>
          <w:rFonts w:ascii="宋体" w:hAnsi="宋体"/>
          <w:b/>
          <w:color w:val="auto"/>
          <w:sz w:val="28"/>
          <w:szCs w:val="28"/>
          <w:highlight w:val="none"/>
        </w:rPr>
      </w:pPr>
      <w:r>
        <w:rPr>
          <w:rFonts w:hint="eastAsia" w:ascii="宋体" w:hAnsi="宋体"/>
          <w:b/>
          <w:color w:val="auto"/>
          <w:sz w:val="28"/>
          <w:szCs w:val="28"/>
          <w:highlight w:val="none"/>
        </w:rPr>
        <w:t>投标人缴纳</w:t>
      </w:r>
      <w:r>
        <w:rPr>
          <w:rFonts w:ascii="宋体" w:hAnsi="宋体"/>
          <w:b/>
          <w:color w:val="auto"/>
          <w:sz w:val="28"/>
          <w:szCs w:val="28"/>
          <w:highlight w:val="none"/>
        </w:rPr>
        <w:t>20</w:t>
      </w:r>
      <w:r>
        <w:rPr>
          <w:rFonts w:hint="eastAsia" w:ascii="宋体" w:hAnsi="宋体"/>
          <w:b/>
          <w:color w:val="auto"/>
          <w:sz w:val="28"/>
          <w:szCs w:val="28"/>
          <w:highlight w:val="none"/>
        </w:rPr>
        <w:t>20年或</w:t>
      </w:r>
      <w:r>
        <w:rPr>
          <w:rFonts w:ascii="宋体" w:hAnsi="宋体"/>
          <w:b/>
          <w:color w:val="auto"/>
          <w:sz w:val="28"/>
          <w:szCs w:val="28"/>
          <w:highlight w:val="none"/>
        </w:rPr>
        <w:t>20</w:t>
      </w:r>
      <w:r>
        <w:rPr>
          <w:rFonts w:hint="eastAsia" w:ascii="宋体" w:hAnsi="宋体"/>
          <w:b/>
          <w:color w:val="auto"/>
          <w:sz w:val="28"/>
          <w:szCs w:val="28"/>
          <w:highlight w:val="none"/>
        </w:rPr>
        <w:t>21年任意时段的社保的银行电子回单或行政部门出具的社保缴纳证明材料复印件；</w:t>
      </w:r>
    </w:p>
    <w:p>
      <w:pPr>
        <w:pStyle w:val="88"/>
        <w:numPr>
          <w:ilvl w:val="0"/>
          <w:numId w:val="18"/>
        </w:numPr>
        <w:spacing w:after="200"/>
        <w:ind w:left="0" w:firstLine="546" w:firstLineChars="0"/>
        <w:rPr>
          <w:rFonts w:ascii="宋体" w:hAnsi="宋体"/>
          <w:b/>
          <w:color w:val="auto"/>
          <w:sz w:val="28"/>
          <w:szCs w:val="28"/>
          <w:highlight w:val="none"/>
        </w:rPr>
      </w:pPr>
      <w:r>
        <w:rPr>
          <w:rFonts w:hint="eastAsia" w:ascii="宋体" w:hAnsi="宋体"/>
          <w:b/>
          <w:color w:val="auto"/>
          <w:sz w:val="28"/>
          <w:szCs w:val="28"/>
          <w:highlight w:val="none"/>
        </w:rPr>
        <w:t>采购人对法律、行政法规规定的其他条件无其他特殊要求，投标人具有有效的营业执照或法人证书即可，可不提供其他证明材料。</w:t>
      </w:r>
    </w:p>
    <w:p>
      <w:pPr>
        <w:pStyle w:val="6"/>
        <w:numPr>
          <w:ilvl w:val="3"/>
          <w:numId w:val="4"/>
        </w:numPr>
        <w:spacing w:line="560" w:lineRule="exact"/>
        <w:rPr>
          <w:rFonts w:ascii="宋体" w:hAnsi="宋体"/>
          <w:color w:val="auto"/>
          <w:highlight w:val="none"/>
        </w:rPr>
      </w:pPr>
      <w:r>
        <w:rPr>
          <w:rFonts w:hint="eastAsia" w:ascii="宋体" w:hAnsi="宋体"/>
          <w:color w:val="auto"/>
          <w:highlight w:val="none"/>
        </w:rPr>
        <w:t>商务技术响应文件：</w:t>
      </w:r>
    </w:p>
    <w:p>
      <w:pPr>
        <w:numPr>
          <w:ilvl w:val="0"/>
          <w:numId w:val="19"/>
        </w:numPr>
        <w:tabs>
          <w:tab w:val="left" w:pos="1134"/>
        </w:tabs>
        <w:spacing w:after="200"/>
        <w:ind w:left="0" w:firstLine="546"/>
        <w:rPr>
          <w:rFonts w:ascii="宋体" w:hAnsi="宋体"/>
          <w:b/>
          <w:color w:val="auto"/>
          <w:kern w:val="0"/>
          <w:sz w:val="28"/>
          <w:szCs w:val="28"/>
          <w:highlight w:val="none"/>
        </w:rPr>
      </w:pPr>
      <w:r>
        <w:rPr>
          <w:rFonts w:hint="eastAsia" w:ascii="宋体" w:hAnsi="宋体"/>
          <w:b/>
          <w:color w:val="auto"/>
          <w:kern w:val="0"/>
          <w:sz w:val="28"/>
          <w:szCs w:val="28"/>
          <w:highlight w:val="none"/>
        </w:rPr>
        <w:t>投标函；</w:t>
      </w:r>
    </w:p>
    <w:p>
      <w:pPr>
        <w:numPr>
          <w:ilvl w:val="0"/>
          <w:numId w:val="19"/>
        </w:numPr>
        <w:tabs>
          <w:tab w:val="left" w:pos="1134"/>
        </w:tabs>
        <w:spacing w:after="200"/>
        <w:ind w:left="0" w:firstLine="546"/>
        <w:rPr>
          <w:rFonts w:ascii="宋体" w:hAnsi="宋体"/>
          <w:b/>
          <w:color w:val="auto"/>
          <w:kern w:val="0"/>
          <w:sz w:val="28"/>
          <w:szCs w:val="28"/>
          <w:highlight w:val="none"/>
        </w:rPr>
      </w:pPr>
      <w:r>
        <w:rPr>
          <w:rFonts w:hint="eastAsia" w:ascii="宋体" w:hAnsi="宋体"/>
          <w:b/>
          <w:color w:val="auto"/>
          <w:kern w:val="0"/>
          <w:sz w:val="28"/>
          <w:szCs w:val="28"/>
          <w:highlight w:val="none"/>
        </w:rPr>
        <w:t>法定代表人身份证明书；</w:t>
      </w:r>
    </w:p>
    <w:p>
      <w:pPr>
        <w:numPr>
          <w:ilvl w:val="0"/>
          <w:numId w:val="19"/>
        </w:numPr>
        <w:tabs>
          <w:tab w:val="left" w:pos="1134"/>
        </w:tabs>
        <w:spacing w:after="200"/>
        <w:ind w:left="0" w:firstLine="546"/>
        <w:rPr>
          <w:rFonts w:ascii="宋体" w:hAnsi="宋体"/>
          <w:b/>
          <w:color w:val="auto"/>
          <w:kern w:val="0"/>
          <w:sz w:val="28"/>
          <w:szCs w:val="28"/>
          <w:highlight w:val="none"/>
        </w:rPr>
      </w:pPr>
      <w:r>
        <w:rPr>
          <w:rFonts w:hint="eastAsia" w:ascii="宋体" w:hAnsi="宋体"/>
          <w:b/>
          <w:color w:val="auto"/>
          <w:kern w:val="0"/>
          <w:sz w:val="28"/>
          <w:szCs w:val="28"/>
          <w:highlight w:val="none"/>
        </w:rPr>
        <w:t>投标人基本情况表；</w:t>
      </w:r>
    </w:p>
    <w:p>
      <w:pPr>
        <w:numPr>
          <w:ilvl w:val="0"/>
          <w:numId w:val="19"/>
        </w:numPr>
        <w:tabs>
          <w:tab w:val="left" w:pos="1134"/>
          <w:tab w:val="left" w:pos="1418"/>
        </w:tabs>
        <w:spacing w:after="200"/>
        <w:ind w:left="0" w:firstLine="546"/>
        <w:rPr>
          <w:rFonts w:ascii="宋体" w:hAnsi="宋体"/>
          <w:b/>
          <w:color w:val="auto"/>
          <w:kern w:val="0"/>
          <w:sz w:val="28"/>
          <w:szCs w:val="28"/>
          <w:highlight w:val="none"/>
        </w:rPr>
      </w:pPr>
      <w:r>
        <w:rPr>
          <w:rFonts w:hint="eastAsia" w:ascii="宋体" w:hAnsi="宋体"/>
          <w:b/>
          <w:color w:val="auto"/>
          <w:kern w:val="0"/>
          <w:sz w:val="28"/>
          <w:szCs w:val="28"/>
          <w:highlight w:val="none"/>
        </w:rPr>
        <w:t>服务方案及服务承诺；</w:t>
      </w:r>
    </w:p>
    <w:p>
      <w:pPr>
        <w:numPr>
          <w:ilvl w:val="0"/>
          <w:numId w:val="19"/>
        </w:numPr>
        <w:tabs>
          <w:tab w:val="left" w:pos="1134"/>
          <w:tab w:val="left" w:pos="1418"/>
        </w:tabs>
        <w:spacing w:after="200"/>
        <w:ind w:left="0" w:firstLine="546"/>
        <w:rPr>
          <w:rFonts w:ascii="宋体" w:hAnsi="宋体"/>
          <w:b/>
          <w:color w:val="auto"/>
          <w:kern w:val="0"/>
          <w:sz w:val="28"/>
          <w:szCs w:val="28"/>
          <w:highlight w:val="none"/>
        </w:rPr>
      </w:pPr>
      <w:r>
        <w:rPr>
          <w:rFonts w:hint="eastAsia" w:ascii="宋体" w:hAnsi="宋体"/>
          <w:b/>
          <w:color w:val="auto"/>
          <w:kern w:val="0"/>
          <w:sz w:val="28"/>
          <w:szCs w:val="28"/>
          <w:highlight w:val="none"/>
        </w:rPr>
        <w:t>承诺函。</w:t>
      </w:r>
    </w:p>
    <w:p>
      <w:pPr>
        <w:pStyle w:val="6"/>
        <w:numPr>
          <w:ilvl w:val="3"/>
          <w:numId w:val="4"/>
        </w:numPr>
        <w:spacing w:line="560" w:lineRule="exact"/>
        <w:rPr>
          <w:rFonts w:ascii="宋体" w:hAnsi="宋体"/>
          <w:b w:val="0"/>
          <w:color w:val="auto"/>
          <w:highlight w:val="none"/>
        </w:rPr>
      </w:pPr>
      <w:r>
        <w:rPr>
          <w:rFonts w:hint="eastAsia" w:ascii="宋体" w:hAnsi="宋体"/>
          <w:color w:val="auto"/>
          <w:highlight w:val="none"/>
        </w:rPr>
        <w:t>报价</w:t>
      </w:r>
      <w:r>
        <w:rPr>
          <w:rFonts w:ascii="宋体" w:hAnsi="宋体"/>
          <w:color w:val="auto"/>
          <w:highlight w:val="none"/>
        </w:rPr>
        <w:t>要求响应文件</w:t>
      </w:r>
    </w:p>
    <w:p>
      <w:pPr>
        <w:tabs>
          <w:tab w:val="left" w:pos="1134"/>
          <w:tab w:val="left" w:pos="1418"/>
        </w:tabs>
        <w:spacing w:after="200"/>
        <w:ind w:firstLine="551" w:firstLineChars="196"/>
        <w:rPr>
          <w:rFonts w:ascii="宋体" w:hAnsi="宋体"/>
          <w:b/>
          <w:color w:val="auto"/>
          <w:kern w:val="0"/>
          <w:sz w:val="28"/>
          <w:szCs w:val="28"/>
          <w:highlight w:val="none"/>
        </w:rPr>
      </w:pPr>
      <w:r>
        <w:rPr>
          <w:rFonts w:hint="eastAsia" w:ascii="宋体" w:hAnsi="宋体"/>
          <w:b/>
          <w:color w:val="auto"/>
          <w:kern w:val="0"/>
          <w:sz w:val="28"/>
          <w:szCs w:val="28"/>
          <w:highlight w:val="none"/>
        </w:rPr>
        <w:t>一、开标一览表；</w:t>
      </w:r>
    </w:p>
    <w:p>
      <w:pPr>
        <w:tabs>
          <w:tab w:val="left" w:pos="1134"/>
          <w:tab w:val="left" w:pos="1418"/>
        </w:tabs>
        <w:spacing w:after="200"/>
        <w:ind w:firstLine="551" w:firstLineChars="196"/>
        <w:rPr>
          <w:rFonts w:ascii="宋体" w:hAnsi="宋体"/>
          <w:b/>
          <w:color w:val="auto"/>
          <w:kern w:val="0"/>
          <w:sz w:val="28"/>
          <w:szCs w:val="28"/>
          <w:highlight w:val="none"/>
        </w:rPr>
      </w:pPr>
      <w:r>
        <w:rPr>
          <w:rFonts w:hint="eastAsia" w:ascii="宋体" w:hAnsi="宋体"/>
          <w:b/>
          <w:color w:val="auto"/>
          <w:kern w:val="0"/>
          <w:sz w:val="28"/>
          <w:szCs w:val="28"/>
          <w:highlight w:val="none"/>
        </w:rPr>
        <w:t>二、分项报价明细表。</w:t>
      </w:r>
    </w:p>
    <w:p>
      <w:pPr>
        <w:pStyle w:val="5"/>
        <w:numPr>
          <w:ilvl w:val="2"/>
          <w:numId w:val="4"/>
        </w:numPr>
        <w:spacing w:after="200" w:line="240" w:lineRule="auto"/>
        <w:ind w:left="0" w:firstLine="0"/>
        <w:rPr>
          <w:color w:val="auto"/>
          <w:highlight w:val="none"/>
        </w:rPr>
      </w:pPr>
      <w:bookmarkStart w:id="76" w:name="_Toc316292020"/>
      <w:bookmarkEnd w:id="76"/>
      <w:bookmarkStart w:id="77" w:name="_Toc316291395"/>
      <w:bookmarkEnd w:id="77"/>
      <w:bookmarkStart w:id="78" w:name="_Toc316291396"/>
      <w:bookmarkEnd w:id="78"/>
      <w:bookmarkStart w:id="79" w:name="_Toc316292019"/>
      <w:bookmarkEnd w:id="79"/>
      <w:bookmarkStart w:id="80" w:name="_Toc183582218"/>
      <w:bookmarkStart w:id="81" w:name="_Toc217446049"/>
      <w:bookmarkStart w:id="82" w:name="_Toc183682355"/>
      <w:r>
        <w:rPr>
          <w:rFonts w:hint="eastAsia"/>
          <w:color w:val="auto"/>
          <w:highlight w:val="none"/>
        </w:rPr>
        <w:t>投标文件格式</w:t>
      </w:r>
      <w:bookmarkEnd w:id="80"/>
      <w:bookmarkEnd w:id="81"/>
      <w:bookmarkEnd w:id="82"/>
      <w:r>
        <w:rPr>
          <w:rFonts w:hint="eastAsia"/>
          <w:color w:val="auto"/>
          <w:highlight w:val="none"/>
        </w:rPr>
        <w:tab/>
      </w:r>
    </w:p>
    <w:p>
      <w:pPr>
        <w:numPr>
          <w:ilvl w:val="0"/>
          <w:numId w:val="20"/>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投标人应按照招标文件第3章中提供的“投标文件格式”填写相关内容。</w:t>
      </w:r>
    </w:p>
    <w:p>
      <w:pPr>
        <w:numPr>
          <w:ilvl w:val="0"/>
          <w:numId w:val="20"/>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对于没有格式要求的投标文件由投标人自行编写。</w:t>
      </w:r>
    </w:p>
    <w:p>
      <w:pPr>
        <w:pStyle w:val="5"/>
        <w:numPr>
          <w:ilvl w:val="2"/>
          <w:numId w:val="4"/>
        </w:numPr>
        <w:spacing w:after="200" w:line="240" w:lineRule="auto"/>
        <w:ind w:left="0" w:firstLine="0"/>
        <w:rPr>
          <w:color w:val="auto"/>
          <w:highlight w:val="none"/>
        </w:rPr>
      </w:pPr>
      <w:bookmarkStart w:id="83" w:name="_Toc183682360"/>
      <w:bookmarkStart w:id="84" w:name="_Toc217446050"/>
      <w:bookmarkStart w:id="85" w:name="_Toc183582223"/>
      <w:r>
        <w:rPr>
          <w:rFonts w:hint="eastAsia"/>
          <w:color w:val="auto"/>
          <w:highlight w:val="none"/>
        </w:rPr>
        <w:t>投标报价</w:t>
      </w:r>
    </w:p>
    <w:p>
      <w:pPr>
        <w:numPr>
          <w:ilvl w:val="0"/>
          <w:numId w:val="21"/>
        </w:numPr>
        <w:tabs>
          <w:tab w:val="left" w:pos="1134"/>
        </w:tabs>
        <w:spacing w:line="360" w:lineRule="auto"/>
        <w:ind w:left="0" w:firstLine="560"/>
        <w:rPr>
          <w:rFonts w:ascii="宋体" w:hAnsi="宋体"/>
          <w:color w:val="auto"/>
          <w:sz w:val="28"/>
          <w:szCs w:val="28"/>
          <w:highlight w:val="none"/>
        </w:rPr>
      </w:pPr>
      <w:r>
        <w:rPr>
          <w:rFonts w:hint="eastAsia" w:ascii="宋体" w:hAnsi="宋体"/>
          <w:color w:val="auto"/>
          <w:sz w:val="28"/>
          <w:szCs w:val="28"/>
          <w:highlight w:val="none"/>
        </w:rPr>
        <w:t>投标人的报价是投标人响应招标项目要求的全部工作内容的价格体现，包括投标人完成本项目所需的一切费用。</w:t>
      </w:r>
    </w:p>
    <w:p>
      <w:pPr>
        <w:numPr>
          <w:ilvl w:val="0"/>
          <w:numId w:val="21"/>
        </w:numPr>
        <w:tabs>
          <w:tab w:val="left" w:pos="1134"/>
        </w:tabs>
        <w:spacing w:line="360" w:lineRule="auto"/>
        <w:ind w:left="0" w:firstLine="560"/>
        <w:rPr>
          <w:rFonts w:ascii="宋体" w:hAnsi="宋体"/>
          <w:color w:val="auto"/>
          <w:sz w:val="28"/>
          <w:szCs w:val="28"/>
          <w:highlight w:val="none"/>
        </w:rPr>
      </w:pPr>
      <w:r>
        <w:rPr>
          <w:rFonts w:hint="eastAsia" w:ascii="宋体" w:hAnsi="宋体"/>
          <w:color w:val="auto"/>
          <w:sz w:val="28"/>
          <w:szCs w:val="28"/>
          <w:highlight w:val="none"/>
        </w:rPr>
        <w:t>投标人每种货物及服务内容只允许有一个报价，并且在合同履行过程中是固定不变的，任何有选择或可调整的报价将不予接受，并按无效投标处理。</w:t>
      </w:r>
    </w:p>
    <w:p>
      <w:pPr>
        <w:tabs>
          <w:tab w:val="left" w:pos="1134"/>
        </w:tabs>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三、投标文件报价出现前后不一致的，按照下列规定修正：（1）大写金额和小写金额不一致的，以大写金额为准，但大写金额出现文字错误，导致金额无法判断的除外；（</w:t>
      </w:r>
      <w:r>
        <w:rPr>
          <w:rFonts w:ascii="宋体" w:hAnsi="宋体"/>
          <w:color w:val="auto"/>
          <w:sz w:val="28"/>
          <w:szCs w:val="28"/>
          <w:highlight w:val="none"/>
        </w:rPr>
        <w:t>2</w:t>
      </w:r>
      <w:r>
        <w:rPr>
          <w:rFonts w:hint="eastAsia" w:ascii="宋体" w:hAnsi="宋体"/>
          <w:color w:val="auto"/>
          <w:sz w:val="28"/>
          <w:szCs w:val="28"/>
          <w:highlight w:val="none"/>
        </w:rPr>
        <w:t>）单价金额小数点或者百分比有明显错位的，应以总价为准，并修改单价；（</w:t>
      </w:r>
      <w:r>
        <w:rPr>
          <w:rFonts w:ascii="宋体" w:hAnsi="宋体"/>
          <w:color w:val="auto"/>
          <w:sz w:val="28"/>
          <w:szCs w:val="28"/>
          <w:highlight w:val="none"/>
        </w:rPr>
        <w:t>3</w:t>
      </w:r>
      <w:r>
        <w:rPr>
          <w:rFonts w:hint="eastAsia" w:ascii="宋体" w:hAnsi="宋体"/>
          <w:color w:val="auto"/>
          <w:sz w:val="28"/>
          <w:szCs w:val="28"/>
          <w:highlight w:val="none"/>
        </w:rPr>
        <w:t>）总价金额与按单价汇总金额不一致的，以单价金额计算结果为准。</w:t>
      </w:r>
    </w:p>
    <w:p>
      <w:pPr>
        <w:tabs>
          <w:tab w:val="left" w:pos="1134"/>
        </w:tabs>
        <w:spacing w:line="360" w:lineRule="auto"/>
        <w:ind w:firstLine="565" w:firstLineChars="202"/>
        <w:rPr>
          <w:rFonts w:ascii="宋体" w:hAnsi="宋体"/>
          <w:color w:val="auto"/>
          <w:sz w:val="28"/>
          <w:szCs w:val="28"/>
          <w:highlight w:val="none"/>
        </w:rPr>
      </w:pPr>
      <w:r>
        <w:rPr>
          <w:rFonts w:hint="eastAsia" w:cs="Arial"/>
          <w:color w:val="auto"/>
          <w:sz w:val="28"/>
          <w:szCs w:val="28"/>
          <w:highlight w:val="none"/>
        </w:rPr>
        <w:t>同时出现两种以上不一致的，按照前款规定的顺序修正。修正后的报价经投标人以书面形式通过政府采购云平台进行确认，并加盖投标人（法定名称）电子签章，投标人逾时确认的，其投标无效。</w:t>
      </w:r>
      <w:r>
        <w:rPr>
          <w:rFonts w:hint="eastAsia" w:ascii="宋体" w:hAnsi="宋体"/>
          <w:color w:val="auto"/>
          <w:sz w:val="28"/>
          <w:szCs w:val="28"/>
          <w:highlight w:val="none"/>
        </w:rPr>
        <w:t>如因断电、断网、系统故障或其他不可抗力等因素</w:t>
      </w:r>
      <w:r>
        <w:rPr>
          <w:rFonts w:hint="eastAsia" w:cs="Arial"/>
          <w:color w:val="auto"/>
          <w:sz w:val="28"/>
          <w:szCs w:val="28"/>
          <w:highlight w:val="none"/>
        </w:rPr>
        <w:t>，导致系统无法使用的，由投标人按评标委员会的要求进行澄清或者说明。</w:t>
      </w:r>
    </w:p>
    <w:p>
      <w:pPr>
        <w:pStyle w:val="5"/>
        <w:numPr>
          <w:ilvl w:val="2"/>
          <w:numId w:val="4"/>
        </w:numPr>
        <w:spacing w:after="200" w:line="240" w:lineRule="auto"/>
        <w:ind w:left="0" w:firstLine="0"/>
        <w:rPr>
          <w:color w:val="auto"/>
          <w:highlight w:val="none"/>
        </w:rPr>
      </w:pPr>
      <w:r>
        <w:rPr>
          <w:rFonts w:hint="eastAsia"/>
          <w:color w:val="auto"/>
          <w:highlight w:val="none"/>
        </w:rPr>
        <w:t>投标保证金</w:t>
      </w:r>
      <w:bookmarkEnd w:id="83"/>
      <w:bookmarkEnd w:id="84"/>
      <w:bookmarkEnd w:id="85"/>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本项目不收取投标保证金。</w:t>
      </w:r>
    </w:p>
    <w:p>
      <w:pPr>
        <w:pStyle w:val="5"/>
        <w:numPr>
          <w:ilvl w:val="2"/>
          <w:numId w:val="4"/>
        </w:numPr>
        <w:tabs>
          <w:tab w:val="left" w:pos="851"/>
        </w:tabs>
        <w:spacing w:after="200" w:line="240" w:lineRule="auto"/>
        <w:ind w:left="0" w:firstLine="0"/>
        <w:rPr>
          <w:color w:val="auto"/>
          <w:highlight w:val="none"/>
        </w:rPr>
      </w:pPr>
      <w:bookmarkStart w:id="86" w:name="_Toc316292024"/>
      <w:bookmarkEnd w:id="86"/>
      <w:bookmarkStart w:id="87" w:name="_Toc316291400"/>
      <w:bookmarkEnd w:id="87"/>
      <w:bookmarkStart w:id="88" w:name="_Toc183682361"/>
      <w:bookmarkStart w:id="89" w:name="_Toc183582224"/>
      <w:bookmarkStart w:id="90" w:name="_Toc217446051"/>
      <w:r>
        <w:rPr>
          <w:rFonts w:hint="eastAsia"/>
          <w:color w:val="auto"/>
          <w:highlight w:val="none"/>
        </w:rPr>
        <w:t>投标有效期</w:t>
      </w:r>
      <w:bookmarkEnd w:id="88"/>
      <w:bookmarkEnd w:id="89"/>
      <w:bookmarkEnd w:id="90"/>
    </w:p>
    <w:p>
      <w:pPr>
        <w:numPr>
          <w:ilvl w:val="0"/>
          <w:numId w:val="22"/>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投标有效期为</w:t>
      </w:r>
      <w:r>
        <w:rPr>
          <w:rFonts w:hint="eastAsia" w:ascii="Helvetica" w:hAnsi="Helvetica" w:cs="Helvetica"/>
          <w:color w:val="auto"/>
          <w:sz w:val="28"/>
          <w:szCs w:val="28"/>
          <w:highlight w:val="none"/>
        </w:rPr>
        <w:t>提交投标文件的截止之日起</w:t>
      </w:r>
      <w:r>
        <w:rPr>
          <w:rFonts w:hint="eastAsia" w:ascii="宋体" w:hAnsi="宋体"/>
          <w:color w:val="auto"/>
          <w:sz w:val="28"/>
          <w:szCs w:val="28"/>
          <w:highlight w:val="none"/>
          <w:u w:val="single"/>
        </w:rPr>
        <w:t>120</w:t>
      </w:r>
      <w:r>
        <w:rPr>
          <w:rFonts w:hint="eastAsia" w:ascii="宋体" w:hAnsi="宋体"/>
          <w:color w:val="auto"/>
          <w:sz w:val="28"/>
          <w:szCs w:val="28"/>
          <w:highlight w:val="none"/>
        </w:rPr>
        <w:t>天。投标有效期短于此规定期限的或不作响应的，则其投标文件将按无效投标文件处理。</w:t>
      </w:r>
    </w:p>
    <w:p>
      <w:pPr>
        <w:numPr>
          <w:ilvl w:val="0"/>
          <w:numId w:val="22"/>
        </w:numPr>
        <w:tabs>
          <w:tab w:val="left" w:pos="1134"/>
        </w:tabs>
        <w:spacing w:after="200"/>
        <w:ind w:left="0" w:firstLine="567"/>
        <w:rPr>
          <w:rFonts w:ascii="宋体" w:hAnsi="宋体"/>
          <w:color w:val="auto"/>
          <w:sz w:val="28"/>
          <w:szCs w:val="28"/>
          <w:highlight w:val="none"/>
        </w:rPr>
      </w:pPr>
      <w:bookmarkStart w:id="91" w:name="_Toc183582225"/>
      <w:bookmarkStart w:id="92" w:name="_Toc217446052"/>
      <w:bookmarkStart w:id="93" w:name="_Toc183682362"/>
      <w:r>
        <w:rPr>
          <w:rFonts w:hint="eastAsia" w:ascii="宋体" w:hAnsi="宋体"/>
          <w:color w:val="auto"/>
          <w:sz w:val="28"/>
          <w:szCs w:val="28"/>
          <w:highlight w:val="none"/>
        </w:rPr>
        <w:t>特殊情况下，采购人可于投标有效期满之前要求投标人同意延长有效期，要求与答复均应为书面形式。投标人可以拒绝上述要求，其投标保证金不被没收。同意延长投标有效期的投标人不能修改其投标文件，关于投标保证金的有关规定在延长的投标有效期内继续有效。</w:t>
      </w:r>
    </w:p>
    <w:p>
      <w:pPr>
        <w:pStyle w:val="5"/>
        <w:numPr>
          <w:ilvl w:val="2"/>
          <w:numId w:val="4"/>
        </w:numPr>
        <w:tabs>
          <w:tab w:val="left" w:pos="851"/>
        </w:tabs>
        <w:spacing w:after="200" w:line="240" w:lineRule="auto"/>
        <w:ind w:left="0" w:firstLine="0"/>
        <w:rPr>
          <w:color w:val="auto"/>
          <w:highlight w:val="none"/>
        </w:rPr>
      </w:pPr>
      <w:r>
        <w:rPr>
          <w:rFonts w:hint="eastAsia"/>
          <w:color w:val="auto"/>
          <w:highlight w:val="none"/>
        </w:rPr>
        <w:t>投标文件的制作和签章、加密</w:t>
      </w:r>
      <w:bookmarkEnd w:id="91"/>
      <w:bookmarkEnd w:id="92"/>
      <w:bookmarkEnd w:id="93"/>
      <w:bookmarkStart w:id="94" w:name="_Toc316475582"/>
      <w:bookmarkEnd w:id="94"/>
      <w:bookmarkStart w:id="95" w:name="_Toc316475577"/>
      <w:bookmarkEnd w:id="95"/>
      <w:bookmarkStart w:id="96" w:name="_Toc316475581"/>
      <w:bookmarkEnd w:id="96"/>
      <w:bookmarkStart w:id="97" w:name="_Toc316475578"/>
      <w:bookmarkEnd w:id="97"/>
      <w:bookmarkStart w:id="98" w:name="_Toc316475580"/>
      <w:bookmarkEnd w:id="98"/>
      <w:bookmarkStart w:id="99" w:name="_Toc316475583"/>
      <w:bookmarkEnd w:id="99"/>
      <w:bookmarkStart w:id="100" w:name="_Toc316475579"/>
      <w:bookmarkEnd w:id="100"/>
      <w:bookmarkStart w:id="101" w:name="_Toc183582227"/>
      <w:bookmarkStart w:id="102" w:name="_Toc183682364"/>
      <w:bookmarkStart w:id="103" w:name="_Toc217446054"/>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一、投标文件应根据招标文件的要求进行制作。（说明：1、招标文件中要求提供复印件证明材料的，包含提供原件的影印件或复印件。2、要求提供复印件的证明材料须清晰可辨。）</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二、投标文件制作详情：</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1、本项目实行电子投标。投标人应先安装“政采云投标客户端”（下载地址1：前往成都市公共资源交易服务中心门户网站（https://www.cdggzy.com/）—业务办理—下载专区—政府采购下载专区下载“政采云投标客户端”；下载地址2：https://customer.zcygov.cn/CA-driver-download?utm=web-ca-front.3ddc8fbb.0.0.3a16b7402a4511ec900b6349b129e0db。投标人应按招标文件要求，通过“政采云投标客户端”制作、加密并提交投标文件。</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2、投标文件应加盖投标人（法定名称）电子签章，不得使用投标人专用章（如经济合同章、投标专用章等）或下属单位印章代替。</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3、投标人应使用本企业CA数字证书对投标文件进行加密。</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4、招标文件有修改的，投标人须重新下载修改后的招标文件（修改后的招标文件在更正公告中下载），根据修改后的招标文件制作、撤回修改，并递交投标文件。</w:t>
      </w:r>
    </w:p>
    <w:p>
      <w:pPr>
        <w:spacing w:line="360" w:lineRule="auto"/>
        <w:ind w:firstLine="560" w:firstLineChars="200"/>
        <w:rPr>
          <w:rFonts w:hint="eastAsia" w:ascii="宋体" w:hAnsi="宋体"/>
          <w:color w:val="auto"/>
          <w:sz w:val="28"/>
          <w:szCs w:val="28"/>
          <w:highlight w:val="none"/>
        </w:rPr>
      </w:pPr>
      <w:r>
        <w:rPr>
          <w:rFonts w:hint="eastAsia" w:ascii="宋体" w:hAnsi="宋体"/>
          <w:color w:val="auto"/>
          <w:sz w:val="28"/>
          <w:szCs w:val="28"/>
          <w:highlight w:val="none"/>
        </w:rPr>
        <w:t>5、使用“政府采购云平台”（含政采云电子交易客户端）需要提前申领CA数字证书及电子签章，请自行前往四川CA、CFCA、天威CA服务点办理，只需办理其中一家CA数字证书及签章（提示：办理时请说明参与成都市政府采购项目）。投标人应及时完成在“政府采购云平台”的CA账号绑定，确保顺利参与电子投标。</w:t>
      </w:r>
    </w:p>
    <w:p>
      <w:pPr>
        <w:spacing w:line="360" w:lineRule="auto"/>
        <w:ind w:firstLine="560" w:firstLineChars="200"/>
        <w:rPr>
          <w:rFonts w:hint="eastAsia" w:ascii="宋体" w:hAnsi="宋体" w:eastAsia="宋体"/>
          <w:color w:val="auto"/>
          <w:sz w:val="28"/>
          <w:szCs w:val="28"/>
          <w:highlight w:val="none"/>
        </w:rPr>
      </w:pPr>
      <w:r>
        <w:rPr>
          <w:rFonts w:hint="eastAsia" w:ascii="宋体" w:hAnsi="宋体"/>
          <w:color w:val="auto"/>
          <w:sz w:val="28"/>
          <w:szCs w:val="28"/>
          <w:highlight w:val="none"/>
          <w:lang w:val="en-US" w:eastAsia="zh-CN"/>
        </w:rPr>
        <w:t>6</w:t>
      </w:r>
      <w:r>
        <w:rPr>
          <w:rFonts w:hint="eastAsia" w:ascii="宋体" w:hAnsi="宋体" w:eastAsia="宋体"/>
          <w:color w:val="auto"/>
          <w:sz w:val="28"/>
          <w:szCs w:val="28"/>
          <w:highlight w:val="none"/>
        </w:rPr>
        <w:t>、政府采购云平台所支持的CA证书及签章：四川CA及金格签章，天威CA（金润版）及金润签章，CFCA及金格签章。</w:t>
      </w:r>
    </w:p>
    <w:p>
      <w:pPr>
        <w:spacing w:line="360" w:lineRule="auto"/>
        <w:ind w:firstLine="560" w:firstLineChars="200"/>
        <w:rPr>
          <w:rFonts w:hint="eastAsia" w:ascii="宋体" w:hAnsi="宋体" w:eastAsia="宋体"/>
          <w:color w:val="auto"/>
          <w:sz w:val="28"/>
          <w:szCs w:val="28"/>
          <w:highlight w:val="none"/>
          <w:lang w:val="en-US" w:eastAsia="zh-CN"/>
        </w:rPr>
      </w:pPr>
      <w:r>
        <w:rPr>
          <w:rFonts w:hint="eastAsia" w:ascii="宋体" w:hAnsi="宋体"/>
          <w:color w:val="auto"/>
          <w:sz w:val="28"/>
          <w:szCs w:val="28"/>
          <w:highlight w:val="none"/>
          <w:lang w:val="en-US" w:eastAsia="zh-CN"/>
        </w:rPr>
        <w:t>7</w:t>
      </w:r>
      <w:r>
        <w:rPr>
          <w:rFonts w:hint="eastAsia" w:ascii="宋体" w:hAnsi="宋体" w:eastAsia="宋体"/>
          <w:color w:val="auto"/>
          <w:sz w:val="28"/>
          <w:szCs w:val="28"/>
          <w:highlight w:val="none"/>
        </w:rPr>
        <w:t>、政府采购云平台技术支持：（1）钉钉群号：34165101（注：本群有3家CA办理人员加入）；如遇钉钉群满，请加钉钉群号：33782435（注：只加其中一个即可）。（2）统一热线电话：4008817190</w:t>
      </w:r>
      <w:r>
        <w:rPr>
          <w:rFonts w:hint="eastAsia" w:ascii="宋体" w:hAnsi="宋体"/>
          <w:color w:val="auto"/>
          <w:sz w:val="28"/>
          <w:szCs w:val="28"/>
          <w:highlight w:val="none"/>
          <w:lang w:eastAsia="zh-CN"/>
        </w:rPr>
        <w:t>。</w:t>
      </w:r>
    </w:p>
    <w:p>
      <w:pPr>
        <w:spacing w:line="360" w:lineRule="auto"/>
        <w:ind w:firstLine="560" w:firstLineChars="200"/>
        <w:rPr>
          <w:rFonts w:hint="eastAsia" w:ascii="宋体" w:hAnsi="宋体"/>
          <w:color w:val="auto"/>
          <w:sz w:val="28"/>
          <w:szCs w:val="28"/>
          <w:highlight w:val="none"/>
        </w:rPr>
      </w:pPr>
      <w:r>
        <w:rPr>
          <w:rFonts w:hint="eastAsia" w:ascii="宋体" w:hAnsi="宋体"/>
          <w:color w:val="auto"/>
          <w:sz w:val="28"/>
          <w:szCs w:val="28"/>
          <w:highlight w:val="none"/>
          <w:lang w:val="en-US" w:eastAsia="zh-CN"/>
        </w:rPr>
        <w:t>8</w:t>
      </w:r>
      <w:r>
        <w:rPr>
          <w:rFonts w:hint="eastAsia" w:ascii="宋体" w:hAnsi="宋体" w:eastAsia="宋体"/>
          <w:color w:val="auto"/>
          <w:sz w:val="28"/>
          <w:szCs w:val="28"/>
          <w:highlight w:val="none"/>
        </w:rPr>
        <w:t>、CA技术支持：四川CA：400-0281130；天威CA：(028)86694886、1592864708；CFCA：028-65785326、18033549468。</w:t>
      </w:r>
    </w:p>
    <w:p>
      <w:pPr>
        <w:pStyle w:val="5"/>
        <w:numPr>
          <w:ilvl w:val="2"/>
          <w:numId w:val="4"/>
        </w:numPr>
        <w:spacing w:after="200" w:line="240" w:lineRule="auto"/>
        <w:ind w:left="0" w:firstLine="0"/>
        <w:rPr>
          <w:color w:val="auto"/>
          <w:highlight w:val="none"/>
        </w:rPr>
      </w:pPr>
      <w:r>
        <w:rPr>
          <w:rFonts w:hint="eastAsia"/>
          <w:color w:val="auto"/>
          <w:highlight w:val="none"/>
        </w:rPr>
        <w:t>投标文件的</w:t>
      </w:r>
      <w:bookmarkEnd w:id="101"/>
      <w:bookmarkEnd w:id="102"/>
      <w:r>
        <w:rPr>
          <w:rFonts w:hint="eastAsia"/>
          <w:color w:val="auto"/>
          <w:highlight w:val="none"/>
        </w:rPr>
        <w:t>递交</w:t>
      </w:r>
      <w:bookmarkEnd w:id="103"/>
    </w:p>
    <w:p>
      <w:pPr>
        <w:tabs>
          <w:tab w:val="left" w:pos="0"/>
        </w:tabs>
        <w:spacing w:line="360" w:lineRule="auto"/>
        <w:ind w:firstLine="420" w:firstLineChars="150"/>
        <w:rPr>
          <w:rFonts w:ascii="宋体" w:hAnsi="宋体" w:eastAsiaTheme="minorEastAsia" w:cstheme="minorBidi"/>
          <w:bCs/>
          <w:color w:val="auto"/>
          <w:sz w:val="28"/>
          <w:szCs w:val="28"/>
          <w:highlight w:val="none"/>
        </w:rPr>
      </w:pPr>
      <w:r>
        <w:rPr>
          <w:rFonts w:hint="eastAsia" w:ascii="宋体" w:hAnsi="宋体" w:eastAsiaTheme="minorEastAsia" w:cstheme="minorBidi"/>
          <w:bCs/>
          <w:color w:val="auto"/>
          <w:sz w:val="28"/>
          <w:szCs w:val="28"/>
          <w:highlight w:val="none"/>
        </w:rPr>
        <w:t>一、投标人应当在投标文件递交截止时间前，将生成的已加密的电子投标文件成功递交至“政府采购云平台”。</w:t>
      </w:r>
    </w:p>
    <w:p>
      <w:pPr>
        <w:tabs>
          <w:tab w:val="left" w:pos="0"/>
        </w:tabs>
        <w:spacing w:line="360" w:lineRule="auto"/>
        <w:ind w:firstLine="420" w:firstLineChars="150"/>
        <w:rPr>
          <w:rFonts w:ascii="宋体" w:hAnsi="宋体" w:eastAsiaTheme="minorEastAsia" w:cstheme="minorBidi"/>
          <w:bCs/>
          <w:color w:val="auto"/>
          <w:sz w:val="28"/>
          <w:szCs w:val="28"/>
          <w:highlight w:val="none"/>
        </w:rPr>
      </w:pPr>
      <w:r>
        <w:rPr>
          <w:rFonts w:hint="eastAsia" w:ascii="宋体" w:hAnsi="宋体" w:eastAsiaTheme="minorEastAsia" w:cstheme="minorBidi"/>
          <w:bCs/>
          <w:color w:val="auto"/>
          <w:sz w:val="28"/>
          <w:szCs w:val="28"/>
          <w:highlight w:val="none"/>
        </w:rPr>
        <w:t>二、因招标文件的修改推迟投标截止日期的，投标人按高新区采购中心在“四川政府采购网”和“成都市公共资源交易服务中心”网站上发布的澄清公告中修改的时间递交投标文件，同时通过“政府采购云平台”将澄清或者修改的内容告知所有在系统中成功获取招标文件的潜在投标人。</w:t>
      </w:r>
    </w:p>
    <w:p>
      <w:pPr>
        <w:tabs>
          <w:tab w:val="left" w:pos="0"/>
        </w:tabs>
        <w:spacing w:line="360" w:lineRule="auto"/>
        <w:ind w:firstLine="420" w:firstLineChars="150"/>
        <w:rPr>
          <w:rFonts w:ascii="宋体" w:hAnsi="宋体"/>
          <w:bCs/>
          <w:color w:val="auto"/>
          <w:sz w:val="28"/>
          <w:szCs w:val="28"/>
          <w:highlight w:val="none"/>
        </w:rPr>
      </w:pPr>
      <w:r>
        <w:rPr>
          <w:rFonts w:hint="eastAsia" w:ascii="宋体" w:hAnsi="宋体" w:eastAsiaTheme="minorEastAsia" w:cstheme="minorBidi"/>
          <w:bCs/>
          <w:color w:val="auto"/>
          <w:sz w:val="28"/>
          <w:szCs w:val="28"/>
          <w:highlight w:val="none"/>
        </w:rPr>
        <w:t>三、投标人应充分考虑递交文件的不可预见因素，未在投标截止时间前完成递交的，在投标截止时间后将无法递交</w:t>
      </w:r>
      <w:r>
        <w:rPr>
          <w:rFonts w:hint="eastAsia" w:ascii="宋体" w:hAnsi="宋体"/>
          <w:bCs/>
          <w:color w:val="auto"/>
          <w:sz w:val="28"/>
          <w:szCs w:val="28"/>
          <w:highlight w:val="none"/>
        </w:rPr>
        <w:t>。</w:t>
      </w:r>
    </w:p>
    <w:p>
      <w:pPr>
        <w:pStyle w:val="5"/>
        <w:numPr>
          <w:ilvl w:val="2"/>
          <w:numId w:val="4"/>
        </w:numPr>
        <w:spacing w:after="200" w:line="276" w:lineRule="auto"/>
        <w:ind w:left="0" w:firstLine="0"/>
        <w:rPr>
          <w:color w:val="auto"/>
          <w:highlight w:val="none"/>
        </w:rPr>
      </w:pPr>
      <w:r>
        <w:rPr>
          <w:rFonts w:hint="eastAsia"/>
          <w:color w:val="auto"/>
          <w:highlight w:val="none"/>
        </w:rPr>
        <w:t>投标文件的补充、修改</w:t>
      </w:r>
    </w:p>
    <w:p>
      <w:pPr>
        <w:numPr>
          <w:ilvl w:val="0"/>
          <w:numId w:val="23"/>
        </w:numPr>
        <w:spacing w:before="120" w:after="200" w:line="360" w:lineRule="auto"/>
        <w:ind w:left="0" w:firstLine="567"/>
        <w:rPr>
          <w:rFonts w:ascii="宋体" w:hAnsi="宋体"/>
          <w:color w:val="auto"/>
          <w:sz w:val="28"/>
          <w:szCs w:val="28"/>
          <w:highlight w:val="none"/>
        </w:rPr>
      </w:pPr>
      <w:r>
        <w:rPr>
          <w:rFonts w:hint="eastAsia" w:ascii="宋体" w:hAnsi="宋体"/>
          <w:color w:val="auto"/>
          <w:sz w:val="28"/>
          <w:szCs w:val="28"/>
          <w:highlight w:val="none"/>
        </w:rPr>
        <w:t>在投标截止时间之前，投标人可对已递交的投标文件进行补充、修改。补充或者修改投标文件的，应当先撤回已递交的投标文件，在“政采云投标客户端”补充、修改投标文件并签章、加密后重新递交。撤回投标文件进行补充、修改，在投标截止时间前未重新递交的，视为撤回投标文件。</w:t>
      </w:r>
    </w:p>
    <w:p>
      <w:pPr>
        <w:numPr>
          <w:ilvl w:val="0"/>
          <w:numId w:val="23"/>
        </w:numPr>
        <w:spacing w:before="120" w:after="200" w:line="360" w:lineRule="auto"/>
        <w:ind w:left="0" w:firstLine="567"/>
        <w:rPr>
          <w:rFonts w:ascii="宋体" w:hAnsi="宋体"/>
          <w:color w:val="auto"/>
          <w:sz w:val="28"/>
          <w:szCs w:val="28"/>
          <w:highlight w:val="none"/>
        </w:rPr>
      </w:pPr>
      <w:r>
        <w:rPr>
          <w:rFonts w:hint="eastAsia" w:ascii="宋体" w:hAnsi="宋体"/>
          <w:color w:val="auto"/>
          <w:sz w:val="28"/>
          <w:szCs w:val="28"/>
          <w:highlight w:val="none"/>
        </w:rPr>
        <w:t>在投标截止时间之后，投标人不得对其递交的投标文件做任何补充、修改。</w:t>
      </w:r>
    </w:p>
    <w:p>
      <w:pPr>
        <w:pStyle w:val="5"/>
        <w:numPr>
          <w:ilvl w:val="2"/>
          <w:numId w:val="4"/>
        </w:numPr>
        <w:spacing w:after="200"/>
        <w:ind w:left="851"/>
        <w:rPr>
          <w:color w:val="auto"/>
          <w:highlight w:val="none"/>
        </w:rPr>
      </w:pPr>
      <w:r>
        <w:rPr>
          <w:rFonts w:hint="eastAsia"/>
          <w:color w:val="auto"/>
          <w:highlight w:val="none"/>
        </w:rPr>
        <w:t>投标文件的撤回</w:t>
      </w:r>
    </w:p>
    <w:p>
      <w:pPr>
        <w:numPr>
          <w:ilvl w:val="0"/>
          <w:numId w:val="24"/>
        </w:numPr>
        <w:spacing w:before="120" w:after="200" w:line="360" w:lineRule="auto"/>
        <w:ind w:left="0" w:firstLine="567"/>
        <w:rPr>
          <w:rFonts w:ascii="宋体" w:hAnsi="宋体"/>
          <w:bCs/>
          <w:color w:val="auto"/>
          <w:sz w:val="28"/>
          <w:szCs w:val="28"/>
          <w:highlight w:val="none"/>
        </w:rPr>
      </w:pPr>
      <w:r>
        <w:rPr>
          <w:rFonts w:hint="eastAsia" w:ascii="宋体" w:hAnsi="宋体"/>
          <w:bCs/>
          <w:color w:val="auto"/>
          <w:sz w:val="28"/>
          <w:szCs w:val="28"/>
          <w:highlight w:val="none"/>
        </w:rPr>
        <w:t>在投标截止时间之前，投标人可对已递交的投标文件进行撤回。在投标截止时间之后，投标人不得撤回投标文件。</w:t>
      </w:r>
    </w:p>
    <w:p>
      <w:pPr>
        <w:pStyle w:val="5"/>
        <w:numPr>
          <w:ilvl w:val="2"/>
          <w:numId w:val="4"/>
        </w:numPr>
        <w:spacing w:after="200" w:line="240" w:lineRule="auto"/>
        <w:ind w:left="851"/>
        <w:rPr>
          <w:color w:val="auto"/>
          <w:highlight w:val="none"/>
        </w:rPr>
      </w:pPr>
      <w:r>
        <w:rPr>
          <w:rFonts w:hint="eastAsia"/>
          <w:color w:val="auto"/>
          <w:highlight w:val="none"/>
        </w:rPr>
        <w:t>投标文件的解密</w:t>
      </w:r>
    </w:p>
    <w:p>
      <w:pPr>
        <w:tabs>
          <w:tab w:val="left" w:pos="1134"/>
        </w:tabs>
        <w:spacing w:before="120" w:line="360" w:lineRule="auto"/>
        <w:ind w:firstLine="565" w:firstLineChars="202"/>
        <w:rPr>
          <w:rFonts w:ascii="宋体" w:hAnsi="宋体"/>
          <w:bCs/>
          <w:color w:val="auto"/>
          <w:sz w:val="28"/>
          <w:szCs w:val="28"/>
          <w:highlight w:val="none"/>
        </w:rPr>
      </w:pPr>
      <w:r>
        <w:rPr>
          <w:rFonts w:hint="eastAsia" w:ascii="宋体" w:hAnsi="宋体"/>
          <w:bCs/>
          <w:color w:val="auto"/>
          <w:sz w:val="28"/>
          <w:szCs w:val="28"/>
          <w:highlight w:val="none"/>
        </w:rPr>
        <w:t>投标人</w:t>
      </w:r>
      <w:r>
        <w:rPr>
          <w:rFonts w:hint="eastAsia" w:ascii="宋体" w:hAnsi="宋体"/>
          <w:color w:val="auto"/>
          <w:sz w:val="28"/>
          <w:szCs w:val="28"/>
          <w:highlight w:val="none"/>
        </w:rPr>
        <w:t>登录政府采购云平台，点击“项目采购—开标评标”模块，找到对应项目，进入“开标大厅”，等待高新区采购中心开启解密后，进行线上解密。</w:t>
      </w:r>
      <w:r>
        <w:rPr>
          <w:rFonts w:hint="eastAsia" w:ascii="宋体" w:hAnsi="宋体"/>
          <w:bCs/>
          <w:color w:val="auto"/>
          <w:sz w:val="28"/>
          <w:szCs w:val="28"/>
          <w:highlight w:val="none"/>
        </w:rPr>
        <w:t>除因</w:t>
      </w:r>
      <w:r>
        <w:rPr>
          <w:rFonts w:hint="eastAsia" w:ascii="宋体" w:hAnsi="宋体"/>
          <w:color w:val="auto"/>
          <w:sz w:val="28"/>
          <w:szCs w:val="28"/>
          <w:highlight w:val="none"/>
        </w:rPr>
        <w:t>高新区采购中心</w:t>
      </w:r>
      <w:r>
        <w:rPr>
          <w:rFonts w:hint="eastAsia" w:ascii="宋体" w:hAnsi="宋体"/>
          <w:bCs/>
          <w:color w:val="auto"/>
          <w:sz w:val="28"/>
          <w:szCs w:val="28"/>
          <w:highlight w:val="none"/>
        </w:rPr>
        <w:t>断电、断网、系统故障或其他不可抗力等因素，导致系统无法使用外，投标人在规定的解密时间内，未成功解密的投标文件将视为无效投标文件。</w:t>
      </w:r>
    </w:p>
    <w:p>
      <w:pPr>
        <w:pStyle w:val="4"/>
        <w:numPr>
          <w:ilvl w:val="1"/>
          <w:numId w:val="4"/>
        </w:numPr>
        <w:spacing w:before="0" w:after="0" w:line="240" w:lineRule="auto"/>
        <w:ind w:left="2269" w:hanging="2269"/>
        <w:rPr>
          <w:color w:val="auto"/>
          <w:highlight w:val="none"/>
        </w:rPr>
      </w:pPr>
      <w:bookmarkStart w:id="104" w:name="_Toc316475587"/>
      <w:bookmarkEnd w:id="104"/>
      <w:bookmarkStart w:id="105" w:name="_Toc316475586"/>
      <w:bookmarkEnd w:id="105"/>
      <w:bookmarkStart w:id="106" w:name="_Toc16979"/>
      <w:bookmarkStart w:id="107" w:name="_Toc183682368"/>
      <w:bookmarkStart w:id="108" w:name="_Toc31524"/>
      <w:bookmarkStart w:id="109" w:name="_Toc4457"/>
      <w:bookmarkStart w:id="110" w:name="_Toc17847"/>
      <w:bookmarkStart w:id="111" w:name="_Toc77400782"/>
      <w:bookmarkStart w:id="112" w:name="_Toc183582231"/>
      <w:bookmarkStart w:id="113" w:name="_Toc217446056"/>
      <w:bookmarkStart w:id="114" w:name="_Toc28766"/>
      <w:bookmarkStart w:id="115" w:name="_Toc89075878"/>
      <w:r>
        <w:rPr>
          <w:rFonts w:hint="eastAsia"/>
          <w:color w:val="auto"/>
          <w:highlight w:val="none"/>
        </w:rPr>
        <w:t>开标、资格审查、评标和中标</w:t>
      </w:r>
      <w:bookmarkEnd w:id="106"/>
      <w:bookmarkEnd w:id="107"/>
      <w:bookmarkEnd w:id="108"/>
      <w:bookmarkEnd w:id="109"/>
      <w:bookmarkEnd w:id="110"/>
      <w:bookmarkEnd w:id="111"/>
      <w:bookmarkEnd w:id="112"/>
      <w:bookmarkEnd w:id="113"/>
      <w:bookmarkEnd w:id="114"/>
      <w:bookmarkEnd w:id="115"/>
    </w:p>
    <w:p>
      <w:pPr>
        <w:keepNext/>
        <w:keepLines/>
        <w:numPr>
          <w:ilvl w:val="2"/>
          <w:numId w:val="4"/>
        </w:numPr>
        <w:spacing w:line="360" w:lineRule="auto"/>
        <w:ind w:left="0" w:firstLine="0"/>
        <w:outlineLvl w:val="2"/>
        <w:rPr>
          <w:rFonts w:ascii="宋体" w:hAnsi="宋体"/>
          <w:b/>
          <w:bCs/>
          <w:color w:val="auto"/>
          <w:sz w:val="28"/>
          <w:szCs w:val="28"/>
          <w:highlight w:val="none"/>
        </w:rPr>
      </w:pPr>
      <w:bookmarkStart w:id="116" w:name="_Toc217446057"/>
      <w:bookmarkStart w:id="117" w:name="_Toc183682369"/>
      <w:bookmarkStart w:id="118" w:name="_Toc183582232"/>
      <w:r>
        <w:rPr>
          <w:rFonts w:hint="eastAsia" w:ascii="宋体" w:hAnsi="宋体"/>
          <w:b/>
          <w:bCs/>
          <w:color w:val="auto"/>
          <w:sz w:val="28"/>
          <w:szCs w:val="28"/>
          <w:highlight w:val="none"/>
        </w:rPr>
        <w:t>开标</w:t>
      </w:r>
      <w:bookmarkEnd w:id="116"/>
      <w:bookmarkEnd w:id="117"/>
      <w:bookmarkEnd w:id="118"/>
      <w:r>
        <w:rPr>
          <w:rFonts w:hint="eastAsia" w:ascii="宋体" w:hAnsi="宋体"/>
          <w:b/>
          <w:bCs/>
          <w:color w:val="auto"/>
          <w:sz w:val="28"/>
          <w:szCs w:val="28"/>
          <w:highlight w:val="none"/>
        </w:rPr>
        <w:t>及开标程序</w:t>
      </w:r>
    </w:p>
    <w:p>
      <w:pPr>
        <w:pStyle w:val="88"/>
        <w:numPr>
          <w:ilvl w:val="0"/>
          <w:numId w:val="25"/>
        </w:numPr>
        <w:spacing w:before="120" w:after="200" w:line="360" w:lineRule="auto"/>
        <w:ind w:left="0" w:right="210" w:firstLine="567" w:firstLineChars="0"/>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本项目为不见面开标项目。递交电子投标文件的投标人不足3家的，不予开标。</w:t>
      </w:r>
    </w:p>
    <w:p>
      <w:pPr>
        <w:pStyle w:val="88"/>
        <w:numPr>
          <w:ilvl w:val="0"/>
          <w:numId w:val="25"/>
        </w:numPr>
        <w:spacing w:before="120" w:after="200" w:line="360" w:lineRule="auto"/>
        <w:ind w:left="0" w:right="210" w:firstLine="567" w:firstLineChars="0"/>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开标准备工作。投标人需在开标当日、投标截止时间前登录“政府采购云平台”，通过“开标大厅”参与不见面开标。登录政府采购云平台(www.zcygov.cn)—我的工作台—项目采购—开标评标—开标大厅（找到对应项目）。提示：投标人未按时登录不见面开标系统，错过开标解密时间的，由投标人自行承担不利后果。</w:t>
      </w:r>
    </w:p>
    <w:p>
      <w:pPr>
        <w:pStyle w:val="88"/>
        <w:numPr>
          <w:ilvl w:val="0"/>
          <w:numId w:val="25"/>
        </w:numPr>
        <w:spacing w:before="120" w:after="200" w:line="360" w:lineRule="auto"/>
        <w:ind w:left="0" w:right="210" w:firstLine="567" w:firstLineChars="0"/>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解密投标文件。等待高新区采购中心开启解密后，投标人进行线上解密。开启解密后，投标人应在60分钟内，使用加密该投标文件的CA数字证书在线完成投标文件的解密。除因高新区采购中心断电、断网、系统故障或其他不可抗力等因素，导致系统无法使用外，投标人在规定的解密时间内，未成功解密的投标文件将视为无效投标文件。</w:t>
      </w:r>
    </w:p>
    <w:p>
      <w:pPr>
        <w:pStyle w:val="88"/>
        <w:numPr>
          <w:ilvl w:val="0"/>
          <w:numId w:val="25"/>
        </w:numPr>
        <w:spacing w:before="120" w:after="200" w:line="360" w:lineRule="auto"/>
        <w:ind w:left="0" w:right="210" w:firstLine="567" w:firstLineChars="0"/>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确认开标记录。解密时间截止或者所有投标人投标文件均完成解密后（以发生在先的时间为准），由“政府采购云平台”系统展示投标人名称、投标文件解密情况、投标报价等唱标内容。如成功解密投标文件的投标人不足三家的，则只展示投标人名称、投标文件解密情况。投标人对开标记录（包含解密情况、投标报价、其他情况等）在规定时间内确认，如未确认，视为认同开标记录。</w:t>
      </w:r>
    </w:p>
    <w:p>
      <w:pPr>
        <w:pStyle w:val="88"/>
        <w:numPr>
          <w:ilvl w:val="0"/>
          <w:numId w:val="25"/>
        </w:numPr>
        <w:spacing w:before="120" w:after="200" w:line="360" w:lineRule="auto"/>
        <w:ind w:left="0" w:right="210" w:firstLine="567" w:firstLineChars="0"/>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投标人对开标过程和开标记录有疑义，以及认为采购人、高新区采购中心相关工作人员有需要回避的情形的，及时向工作人员提出询问或者回避申请。采购人、高新区采购中心对投标人提出的询问或者回避申请应当及时处理。</w:t>
      </w:r>
    </w:p>
    <w:p>
      <w:pPr>
        <w:pStyle w:val="88"/>
        <w:numPr>
          <w:ilvl w:val="0"/>
          <w:numId w:val="25"/>
        </w:numPr>
        <w:spacing w:before="120" w:after="200" w:line="360" w:lineRule="auto"/>
        <w:ind w:left="0" w:right="210" w:firstLine="567" w:firstLineChars="0"/>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投标人电脑终端等硬件设备和软件系统配置：投标人电脑终端等硬件设备和软件系统配置应符合电子投标（含不见面开标大厅）投标人电脑终端配置要求并运行正常，投标人承担因未尽职责产生的不利后果。</w:t>
      </w:r>
    </w:p>
    <w:p>
      <w:pPr>
        <w:pStyle w:val="88"/>
        <w:numPr>
          <w:ilvl w:val="0"/>
          <w:numId w:val="25"/>
        </w:numPr>
        <w:spacing w:before="120" w:after="200" w:line="360" w:lineRule="auto"/>
        <w:ind w:left="0" w:right="210" w:firstLine="567" w:firstLineChars="0"/>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政府采购云平台运行基本环境要求：电脑应安装并顺利运行</w:t>
      </w:r>
      <w:r>
        <w:rPr>
          <w:rFonts w:ascii="宋体" w:hAnsi="宋体" w:eastAsia="宋体" w:cs="宋体"/>
          <w:b/>
          <w:color w:val="auto"/>
          <w:sz w:val="28"/>
          <w:szCs w:val="28"/>
          <w:highlight w:val="none"/>
        </w:rPr>
        <w:t>64位win7以上操作系统</w:t>
      </w:r>
      <w:r>
        <w:rPr>
          <w:rFonts w:hint="eastAsia" w:ascii="宋体" w:hAnsi="宋体" w:eastAsia="宋体" w:cs="宋体"/>
          <w:b/>
          <w:color w:val="auto"/>
          <w:sz w:val="28"/>
          <w:szCs w:val="28"/>
          <w:highlight w:val="none"/>
        </w:rPr>
        <w:t>，</w:t>
      </w:r>
      <w:r>
        <w:rPr>
          <w:rFonts w:ascii="宋体" w:hAnsi="宋体" w:eastAsia="宋体" w:cs="宋体"/>
          <w:b/>
          <w:color w:val="auto"/>
          <w:sz w:val="28"/>
          <w:szCs w:val="28"/>
          <w:highlight w:val="none"/>
        </w:rPr>
        <w:t>谷歌浏览器</w:t>
      </w:r>
      <w:r>
        <w:rPr>
          <w:rFonts w:hint="eastAsia" w:ascii="宋体" w:hAnsi="宋体" w:eastAsia="宋体" w:cs="宋体"/>
          <w:b/>
          <w:color w:val="auto"/>
          <w:sz w:val="28"/>
          <w:szCs w:val="28"/>
          <w:highlight w:val="none"/>
        </w:rPr>
        <w:t>；</w:t>
      </w:r>
      <w:r>
        <w:rPr>
          <w:rFonts w:ascii="宋体" w:hAnsi="宋体" w:eastAsia="宋体" w:cs="宋体"/>
          <w:b/>
          <w:color w:val="auto"/>
          <w:sz w:val="28"/>
          <w:szCs w:val="28"/>
          <w:highlight w:val="none"/>
        </w:rPr>
        <w:t>正确的CA及签章驱动</w:t>
      </w:r>
      <w:r>
        <w:rPr>
          <w:rFonts w:hint="eastAsia" w:ascii="宋体" w:hAnsi="宋体" w:eastAsia="宋体" w:cs="宋体"/>
          <w:b/>
          <w:color w:val="auto"/>
          <w:sz w:val="28"/>
          <w:szCs w:val="28"/>
          <w:highlight w:val="none"/>
        </w:rPr>
        <w:t>等</w:t>
      </w:r>
      <w:r>
        <w:rPr>
          <w:rFonts w:ascii="宋体" w:hAnsi="宋体" w:eastAsia="宋体" w:cs="宋体"/>
          <w:b/>
          <w:color w:val="auto"/>
          <w:sz w:val="28"/>
          <w:szCs w:val="28"/>
          <w:highlight w:val="none"/>
        </w:rPr>
        <w:t>；能流畅访问互联网</w:t>
      </w:r>
      <w:r>
        <w:rPr>
          <w:rFonts w:hint="eastAsia" w:ascii="宋体" w:hAnsi="宋体" w:eastAsia="宋体" w:cs="宋体"/>
          <w:b/>
          <w:color w:val="auto"/>
          <w:sz w:val="28"/>
          <w:szCs w:val="28"/>
          <w:highlight w:val="none"/>
        </w:rPr>
        <w:t>。</w:t>
      </w:r>
    </w:p>
    <w:p>
      <w:pPr>
        <w:pStyle w:val="88"/>
        <w:numPr>
          <w:ilvl w:val="0"/>
          <w:numId w:val="25"/>
        </w:numPr>
        <w:spacing w:before="120" w:after="200" w:line="360" w:lineRule="auto"/>
        <w:ind w:left="0" w:right="210" w:firstLine="567" w:firstLineChars="0"/>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因高新区采购中心断电、断网、系统故障或其他不可抗力等因素导致不见面开标系统无法正常运行的，开标活动中止或延迟，待系统恢复正常后继续进行开标活动。</w:t>
      </w:r>
    </w:p>
    <w:p>
      <w:pPr>
        <w:pStyle w:val="88"/>
        <w:numPr>
          <w:ilvl w:val="0"/>
          <w:numId w:val="25"/>
        </w:numPr>
        <w:spacing w:before="120" w:after="200" w:line="360" w:lineRule="auto"/>
        <w:ind w:left="0" w:right="210" w:firstLine="567" w:firstLineChars="0"/>
        <w:rPr>
          <w:rFonts w:ascii="宋体" w:hAnsi="宋体" w:eastAsia="宋体" w:cs="宋体"/>
          <w:b/>
          <w:color w:val="auto"/>
          <w:sz w:val="28"/>
          <w:szCs w:val="28"/>
          <w:highlight w:val="none"/>
        </w:rPr>
      </w:pPr>
      <w:r>
        <w:rPr>
          <w:rFonts w:hint="eastAsia" w:ascii="宋体" w:hAnsi="宋体" w:eastAsia="宋体" w:cs="宋体"/>
          <w:b/>
          <w:color w:val="auto"/>
          <w:sz w:val="28"/>
          <w:szCs w:val="28"/>
          <w:highlight w:val="none"/>
        </w:rPr>
        <w:t>不见面开标过程中，各方主体均应遵守互联网有关规定，不得发表与交易活动无关的言论。</w:t>
      </w:r>
    </w:p>
    <w:p>
      <w:pPr>
        <w:pStyle w:val="5"/>
        <w:numPr>
          <w:ilvl w:val="2"/>
          <w:numId w:val="4"/>
        </w:numPr>
        <w:spacing w:after="200" w:line="240" w:lineRule="auto"/>
        <w:ind w:left="0" w:firstLine="0"/>
        <w:rPr>
          <w:color w:val="auto"/>
          <w:highlight w:val="none"/>
        </w:rPr>
      </w:pPr>
      <w:r>
        <w:rPr>
          <w:rFonts w:hint="eastAsia"/>
          <w:color w:val="auto"/>
          <w:highlight w:val="none"/>
        </w:rPr>
        <w:t>资格审查</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详见招标文件第5章。</w:t>
      </w:r>
    </w:p>
    <w:p>
      <w:pPr>
        <w:pStyle w:val="5"/>
        <w:numPr>
          <w:ilvl w:val="2"/>
          <w:numId w:val="4"/>
        </w:numPr>
        <w:spacing w:after="200" w:line="240" w:lineRule="auto"/>
        <w:ind w:left="0" w:firstLine="0"/>
        <w:rPr>
          <w:color w:val="auto"/>
          <w:highlight w:val="none"/>
        </w:rPr>
      </w:pPr>
      <w:r>
        <w:rPr>
          <w:rFonts w:hint="eastAsia"/>
          <w:color w:val="auto"/>
          <w:highlight w:val="none"/>
        </w:rPr>
        <w:t>评标</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详见招标文件第6章。</w:t>
      </w:r>
    </w:p>
    <w:p>
      <w:pPr>
        <w:pStyle w:val="5"/>
        <w:numPr>
          <w:ilvl w:val="2"/>
          <w:numId w:val="4"/>
        </w:numPr>
        <w:spacing w:after="200" w:line="240" w:lineRule="auto"/>
        <w:ind w:left="0" w:firstLine="0"/>
        <w:rPr>
          <w:color w:val="auto"/>
          <w:highlight w:val="none"/>
        </w:rPr>
      </w:pPr>
      <w:bookmarkStart w:id="119" w:name="_Toc183582238"/>
      <w:bookmarkStart w:id="120" w:name="_Toc183682375"/>
      <w:bookmarkStart w:id="121" w:name="_Toc217446063"/>
      <w:r>
        <w:rPr>
          <w:rFonts w:hint="eastAsia"/>
          <w:color w:val="auto"/>
          <w:highlight w:val="none"/>
        </w:rPr>
        <w:t>中标通知</w:t>
      </w:r>
      <w:bookmarkEnd w:id="119"/>
      <w:bookmarkEnd w:id="120"/>
      <w:r>
        <w:rPr>
          <w:rFonts w:hint="eastAsia"/>
          <w:color w:val="auto"/>
          <w:highlight w:val="none"/>
        </w:rPr>
        <w:t>书</w:t>
      </w:r>
      <w:bookmarkEnd w:id="121"/>
    </w:p>
    <w:p>
      <w:pPr>
        <w:widowControl/>
        <w:ind w:right="210" w:firstLine="560" w:firstLineChars="200"/>
        <w:jc w:val="left"/>
        <w:rPr>
          <w:rFonts w:ascii="宋体" w:hAnsi="宋体"/>
          <w:color w:val="auto"/>
          <w:sz w:val="28"/>
          <w:szCs w:val="28"/>
          <w:highlight w:val="none"/>
        </w:rPr>
      </w:pPr>
      <w:bookmarkStart w:id="122" w:name="_Toc217446064"/>
      <w:bookmarkStart w:id="123" w:name="_Toc183682377"/>
      <w:bookmarkStart w:id="124" w:name="_Toc183582240"/>
      <w:r>
        <w:rPr>
          <w:rFonts w:hint="eastAsia" w:ascii="宋体" w:hAnsi="宋体"/>
          <w:color w:val="auto"/>
          <w:sz w:val="28"/>
          <w:szCs w:val="28"/>
          <w:highlight w:val="none"/>
        </w:rPr>
        <w:t>一、中标通知书为采购人签订政府采购合同的依据，是合同的有效组成部分。如果出现政府采购法律法规、规章制度规定的中标无效情形的，将以公告形式宣布发出的中标通知书无效，中标通知书将自动失效，并依法重新确定中标人或者重新开展采购活动。</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二、中标通知书对采购人和中标人均具有法律效力。中标通知书发出后，采购人改变中标结果，或者中标人无正当理由放弃中标的，应当承担相应的法律责任。</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三、中标公告在四川政府采购网上公告后，中标供应商自行登录政府采购云平台下载中标通知书。</w:t>
      </w:r>
    </w:p>
    <w:p>
      <w:pPr>
        <w:pStyle w:val="4"/>
        <w:numPr>
          <w:ilvl w:val="1"/>
          <w:numId w:val="4"/>
        </w:numPr>
        <w:spacing w:before="0" w:after="0" w:line="240" w:lineRule="auto"/>
        <w:ind w:left="2269" w:hanging="2269"/>
        <w:rPr>
          <w:color w:val="auto"/>
          <w:highlight w:val="none"/>
        </w:rPr>
      </w:pPr>
      <w:bookmarkStart w:id="125" w:name="_Toc6010"/>
      <w:bookmarkStart w:id="126" w:name="_Toc19973"/>
      <w:bookmarkStart w:id="127" w:name="_Toc12385"/>
      <w:bookmarkStart w:id="128" w:name="_Toc9092"/>
      <w:bookmarkStart w:id="129" w:name="_Toc18993"/>
      <w:r>
        <w:rPr>
          <w:rFonts w:hint="eastAsia"/>
          <w:color w:val="auto"/>
          <w:highlight w:val="none"/>
        </w:rPr>
        <w:t>签订及履行合同</w:t>
      </w:r>
      <w:bookmarkEnd w:id="122"/>
      <w:r>
        <w:rPr>
          <w:rFonts w:hint="eastAsia"/>
          <w:color w:val="auto"/>
          <w:highlight w:val="none"/>
        </w:rPr>
        <w:t>和验收</w:t>
      </w:r>
      <w:bookmarkEnd w:id="125"/>
      <w:bookmarkEnd w:id="126"/>
      <w:bookmarkEnd w:id="127"/>
      <w:bookmarkEnd w:id="128"/>
      <w:bookmarkEnd w:id="129"/>
    </w:p>
    <w:p>
      <w:pPr>
        <w:pStyle w:val="5"/>
        <w:numPr>
          <w:ilvl w:val="2"/>
          <w:numId w:val="4"/>
        </w:numPr>
        <w:spacing w:after="200" w:line="240" w:lineRule="auto"/>
        <w:ind w:left="0" w:firstLine="0"/>
        <w:rPr>
          <w:color w:val="auto"/>
          <w:highlight w:val="none"/>
        </w:rPr>
      </w:pPr>
      <w:bookmarkStart w:id="130" w:name="_Toc217446065"/>
      <w:r>
        <w:rPr>
          <w:rFonts w:hint="eastAsia"/>
          <w:color w:val="auto"/>
          <w:highlight w:val="none"/>
        </w:rPr>
        <w:t>签订合同</w:t>
      </w:r>
      <w:bookmarkEnd w:id="130"/>
    </w:p>
    <w:p>
      <w:pPr>
        <w:numPr>
          <w:ilvl w:val="0"/>
          <w:numId w:val="26"/>
        </w:numPr>
        <w:tabs>
          <w:tab w:val="left" w:pos="1134"/>
        </w:tabs>
        <w:spacing w:after="200"/>
        <w:ind w:left="0" w:firstLine="565" w:firstLineChars="202"/>
        <w:rPr>
          <w:rFonts w:ascii="宋体" w:hAnsi="宋体"/>
          <w:color w:val="auto"/>
          <w:sz w:val="28"/>
          <w:szCs w:val="28"/>
          <w:highlight w:val="none"/>
        </w:rPr>
      </w:pPr>
      <w:r>
        <w:rPr>
          <w:rFonts w:hint="eastAsia" w:ascii="宋体" w:hAnsi="宋体"/>
          <w:color w:val="auto"/>
          <w:sz w:val="28"/>
          <w:szCs w:val="28"/>
          <w:highlight w:val="none"/>
        </w:rPr>
        <w:t>疫情防控期间，采购人原则上在中标通知书发出之日起5个工作日内与中标人签订采购合同。因中标人的原因在中标通知书发出之日起30日内未与采购人签订采购合同或者中标人拒绝与采购人签订合同的，采购人可以按照评审报告推荐的中标候选人名单排序，确定下一候选人为中标供应商，也可以重新开展政府采购活动。</w:t>
      </w:r>
    </w:p>
    <w:p>
      <w:pPr>
        <w:numPr>
          <w:ilvl w:val="0"/>
          <w:numId w:val="26"/>
        </w:numPr>
        <w:tabs>
          <w:tab w:val="left" w:pos="1134"/>
        </w:tabs>
        <w:spacing w:after="200"/>
        <w:ind w:left="0" w:firstLine="565" w:firstLineChars="202"/>
        <w:rPr>
          <w:rFonts w:ascii="宋体" w:hAnsi="宋体"/>
          <w:color w:val="auto"/>
          <w:sz w:val="28"/>
          <w:szCs w:val="28"/>
          <w:highlight w:val="none"/>
        </w:rPr>
      </w:pPr>
      <w:r>
        <w:rPr>
          <w:rFonts w:hint="eastAsia" w:ascii="宋体" w:hAnsi="宋体"/>
          <w:color w:val="auto"/>
          <w:sz w:val="28"/>
          <w:szCs w:val="28"/>
          <w:highlight w:val="none"/>
        </w:rPr>
        <w:t>采购人不得向中标人提出任何不合理的要求，作为签订合同的条件，不得与中标人私下订立背离合同实质性内容的任何协议，所签订的合同不得对招标文件和中标人投标文件作实质性修改。</w:t>
      </w:r>
    </w:p>
    <w:p>
      <w:pPr>
        <w:numPr>
          <w:ilvl w:val="0"/>
          <w:numId w:val="26"/>
        </w:numPr>
        <w:tabs>
          <w:tab w:val="left" w:pos="1134"/>
        </w:tabs>
        <w:spacing w:after="200"/>
        <w:ind w:left="0" w:firstLine="565" w:firstLineChars="202"/>
        <w:rPr>
          <w:rFonts w:ascii="宋体" w:hAnsi="宋体"/>
          <w:color w:val="auto"/>
          <w:sz w:val="28"/>
          <w:szCs w:val="28"/>
          <w:highlight w:val="none"/>
        </w:rPr>
      </w:pPr>
      <w:r>
        <w:rPr>
          <w:rFonts w:hint="eastAsia" w:ascii="宋体" w:hAnsi="宋体"/>
          <w:color w:val="auto"/>
          <w:sz w:val="28"/>
          <w:szCs w:val="28"/>
          <w:highlight w:val="none"/>
        </w:rPr>
        <w:t>招标文件、投标文件、中标通知书等一切与本项目评标结果有关且经责任主体确认的资料均为合同的有效组成部分。</w:t>
      </w:r>
    </w:p>
    <w:p>
      <w:pPr>
        <w:numPr>
          <w:ilvl w:val="0"/>
          <w:numId w:val="26"/>
        </w:numPr>
        <w:tabs>
          <w:tab w:val="left" w:pos="1134"/>
        </w:tabs>
        <w:spacing w:after="200"/>
        <w:ind w:left="0" w:firstLine="565" w:firstLineChars="202"/>
        <w:rPr>
          <w:rFonts w:ascii="宋体" w:hAnsi="宋体"/>
          <w:color w:val="auto"/>
          <w:kern w:val="0"/>
          <w:sz w:val="28"/>
          <w:szCs w:val="28"/>
          <w:highlight w:val="none"/>
        </w:rPr>
      </w:pPr>
      <w:r>
        <w:rPr>
          <w:rFonts w:hint="eastAsia" w:ascii="宋体" w:hAnsi="宋体"/>
          <w:color w:val="auto"/>
          <w:kern w:val="0"/>
          <w:sz w:val="28"/>
          <w:szCs w:val="28"/>
          <w:highlight w:val="none"/>
        </w:rPr>
        <w:t>询问或者质疑事项可能影响中标、成交结果的，采购人应当暂停签订合同，已经签订合同的，应当中止履行合同。</w:t>
      </w:r>
    </w:p>
    <w:p>
      <w:pPr>
        <w:pStyle w:val="5"/>
        <w:numPr>
          <w:ilvl w:val="2"/>
          <w:numId w:val="4"/>
        </w:numPr>
        <w:spacing w:after="200" w:line="240" w:lineRule="auto"/>
        <w:ind w:left="0" w:firstLine="0"/>
        <w:rPr>
          <w:color w:val="auto"/>
          <w:highlight w:val="none"/>
        </w:rPr>
      </w:pPr>
      <w:bookmarkStart w:id="131" w:name="_Toc315871033"/>
      <w:bookmarkEnd w:id="131"/>
      <w:bookmarkStart w:id="132" w:name="_Toc217446066"/>
      <w:bookmarkStart w:id="133" w:name="_Toc217446069"/>
      <w:r>
        <w:rPr>
          <w:rFonts w:hint="eastAsia"/>
          <w:color w:val="auto"/>
          <w:highlight w:val="none"/>
        </w:rPr>
        <w:t>合同分包</w:t>
      </w:r>
      <w:bookmarkEnd w:id="132"/>
      <w:r>
        <w:rPr>
          <w:rFonts w:hint="eastAsia"/>
          <w:color w:val="auto"/>
          <w:highlight w:val="none"/>
        </w:rPr>
        <w:t>和转包</w:t>
      </w:r>
    </w:p>
    <w:p>
      <w:pPr>
        <w:pStyle w:val="5"/>
        <w:numPr>
          <w:ilvl w:val="3"/>
          <w:numId w:val="4"/>
        </w:numPr>
        <w:spacing w:after="200" w:line="240" w:lineRule="auto"/>
        <w:rPr>
          <w:color w:val="auto"/>
          <w:highlight w:val="none"/>
        </w:rPr>
      </w:pPr>
      <w:bookmarkStart w:id="134" w:name="_Toc217446067"/>
      <w:r>
        <w:rPr>
          <w:rFonts w:hint="eastAsia"/>
          <w:color w:val="auto"/>
          <w:highlight w:val="none"/>
        </w:rPr>
        <w:t>合同分包</w:t>
      </w:r>
    </w:p>
    <w:p>
      <w:pPr>
        <w:pStyle w:val="125"/>
        <w:spacing w:line="360" w:lineRule="auto"/>
        <w:ind w:firstLine="560" w:firstLineChars="200"/>
        <w:rPr>
          <w:rFonts w:cs="Times New Roman"/>
          <w:color w:val="auto"/>
          <w:sz w:val="28"/>
          <w:szCs w:val="28"/>
          <w:highlight w:val="none"/>
          <w:lang w:val="zh-CN"/>
        </w:rPr>
      </w:pPr>
      <w:r>
        <w:rPr>
          <w:rFonts w:hint="eastAsia" w:cs="Times New Roman"/>
          <w:color w:val="auto"/>
          <w:sz w:val="28"/>
          <w:szCs w:val="28"/>
          <w:highlight w:val="none"/>
          <w:lang w:val="zh-CN"/>
        </w:rPr>
        <w:t>☑ 本</w:t>
      </w:r>
      <w:r>
        <w:rPr>
          <w:rFonts w:cs="Times New Roman"/>
          <w:color w:val="auto"/>
          <w:sz w:val="28"/>
          <w:szCs w:val="28"/>
          <w:highlight w:val="none"/>
          <w:lang w:val="zh-CN"/>
        </w:rPr>
        <w:t>项目不允许分包</w:t>
      </w:r>
      <w:r>
        <w:rPr>
          <w:rFonts w:hint="eastAsia" w:cs="Times New Roman"/>
          <w:color w:val="auto"/>
          <w:sz w:val="28"/>
          <w:szCs w:val="28"/>
          <w:highlight w:val="none"/>
          <w:lang w:val="zh-CN"/>
        </w:rPr>
        <w:t xml:space="preserve"> </w:t>
      </w:r>
    </w:p>
    <w:p>
      <w:pPr>
        <w:pStyle w:val="5"/>
        <w:numPr>
          <w:ilvl w:val="3"/>
          <w:numId w:val="4"/>
        </w:numPr>
        <w:spacing w:after="200" w:line="240" w:lineRule="auto"/>
        <w:rPr>
          <w:color w:val="auto"/>
          <w:highlight w:val="none"/>
        </w:rPr>
      </w:pPr>
      <w:r>
        <w:rPr>
          <w:rFonts w:hint="eastAsia"/>
          <w:color w:val="auto"/>
          <w:highlight w:val="none"/>
        </w:rPr>
        <w:t>合同转包</w:t>
      </w:r>
    </w:p>
    <w:p>
      <w:pPr>
        <w:ind w:firstLine="560" w:firstLineChars="200"/>
        <w:rPr>
          <w:rFonts w:ascii="宋体" w:hAnsi="宋体" w:cs="宋体"/>
          <w:color w:val="auto"/>
          <w:kern w:val="0"/>
          <w:sz w:val="28"/>
          <w:szCs w:val="28"/>
          <w:highlight w:val="none"/>
        </w:rPr>
      </w:pPr>
      <w:r>
        <w:rPr>
          <w:rFonts w:hint="eastAsia" w:ascii="宋体" w:hAnsi="宋体"/>
          <w:color w:val="auto"/>
          <w:sz w:val="28"/>
          <w:szCs w:val="28"/>
          <w:highlight w:val="none"/>
        </w:rPr>
        <w:t>一、严禁中标供应商将本项目转包。本项目所称转包，是指</w:t>
      </w:r>
      <w:r>
        <w:rPr>
          <w:rFonts w:hint="eastAsia" w:ascii="宋体" w:hAnsi="宋体" w:cs="宋体"/>
          <w:color w:val="auto"/>
          <w:kern w:val="0"/>
          <w:sz w:val="28"/>
          <w:szCs w:val="28"/>
          <w:highlight w:val="none"/>
        </w:rPr>
        <w:t xml:space="preserve">将本项目转给他人或者将本项目全部肢解以后以分包的名义分别转给他人的行为。 </w:t>
      </w:r>
    </w:p>
    <w:p>
      <w:pPr>
        <w:ind w:firstLine="495"/>
        <w:rPr>
          <w:rFonts w:ascii="宋体" w:hAnsi="宋体"/>
          <w:color w:val="auto"/>
          <w:sz w:val="28"/>
          <w:szCs w:val="28"/>
          <w:highlight w:val="none"/>
        </w:rPr>
      </w:pPr>
      <w:r>
        <w:rPr>
          <w:rFonts w:hint="eastAsia" w:ascii="宋体" w:hAnsi="宋体"/>
          <w:color w:val="auto"/>
          <w:sz w:val="28"/>
          <w:szCs w:val="28"/>
          <w:highlight w:val="none"/>
        </w:rPr>
        <w:t>二、中标供应商转包的，视同拒绝履行政府采购合同，将依法追究法律责任。</w:t>
      </w:r>
    </w:p>
    <w:p>
      <w:pPr>
        <w:pStyle w:val="5"/>
        <w:numPr>
          <w:ilvl w:val="2"/>
          <w:numId w:val="4"/>
        </w:numPr>
        <w:spacing w:after="200" w:line="240" w:lineRule="auto"/>
        <w:ind w:left="0" w:firstLine="0"/>
        <w:rPr>
          <w:color w:val="auto"/>
          <w:highlight w:val="none"/>
        </w:rPr>
      </w:pPr>
      <w:r>
        <w:rPr>
          <w:rFonts w:hint="eastAsia"/>
          <w:color w:val="auto"/>
          <w:highlight w:val="none"/>
        </w:rPr>
        <w:t>采购人增加合同标的的权</w:t>
      </w:r>
      <w:bookmarkEnd w:id="134"/>
      <w:r>
        <w:rPr>
          <w:rFonts w:hint="eastAsia"/>
          <w:color w:val="auto"/>
          <w:highlight w:val="none"/>
        </w:rPr>
        <w:t>利</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采购合同履行过程中，采购人需要追加与合同标的相同的货物或者服务的，在不改变合同其他条款的前提下，可以与中标人协商签订补充合同，但所有补充合同的采购金额不得超过原合同采购金额的百分之十。</w:t>
      </w:r>
    </w:p>
    <w:p>
      <w:pPr>
        <w:pStyle w:val="5"/>
        <w:numPr>
          <w:ilvl w:val="2"/>
          <w:numId w:val="4"/>
        </w:numPr>
        <w:spacing w:after="200" w:line="240" w:lineRule="auto"/>
        <w:ind w:left="0" w:firstLine="0"/>
        <w:rPr>
          <w:color w:val="auto"/>
          <w:highlight w:val="none"/>
        </w:rPr>
      </w:pPr>
      <w:bookmarkStart w:id="135" w:name="_Toc217446068"/>
      <w:r>
        <w:rPr>
          <w:rFonts w:hint="eastAsia"/>
          <w:color w:val="auto"/>
          <w:highlight w:val="none"/>
        </w:rPr>
        <w:t>履约保证金</w:t>
      </w:r>
      <w:bookmarkEnd w:id="135"/>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本项目不</w:t>
      </w:r>
      <w:r>
        <w:rPr>
          <w:rFonts w:ascii="宋体" w:hAnsi="宋体"/>
          <w:color w:val="auto"/>
          <w:sz w:val="28"/>
          <w:szCs w:val="28"/>
          <w:highlight w:val="none"/>
        </w:rPr>
        <w:t>收取履约保证金</w:t>
      </w:r>
      <w:r>
        <w:rPr>
          <w:rFonts w:hint="eastAsia" w:ascii="宋体" w:hAnsi="宋体"/>
          <w:color w:val="auto"/>
          <w:sz w:val="28"/>
          <w:szCs w:val="28"/>
          <w:highlight w:val="none"/>
        </w:rPr>
        <w:t>。</w:t>
      </w:r>
    </w:p>
    <w:p>
      <w:pPr>
        <w:pStyle w:val="5"/>
        <w:numPr>
          <w:ilvl w:val="2"/>
          <w:numId w:val="4"/>
        </w:numPr>
        <w:spacing w:after="200" w:line="240" w:lineRule="auto"/>
        <w:ind w:left="0" w:firstLine="0"/>
        <w:rPr>
          <w:color w:val="auto"/>
          <w:highlight w:val="none"/>
        </w:rPr>
      </w:pPr>
      <w:r>
        <w:rPr>
          <w:rFonts w:hint="eastAsia"/>
          <w:color w:val="auto"/>
          <w:highlight w:val="none"/>
        </w:rPr>
        <w:t>合同公告</w:t>
      </w:r>
    </w:p>
    <w:p>
      <w:pPr>
        <w:pStyle w:val="13"/>
        <w:spacing w:line="24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采购人应当自政府采购合同签订之日起2个工作日内，在四川政府采购网公告，但政府采购合同中涉及国家秘密、商业秘密的内容除外。</w:t>
      </w:r>
    </w:p>
    <w:p>
      <w:pPr>
        <w:pStyle w:val="5"/>
        <w:numPr>
          <w:ilvl w:val="2"/>
          <w:numId w:val="4"/>
        </w:numPr>
        <w:spacing w:after="200" w:line="240" w:lineRule="auto"/>
        <w:ind w:left="0" w:firstLine="0"/>
        <w:rPr>
          <w:color w:val="auto"/>
          <w:highlight w:val="none"/>
        </w:rPr>
      </w:pPr>
      <w:r>
        <w:rPr>
          <w:rFonts w:hint="eastAsia"/>
          <w:color w:val="auto"/>
          <w:highlight w:val="none"/>
        </w:rPr>
        <w:t>合同备案</w:t>
      </w:r>
    </w:p>
    <w:p>
      <w:pPr>
        <w:tabs>
          <w:tab w:val="left" w:pos="1134"/>
        </w:tabs>
        <w:ind w:firstLine="560" w:firstLineChars="200"/>
        <w:rPr>
          <w:rFonts w:ascii="宋体" w:hAnsi="宋体"/>
          <w:color w:val="auto"/>
          <w:sz w:val="28"/>
          <w:szCs w:val="28"/>
          <w:highlight w:val="none"/>
        </w:rPr>
      </w:pPr>
      <w:r>
        <w:rPr>
          <w:rFonts w:hint="eastAsia" w:ascii="宋体" w:hAnsi="宋体"/>
          <w:color w:val="auto"/>
          <w:sz w:val="28"/>
          <w:szCs w:val="28"/>
          <w:highlight w:val="none"/>
        </w:rPr>
        <w:t>疫情防控期间，采购人原则上在5个工作日内与供应商签订政府采购合同及按</w:t>
      </w:r>
      <w:r>
        <w:rPr>
          <w:rFonts w:hint="eastAsia" w:ascii="宋体" w:hAnsi="宋体"/>
          <w:color w:val="auto"/>
          <w:sz w:val="28"/>
          <w:szCs w:val="28"/>
          <w:highlight w:val="none"/>
          <w:lang w:val="zh-CN"/>
        </w:rPr>
        <w:t>成都高新区财政金融局</w:t>
      </w:r>
      <w:r>
        <w:rPr>
          <w:rFonts w:hint="eastAsia" w:ascii="宋体" w:hAnsi="宋体"/>
          <w:color w:val="auto"/>
          <w:sz w:val="28"/>
          <w:szCs w:val="28"/>
          <w:highlight w:val="none"/>
        </w:rPr>
        <w:t>的要求完成合同备案工作。</w:t>
      </w:r>
    </w:p>
    <w:p>
      <w:pPr>
        <w:pStyle w:val="5"/>
        <w:numPr>
          <w:ilvl w:val="2"/>
          <w:numId w:val="4"/>
        </w:numPr>
        <w:spacing w:after="200" w:line="240" w:lineRule="auto"/>
        <w:ind w:left="0" w:firstLine="0"/>
        <w:rPr>
          <w:color w:val="auto"/>
          <w:highlight w:val="none"/>
        </w:rPr>
      </w:pPr>
      <w:r>
        <w:rPr>
          <w:rFonts w:hint="eastAsia"/>
          <w:color w:val="auto"/>
          <w:highlight w:val="none"/>
        </w:rPr>
        <w:t>履行合同</w:t>
      </w:r>
      <w:bookmarkEnd w:id="133"/>
    </w:p>
    <w:p>
      <w:pPr>
        <w:numPr>
          <w:ilvl w:val="0"/>
          <w:numId w:val="27"/>
        </w:numPr>
        <w:tabs>
          <w:tab w:val="left" w:pos="1134"/>
        </w:tabs>
        <w:spacing w:after="200"/>
        <w:ind w:left="0" w:firstLine="565" w:firstLineChars="202"/>
        <w:rPr>
          <w:rFonts w:ascii="宋体" w:hAnsi="宋体"/>
          <w:color w:val="auto"/>
          <w:sz w:val="28"/>
          <w:szCs w:val="28"/>
          <w:highlight w:val="none"/>
        </w:rPr>
      </w:pPr>
      <w:r>
        <w:rPr>
          <w:rFonts w:hint="eastAsia" w:ascii="宋体" w:hAnsi="宋体"/>
          <w:color w:val="auto"/>
          <w:sz w:val="28"/>
          <w:szCs w:val="28"/>
          <w:highlight w:val="none"/>
        </w:rPr>
        <w:t>合同一经签订，双方应严格履行合同规定的义务。</w:t>
      </w:r>
    </w:p>
    <w:p>
      <w:pPr>
        <w:numPr>
          <w:ilvl w:val="0"/>
          <w:numId w:val="27"/>
        </w:numPr>
        <w:tabs>
          <w:tab w:val="left" w:pos="1134"/>
        </w:tabs>
        <w:spacing w:after="200"/>
        <w:ind w:left="0" w:firstLine="565" w:firstLineChars="202"/>
        <w:rPr>
          <w:rFonts w:ascii="宋体" w:hAnsi="宋体"/>
          <w:color w:val="auto"/>
          <w:sz w:val="28"/>
          <w:szCs w:val="28"/>
          <w:highlight w:val="none"/>
        </w:rPr>
      </w:pPr>
      <w:r>
        <w:rPr>
          <w:rFonts w:hint="eastAsia" w:ascii="宋体" w:hAnsi="宋体"/>
          <w:color w:val="auto"/>
          <w:sz w:val="28"/>
          <w:szCs w:val="28"/>
          <w:highlight w:val="none"/>
        </w:rPr>
        <w:t>在合同履行过程中，如发生合同纠纷，合同双方应按照《中华人民共和国民法典》及合同条款的有关规定进行处理。</w:t>
      </w:r>
    </w:p>
    <w:p>
      <w:pPr>
        <w:pStyle w:val="5"/>
        <w:numPr>
          <w:ilvl w:val="2"/>
          <w:numId w:val="4"/>
        </w:numPr>
        <w:spacing w:after="200" w:line="240" w:lineRule="auto"/>
        <w:ind w:left="0" w:firstLine="0"/>
        <w:rPr>
          <w:color w:val="auto"/>
          <w:highlight w:val="none"/>
        </w:rPr>
      </w:pPr>
      <w:bookmarkStart w:id="136" w:name="_Toc217446070"/>
      <w:r>
        <w:rPr>
          <w:rFonts w:hint="eastAsia"/>
          <w:color w:val="auto"/>
          <w:highlight w:val="none"/>
        </w:rPr>
        <w:t>验收或考核</w:t>
      </w:r>
    </w:p>
    <w:p>
      <w:pPr>
        <w:pStyle w:val="13"/>
        <w:spacing w:after="0" w:line="240" w:lineRule="auto"/>
        <w:ind w:firstLine="560" w:firstLineChars="200"/>
        <w:rPr>
          <w:rFonts w:ascii="宋体" w:hAnsi="宋体"/>
          <w:b/>
          <w:color w:val="auto"/>
          <w:highlight w:val="none"/>
        </w:rPr>
      </w:pPr>
      <w:bookmarkStart w:id="137" w:name="_Toc217446071"/>
      <w:r>
        <w:rPr>
          <w:rFonts w:hint="eastAsia" w:ascii="宋体" w:hAnsi="宋体"/>
          <w:color w:val="auto"/>
          <w:sz w:val="28"/>
          <w:szCs w:val="28"/>
          <w:highlight w:val="none"/>
        </w:rPr>
        <w:t>采购人严格按照国家相关法律法规的要求组织验收或考核。</w:t>
      </w:r>
      <w:bookmarkEnd w:id="137"/>
    </w:p>
    <w:p>
      <w:pPr>
        <w:pStyle w:val="5"/>
        <w:numPr>
          <w:ilvl w:val="2"/>
          <w:numId w:val="4"/>
        </w:numPr>
        <w:spacing w:after="200" w:line="240" w:lineRule="auto"/>
        <w:ind w:left="0" w:firstLine="0"/>
        <w:rPr>
          <w:color w:val="auto"/>
          <w:highlight w:val="none"/>
        </w:rPr>
      </w:pPr>
      <w:r>
        <w:rPr>
          <w:rFonts w:hint="eastAsia"/>
          <w:color w:val="auto"/>
          <w:highlight w:val="none"/>
        </w:rPr>
        <w:t>资金支付</w:t>
      </w:r>
    </w:p>
    <w:p>
      <w:pPr>
        <w:pStyle w:val="40"/>
        <w:shd w:val="clear" w:color="auto" w:fill="FFFFFF"/>
        <w:spacing w:before="0" w:beforeAutospacing="0" w:after="0" w:afterAutospacing="0"/>
        <w:ind w:firstLine="570"/>
        <w:rPr>
          <w:rFonts w:cs="Helvetica"/>
          <w:color w:val="auto"/>
          <w:sz w:val="28"/>
          <w:szCs w:val="28"/>
          <w:highlight w:val="none"/>
        </w:rPr>
      </w:pPr>
      <w:r>
        <w:rPr>
          <w:rFonts w:hint="eastAsia" w:cs="Helvetica"/>
          <w:color w:val="auto"/>
          <w:sz w:val="28"/>
          <w:szCs w:val="28"/>
          <w:highlight w:val="none"/>
        </w:rPr>
        <w:t>采购人按财政部门的相关规定及采购合同的约定进行支付。</w:t>
      </w:r>
    </w:p>
    <w:bookmarkEnd w:id="123"/>
    <w:bookmarkEnd w:id="124"/>
    <w:bookmarkEnd w:id="136"/>
    <w:p>
      <w:pPr>
        <w:pStyle w:val="4"/>
        <w:numPr>
          <w:ilvl w:val="1"/>
          <w:numId w:val="4"/>
        </w:numPr>
        <w:spacing w:before="0" w:after="0" w:line="240" w:lineRule="auto"/>
        <w:ind w:left="2269" w:hanging="2269"/>
        <w:rPr>
          <w:color w:val="auto"/>
          <w:highlight w:val="none"/>
        </w:rPr>
      </w:pPr>
      <w:bookmarkStart w:id="138" w:name="_Toc217446074"/>
      <w:bookmarkStart w:id="139" w:name="_Toc12434"/>
      <w:bookmarkStart w:id="140" w:name="_Toc30945"/>
      <w:bookmarkStart w:id="141" w:name="_Toc7508"/>
      <w:bookmarkStart w:id="142" w:name="_Toc6102"/>
      <w:bookmarkStart w:id="143" w:name="_Toc13859"/>
      <w:bookmarkStart w:id="144" w:name="_Toc183682380"/>
      <w:bookmarkStart w:id="145" w:name="_Toc183582243"/>
      <w:r>
        <w:rPr>
          <w:rFonts w:hint="eastAsia"/>
          <w:color w:val="auto"/>
          <w:highlight w:val="none"/>
        </w:rPr>
        <w:t>投标纪律要求</w:t>
      </w:r>
      <w:bookmarkEnd w:id="138"/>
      <w:bookmarkEnd w:id="139"/>
      <w:bookmarkEnd w:id="140"/>
      <w:bookmarkEnd w:id="141"/>
      <w:bookmarkEnd w:id="142"/>
      <w:bookmarkEnd w:id="143"/>
    </w:p>
    <w:p>
      <w:pPr>
        <w:pStyle w:val="5"/>
        <w:numPr>
          <w:ilvl w:val="2"/>
          <w:numId w:val="4"/>
        </w:numPr>
        <w:spacing w:after="200" w:line="240" w:lineRule="auto"/>
        <w:ind w:left="0" w:firstLine="0"/>
        <w:rPr>
          <w:color w:val="auto"/>
          <w:highlight w:val="none"/>
        </w:rPr>
      </w:pPr>
      <w:bookmarkStart w:id="146" w:name="_Toc217446075"/>
      <w:r>
        <w:rPr>
          <w:rFonts w:hint="eastAsia"/>
          <w:color w:val="auto"/>
          <w:highlight w:val="none"/>
        </w:rPr>
        <w:t>投标人不得具有的情形</w:t>
      </w:r>
      <w:bookmarkEnd w:id="146"/>
    </w:p>
    <w:p>
      <w:pPr>
        <w:pStyle w:val="13"/>
        <w:spacing w:line="240" w:lineRule="auto"/>
        <w:ind w:firstLine="567"/>
        <w:rPr>
          <w:rFonts w:ascii="宋体" w:hAnsi="宋体"/>
          <w:color w:val="auto"/>
          <w:sz w:val="28"/>
          <w:szCs w:val="28"/>
          <w:highlight w:val="none"/>
        </w:rPr>
      </w:pPr>
      <w:bookmarkStart w:id="147" w:name="_Toc314574786"/>
      <w:r>
        <w:rPr>
          <w:rFonts w:hint="eastAsia" w:ascii="宋体" w:hAnsi="宋体"/>
          <w:color w:val="auto"/>
          <w:sz w:val="28"/>
          <w:szCs w:val="28"/>
          <w:highlight w:val="none"/>
        </w:rPr>
        <w:t>投标人参加投标不得有下列情形：</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有下列情形之一的，视为投标人串通投标：</w:t>
      </w:r>
    </w:p>
    <w:p>
      <w:pPr>
        <w:tabs>
          <w:tab w:val="left" w:pos="1134"/>
        </w:tabs>
        <w:ind w:left="420"/>
        <w:rPr>
          <w:rFonts w:ascii="宋体" w:hAnsi="宋体"/>
          <w:color w:val="auto"/>
          <w:sz w:val="28"/>
          <w:szCs w:val="28"/>
          <w:highlight w:val="none"/>
        </w:rPr>
      </w:pPr>
      <w:r>
        <w:rPr>
          <w:rFonts w:hint="eastAsia" w:ascii="宋体" w:hAnsi="宋体"/>
          <w:color w:val="auto"/>
          <w:sz w:val="28"/>
          <w:szCs w:val="28"/>
          <w:highlight w:val="none"/>
        </w:rPr>
        <w:t>（一）不同投标人的投标文件由同一单位或者个人编制；</w:t>
      </w:r>
    </w:p>
    <w:p>
      <w:pPr>
        <w:tabs>
          <w:tab w:val="left" w:pos="1134"/>
        </w:tabs>
        <w:ind w:left="420"/>
        <w:rPr>
          <w:rFonts w:ascii="宋体" w:hAnsi="宋体"/>
          <w:color w:val="auto"/>
          <w:sz w:val="28"/>
          <w:szCs w:val="28"/>
          <w:highlight w:val="none"/>
        </w:rPr>
      </w:pPr>
      <w:r>
        <w:rPr>
          <w:rFonts w:hint="eastAsia" w:ascii="宋体" w:hAnsi="宋体"/>
          <w:color w:val="auto"/>
          <w:sz w:val="28"/>
          <w:szCs w:val="28"/>
          <w:highlight w:val="none"/>
        </w:rPr>
        <w:t>（二）不同投标人委托同一单位或者个人办理投标事宜；</w:t>
      </w:r>
    </w:p>
    <w:p>
      <w:pPr>
        <w:tabs>
          <w:tab w:val="left" w:pos="1134"/>
        </w:tabs>
        <w:ind w:firstLine="425" w:firstLineChars="152"/>
        <w:rPr>
          <w:rFonts w:ascii="宋体" w:hAnsi="宋体"/>
          <w:color w:val="auto"/>
          <w:sz w:val="28"/>
          <w:szCs w:val="28"/>
          <w:highlight w:val="none"/>
        </w:rPr>
      </w:pPr>
      <w:r>
        <w:rPr>
          <w:rFonts w:hint="eastAsia" w:ascii="宋体" w:hAnsi="宋体"/>
          <w:color w:val="auto"/>
          <w:sz w:val="28"/>
          <w:szCs w:val="28"/>
          <w:highlight w:val="none"/>
        </w:rPr>
        <w:t>（三）不同投标人的投标文件载明的项目管理成员或者联系人员为同一人；</w:t>
      </w:r>
    </w:p>
    <w:p>
      <w:pPr>
        <w:tabs>
          <w:tab w:val="left" w:pos="1134"/>
        </w:tabs>
        <w:ind w:firstLine="420" w:firstLineChars="150"/>
        <w:rPr>
          <w:rFonts w:ascii="宋体" w:hAnsi="宋体"/>
          <w:color w:val="auto"/>
          <w:sz w:val="28"/>
          <w:szCs w:val="28"/>
          <w:highlight w:val="none"/>
        </w:rPr>
      </w:pPr>
      <w:r>
        <w:rPr>
          <w:rFonts w:hint="eastAsia" w:ascii="宋体" w:hAnsi="宋体"/>
          <w:color w:val="auto"/>
          <w:sz w:val="28"/>
          <w:szCs w:val="28"/>
          <w:highlight w:val="none"/>
        </w:rPr>
        <w:t>（四）不同投标人的投标文件异常一致或者投标报价呈规律性差异；</w:t>
      </w:r>
    </w:p>
    <w:p>
      <w:pPr>
        <w:tabs>
          <w:tab w:val="left" w:pos="1134"/>
        </w:tabs>
        <w:ind w:firstLine="420" w:firstLineChars="150"/>
        <w:rPr>
          <w:rFonts w:ascii="宋体" w:hAnsi="宋体"/>
          <w:color w:val="auto"/>
          <w:sz w:val="28"/>
          <w:szCs w:val="28"/>
          <w:highlight w:val="none"/>
        </w:rPr>
      </w:pPr>
      <w:r>
        <w:rPr>
          <w:rFonts w:hint="eastAsia" w:ascii="宋体" w:hAnsi="宋体"/>
          <w:color w:val="auto"/>
          <w:sz w:val="28"/>
          <w:szCs w:val="28"/>
          <w:highlight w:val="none"/>
        </w:rPr>
        <w:t>（五）不同投标人的投标文件相互混装；</w:t>
      </w:r>
    </w:p>
    <w:p>
      <w:pPr>
        <w:tabs>
          <w:tab w:val="left" w:pos="1134"/>
        </w:tabs>
        <w:ind w:left="420"/>
        <w:rPr>
          <w:rFonts w:ascii="宋体" w:hAnsi="宋体"/>
          <w:color w:val="auto"/>
          <w:sz w:val="28"/>
          <w:szCs w:val="28"/>
          <w:highlight w:val="none"/>
        </w:rPr>
      </w:pPr>
      <w:r>
        <w:rPr>
          <w:rFonts w:hint="eastAsia" w:ascii="宋体" w:hAnsi="宋体"/>
          <w:color w:val="auto"/>
          <w:sz w:val="28"/>
          <w:szCs w:val="28"/>
          <w:highlight w:val="none"/>
        </w:rPr>
        <w:t>（六）不同投标人的投标保证金从同一单位或者个人的账户转出；</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提供虚假材料谋取中标；</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采取不正当手段诋毁、排挤其他投标人；</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与采购人或</w:t>
      </w:r>
      <w:r>
        <w:rPr>
          <w:rFonts w:hint="eastAsia" w:cs="Arial"/>
          <w:color w:val="auto"/>
          <w:sz w:val="28"/>
          <w:szCs w:val="28"/>
          <w:highlight w:val="none"/>
        </w:rPr>
        <w:t>高新区采购中心</w:t>
      </w:r>
      <w:r>
        <w:rPr>
          <w:rFonts w:hint="eastAsia" w:ascii="宋体" w:hAnsi="宋体"/>
          <w:color w:val="auto"/>
          <w:sz w:val="28"/>
          <w:szCs w:val="28"/>
          <w:highlight w:val="none"/>
        </w:rPr>
        <w:t>、其他投标人恶意串通；</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向采购人或</w:t>
      </w:r>
      <w:r>
        <w:rPr>
          <w:rFonts w:hint="eastAsia" w:cs="Arial"/>
          <w:color w:val="auto"/>
          <w:sz w:val="28"/>
          <w:szCs w:val="28"/>
          <w:highlight w:val="none"/>
        </w:rPr>
        <w:t>高新区采购中心</w:t>
      </w:r>
      <w:r>
        <w:rPr>
          <w:rFonts w:hint="eastAsia" w:ascii="宋体" w:hAnsi="宋体"/>
          <w:color w:val="auto"/>
          <w:sz w:val="28"/>
          <w:szCs w:val="28"/>
          <w:highlight w:val="none"/>
        </w:rPr>
        <w:t>、评标委员会成员行贿或者提供其他不正当利益；</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在招标过程中与采购人或</w:t>
      </w:r>
      <w:r>
        <w:rPr>
          <w:rFonts w:hint="eastAsia" w:cs="Arial"/>
          <w:color w:val="auto"/>
          <w:sz w:val="28"/>
          <w:szCs w:val="28"/>
          <w:highlight w:val="none"/>
        </w:rPr>
        <w:t>高新区采购中心</w:t>
      </w:r>
      <w:r>
        <w:rPr>
          <w:rFonts w:hint="eastAsia" w:ascii="宋体" w:hAnsi="宋体"/>
          <w:color w:val="auto"/>
          <w:sz w:val="28"/>
          <w:szCs w:val="28"/>
          <w:highlight w:val="none"/>
        </w:rPr>
        <w:t>进行协商谈判；</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中标后无正当理由拒不与采购人签订政府采购合同；</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未按照采购文件确定的事项签订政府采购合同；</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将政府采购合同转包或者违规分包；</w:t>
      </w:r>
    </w:p>
    <w:p>
      <w:pPr>
        <w:numPr>
          <w:ilvl w:val="1"/>
          <w:numId w:val="28"/>
        </w:numPr>
        <w:tabs>
          <w:tab w:val="left" w:pos="1134"/>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提供假冒伪劣产品；</w:t>
      </w:r>
    </w:p>
    <w:p>
      <w:pPr>
        <w:numPr>
          <w:ilvl w:val="1"/>
          <w:numId w:val="28"/>
        </w:numPr>
        <w:tabs>
          <w:tab w:val="left" w:pos="1134"/>
          <w:tab w:val="left" w:pos="1418"/>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擅自变更、中止或者终止政府采购合同；</w:t>
      </w:r>
    </w:p>
    <w:p>
      <w:pPr>
        <w:tabs>
          <w:tab w:val="left" w:pos="1134"/>
        </w:tabs>
        <w:ind w:firstLine="560" w:firstLineChars="200"/>
        <w:rPr>
          <w:rFonts w:ascii="宋体" w:hAnsi="宋体"/>
          <w:color w:val="auto"/>
          <w:sz w:val="28"/>
          <w:szCs w:val="28"/>
          <w:highlight w:val="none"/>
        </w:rPr>
      </w:pPr>
      <w:r>
        <w:rPr>
          <w:rFonts w:hint="eastAsia" w:ascii="宋体" w:hAnsi="宋体"/>
          <w:color w:val="auto"/>
          <w:sz w:val="28"/>
          <w:szCs w:val="28"/>
          <w:highlight w:val="none"/>
        </w:rPr>
        <w:t>十二、被列入失信被执行人、重大税收违法案件当事人名单、政府采购严重违法失信行为记录名单。参加政府采购活动前三年内，在经营活动中有重大违法记录；</w:t>
      </w:r>
    </w:p>
    <w:p>
      <w:pPr>
        <w:tabs>
          <w:tab w:val="left" w:pos="1134"/>
        </w:tabs>
        <w:ind w:firstLine="560" w:firstLineChars="200"/>
        <w:rPr>
          <w:rFonts w:ascii="宋体" w:hAnsi="宋体"/>
          <w:color w:val="auto"/>
          <w:sz w:val="28"/>
          <w:szCs w:val="28"/>
          <w:highlight w:val="none"/>
        </w:rPr>
      </w:pPr>
      <w:r>
        <w:rPr>
          <w:rFonts w:hint="eastAsia" w:ascii="宋体" w:hAnsi="宋体"/>
          <w:color w:val="auto"/>
          <w:sz w:val="28"/>
          <w:szCs w:val="28"/>
          <w:highlight w:val="none"/>
        </w:rPr>
        <w:t>十三、在行贿犯罪信息查询期限内，根据中国裁判文书网（https://wenshu.court.gov.cn）查询结果供应商及其现任法定代表人、主要负责人有行贿犯罪记录；</w:t>
      </w:r>
    </w:p>
    <w:p>
      <w:pPr>
        <w:tabs>
          <w:tab w:val="left" w:pos="1134"/>
        </w:tabs>
        <w:ind w:firstLine="560" w:firstLineChars="200"/>
        <w:rPr>
          <w:rFonts w:ascii="宋体" w:hAnsi="宋体"/>
          <w:color w:val="auto"/>
          <w:sz w:val="28"/>
          <w:szCs w:val="28"/>
          <w:highlight w:val="none"/>
        </w:rPr>
      </w:pPr>
      <w:r>
        <w:rPr>
          <w:rFonts w:hint="eastAsia" w:ascii="宋体" w:hAnsi="宋体"/>
          <w:color w:val="auto"/>
          <w:sz w:val="28"/>
          <w:szCs w:val="28"/>
          <w:highlight w:val="none"/>
        </w:rPr>
        <w:t>十四、处于被行政部门禁止参与政府采购活动的期限内；</w:t>
      </w:r>
    </w:p>
    <w:p>
      <w:pPr>
        <w:tabs>
          <w:tab w:val="left" w:pos="1134"/>
        </w:tabs>
        <w:ind w:firstLine="565" w:firstLineChars="202"/>
        <w:rPr>
          <w:rFonts w:ascii="宋体" w:hAnsi="宋体"/>
          <w:color w:val="auto"/>
          <w:sz w:val="28"/>
          <w:szCs w:val="28"/>
          <w:highlight w:val="none"/>
        </w:rPr>
      </w:pPr>
      <w:r>
        <w:rPr>
          <w:rFonts w:hint="eastAsia" w:ascii="宋体" w:hAnsi="宋体"/>
          <w:color w:val="auto"/>
          <w:sz w:val="28"/>
          <w:szCs w:val="28"/>
          <w:highlight w:val="none"/>
        </w:rPr>
        <w:t>十五、拒绝有关部门的监督检查或者向监督检查部门提供虚假情况；</w:t>
      </w:r>
    </w:p>
    <w:p>
      <w:pPr>
        <w:pStyle w:val="13"/>
        <w:spacing w:line="24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十六、法律法规规定的其他情形。</w:t>
      </w:r>
    </w:p>
    <w:p>
      <w:pPr>
        <w:tabs>
          <w:tab w:val="left" w:pos="1134"/>
        </w:tabs>
        <w:ind w:firstLine="568" w:firstLineChars="202"/>
        <w:rPr>
          <w:rFonts w:ascii="宋体" w:hAnsi="宋体"/>
          <w:b/>
          <w:color w:val="auto"/>
          <w:sz w:val="28"/>
          <w:szCs w:val="28"/>
          <w:highlight w:val="none"/>
        </w:rPr>
      </w:pPr>
      <w:r>
        <w:rPr>
          <w:rFonts w:hint="eastAsia" w:ascii="宋体" w:hAnsi="宋体"/>
          <w:b/>
          <w:color w:val="auto"/>
          <w:sz w:val="28"/>
          <w:szCs w:val="28"/>
          <w:highlight w:val="none"/>
        </w:rPr>
        <w:t>投标人有上述情形的，按照规定追究法律责任，具备一至十四条情形之一的，同时将认定投标人投标无效或不确定其为中标人，或者取消中标资格或认定中标无效。</w:t>
      </w:r>
    </w:p>
    <w:p>
      <w:pPr>
        <w:pStyle w:val="5"/>
        <w:numPr>
          <w:ilvl w:val="2"/>
          <w:numId w:val="4"/>
        </w:numPr>
        <w:spacing w:after="200" w:line="240" w:lineRule="auto"/>
        <w:ind w:left="0" w:firstLine="0"/>
        <w:rPr>
          <w:color w:val="auto"/>
          <w:highlight w:val="none"/>
        </w:rPr>
      </w:pPr>
      <w:r>
        <w:rPr>
          <w:rFonts w:hint="eastAsia"/>
          <w:color w:val="auto"/>
          <w:highlight w:val="none"/>
        </w:rPr>
        <w:t>保密</w:t>
      </w:r>
      <w:bookmarkEnd w:id="147"/>
    </w:p>
    <w:p>
      <w:pPr>
        <w:pStyle w:val="13"/>
        <w:numPr>
          <w:ilvl w:val="0"/>
          <w:numId w:val="29"/>
        </w:numPr>
        <w:tabs>
          <w:tab w:val="left" w:pos="1134"/>
        </w:tabs>
        <w:spacing w:after="0" w:line="240" w:lineRule="auto"/>
        <w:ind w:left="0" w:firstLine="567"/>
        <w:rPr>
          <w:rFonts w:ascii="宋体" w:hAnsi="宋体"/>
          <w:color w:val="auto"/>
          <w:sz w:val="28"/>
          <w:szCs w:val="28"/>
          <w:highlight w:val="none"/>
        </w:rPr>
      </w:pPr>
      <w:r>
        <w:rPr>
          <w:rFonts w:hint="eastAsia" w:ascii="宋体" w:hAnsi="宋体"/>
          <w:color w:val="auto"/>
          <w:sz w:val="28"/>
          <w:szCs w:val="28"/>
          <w:highlight w:val="none"/>
        </w:rPr>
        <w:t>不得透露有关在系统中成功提交《采购文件获取登记表》的潜在投标人的任何情况。</w:t>
      </w:r>
    </w:p>
    <w:p>
      <w:pPr>
        <w:pStyle w:val="13"/>
        <w:numPr>
          <w:ilvl w:val="0"/>
          <w:numId w:val="29"/>
        </w:numPr>
        <w:tabs>
          <w:tab w:val="left" w:pos="1134"/>
        </w:tabs>
        <w:spacing w:after="0" w:line="240" w:lineRule="auto"/>
        <w:ind w:left="0" w:firstLine="567"/>
        <w:rPr>
          <w:rFonts w:ascii="宋体" w:hAnsi="宋体"/>
          <w:color w:val="auto"/>
          <w:sz w:val="28"/>
          <w:szCs w:val="28"/>
          <w:highlight w:val="none"/>
        </w:rPr>
      </w:pPr>
      <w:r>
        <w:rPr>
          <w:rFonts w:hint="eastAsia" w:ascii="宋体" w:hAnsi="宋体"/>
          <w:color w:val="auto"/>
          <w:sz w:val="28"/>
          <w:szCs w:val="28"/>
          <w:highlight w:val="none"/>
        </w:rPr>
        <w:t>有关投标文件的审查、澄清、评估和比较以及合同授予意向等情况都不得对外透露。</w:t>
      </w:r>
    </w:p>
    <w:p>
      <w:pPr>
        <w:pStyle w:val="5"/>
        <w:numPr>
          <w:ilvl w:val="2"/>
          <w:numId w:val="4"/>
        </w:numPr>
        <w:spacing w:after="200" w:line="240" w:lineRule="auto"/>
        <w:ind w:left="0" w:firstLine="0"/>
        <w:rPr>
          <w:color w:val="auto"/>
          <w:highlight w:val="none"/>
        </w:rPr>
      </w:pPr>
      <w:r>
        <w:rPr>
          <w:rFonts w:hint="eastAsia"/>
          <w:color w:val="auto"/>
          <w:highlight w:val="none"/>
        </w:rPr>
        <w:t>回避</w:t>
      </w:r>
    </w:p>
    <w:p>
      <w:pPr>
        <w:pStyle w:val="40"/>
        <w:shd w:val="clear" w:color="auto" w:fill="FFFFFF"/>
        <w:spacing w:before="0" w:beforeAutospacing="0" w:after="0" w:afterAutospacing="0"/>
        <w:ind w:firstLine="560" w:firstLineChars="200"/>
        <w:rPr>
          <w:rFonts w:cs="Helvetica"/>
          <w:color w:val="auto"/>
          <w:sz w:val="28"/>
          <w:szCs w:val="28"/>
          <w:highlight w:val="none"/>
        </w:rPr>
      </w:pPr>
      <w:r>
        <w:rPr>
          <w:rFonts w:hint="eastAsia" w:cs="Helvetica"/>
          <w:color w:val="auto"/>
          <w:sz w:val="28"/>
          <w:szCs w:val="28"/>
          <w:highlight w:val="none"/>
        </w:rPr>
        <w:t>在政府采购活动中，采购人员（如</w:t>
      </w:r>
      <w:r>
        <w:rPr>
          <w:rFonts w:hint="eastAsia"/>
          <w:color w:val="auto"/>
          <w:sz w:val="28"/>
          <w:szCs w:val="28"/>
          <w:highlight w:val="none"/>
        </w:rPr>
        <w:t>采购人内部负责采购项目的具体经办工作人员或直接分管采购项目的负责人、</w:t>
      </w:r>
      <w:r>
        <w:rPr>
          <w:rFonts w:hint="eastAsia" w:cs="Arial"/>
          <w:color w:val="auto"/>
          <w:sz w:val="28"/>
          <w:szCs w:val="28"/>
          <w:highlight w:val="none"/>
        </w:rPr>
        <w:t>高新区采购中心</w:t>
      </w:r>
      <w:r>
        <w:rPr>
          <w:rFonts w:hint="eastAsia"/>
          <w:color w:val="auto"/>
          <w:sz w:val="28"/>
          <w:szCs w:val="28"/>
          <w:highlight w:val="none"/>
        </w:rPr>
        <w:t>负责采购项目的具体经办工作人员或直接分管采购活动的负责人等</w:t>
      </w:r>
      <w:r>
        <w:rPr>
          <w:rFonts w:hint="eastAsia" w:cs="Helvetica"/>
          <w:color w:val="auto"/>
          <w:sz w:val="28"/>
          <w:szCs w:val="28"/>
          <w:highlight w:val="none"/>
        </w:rPr>
        <w:t>）及相关人员与供应商有下列利害关系之一的，应当回避：</w:t>
      </w:r>
    </w:p>
    <w:p>
      <w:pPr>
        <w:pStyle w:val="40"/>
        <w:shd w:val="clear" w:color="auto" w:fill="FFFFFF"/>
        <w:spacing w:before="0" w:beforeAutospacing="0" w:after="0" w:afterAutospacing="0"/>
        <w:ind w:firstLine="560" w:firstLineChars="200"/>
        <w:rPr>
          <w:rFonts w:cs="Helvetica"/>
          <w:color w:val="auto"/>
          <w:sz w:val="28"/>
          <w:szCs w:val="28"/>
          <w:highlight w:val="none"/>
        </w:rPr>
      </w:pPr>
      <w:r>
        <w:rPr>
          <w:rFonts w:hint="eastAsia" w:cs="Helvetica"/>
          <w:color w:val="auto"/>
          <w:sz w:val="28"/>
          <w:szCs w:val="28"/>
          <w:highlight w:val="none"/>
        </w:rPr>
        <w:t>（一）参加采购活动前3年内与供应商存在劳动关系；</w:t>
      </w:r>
    </w:p>
    <w:p>
      <w:pPr>
        <w:pStyle w:val="40"/>
        <w:shd w:val="clear" w:color="auto" w:fill="FFFFFF"/>
        <w:spacing w:before="0" w:beforeAutospacing="0" w:after="0" w:afterAutospacing="0"/>
        <w:ind w:firstLine="560" w:firstLineChars="200"/>
        <w:rPr>
          <w:rFonts w:cs="Helvetica"/>
          <w:color w:val="auto"/>
          <w:sz w:val="28"/>
          <w:szCs w:val="28"/>
          <w:highlight w:val="none"/>
        </w:rPr>
      </w:pPr>
      <w:r>
        <w:rPr>
          <w:rFonts w:hint="eastAsia" w:cs="Helvetica"/>
          <w:color w:val="auto"/>
          <w:sz w:val="28"/>
          <w:szCs w:val="28"/>
          <w:highlight w:val="none"/>
        </w:rPr>
        <w:t>（二）参加采购活动前3年内担任供应商的董事、监事；</w:t>
      </w:r>
    </w:p>
    <w:p>
      <w:pPr>
        <w:pStyle w:val="40"/>
        <w:shd w:val="clear" w:color="auto" w:fill="FFFFFF"/>
        <w:spacing w:before="0" w:beforeAutospacing="0" w:after="0" w:afterAutospacing="0"/>
        <w:ind w:firstLine="562" w:firstLineChars="201"/>
        <w:rPr>
          <w:rFonts w:cs="Helvetica"/>
          <w:color w:val="auto"/>
          <w:sz w:val="28"/>
          <w:szCs w:val="28"/>
          <w:highlight w:val="none"/>
        </w:rPr>
      </w:pPr>
      <w:r>
        <w:rPr>
          <w:rFonts w:hint="eastAsia" w:cs="Helvetica"/>
          <w:color w:val="auto"/>
          <w:sz w:val="28"/>
          <w:szCs w:val="28"/>
          <w:highlight w:val="none"/>
        </w:rPr>
        <w:t>（三）参加采购活动前3年内是供应商的控股股东或者实际控制人；</w:t>
      </w:r>
    </w:p>
    <w:p>
      <w:pPr>
        <w:pStyle w:val="40"/>
        <w:shd w:val="clear" w:color="auto" w:fill="FFFFFF"/>
        <w:spacing w:before="0" w:beforeAutospacing="0" w:after="0" w:afterAutospacing="0"/>
        <w:ind w:firstLine="560" w:firstLineChars="200"/>
        <w:rPr>
          <w:rFonts w:cs="Helvetica"/>
          <w:color w:val="auto"/>
          <w:sz w:val="28"/>
          <w:szCs w:val="28"/>
          <w:highlight w:val="none"/>
        </w:rPr>
      </w:pPr>
      <w:r>
        <w:rPr>
          <w:rFonts w:hint="eastAsia" w:cs="Helvetica"/>
          <w:color w:val="auto"/>
          <w:sz w:val="28"/>
          <w:szCs w:val="28"/>
          <w:highlight w:val="none"/>
        </w:rPr>
        <w:t>（四）与供应商的法定代表人或者负责人有夫妻、直系血亲、三代以内旁系血亲或者近姻亲关系；</w:t>
      </w:r>
    </w:p>
    <w:p>
      <w:pPr>
        <w:pStyle w:val="40"/>
        <w:shd w:val="clear" w:color="auto" w:fill="FFFFFF"/>
        <w:spacing w:before="0" w:beforeAutospacing="0" w:after="0" w:afterAutospacing="0"/>
        <w:ind w:firstLine="560" w:firstLineChars="200"/>
        <w:rPr>
          <w:rFonts w:cs="Helvetica"/>
          <w:color w:val="auto"/>
          <w:sz w:val="28"/>
          <w:szCs w:val="28"/>
          <w:highlight w:val="none"/>
        </w:rPr>
      </w:pPr>
      <w:r>
        <w:rPr>
          <w:rFonts w:hint="eastAsia" w:cs="Helvetica"/>
          <w:color w:val="auto"/>
          <w:sz w:val="28"/>
          <w:szCs w:val="28"/>
          <w:highlight w:val="none"/>
        </w:rPr>
        <w:t>（五）与供应商有其他可能影响政府采购活动公平、公正进行的关系。</w:t>
      </w:r>
    </w:p>
    <w:p>
      <w:pPr>
        <w:pStyle w:val="40"/>
        <w:shd w:val="clear" w:color="auto" w:fill="FFFFFF"/>
        <w:spacing w:before="0" w:beforeAutospacing="0" w:after="0" w:afterAutospacing="0"/>
        <w:ind w:firstLine="560" w:firstLineChars="200"/>
        <w:rPr>
          <w:color w:val="auto"/>
          <w:sz w:val="28"/>
          <w:szCs w:val="28"/>
          <w:highlight w:val="none"/>
        </w:rPr>
      </w:pPr>
      <w:r>
        <w:rPr>
          <w:rFonts w:hint="eastAsia" w:cs="Helvetica"/>
          <w:color w:val="auto"/>
          <w:sz w:val="28"/>
          <w:szCs w:val="28"/>
          <w:highlight w:val="none"/>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bookmarkEnd w:id="144"/>
    <w:bookmarkEnd w:id="145"/>
    <w:p>
      <w:pPr>
        <w:pStyle w:val="4"/>
        <w:numPr>
          <w:ilvl w:val="1"/>
          <w:numId w:val="4"/>
        </w:numPr>
        <w:spacing w:before="0" w:after="0" w:line="240" w:lineRule="auto"/>
        <w:ind w:left="993" w:hanging="993"/>
        <w:rPr>
          <w:color w:val="auto"/>
          <w:highlight w:val="none"/>
        </w:rPr>
      </w:pPr>
      <w:bookmarkStart w:id="148" w:name="_Toc26656"/>
      <w:bookmarkStart w:id="149" w:name="_Toc15833"/>
      <w:bookmarkStart w:id="150" w:name="_Toc446402234"/>
      <w:bookmarkStart w:id="151" w:name="_Toc1327"/>
      <w:bookmarkStart w:id="152" w:name="_Toc217446078"/>
      <w:bookmarkStart w:id="153" w:name="_Toc8315"/>
      <w:bookmarkStart w:id="154" w:name="_Toc21164"/>
      <w:bookmarkStart w:id="155" w:name="_Toc374971122"/>
      <w:bookmarkStart w:id="156" w:name="_Toc379536619"/>
      <w:r>
        <w:rPr>
          <w:rFonts w:hint="eastAsia"/>
          <w:color w:val="auto"/>
          <w:highlight w:val="none"/>
        </w:rPr>
        <w:t>询问、质疑和投诉</w:t>
      </w:r>
      <w:bookmarkEnd w:id="148"/>
      <w:bookmarkEnd w:id="149"/>
      <w:bookmarkEnd w:id="150"/>
      <w:bookmarkEnd w:id="151"/>
      <w:bookmarkEnd w:id="152"/>
      <w:bookmarkEnd w:id="153"/>
      <w:bookmarkEnd w:id="154"/>
      <w:bookmarkStart w:id="157" w:name="_Toc217446079"/>
    </w:p>
    <w:p>
      <w:pPr>
        <w:numPr>
          <w:ilvl w:val="0"/>
          <w:numId w:val="30"/>
        </w:numPr>
        <w:spacing w:line="500" w:lineRule="exact"/>
        <w:ind w:left="0" w:firstLine="567"/>
        <w:jc w:val="left"/>
        <w:rPr>
          <w:color w:val="auto"/>
          <w:sz w:val="28"/>
          <w:szCs w:val="28"/>
          <w:highlight w:val="none"/>
        </w:rPr>
      </w:pPr>
      <w:r>
        <w:rPr>
          <w:rFonts w:hint="eastAsia"/>
          <w:color w:val="auto"/>
          <w:sz w:val="28"/>
          <w:szCs w:val="28"/>
          <w:highlight w:val="none"/>
        </w:rPr>
        <w:t>询问、质疑、投诉的接收和处理严格按照《中华人民共和国政府采购法》、《中华人民共和国政府采购法实施条例》《中华人民共和国财政部货物和服务招投标管理办法》（财政部第</w:t>
      </w:r>
      <w:r>
        <w:rPr>
          <w:color w:val="auto"/>
          <w:sz w:val="28"/>
          <w:szCs w:val="28"/>
          <w:highlight w:val="none"/>
        </w:rPr>
        <w:t>87</w:t>
      </w:r>
      <w:r>
        <w:rPr>
          <w:rFonts w:hint="eastAsia"/>
          <w:color w:val="auto"/>
          <w:sz w:val="28"/>
          <w:szCs w:val="28"/>
          <w:highlight w:val="none"/>
        </w:rPr>
        <w:t>号令）和《政府采购质疑和投诉办法》（财政部</w:t>
      </w:r>
      <w:r>
        <w:rPr>
          <w:color w:val="auto"/>
          <w:sz w:val="28"/>
          <w:szCs w:val="28"/>
          <w:highlight w:val="none"/>
        </w:rPr>
        <w:t>94</w:t>
      </w:r>
      <w:r>
        <w:rPr>
          <w:rFonts w:hint="eastAsia"/>
          <w:color w:val="auto"/>
          <w:sz w:val="28"/>
          <w:szCs w:val="28"/>
          <w:highlight w:val="none"/>
        </w:rPr>
        <w:t>号令）的规定办理。</w:t>
      </w:r>
    </w:p>
    <w:p>
      <w:pPr>
        <w:numPr>
          <w:ilvl w:val="0"/>
          <w:numId w:val="30"/>
        </w:numPr>
        <w:spacing w:line="500" w:lineRule="exact"/>
        <w:ind w:left="0" w:firstLine="567"/>
        <w:jc w:val="left"/>
        <w:rPr>
          <w:color w:val="auto"/>
          <w:sz w:val="28"/>
          <w:szCs w:val="28"/>
          <w:highlight w:val="none"/>
        </w:rPr>
      </w:pPr>
      <w:r>
        <w:rPr>
          <w:rFonts w:hint="eastAsia"/>
          <w:color w:val="auto"/>
          <w:sz w:val="28"/>
          <w:szCs w:val="28"/>
          <w:highlight w:val="none"/>
        </w:rPr>
        <w:t>供应商</w:t>
      </w:r>
      <w:r>
        <w:rPr>
          <w:rFonts w:hint="eastAsia" w:ascii="宋体" w:hAnsi="宋体"/>
          <w:color w:val="auto"/>
          <w:sz w:val="28"/>
          <w:szCs w:val="28"/>
          <w:highlight w:val="none"/>
        </w:rPr>
        <w:t>询问、质疑的对象</w:t>
      </w:r>
    </w:p>
    <w:p>
      <w:pPr>
        <w:numPr>
          <w:ilvl w:val="1"/>
          <w:numId w:val="31"/>
        </w:numPr>
        <w:tabs>
          <w:tab w:val="left" w:pos="0"/>
          <w:tab w:val="left" w:pos="1276"/>
        </w:tabs>
        <w:spacing w:after="120" w:line="500" w:lineRule="exact"/>
        <w:ind w:left="0" w:firstLine="567"/>
        <w:rPr>
          <w:rFonts w:ascii="宋体" w:hAnsi="宋体"/>
          <w:color w:val="auto"/>
          <w:sz w:val="28"/>
          <w:szCs w:val="28"/>
          <w:highlight w:val="none"/>
        </w:rPr>
      </w:pPr>
      <w:r>
        <w:rPr>
          <w:rFonts w:hint="eastAsia"/>
          <w:color w:val="auto"/>
          <w:sz w:val="28"/>
          <w:szCs w:val="28"/>
          <w:highlight w:val="none"/>
        </w:rPr>
        <w:t>供应商</w:t>
      </w:r>
      <w:r>
        <w:rPr>
          <w:rFonts w:hint="eastAsia" w:ascii="宋体" w:hAnsi="宋体"/>
          <w:color w:val="auto"/>
          <w:sz w:val="28"/>
          <w:szCs w:val="28"/>
          <w:highlight w:val="none"/>
        </w:rPr>
        <w:t>对招标文件中</w:t>
      </w:r>
      <w:r>
        <w:rPr>
          <w:rFonts w:hint="eastAsia"/>
          <w:color w:val="auto"/>
          <w:sz w:val="28"/>
          <w:szCs w:val="28"/>
          <w:highlight w:val="none"/>
        </w:rPr>
        <w:t>供应商</w:t>
      </w:r>
      <w:r>
        <w:rPr>
          <w:rFonts w:hint="eastAsia" w:ascii="宋体" w:hAnsi="宋体"/>
          <w:color w:val="auto"/>
          <w:sz w:val="28"/>
          <w:szCs w:val="28"/>
          <w:highlight w:val="none"/>
        </w:rPr>
        <w:t>参加本次政府采购活动应当具备的条件，招标项目技术、服务、商务及其他要求，评标细则及标准，和中标结果中关于资格审查提出询问或质疑的，应通过</w:t>
      </w:r>
      <w:r>
        <w:rPr>
          <w:rFonts w:hint="eastAsia"/>
          <w:color w:val="auto"/>
          <w:sz w:val="28"/>
          <w:szCs w:val="28"/>
          <w:highlight w:val="none"/>
        </w:rPr>
        <w:t>“政府采购云平台”</w:t>
      </w:r>
      <w:r>
        <w:rPr>
          <w:rFonts w:hint="eastAsia" w:ascii="宋体" w:hAnsi="宋体"/>
          <w:color w:val="auto"/>
          <w:sz w:val="28"/>
          <w:szCs w:val="28"/>
          <w:highlight w:val="none"/>
        </w:rPr>
        <w:t>向采购人提出；</w:t>
      </w:r>
    </w:p>
    <w:p>
      <w:pPr>
        <w:numPr>
          <w:ilvl w:val="1"/>
          <w:numId w:val="31"/>
        </w:numPr>
        <w:spacing w:after="120" w:line="500" w:lineRule="exact"/>
        <w:ind w:left="0" w:firstLine="567"/>
        <w:rPr>
          <w:rFonts w:ascii="宋体" w:hAnsi="宋体"/>
          <w:color w:val="auto"/>
          <w:sz w:val="28"/>
          <w:szCs w:val="28"/>
          <w:highlight w:val="none"/>
        </w:rPr>
      </w:pPr>
      <w:r>
        <w:rPr>
          <w:rFonts w:hint="eastAsia"/>
          <w:color w:val="auto"/>
          <w:sz w:val="28"/>
          <w:szCs w:val="28"/>
          <w:highlight w:val="none"/>
        </w:rPr>
        <w:t>供应商对除上述招标文件中的其他内容，采购过程及中标结果（除资格审查）提出询问或质疑的，应通过“政府采购云平台”向高新区采购中心提出</w:t>
      </w:r>
      <w:r>
        <w:rPr>
          <w:rFonts w:hint="eastAsia" w:ascii="宋体" w:hAnsi="宋体"/>
          <w:color w:val="auto"/>
          <w:sz w:val="28"/>
          <w:szCs w:val="28"/>
          <w:highlight w:val="none"/>
        </w:rPr>
        <w:t>。</w:t>
      </w:r>
    </w:p>
    <w:p>
      <w:pPr>
        <w:numPr>
          <w:ilvl w:val="0"/>
          <w:numId w:val="30"/>
        </w:numPr>
        <w:tabs>
          <w:tab w:val="left" w:pos="1134"/>
        </w:tabs>
        <w:spacing w:after="120" w:line="500" w:lineRule="exact"/>
        <w:ind w:left="0" w:firstLine="567"/>
        <w:rPr>
          <w:rFonts w:ascii="宋体" w:hAnsi="宋体"/>
          <w:color w:val="auto"/>
          <w:sz w:val="28"/>
          <w:szCs w:val="28"/>
          <w:highlight w:val="none"/>
        </w:rPr>
      </w:pPr>
      <w:r>
        <w:rPr>
          <w:rFonts w:hint="eastAsia" w:ascii="宋体" w:hAnsi="宋体"/>
          <w:color w:val="auto"/>
          <w:sz w:val="28"/>
          <w:szCs w:val="28"/>
          <w:highlight w:val="none"/>
        </w:rPr>
        <w:t>供应商提出的询问，应当明确询问事项，如以书面形式提出的，应由供应商签字并加盖公章。</w:t>
      </w:r>
    </w:p>
    <w:p>
      <w:pPr>
        <w:numPr>
          <w:ilvl w:val="0"/>
          <w:numId w:val="30"/>
        </w:numPr>
        <w:tabs>
          <w:tab w:val="left" w:pos="1134"/>
        </w:tabs>
        <w:spacing w:after="120" w:line="500" w:lineRule="exact"/>
        <w:ind w:left="0" w:firstLine="567"/>
        <w:rPr>
          <w:rFonts w:ascii="宋体" w:hAnsi="宋体"/>
          <w:color w:val="auto"/>
          <w:sz w:val="28"/>
          <w:szCs w:val="28"/>
          <w:highlight w:val="none"/>
        </w:rPr>
      </w:pPr>
      <w:r>
        <w:rPr>
          <w:rFonts w:hint="eastAsia" w:ascii="宋体" w:hAnsi="宋体"/>
          <w:color w:val="auto"/>
          <w:sz w:val="28"/>
          <w:szCs w:val="28"/>
          <w:highlight w:val="none"/>
        </w:rPr>
        <w:t>供应商应在法定质疑期内一次性提出针对同一采购程序环节的质疑。</w:t>
      </w:r>
    </w:p>
    <w:p>
      <w:pPr>
        <w:numPr>
          <w:ilvl w:val="0"/>
          <w:numId w:val="30"/>
        </w:numPr>
        <w:tabs>
          <w:tab w:val="left" w:pos="1134"/>
        </w:tabs>
        <w:spacing w:after="120" w:line="500" w:lineRule="exact"/>
        <w:ind w:left="0" w:firstLine="567"/>
        <w:rPr>
          <w:rFonts w:ascii="宋体" w:hAnsi="宋体"/>
          <w:color w:val="auto"/>
          <w:sz w:val="28"/>
          <w:szCs w:val="28"/>
          <w:highlight w:val="none"/>
        </w:rPr>
      </w:pPr>
      <w:r>
        <w:rPr>
          <w:rFonts w:hint="eastAsia" w:ascii="宋体" w:hAnsi="宋体"/>
          <w:color w:val="auto"/>
          <w:sz w:val="28"/>
          <w:szCs w:val="28"/>
          <w:highlight w:val="none"/>
        </w:rPr>
        <w:t>供应商提出质疑时应当准备的资料</w:t>
      </w:r>
    </w:p>
    <w:p>
      <w:pPr>
        <w:pStyle w:val="40"/>
        <w:shd w:val="clear" w:color="auto" w:fill="FFFFFF"/>
        <w:spacing w:before="0" w:beforeAutospacing="0" w:after="0" w:afterAutospacing="0" w:line="276" w:lineRule="auto"/>
        <w:ind w:firstLine="560" w:firstLineChars="200"/>
        <w:rPr>
          <w:rFonts w:cs="Helvetica"/>
          <w:color w:val="auto"/>
          <w:sz w:val="28"/>
          <w:szCs w:val="28"/>
          <w:highlight w:val="none"/>
        </w:rPr>
      </w:pPr>
      <w:r>
        <w:rPr>
          <w:rFonts w:hint="eastAsia" w:cs="Helvetica"/>
          <w:color w:val="auto"/>
          <w:sz w:val="28"/>
          <w:szCs w:val="28"/>
          <w:highlight w:val="none"/>
        </w:rPr>
        <w:t>（一）质疑书正本1份；</w:t>
      </w:r>
    </w:p>
    <w:p>
      <w:pPr>
        <w:pStyle w:val="40"/>
        <w:shd w:val="clear" w:color="auto" w:fill="FFFFFF"/>
        <w:spacing w:before="0" w:beforeAutospacing="0" w:after="0" w:afterAutospacing="0" w:line="276" w:lineRule="auto"/>
        <w:ind w:firstLine="560" w:firstLineChars="200"/>
        <w:rPr>
          <w:rFonts w:cs="Helvetica"/>
          <w:color w:val="auto"/>
          <w:sz w:val="28"/>
          <w:szCs w:val="28"/>
          <w:highlight w:val="none"/>
        </w:rPr>
      </w:pPr>
      <w:r>
        <w:rPr>
          <w:rFonts w:hint="eastAsia" w:cs="Helvetica"/>
          <w:color w:val="auto"/>
          <w:sz w:val="28"/>
          <w:szCs w:val="28"/>
          <w:highlight w:val="none"/>
        </w:rPr>
        <w:t>（二）法定代表人授权委托书1份（委托代理人办理质疑事宜的需提供）；</w:t>
      </w:r>
    </w:p>
    <w:p>
      <w:pPr>
        <w:pStyle w:val="40"/>
        <w:shd w:val="clear" w:color="auto" w:fill="FFFFFF"/>
        <w:spacing w:before="0" w:beforeAutospacing="0" w:after="0" w:afterAutospacing="0" w:line="276" w:lineRule="auto"/>
        <w:ind w:firstLine="560" w:firstLineChars="200"/>
        <w:rPr>
          <w:rFonts w:cs="Helvetica"/>
          <w:color w:val="auto"/>
          <w:sz w:val="28"/>
          <w:szCs w:val="28"/>
          <w:highlight w:val="none"/>
        </w:rPr>
      </w:pPr>
      <w:r>
        <w:rPr>
          <w:rFonts w:hint="eastAsia" w:cs="Helvetica"/>
          <w:color w:val="auto"/>
          <w:sz w:val="28"/>
          <w:szCs w:val="28"/>
          <w:highlight w:val="none"/>
        </w:rPr>
        <w:t>（三）营业执照或法人证书复印件1份（加盖公章）；</w:t>
      </w:r>
    </w:p>
    <w:p>
      <w:pPr>
        <w:pStyle w:val="40"/>
        <w:shd w:val="clear" w:color="auto" w:fill="FFFFFF"/>
        <w:spacing w:before="0" w:beforeAutospacing="0" w:after="0" w:afterAutospacing="0" w:line="276" w:lineRule="auto"/>
        <w:ind w:firstLine="560" w:firstLineChars="200"/>
        <w:rPr>
          <w:rFonts w:cs="Helvetica"/>
          <w:color w:val="auto"/>
          <w:sz w:val="28"/>
          <w:szCs w:val="28"/>
          <w:highlight w:val="none"/>
        </w:rPr>
      </w:pPr>
      <w:r>
        <w:rPr>
          <w:rFonts w:hint="eastAsia" w:cs="Helvetica"/>
          <w:color w:val="auto"/>
          <w:sz w:val="28"/>
          <w:szCs w:val="28"/>
          <w:highlight w:val="none"/>
        </w:rPr>
        <w:t>（四）法定代表人身份证复印件1份；</w:t>
      </w:r>
    </w:p>
    <w:p>
      <w:pPr>
        <w:pStyle w:val="40"/>
        <w:shd w:val="clear" w:color="auto" w:fill="FFFFFF"/>
        <w:spacing w:before="0" w:beforeAutospacing="0" w:after="0" w:afterAutospacing="0" w:line="276" w:lineRule="auto"/>
        <w:ind w:firstLine="560" w:firstLineChars="200"/>
        <w:rPr>
          <w:rFonts w:cs="Helvetica"/>
          <w:color w:val="auto"/>
          <w:sz w:val="28"/>
          <w:szCs w:val="28"/>
          <w:highlight w:val="none"/>
        </w:rPr>
      </w:pPr>
      <w:r>
        <w:rPr>
          <w:rFonts w:hint="eastAsia" w:cs="Helvetica"/>
          <w:color w:val="auto"/>
          <w:sz w:val="28"/>
          <w:szCs w:val="28"/>
          <w:highlight w:val="none"/>
        </w:rPr>
        <w:t>（五）委托代理人身份证复印件1份（委托代理人办理质疑事宜的需提供）；</w:t>
      </w:r>
    </w:p>
    <w:p>
      <w:pPr>
        <w:pStyle w:val="40"/>
        <w:shd w:val="clear" w:color="auto" w:fill="FFFFFF"/>
        <w:spacing w:before="0" w:beforeAutospacing="0" w:after="0" w:afterAutospacing="0" w:line="276" w:lineRule="auto"/>
        <w:ind w:firstLine="560" w:firstLineChars="200"/>
        <w:rPr>
          <w:rFonts w:cs="Helvetica"/>
          <w:color w:val="auto"/>
          <w:sz w:val="28"/>
          <w:szCs w:val="28"/>
          <w:highlight w:val="none"/>
        </w:rPr>
      </w:pPr>
      <w:r>
        <w:rPr>
          <w:rFonts w:hint="eastAsia" w:cs="Helvetica"/>
          <w:color w:val="auto"/>
          <w:sz w:val="28"/>
          <w:szCs w:val="28"/>
          <w:highlight w:val="none"/>
        </w:rPr>
        <w:t>（六）针对质疑事项必要的证明材料。</w:t>
      </w:r>
    </w:p>
    <w:p>
      <w:pPr>
        <w:numPr>
          <w:ilvl w:val="0"/>
          <w:numId w:val="30"/>
        </w:numPr>
        <w:tabs>
          <w:tab w:val="left" w:pos="1134"/>
        </w:tabs>
        <w:spacing w:line="360" w:lineRule="auto"/>
        <w:ind w:left="0" w:firstLine="567"/>
        <w:rPr>
          <w:rFonts w:ascii="宋体" w:hAnsi="宋体"/>
          <w:color w:val="auto"/>
          <w:sz w:val="28"/>
          <w:szCs w:val="28"/>
          <w:highlight w:val="none"/>
        </w:rPr>
      </w:pPr>
      <w:r>
        <w:rPr>
          <w:rFonts w:hint="eastAsia" w:ascii="宋体" w:hAnsi="宋体"/>
          <w:color w:val="auto"/>
          <w:sz w:val="28"/>
          <w:szCs w:val="28"/>
          <w:highlight w:val="none"/>
        </w:rPr>
        <w:t>供应商对采购人</w:t>
      </w:r>
      <w:r>
        <w:rPr>
          <w:rFonts w:ascii="宋体" w:hAnsi="宋体"/>
          <w:color w:val="auto"/>
          <w:sz w:val="28"/>
          <w:szCs w:val="28"/>
          <w:highlight w:val="none"/>
        </w:rPr>
        <w:t>或</w:t>
      </w:r>
      <w:r>
        <w:rPr>
          <w:rFonts w:hint="eastAsia" w:ascii="宋体" w:hAnsi="宋体"/>
          <w:color w:val="auto"/>
          <w:sz w:val="28"/>
          <w:szCs w:val="28"/>
          <w:highlight w:val="none"/>
        </w:rPr>
        <w:t>高新区采购中心的质疑答复不满意，或者采购人</w:t>
      </w:r>
      <w:r>
        <w:rPr>
          <w:rFonts w:ascii="宋体" w:hAnsi="宋体"/>
          <w:color w:val="auto"/>
          <w:sz w:val="28"/>
          <w:szCs w:val="28"/>
          <w:highlight w:val="none"/>
        </w:rPr>
        <w:t>或</w:t>
      </w:r>
      <w:r>
        <w:rPr>
          <w:rFonts w:hint="eastAsia" w:ascii="宋体" w:hAnsi="宋体"/>
          <w:color w:val="auto"/>
          <w:sz w:val="28"/>
          <w:szCs w:val="28"/>
          <w:highlight w:val="none"/>
        </w:rPr>
        <w:t>高新区采购中心未在规定期限内作出答复的，供应商可以在答复期满后15个工作日内向同级财政部门提起投诉。</w:t>
      </w:r>
    </w:p>
    <w:bookmarkEnd w:id="157"/>
    <w:p>
      <w:pPr>
        <w:pStyle w:val="4"/>
        <w:numPr>
          <w:ilvl w:val="1"/>
          <w:numId w:val="4"/>
        </w:numPr>
        <w:spacing w:before="0" w:after="0"/>
        <w:ind w:left="2269" w:hanging="2269"/>
        <w:rPr>
          <w:color w:val="auto"/>
          <w:sz w:val="36"/>
          <w:szCs w:val="36"/>
          <w:highlight w:val="none"/>
        </w:rPr>
      </w:pPr>
      <w:bookmarkStart w:id="158" w:name="_Toc10245"/>
      <w:bookmarkStart w:id="159" w:name="_Toc1212"/>
      <w:bookmarkStart w:id="160" w:name="_Toc11597"/>
      <w:bookmarkStart w:id="161" w:name="_Toc24812"/>
      <w:bookmarkStart w:id="162" w:name="_Toc8941"/>
      <w:r>
        <w:rPr>
          <w:rFonts w:hint="eastAsia"/>
          <w:color w:val="auto"/>
          <w:highlight w:val="none"/>
        </w:rPr>
        <w:t>中小企业政府采购信用融资</w:t>
      </w:r>
      <w:bookmarkEnd w:id="155"/>
      <w:bookmarkEnd w:id="156"/>
      <w:bookmarkEnd w:id="158"/>
      <w:bookmarkEnd w:id="159"/>
      <w:bookmarkEnd w:id="160"/>
      <w:bookmarkEnd w:id="161"/>
      <w:bookmarkEnd w:id="162"/>
    </w:p>
    <w:p>
      <w:pPr>
        <w:numPr>
          <w:ilvl w:val="0"/>
          <w:numId w:val="32"/>
        </w:numPr>
        <w:tabs>
          <w:tab w:val="left" w:pos="1134"/>
        </w:tabs>
        <w:spacing w:line="360" w:lineRule="auto"/>
        <w:ind w:left="0" w:firstLine="567"/>
        <w:rPr>
          <w:rFonts w:ascii="宋体" w:hAnsi="宋体"/>
          <w:color w:val="auto"/>
          <w:sz w:val="28"/>
          <w:szCs w:val="28"/>
          <w:highlight w:val="none"/>
        </w:rPr>
      </w:pPr>
      <w:r>
        <w:rPr>
          <w:rFonts w:hint="eastAsia" w:ascii="宋体" w:hAnsi="宋体"/>
          <w:color w:val="auto"/>
          <w:sz w:val="28"/>
          <w:szCs w:val="28"/>
          <w:highlight w:val="none"/>
        </w:rPr>
        <w:t>参与本次招标活动中标的中小企业投标人无需提供财产抵押或第三方担保，凭借政府采购合同可向融资机构申请融资。</w:t>
      </w:r>
    </w:p>
    <w:p>
      <w:pPr>
        <w:numPr>
          <w:ilvl w:val="0"/>
          <w:numId w:val="32"/>
        </w:numPr>
        <w:tabs>
          <w:tab w:val="left" w:pos="1134"/>
        </w:tabs>
        <w:spacing w:line="360" w:lineRule="auto"/>
        <w:ind w:left="0" w:firstLine="567"/>
        <w:rPr>
          <w:rFonts w:ascii="宋体" w:hAnsi="宋体"/>
          <w:color w:val="auto"/>
          <w:sz w:val="28"/>
          <w:szCs w:val="28"/>
          <w:highlight w:val="none"/>
        </w:rPr>
      </w:pPr>
      <w:r>
        <w:rPr>
          <w:rFonts w:hint="eastAsia" w:ascii="宋体" w:hAnsi="宋体"/>
          <w:color w:val="auto"/>
          <w:sz w:val="28"/>
          <w:szCs w:val="28"/>
          <w:highlight w:val="none"/>
        </w:rPr>
        <w:t>《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p>
      <w:pPr>
        <w:spacing w:line="360" w:lineRule="auto"/>
        <w:rPr>
          <w:rFonts w:ascii="宋体" w:hAnsi="宋体"/>
          <w:color w:val="auto"/>
          <w:sz w:val="28"/>
          <w:szCs w:val="28"/>
          <w:highlight w:val="none"/>
        </w:rPr>
      </w:pPr>
      <w:r>
        <w:rPr>
          <w:rFonts w:hint="eastAsia" w:ascii="宋体" w:hAnsi="宋体"/>
          <w:color w:val="auto"/>
          <w:sz w:val="28"/>
          <w:szCs w:val="28"/>
          <w:highlight w:val="none"/>
        </w:rPr>
        <w:br w:type="page"/>
      </w:r>
    </w:p>
    <w:p>
      <w:pPr>
        <w:pStyle w:val="3"/>
        <w:numPr>
          <w:ilvl w:val="0"/>
          <w:numId w:val="4"/>
        </w:numPr>
        <w:spacing w:line="240" w:lineRule="auto"/>
        <w:rPr>
          <w:color w:val="auto"/>
          <w:highlight w:val="none"/>
        </w:rPr>
      </w:pPr>
      <w:bookmarkStart w:id="163" w:name="_Toc315871049"/>
      <w:bookmarkEnd w:id="163"/>
      <w:bookmarkStart w:id="164" w:name="_Toc316292048"/>
      <w:bookmarkEnd w:id="164"/>
      <w:bookmarkStart w:id="165" w:name="_Toc315871045"/>
      <w:bookmarkEnd w:id="165"/>
      <w:bookmarkStart w:id="166" w:name="_Toc316292051"/>
      <w:bookmarkEnd w:id="166"/>
      <w:bookmarkStart w:id="167" w:name="_Toc316292049"/>
      <w:bookmarkEnd w:id="167"/>
      <w:bookmarkStart w:id="168" w:name="_Toc315871046"/>
      <w:bookmarkEnd w:id="168"/>
      <w:bookmarkStart w:id="169" w:name="_Toc316292052"/>
      <w:bookmarkEnd w:id="169"/>
      <w:bookmarkStart w:id="170" w:name="_Toc315871047"/>
      <w:bookmarkEnd w:id="170"/>
      <w:bookmarkStart w:id="171" w:name="_Toc316292050"/>
      <w:bookmarkEnd w:id="171"/>
      <w:bookmarkStart w:id="172" w:name="_Toc315871050"/>
      <w:bookmarkEnd w:id="172"/>
      <w:bookmarkStart w:id="173" w:name="_Toc315871048"/>
      <w:bookmarkEnd w:id="173"/>
      <w:bookmarkStart w:id="174" w:name="_Toc17383"/>
      <w:bookmarkStart w:id="175" w:name="_Toc6713"/>
      <w:bookmarkStart w:id="176" w:name="_Toc29131"/>
      <w:bookmarkStart w:id="177" w:name="_Toc8836"/>
      <w:bookmarkStart w:id="178" w:name="_Toc7565"/>
      <w:r>
        <w:rPr>
          <w:rFonts w:hint="eastAsia"/>
          <w:color w:val="auto"/>
          <w:highlight w:val="none"/>
        </w:rPr>
        <w:t>投标文件格式</w:t>
      </w:r>
      <w:bookmarkEnd w:id="174"/>
      <w:bookmarkEnd w:id="175"/>
      <w:bookmarkEnd w:id="176"/>
      <w:bookmarkEnd w:id="177"/>
      <w:bookmarkEnd w:id="178"/>
    </w:p>
    <w:p>
      <w:pPr>
        <w:pStyle w:val="4"/>
        <w:numPr>
          <w:ilvl w:val="1"/>
          <w:numId w:val="4"/>
        </w:numPr>
        <w:spacing w:line="240" w:lineRule="auto"/>
        <w:ind w:left="2269" w:hanging="2269"/>
        <w:rPr>
          <w:color w:val="auto"/>
          <w:highlight w:val="none"/>
        </w:rPr>
      </w:pPr>
      <w:bookmarkStart w:id="179" w:name="_Toc211218954"/>
      <w:bookmarkStart w:id="180" w:name="_Toc182759327"/>
      <w:bookmarkStart w:id="181" w:name="_Toc2879"/>
      <w:bookmarkStart w:id="182" w:name="_Toc294688711"/>
      <w:bookmarkStart w:id="183" w:name="_Toc13686"/>
      <w:bookmarkStart w:id="184" w:name="_Toc182629023"/>
      <w:bookmarkStart w:id="185" w:name="_Toc287367101"/>
      <w:bookmarkStart w:id="186" w:name="_Toc23011"/>
      <w:bookmarkStart w:id="187" w:name="_Toc316462354"/>
      <w:bookmarkStart w:id="188" w:name="_Toc294701519"/>
      <w:bookmarkStart w:id="189" w:name="_Toc295978802"/>
      <w:bookmarkStart w:id="190" w:name="_Toc15035"/>
      <w:bookmarkStart w:id="191" w:name="_Toc187"/>
      <w:r>
        <w:rPr>
          <w:rFonts w:hint="eastAsia"/>
          <w:color w:val="auto"/>
          <w:highlight w:val="none"/>
        </w:rPr>
        <w:t>投标文件封面格式</w:t>
      </w:r>
      <w:bookmarkEnd w:id="179"/>
      <w:bookmarkEnd w:id="180"/>
      <w:bookmarkEnd w:id="181"/>
      <w:bookmarkEnd w:id="182"/>
      <w:bookmarkEnd w:id="183"/>
      <w:bookmarkEnd w:id="184"/>
      <w:bookmarkEnd w:id="185"/>
      <w:bookmarkEnd w:id="186"/>
      <w:bookmarkEnd w:id="187"/>
      <w:bookmarkEnd w:id="188"/>
      <w:bookmarkEnd w:id="189"/>
      <w:bookmarkEnd w:id="190"/>
      <w:bookmarkEnd w:id="191"/>
    </w:p>
    <w:p>
      <w:pPr>
        <w:rPr>
          <w:rFonts w:ascii="宋体" w:hAnsi="宋体"/>
          <w:bCs/>
          <w:color w:val="auto"/>
          <w:szCs w:val="21"/>
          <w:highlight w:val="none"/>
        </w:rPr>
      </w:pPr>
    </w:p>
    <w:p>
      <w:pPr>
        <w:rPr>
          <w:rFonts w:ascii="宋体" w:hAnsi="宋体"/>
          <w:bCs/>
          <w:color w:val="auto"/>
          <w:szCs w:val="21"/>
          <w:highlight w:val="none"/>
        </w:rPr>
      </w:pPr>
    </w:p>
    <w:p>
      <w:pPr>
        <w:rPr>
          <w:rFonts w:ascii="宋体" w:hAnsi="宋体"/>
          <w:bCs/>
          <w:color w:val="auto"/>
          <w:szCs w:val="21"/>
          <w:highlight w:val="none"/>
        </w:rPr>
      </w:pPr>
    </w:p>
    <w:p>
      <w:pPr>
        <w:jc w:val="right"/>
        <w:rPr>
          <w:rFonts w:ascii="宋体" w:hAnsi="宋体"/>
          <w:color w:val="auto"/>
          <w:sz w:val="24"/>
          <w:highlight w:val="none"/>
        </w:rPr>
      </w:pPr>
    </w:p>
    <w:p>
      <w:pPr>
        <w:jc w:val="center"/>
        <w:rPr>
          <w:rFonts w:ascii="宋体" w:hAnsi="宋体"/>
          <w:color w:val="auto"/>
          <w:spacing w:val="78"/>
          <w:sz w:val="120"/>
          <w:szCs w:val="120"/>
          <w:highlight w:val="none"/>
        </w:rPr>
      </w:pPr>
      <w:r>
        <w:rPr>
          <w:rFonts w:hint="eastAsia" w:ascii="宋体" w:hAnsi="宋体"/>
          <w:color w:val="auto"/>
          <w:spacing w:val="78"/>
          <w:sz w:val="120"/>
          <w:szCs w:val="120"/>
          <w:highlight w:val="none"/>
        </w:rPr>
        <w:t>投标文件</w:t>
      </w:r>
    </w:p>
    <w:p>
      <w:pPr>
        <w:rPr>
          <w:rFonts w:ascii="宋体" w:hAnsi="宋体"/>
          <w:bCs/>
          <w:color w:val="auto"/>
          <w:sz w:val="36"/>
          <w:highlight w:val="none"/>
        </w:rPr>
      </w:pPr>
    </w:p>
    <w:p>
      <w:pPr>
        <w:tabs>
          <w:tab w:val="left" w:pos="665"/>
          <w:tab w:val="left" w:pos="3241"/>
          <w:tab w:val="left" w:pos="3525"/>
          <w:tab w:val="left" w:pos="3994"/>
          <w:tab w:val="left" w:pos="4234"/>
        </w:tabs>
        <w:ind w:left="2125" w:leftChars="270" w:hanging="1558" w:hangingChars="485"/>
        <w:jc w:val="left"/>
        <w:rPr>
          <w:rFonts w:ascii="宋体" w:hAnsi="宋体"/>
          <w:b/>
          <w:bCs/>
          <w:color w:val="auto"/>
          <w:sz w:val="32"/>
          <w:szCs w:val="32"/>
          <w:highlight w:val="none"/>
        </w:rPr>
      </w:pPr>
      <w:r>
        <w:rPr>
          <w:rFonts w:hint="eastAsia" w:ascii="宋体" w:hAnsi="宋体"/>
          <w:b/>
          <w:bCs/>
          <w:color w:val="auto"/>
          <w:sz w:val="32"/>
          <w:szCs w:val="32"/>
          <w:highlight w:val="none"/>
        </w:rPr>
        <w:t>项目名称：成都高新区芳草小学物业管理服务采购项目</w:t>
      </w:r>
    </w:p>
    <w:p>
      <w:pPr>
        <w:tabs>
          <w:tab w:val="left" w:pos="665"/>
        </w:tabs>
        <w:ind w:firstLine="565" w:firstLineChars="176"/>
        <w:rPr>
          <w:rFonts w:hint="eastAsia" w:ascii="宋体" w:hAnsi="宋体" w:eastAsia="宋体"/>
          <w:b/>
          <w:bCs/>
          <w:color w:val="auto"/>
          <w:sz w:val="32"/>
          <w:szCs w:val="32"/>
          <w:highlight w:val="none"/>
          <w:lang w:eastAsia="zh-CN"/>
        </w:rPr>
      </w:pPr>
      <w:r>
        <w:rPr>
          <w:rFonts w:hint="eastAsia" w:ascii="宋体" w:hAnsi="宋体"/>
          <w:b/>
          <w:bCs/>
          <w:color w:val="auto"/>
          <w:sz w:val="32"/>
          <w:szCs w:val="32"/>
          <w:highlight w:val="none"/>
        </w:rPr>
        <w:t>项目编号：</w:t>
      </w:r>
      <w:r>
        <w:rPr>
          <w:rFonts w:hint="eastAsia" w:ascii="宋体" w:hAnsi="宋体"/>
          <w:b/>
          <w:bCs/>
          <w:color w:val="auto"/>
          <w:sz w:val="32"/>
          <w:szCs w:val="32"/>
          <w:highlight w:val="none"/>
          <w:lang w:eastAsia="zh-CN"/>
        </w:rPr>
        <w:t>成都高新技术产业开发区政采（2021）A0045号</w:t>
      </w:r>
    </w:p>
    <w:p>
      <w:pPr>
        <w:jc w:val="left"/>
        <w:rPr>
          <w:rFonts w:ascii="宋体" w:hAnsi="宋体"/>
          <w:b/>
          <w:bCs/>
          <w:color w:val="auto"/>
          <w:sz w:val="36"/>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ind w:firstLine="630" w:firstLineChars="196"/>
        <w:jc w:val="left"/>
        <w:rPr>
          <w:rFonts w:ascii="宋体" w:hAnsi="宋体"/>
          <w:b/>
          <w:bCs/>
          <w:color w:val="auto"/>
          <w:sz w:val="32"/>
          <w:szCs w:val="32"/>
          <w:highlight w:val="none"/>
          <w:u w:val="single"/>
        </w:rPr>
      </w:pPr>
      <w:r>
        <w:rPr>
          <w:rFonts w:hint="eastAsia" w:ascii="宋体" w:hAnsi="宋体"/>
          <w:b/>
          <w:bCs/>
          <w:color w:val="auto"/>
          <w:sz w:val="32"/>
          <w:szCs w:val="32"/>
          <w:highlight w:val="none"/>
        </w:rPr>
        <w:t>投标人名称：</w:t>
      </w:r>
      <w:r>
        <w:rPr>
          <w:rFonts w:hint="eastAsia" w:ascii="宋体" w:hAnsi="宋体"/>
          <w:b/>
          <w:color w:val="auto"/>
          <w:sz w:val="32"/>
          <w:szCs w:val="28"/>
          <w:highlight w:val="none"/>
        </w:rPr>
        <w:t>XXXX</w:t>
      </w:r>
    </w:p>
    <w:p>
      <w:pPr>
        <w:ind w:firstLine="569" w:firstLineChars="177"/>
        <w:rPr>
          <w:rFonts w:ascii="宋体" w:hAnsi="宋体"/>
          <w:b/>
          <w:bCs/>
          <w:color w:val="auto"/>
          <w:sz w:val="32"/>
          <w:szCs w:val="32"/>
          <w:highlight w:val="none"/>
        </w:rPr>
      </w:pPr>
      <w:r>
        <w:rPr>
          <w:rFonts w:hint="eastAsia" w:ascii="宋体" w:hAnsi="宋体"/>
          <w:b/>
          <w:bCs/>
          <w:color w:val="auto"/>
          <w:sz w:val="32"/>
          <w:szCs w:val="32"/>
          <w:highlight w:val="none"/>
        </w:rPr>
        <w:t>日       期：20XX年XX月XX日</w:t>
      </w:r>
    </w:p>
    <w:p>
      <w:pPr>
        <w:rPr>
          <w:color w:val="auto"/>
          <w:highlight w:val="none"/>
        </w:rPr>
      </w:pPr>
      <w:r>
        <w:rPr>
          <w:color w:val="auto"/>
          <w:highlight w:val="none"/>
        </w:rPr>
        <w:br w:type="page"/>
      </w:r>
    </w:p>
    <w:p>
      <w:pPr>
        <w:pStyle w:val="43"/>
        <w:ind w:firstLine="180"/>
        <w:rPr>
          <w:color w:val="auto"/>
          <w:highlight w:val="none"/>
        </w:rPr>
      </w:pPr>
    </w:p>
    <w:p>
      <w:pPr>
        <w:pStyle w:val="4"/>
        <w:numPr>
          <w:ilvl w:val="1"/>
          <w:numId w:val="4"/>
        </w:numPr>
        <w:spacing w:before="0" w:after="0" w:line="240" w:lineRule="auto"/>
        <w:ind w:left="2269" w:hanging="2269"/>
        <w:rPr>
          <w:color w:val="auto"/>
          <w:highlight w:val="none"/>
        </w:rPr>
      </w:pPr>
      <w:bookmarkStart w:id="192" w:name="_Toc729"/>
      <w:bookmarkStart w:id="193" w:name="_Toc22607"/>
      <w:bookmarkStart w:id="194" w:name="_Toc9940"/>
      <w:bookmarkStart w:id="195" w:name="_Toc22488"/>
      <w:bookmarkStart w:id="196" w:name="_Toc18495"/>
      <w:bookmarkStart w:id="197" w:name="_Toc217446082"/>
      <w:r>
        <w:rPr>
          <w:rFonts w:hint="eastAsia"/>
          <w:color w:val="auto"/>
          <w:highlight w:val="none"/>
        </w:rPr>
        <w:t>资格</w:t>
      </w:r>
      <w:bookmarkEnd w:id="192"/>
      <w:bookmarkEnd w:id="193"/>
      <w:bookmarkEnd w:id="194"/>
      <w:bookmarkEnd w:id="195"/>
      <w:r>
        <w:rPr>
          <w:rFonts w:hint="eastAsia"/>
          <w:color w:val="auto"/>
          <w:highlight w:val="none"/>
        </w:rPr>
        <w:t>响应文件</w:t>
      </w:r>
      <w:bookmarkEnd w:id="196"/>
    </w:p>
    <w:p>
      <w:pPr>
        <w:pStyle w:val="5"/>
        <w:numPr>
          <w:ilvl w:val="2"/>
          <w:numId w:val="4"/>
        </w:numPr>
        <w:spacing w:after="200" w:line="240" w:lineRule="auto"/>
        <w:ind w:left="851"/>
        <w:rPr>
          <w:color w:val="auto"/>
          <w:highlight w:val="none"/>
        </w:rPr>
      </w:pPr>
      <w:r>
        <w:rPr>
          <w:rFonts w:hint="eastAsia"/>
          <w:color w:val="auto"/>
          <w:highlight w:val="none"/>
        </w:rPr>
        <w:t>关于投标人资格申明的函</w:t>
      </w:r>
    </w:p>
    <w:p>
      <w:pPr>
        <w:rPr>
          <w:rFonts w:ascii="宋体" w:hAnsi="宋体"/>
          <w:color w:val="auto"/>
          <w:sz w:val="28"/>
          <w:szCs w:val="28"/>
          <w:highlight w:val="none"/>
        </w:rPr>
      </w:pPr>
      <w:bookmarkStart w:id="198" w:name="_Toc238581782"/>
      <w:bookmarkStart w:id="199" w:name="_Toc52184753"/>
      <w:bookmarkStart w:id="200" w:name="_Toc119203988"/>
      <w:bookmarkStart w:id="201" w:name="_Toc119295087"/>
      <w:bookmarkStart w:id="202" w:name="_Toc119296788"/>
      <w:bookmarkStart w:id="203" w:name="_Toc146903609"/>
      <w:r>
        <w:rPr>
          <w:rFonts w:hint="eastAsia" w:ascii="宋体" w:hAnsi="宋体"/>
          <w:color w:val="auto"/>
          <w:sz w:val="28"/>
          <w:szCs w:val="28"/>
          <w:highlight w:val="none"/>
        </w:rPr>
        <w:t>致：</w:t>
      </w:r>
      <w:bookmarkEnd w:id="198"/>
      <w:r>
        <w:rPr>
          <w:rFonts w:hint="eastAsia" w:ascii="宋体" w:hAnsi="宋体"/>
          <w:color w:val="auto"/>
          <w:sz w:val="28"/>
          <w:szCs w:val="28"/>
          <w:highlight w:val="none"/>
        </w:rPr>
        <w:t>成都高新区政府采购服务中心</w:t>
      </w:r>
    </w:p>
    <w:p>
      <w:pPr>
        <w:ind w:firstLine="565" w:firstLineChars="202"/>
        <w:rPr>
          <w:rFonts w:ascii="宋体" w:hAnsi="宋体"/>
          <w:color w:val="auto"/>
          <w:sz w:val="28"/>
          <w:szCs w:val="28"/>
          <w:highlight w:val="none"/>
        </w:rPr>
      </w:pPr>
      <w:bookmarkStart w:id="204" w:name="_Toc238581783"/>
      <w:r>
        <w:rPr>
          <w:rFonts w:hint="eastAsia" w:ascii="宋体" w:hAnsi="宋体"/>
          <w:color w:val="auto"/>
          <w:sz w:val="28"/>
          <w:szCs w:val="28"/>
          <w:highlight w:val="none"/>
        </w:rPr>
        <w:t>关于我方对</w:t>
      </w:r>
      <w:r>
        <w:rPr>
          <w:rFonts w:hint="eastAsia" w:ascii="宋体" w:hAnsi="宋体"/>
          <w:b/>
          <w:color w:val="auto"/>
          <w:sz w:val="28"/>
          <w:szCs w:val="28"/>
          <w:highlight w:val="none"/>
          <w:u w:val="single"/>
        </w:rPr>
        <w:t>成都高新区芳草小学物业管理服务采购项目（项目编号：</w:t>
      </w:r>
      <w:r>
        <w:rPr>
          <w:rFonts w:hint="eastAsia" w:ascii="宋体" w:hAnsi="宋体"/>
          <w:b/>
          <w:color w:val="auto"/>
          <w:sz w:val="28"/>
          <w:szCs w:val="28"/>
          <w:highlight w:val="none"/>
          <w:u w:val="single"/>
          <w:lang w:eastAsia="zh-CN"/>
        </w:rPr>
        <w:t>成都高新技术产业开发区政采（2021）A0045号</w:t>
      </w:r>
      <w:r>
        <w:rPr>
          <w:rFonts w:hint="eastAsia" w:ascii="宋体" w:hAnsi="宋体"/>
          <w:b/>
          <w:color w:val="auto"/>
          <w:sz w:val="28"/>
          <w:szCs w:val="28"/>
          <w:highlight w:val="none"/>
          <w:u w:val="single"/>
        </w:rPr>
        <w:t>）</w:t>
      </w:r>
      <w:r>
        <w:rPr>
          <w:rFonts w:hint="eastAsia" w:ascii="宋体" w:hAnsi="宋体"/>
          <w:color w:val="auto"/>
          <w:sz w:val="28"/>
          <w:szCs w:val="28"/>
          <w:highlight w:val="none"/>
        </w:rPr>
        <w:t>的公开招标，提交的下列文件和说明是准确的和真实的。</w:t>
      </w:r>
      <w:bookmarkEnd w:id="204"/>
    </w:p>
    <w:p>
      <w:pPr>
        <w:widowControl/>
        <w:numPr>
          <w:ilvl w:val="2"/>
          <w:numId w:val="33"/>
        </w:numPr>
        <w:spacing w:after="200"/>
        <w:ind w:left="0" w:firstLine="560" w:firstLineChars="200"/>
        <w:rPr>
          <w:rFonts w:ascii="宋体" w:hAnsi="宋体"/>
          <w:color w:val="auto"/>
          <w:sz w:val="28"/>
          <w:szCs w:val="28"/>
          <w:highlight w:val="none"/>
        </w:rPr>
      </w:pPr>
      <w:bookmarkStart w:id="205" w:name="_Toc238581784"/>
      <w:r>
        <w:rPr>
          <w:rFonts w:hint="eastAsia" w:ascii="宋体" w:hAnsi="宋体"/>
          <w:color w:val="auto"/>
          <w:sz w:val="28"/>
          <w:szCs w:val="28"/>
          <w:highlight w:val="none"/>
        </w:rPr>
        <w:t>投标人名称及概况：</w:t>
      </w:r>
      <w:bookmarkEnd w:id="199"/>
      <w:bookmarkEnd w:id="200"/>
      <w:bookmarkEnd w:id="201"/>
      <w:bookmarkEnd w:id="202"/>
      <w:bookmarkEnd w:id="203"/>
      <w:bookmarkEnd w:id="205"/>
    </w:p>
    <w:p>
      <w:pPr>
        <w:widowControl/>
        <w:numPr>
          <w:ilvl w:val="0"/>
          <w:numId w:val="34"/>
        </w:numPr>
        <w:spacing w:after="200"/>
        <w:ind w:left="0" w:firstLine="560" w:firstLineChars="200"/>
        <w:jc w:val="left"/>
        <w:rPr>
          <w:rFonts w:ascii="宋体" w:hAnsi="宋体"/>
          <w:color w:val="auto"/>
          <w:sz w:val="28"/>
          <w:szCs w:val="28"/>
          <w:highlight w:val="none"/>
        </w:rPr>
      </w:pPr>
      <w:r>
        <w:rPr>
          <w:rFonts w:hint="eastAsia" w:ascii="宋体" w:hAnsi="宋体"/>
          <w:color w:val="auto"/>
          <w:sz w:val="28"/>
          <w:szCs w:val="28"/>
          <w:highlight w:val="none"/>
        </w:rPr>
        <w:t>投标人名称：XXXX</w:t>
      </w:r>
    </w:p>
    <w:p>
      <w:pPr>
        <w:widowControl/>
        <w:numPr>
          <w:ilvl w:val="0"/>
          <w:numId w:val="34"/>
        </w:numPr>
        <w:spacing w:after="200"/>
        <w:ind w:left="0" w:firstLine="560" w:firstLineChars="200"/>
        <w:jc w:val="left"/>
        <w:rPr>
          <w:rFonts w:ascii="宋体" w:hAnsi="宋体"/>
          <w:color w:val="auto"/>
          <w:sz w:val="28"/>
          <w:szCs w:val="28"/>
          <w:highlight w:val="none"/>
        </w:rPr>
      </w:pPr>
      <w:r>
        <w:rPr>
          <w:rFonts w:hint="eastAsia" w:ascii="宋体" w:hAnsi="宋体"/>
          <w:color w:val="auto"/>
          <w:sz w:val="28"/>
          <w:szCs w:val="28"/>
          <w:highlight w:val="none"/>
        </w:rPr>
        <w:t>地址：XXXX      邮编：XXXX</w:t>
      </w:r>
    </w:p>
    <w:p>
      <w:pPr>
        <w:widowControl/>
        <w:ind w:left="1261"/>
        <w:jc w:val="left"/>
        <w:rPr>
          <w:rFonts w:ascii="宋体" w:hAnsi="宋体"/>
          <w:color w:val="auto"/>
          <w:sz w:val="28"/>
          <w:szCs w:val="28"/>
          <w:highlight w:val="none"/>
          <w:u w:val="single"/>
        </w:rPr>
      </w:pPr>
      <w:r>
        <w:rPr>
          <w:rFonts w:hint="eastAsia" w:ascii="宋体" w:hAnsi="宋体"/>
          <w:color w:val="auto"/>
          <w:sz w:val="28"/>
          <w:szCs w:val="28"/>
          <w:highlight w:val="none"/>
        </w:rPr>
        <w:t>传真/电话： XXXX</w:t>
      </w:r>
    </w:p>
    <w:p>
      <w:pPr>
        <w:widowControl/>
        <w:numPr>
          <w:ilvl w:val="0"/>
          <w:numId w:val="34"/>
        </w:numPr>
        <w:spacing w:after="200"/>
        <w:ind w:left="0" w:firstLine="560" w:firstLineChars="200"/>
        <w:jc w:val="left"/>
        <w:rPr>
          <w:rFonts w:ascii="宋体" w:hAnsi="宋体"/>
          <w:color w:val="auto"/>
          <w:sz w:val="28"/>
          <w:szCs w:val="28"/>
          <w:highlight w:val="none"/>
        </w:rPr>
      </w:pPr>
      <w:r>
        <w:rPr>
          <w:rFonts w:hint="eastAsia" w:ascii="宋体" w:hAnsi="宋体"/>
          <w:color w:val="auto"/>
          <w:sz w:val="28"/>
          <w:szCs w:val="28"/>
          <w:highlight w:val="none"/>
        </w:rPr>
        <w:t>成立日期或注册日期：XXXX</w:t>
      </w:r>
    </w:p>
    <w:p>
      <w:pPr>
        <w:widowControl/>
        <w:numPr>
          <w:ilvl w:val="0"/>
          <w:numId w:val="34"/>
        </w:numPr>
        <w:spacing w:after="200"/>
        <w:ind w:left="0" w:firstLine="560" w:firstLineChars="200"/>
        <w:jc w:val="left"/>
        <w:rPr>
          <w:rFonts w:ascii="宋体" w:hAnsi="宋体"/>
          <w:color w:val="auto"/>
          <w:sz w:val="28"/>
          <w:szCs w:val="28"/>
          <w:highlight w:val="none"/>
          <w:u w:val="single"/>
        </w:rPr>
      </w:pPr>
      <w:r>
        <w:rPr>
          <w:rFonts w:hint="eastAsia" w:ascii="宋体" w:hAnsi="宋体"/>
          <w:color w:val="auto"/>
          <w:sz w:val="28"/>
          <w:szCs w:val="28"/>
          <w:highlight w:val="none"/>
        </w:rPr>
        <w:t>法定代表人姓名：XXXX</w:t>
      </w:r>
    </w:p>
    <w:p>
      <w:pPr>
        <w:widowControl/>
        <w:numPr>
          <w:ilvl w:val="2"/>
          <w:numId w:val="33"/>
        </w:numPr>
        <w:tabs>
          <w:tab w:val="left" w:pos="1276"/>
        </w:tabs>
        <w:spacing w:after="200"/>
        <w:ind w:left="0" w:firstLine="567"/>
        <w:rPr>
          <w:rFonts w:ascii="宋体" w:hAnsi="宋体"/>
          <w:color w:val="auto"/>
          <w:sz w:val="28"/>
          <w:szCs w:val="28"/>
          <w:highlight w:val="none"/>
        </w:rPr>
      </w:pPr>
      <w:r>
        <w:rPr>
          <w:rFonts w:hint="eastAsia" w:ascii="宋体" w:hAnsi="宋体"/>
          <w:color w:val="auto"/>
          <w:sz w:val="28"/>
          <w:szCs w:val="28"/>
          <w:highlight w:val="none"/>
        </w:rPr>
        <w:t>开户银行名称：XXXX</w:t>
      </w:r>
    </w:p>
    <w:p>
      <w:pPr>
        <w:ind w:firstLine="1260" w:firstLineChars="450"/>
        <w:rPr>
          <w:rFonts w:ascii="宋体" w:hAnsi="宋体"/>
          <w:color w:val="auto"/>
          <w:sz w:val="28"/>
          <w:szCs w:val="28"/>
          <w:highlight w:val="none"/>
          <w:u w:val="single"/>
        </w:rPr>
      </w:pPr>
      <w:r>
        <w:rPr>
          <w:rFonts w:hint="eastAsia" w:ascii="宋体" w:hAnsi="宋体"/>
          <w:color w:val="auto"/>
          <w:sz w:val="28"/>
          <w:szCs w:val="28"/>
          <w:highlight w:val="none"/>
        </w:rPr>
        <w:t>地址：XXXX</w:t>
      </w:r>
    </w:p>
    <w:p>
      <w:pPr>
        <w:ind w:firstLine="1260" w:firstLineChars="450"/>
        <w:rPr>
          <w:rFonts w:ascii="宋体" w:hAnsi="宋体"/>
          <w:color w:val="auto"/>
          <w:sz w:val="28"/>
          <w:szCs w:val="28"/>
          <w:highlight w:val="none"/>
        </w:rPr>
      </w:pPr>
      <w:r>
        <w:rPr>
          <w:rFonts w:hint="eastAsia" w:ascii="宋体" w:hAnsi="宋体"/>
          <w:color w:val="auto"/>
          <w:sz w:val="28"/>
          <w:szCs w:val="28"/>
          <w:highlight w:val="none"/>
        </w:rPr>
        <w:t>账号：XXXX</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投标人名称：XXXX</w:t>
      </w:r>
    </w:p>
    <w:p>
      <w:pPr>
        <w:ind w:left="283" w:leftChars="135" w:firstLine="280" w:firstLineChars="100"/>
        <w:rPr>
          <w:rFonts w:ascii="宋体" w:hAnsi="宋体"/>
          <w:bCs/>
          <w:color w:val="auto"/>
          <w:sz w:val="28"/>
          <w:highlight w:val="none"/>
        </w:rPr>
      </w:pPr>
      <w:r>
        <w:rPr>
          <w:rFonts w:hint="eastAsia" w:ascii="宋体" w:hAnsi="宋体"/>
          <w:bCs/>
          <w:color w:val="auto"/>
          <w:sz w:val="28"/>
          <w:szCs w:val="28"/>
          <w:highlight w:val="none"/>
        </w:rPr>
        <w:t>日    期：</w:t>
      </w:r>
      <w:r>
        <w:rPr>
          <w:rFonts w:hint="eastAsia" w:ascii="宋体" w:hAnsi="宋体"/>
          <w:bCs/>
          <w:color w:val="auto"/>
          <w:sz w:val="28"/>
          <w:highlight w:val="none"/>
        </w:rPr>
        <w:t>20XX年XX月XX日</w:t>
      </w:r>
    </w:p>
    <w:p>
      <w:pPr>
        <w:ind w:left="283" w:leftChars="135" w:firstLine="280" w:firstLineChars="100"/>
        <w:rPr>
          <w:rFonts w:ascii="宋体" w:hAnsi="宋体"/>
          <w:bCs/>
          <w:color w:val="auto"/>
          <w:sz w:val="28"/>
          <w:highlight w:val="none"/>
        </w:rPr>
      </w:pPr>
    </w:p>
    <w:p>
      <w:pPr>
        <w:rPr>
          <w:rFonts w:ascii="宋体" w:hAnsi="宋体"/>
          <w:color w:val="auto"/>
          <w:sz w:val="28"/>
          <w:szCs w:val="28"/>
          <w:highlight w:val="none"/>
        </w:rPr>
      </w:pPr>
    </w:p>
    <w:p>
      <w:pPr>
        <w:pStyle w:val="5"/>
        <w:numPr>
          <w:ilvl w:val="2"/>
          <w:numId w:val="4"/>
        </w:numPr>
        <w:spacing w:after="200" w:line="240" w:lineRule="auto"/>
        <w:ind w:left="851"/>
        <w:rPr>
          <w:color w:val="auto"/>
          <w:highlight w:val="none"/>
        </w:rPr>
      </w:pPr>
      <w:r>
        <w:rPr>
          <w:rFonts w:hint="eastAsia"/>
          <w:color w:val="auto"/>
          <w:highlight w:val="none"/>
        </w:rPr>
        <w:t>声明</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致：成都高新区政府采购服务中心</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我单位作为</w:t>
      </w:r>
      <w:r>
        <w:rPr>
          <w:rFonts w:hint="eastAsia" w:ascii="宋体" w:hAnsi="宋体"/>
          <w:b/>
          <w:color w:val="auto"/>
          <w:sz w:val="28"/>
          <w:szCs w:val="28"/>
          <w:highlight w:val="none"/>
          <w:u w:val="single"/>
        </w:rPr>
        <w:t>成都高新区芳草小学物业管理服务采购项目（项目编号：</w:t>
      </w:r>
      <w:r>
        <w:rPr>
          <w:rFonts w:hint="eastAsia" w:ascii="宋体" w:hAnsi="宋体"/>
          <w:b/>
          <w:color w:val="auto"/>
          <w:sz w:val="28"/>
          <w:szCs w:val="28"/>
          <w:highlight w:val="none"/>
          <w:u w:val="single"/>
          <w:lang w:eastAsia="zh-CN"/>
        </w:rPr>
        <w:t>成都高新技术产业开发区政采（2021）A0045号</w:t>
      </w:r>
      <w:r>
        <w:rPr>
          <w:rFonts w:hint="eastAsia" w:ascii="宋体" w:hAnsi="宋体"/>
          <w:b/>
          <w:color w:val="auto"/>
          <w:sz w:val="28"/>
          <w:szCs w:val="28"/>
          <w:highlight w:val="none"/>
          <w:u w:val="single"/>
        </w:rPr>
        <w:t>）</w:t>
      </w:r>
      <w:r>
        <w:rPr>
          <w:rFonts w:hint="eastAsia" w:ascii="宋体" w:hAnsi="宋体"/>
          <w:color w:val="auto"/>
          <w:sz w:val="28"/>
          <w:szCs w:val="28"/>
          <w:highlight w:val="none"/>
        </w:rPr>
        <w:t>的投标人，在此郑重声明：</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一、我单位参加政府采购活动前三年内，在经营活动中</w:t>
      </w:r>
      <w:r>
        <w:rPr>
          <w:rFonts w:hint="eastAsia" w:ascii="宋体" w:hAnsi="宋体"/>
          <w:b/>
          <w:color w:val="auto"/>
          <w:sz w:val="28"/>
          <w:szCs w:val="28"/>
          <w:highlight w:val="none"/>
          <w:u w:val="single"/>
        </w:rPr>
        <w:t>（说明：填写“没有”或“有”）</w:t>
      </w:r>
      <w:r>
        <w:rPr>
          <w:rFonts w:hint="eastAsia" w:ascii="宋体" w:hAnsi="宋体"/>
          <w:color w:val="auto"/>
          <w:sz w:val="28"/>
          <w:szCs w:val="28"/>
          <w:highlight w:val="none"/>
        </w:rPr>
        <w:t>重大违法记录。</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二、我单位</w:t>
      </w:r>
      <w:r>
        <w:rPr>
          <w:rFonts w:hint="eastAsia" w:ascii="宋体" w:hAnsi="宋体"/>
          <w:b/>
          <w:color w:val="auto"/>
          <w:sz w:val="28"/>
          <w:szCs w:val="28"/>
          <w:highlight w:val="none"/>
          <w:u w:val="single"/>
        </w:rPr>
        <w:t>（说明：填写“具有”或“不具有”）</w:t>
      </w:r>
      <w:r>
        <w:rPr>
          <w:rFonts w:hint="eastAsia" w:ascii="宋体" w:hAnsi="宋体"/>
          <w:color w:val="auto"/>
          <w:sz w:val="28"/>
          <w:szCs w:val="28"/>
          <w:highlight w:val="none"/>
        </w:rPr>
        <w:t>良好的商业信誉。</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三、与我单位负责人为同一人或者存在直接控股、管理关系的相关供应商：</w:t>
      </w:r>
      <w:r>
        <w:rPr>
          <w:rFonts w:hint="eastAsia" w:ascii="宋体" w:hAnsi="宋体"/>
          <w:b/>
          <w:color w:val="auto"/>
          <w:sz w:val="28"/>
          <w:szCs w:val="28"/>
          <w:highlight w:val="none"/>
          <w:u w:val="single"/>
        </w:rPr>
        <w:t>（说明：填写“无”或“（一）供应商名称１；（二）供应商名称２；（三）……”）</w:t>
      </w:r>
      <w:r>
        <w:rPr>
          <w:rFonts w:hint="eastAsia" w:ascii="宋体" w:hAnsi="宋体"/>
          <w:color w:val="auto"/>
          <w:sz w:val="28"/>
          <w:szCs w:val="28"/>
          <w:highlight w:val="none"/>
        </w:rPr>
        <w:t xml:space="preserve"> 。</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四、在行贿犯罪信息查询期限内，我单位及我单位现任法定代表人、主要负责人</w:t>
      </w:r>
      <w:r>
        <w:rPr>
          <w:rFonts w:hint="eastAsia" w:ascii="宋体" w:hAnsi="宋体"/>
          <w:b/>
          <w:color w:val="auto"/>
          <w:sz w:val="28"/>
          <w:szCs w:val="28"/>
          <w:highlight w:val="none"/>
          <w:u w:val="single"/>
        </w:rPr>
        <w:t>（说明：填写“没有”或“有”）</w:t>
      </w:r>
      <w:r>
        <w:rPr>
          <w:rFonts w:hint="eastAsia" w:ascii="宋体" w:hAnsi="宋体"/>
          <w:color w:val="auto"/>
          <w:sz w:val="28"/>
          <w:szCs w:val="28"/>
          <w:highlight w:val="none"/>
        </w:rPr>
        <w:t>行贿犯罪记录。</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五、我单位</w:t>
      </w:r>
      <w:r>
        <w:rPr>
          <w:rFonts w:hint="eastAsia" w:ascii="宋体" w:hAnsi="宋体"/>
          <w:b/>
          <w:color w:val="auto"/>
          <w:sz w:val="28"/>
          <w:szCs w:val="28"/>
          <w:highlight w:val="none"/>
          <w:u w:val="single"/>
        </w:rPr>
        <w:t>（说明：填写“未列入”或“被列入”）</w:t>
      </w:r>
      <w:r>
        <w:rPr>
          <w:rFonts w:hint="eastAsia" w:ascii="宋体" w:hAnsi="宋体"/>
          <w:color w:val="auto"/>
          <w:sz w:val="28"/>
          <w:szCs w:val="28"/>
          <w:highlight w:val="none"/>
        </w:rPr>
        <w:t>失信被执行人、重大税收违法案件当事人名单。</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我单位</w:t>
      </w:r>
      <w:r>
        <w:rPr>
          <w:rFonts w:hint="eastAsia" w:ascii="宋体" w:hAnsi="宋体"/>
          <w:b/>
          <w:color w:val="auto"/>
          <w:sz w:val="28"/>
          <w:szCs w:val="28"/>
          <w:highlight w:val="none"/>
          <w:u w:val="single"/>
        </w:rPr>
        <w:t>（说明：填写“未列入”或“被列入”）</w:t>
      </w:r>
      <w:r>
        <w:rPr>
          <w:rFonts w:hint="eastAsia" w:ascii="宋体" w:hAnsi="宋体"/>
          <w:color w:val="auto"/>
          <w:sz w:val="28"/>
          <w:szCs w:val="28"/>
          <w:highlight w:val="none"/>
        </w:rPr>
        <w:t>政府采购严重违法失信行为记录名单。</w:t>
      </w:r>
    </w:p>
    <w:p>
      <w:pPr>
        <w:ind w:firstLine="560" w:firstLineChars="200"/>
        <w:rPr>
          <w:bCs/>
          <w:color w:val="auto"/>
          <w:highlight w:val="none"/>
        </w:rPr>
      </w:pPr>
      <w:r>
        <w:rPr>
          <w:rFonts w:hint="eastAsia" w:ascii="宋体" w:hAnsi="宋体"/>
          <w:color w:val="auto"/>
          <w:sz w:val="28"/>
          <w:szCs w:val="28"/>
          <w:highlight w:val="none"/>
        </w:rPr>
        <w:t>六、我单位</w:t>
      </w:r>
      <w:r>
        <w:rPr>
          <w:rFonts w:hint="eastAsia" w:ascii="宋体" w:hAnsi="宋体"/>
          <w:b/>
          <w:color w:val="auto"/>
          <w:sz w:val="28"/>
          <w:szCs w:val="28"/>
          <w:highlight w:val="none"/>
          <w:u w:val="single"/>
        </w:rPr>
        <w:t>（说明：填写“未处于”或“处于”）</w:t>
      </w:r>
      <w:r>
        <w:rPr>
          <w:rFonts w:hint="eastAsia" w:ascii="宋体" w:hAnsi="宋体"/>
          <w:bCs/>
          <w:color w:val="auto"/>
          <w:sz w:val="28"/>
          <w:szCs w:val="28"/>
          <w:highlight w:val="none"/>
        </w:rPr>
        <w:t>被行政部门禁止参与政府采购活动的期限内。</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特此声明。</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投标人名称：XXXX</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日    期：20XX年XX月XX日</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说明： 1.对声明中第一条的说明：如投标人在参加政府采购活动前三年内，在经营活动中有重大违法记录的，应填写“有”，投标人将被认定投标无效或被取消中标资格；</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2.对声明中第三条的说明：单位负责人为同一人或者存在直接控股、管理关系的不同供应商，不得参加同一合同项下的政府采购活动；</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3.对声明中第四条的说明：在行贿犯罪信息查询期限内，投标人根据中国裁判文书网（https://wenshu.court.gov.cn）查询结果，如果投标人及其现任法定代表人、主要负责人有行贿犯罪记录的，投标人应填写“有”，投标人将被认定投标无效或被取消中标资格；</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4.对声明中第五条的说明：投标人如被列入失信被执行人、重大税收违法案件当事人名单，应填写“被列入”，投标人将被认定投标无效或被取消中标资格；投标人如被列入政府采购严重违法失信行为记录名单，应填写“被列入”，投标人将被认定投标无效或被取消中标资格；</w:t>
      </w:r>
    </w:p>
    <w:p>
      <w:pPr>
        <w:ind w:firstLine="560" w:firstLineChars="200"/>
        <w:rPr>
          <w:rFonts w:ascii="宋体" w:hAnsi="宋体"/>
          <w:color w:val="auto"/>
          <w:sz w:val="28"/>
          <w:szCs w:val="28"/>
          <w:highlight w:val="none"/>
        </w:rPr>
      </w:pPr>
      <w:r>
        <w:rPr>
          <w:rFonts w:hint="eastAsia" w:ascii="宋体" w:hAnsi="宋体"/>
          <w:color w:val="auto"/>
          <w:sz w:val="28"/>
          <w:szCs w:val="28"/>
          <w:highlight w:val="none"/>
        </w:rPr>
        <w:t>5.对声明中第六条的说明：如投标人处于被行政部门禁止参加政府采购活动期限内的，该声明填“处于”，投标人将被认定投标无效或被取消中标资格。</w:t>
      </w:r>
    </w:p>
    <w:p>
      <w:pPr>
        <w:ind w:firstLine="560" w:firstLineChars="200"/>
        <w:rPr>
          <w:rFonts w:ascii="宋体" w:hAnsi="宋体"/>
          <w:color w:val="auto"/>
          <w:sz w:val="28"/>
          <w:szCs w:val="28"/>
          <w:highlight w:val="none"/>
        </w:rPr>
      </w:pPr>
    </w:p>
    <w:p>
      <w:pPr>
        <w:ind w:firstLine="560" w:firstLineChars="200"/>
        <w:rPr>
          <w:rFonts w:ascii="宋体" w:hAnsi="宋体"/>
          <w:color w:val="auto"/>
          <w:sz w:val="28"/>
          <w:szCs w:val="28"/>
          <w:highlight w:val="none"/>
        </w:rPr>
      </w:pPr>
    </w:p>
    <w:p>
      <w:pPr>
        <w:ind w:firstLine="560" w:firstLineChars="200"/>
        <w:rPr>
          <w:rFonts w:ascii="宋体" w:hAnsi="宋体"/>
          <w:color w:val="auto"/>
          <w:sz w:val="28"/>
          <w:szCs w:val="28"/>
          <w:highlight w:val="none"/>
        </w:rPr>
      </w:pPr>
    </w:p>
    <w:p>
      <w:pPr>
        <w:rPr>
          <w:rFonts w:ascii="宋体" w:hAnsi="宋体"/>
          <w:color w:val="auto"/>
          <w:sz w:val="28"/>
          <w:szCs w:val="28"/>
          <w:highlight w:val="none"/>
        </w:rPr>
      </w:pPr>
    </w:p>
    <w:p>
      <w:pPr>
        <w:pStyle w:val="5"/>
        <w:numPr>
          <w:ilvl w:val="2"/>
          <w:numId w:val="4"/>
        </w:numPr>
        <w:spacing w:after="200" w:line="240" w:lineRule="auto"/>
        <w:ind w:left="851"/>
        <w:rPr>
          <w:color w:val="auto"/>
          <w:highlight w:val="none"/>
        </w:rPr>
      </w:pPr>
      <w:bookmarkStart w:id="206" w:name="_Toc448132270"/>
      <w:bookmarkStart w:id="207" w:name="_Toc430250269"/>
      <w:r>
        <w:rPr>
          <w:rFonts w:hint="eastAsia"/>
          <w:color w:val="auto"/>
          <w:highlight w:val="none"/>
        </w:rPr>
        <w:t>中小企业声明函</w:t>
      </w:r>
      <w:bookmarkEnd w:id="206"/>
    </w:p>
    <w:bookmarkEnd w:id="207"/>
    <w:p>
      <w:pPr>
        <w:spacing w:line="500" w:lineRule="exact"/>
        <w:jc w:val="center"/>
        <w:rPr>
          <w:rFonts w:ascii="宋体" w:hAnsi="宋体"/>
          <w:b/>
          <w:color w:val="auto"/>
          <w:spacing w:val="6"/>
          <w:sz w:val="28"/>
          <w:szCs w:val="28"/>
          <w:highlight w:val="none"/>
        </w:rPr>
      </w:pPr>
      <w:r>
        <w:rPr>
          <w:rFonts w:hint="eastAsia" w:ascii="宋体" w:hAnsi="宋体"/>
          <w:b/>
          <w:color w:val="auto"/>
          <w:spacing w:val="6"/>
          <w:sz w:val="28"/>
          <w:szCs w:val="28"/>
          <w:highlight w:val="none"/>
        </w:rPr>
        <w:t>中小企业声明函</w:t>
      </w:r>
    </w:p>
    <w:p>
      <w:pPr>
        <w:spacing w:line="500" w:lineRule="exact"/>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本公司郑重声明，根据《政府采购促进中小企业发展管理办法》（财库〔</w:t>
      </w:r>
      <w:r>
        <w:rPr>
          <w:rFonts w:ascii="宋体" w:hAnsi="宋体"/>
          <w:color w:val="auto"/>
          <w:spacing w:val="6"/>
          <w:sz w:val="28"/>
          <w:szCs w:val="28"/>
          <w:highlight w:val="none"/>
        </w:rPr>
        <w:t>2020〕46号）的规定，本公司参加</w:t>
      </w:r>
      <w:r>
        <w:rPr>
          <w:rFonts w:ascii="宋体" w:hAnsi="宋体"/>
          <w:b/>
          <w:color w:val="auto"/>
          <w:sz w:val="28"/>
          <w:szCs w:val="28"/>
          <w:highlight w:val="none"/>
          <w:u w:val="single"/>
        </w:rPr>
        <w:t>XXXX(</w:t>
      </w:r>
      <w:r>
        <w:rPr>
          <w:rFonts w:hint="eastAsia" w:ascii="宋体" w:hAnsi="宋体"/>
          <w:b/>
          <w:color w:val="auto"/>
          <w:sz w:val="28"/>
          <w:szCs w:val="28"/>
          <w:highlight w:val="none"/>
          <w:u w:val="single"/>
        </w:rPr>
        <w:t>采购</w:t>
      </w:r>
      <w:r>
        <w:rPr>
          <w:rFonts w:ascii="宋体" w:hAnsi="宋体"/>
          <w:b/>
          <w:color w:val="auto"/>
          <w:sz w:val="28"/>
          <w:szCs w:val="28"/>
          <w:highlight w:val="none"/>
          <w:u w:val="single"/>
        </w:rPr>
        <w:t xml:space="preserve">单位)      </w:t>
      </w:r>
      <w:r>
        <w:rPr>
          <w:rFonts w:hint="eastAsia" w:ascii="宋体" w:hAnsi="宋体"/>
          <w:color w:val="auto"/>
          <w:spacing w:val="6"/>
          <w:sz w:val="28"/>
          <w:szCs w:val="28"/>
          <w:highlight w:val="none"/>
        </w:rPr>
        <w:t>的</w:t>
      </w:r>
      <w:r>
        <w:rPr>
          <w:rFonts w:ascii="宋体" w:hAnsi="宋体"/>
          <w:b/>
          <w:color w:val="auto"/>
          <w:sz w:val="28"/>
          <w:szCs w:val="28"/>
          <w:highlight w:val="none"/>
          <w:u w:val="single"/>
        </w:rPr>
        <w:t>XXXX</w:t>
      </w:r>
      <w:r>
        <w:rPr>
          <w:rFonts w:hint="eastAsia" w:ascii="宋体" w:hAnsi="宋体"/>
          <w:b/>
          <w:color w:val="auto"/>
          <w:sz w:val="28"/>
          <w:szCs w:val="28"/>
          <w:highlight w:val="none"/>
          <w:u w:val="single"/>
        </w:rPr>
        <w:t>（项目</w:t>
      </w:r>
      <w:r>
        <w:rPr>
          <w:rFonts w:ascii="宋体" w:hAnsi="宋体"/>
          <w:b/>
          <w:color w:val="auto"/>
          <w:sz w:val="28"/>
          <w:szCs w:val="28"/>
          <w:highlight w:val="none"/>
          <w:u w:val="single"/>
        </w:rPr>
        <w:t>名称</w:t>
      </w:r>
      <w:r>
        <w:rPr>
          <w:rFonts w:hint="eastAsia" w:ascii="宋体" w:hAnsi="宋体"/>
          <w:b/>
          <w:color w:val="auto"/>
          <w:sz w:val="28"/>
          <w:szCs w:val="28"/>
          <w:highlight w:val="none"/>
          <w:u w:val="single"/>
        </w:rPr>
        <w:t>）</w:t>
      </w:r>
      <w:r>
        <w:rPr>
          <w:rFonts w:hint="eastAsia" w:ascii="宋体" w:hAnsi="宋体"/>
          <w:b/>
          <w:color w:val="auto"/>
          <w:sz w:val="28"/>
          <w:szCs w:val="28"/>
          <w:highlight w:val="none"/>
        </w:rPr>
        <w:t>采购项目</w:t>
      </w:r>
      <w:r>
        <w:rPr>
          <w:rFonts w:hint="eastAsia" w:ascii="宋体" w:hAnsi="宋体"/>
          <w:b/>
          <w:color w:val="auto"/>
          <w:sz w:val="28"/>
          <w:szCs w:val="28"/>
          <w:highlight w:val="none"/>
          <w:u w:val="single"/>
        </w:rPr>
        <w:t>（</w:t>
      </w:r>
      <w:r>
        <w:rPr>
          <w:rFonts w:hint="eastAsia" w:ascii="宋体" w:hAnsi="宋体" w:cs="宋体"/>
          <w:b/>
          <w:color w:val="auto"/>
          <w:kern w:val="0"/>
          <w:sz w:val="28"/>
          <w:szCs w:val="28"/>
          <w:highlight w:val="none"/>
          <w:u w:val="single"/>
          <w:lang w:eastAsia="zh-CN"/>
        </w:rPr>
        <w:t>成都高新技术产业开发区政采（2021）A0045号</w:t>
      </w:r>
      <w:r>
        <w:rPr>
          <w:rFonts w:hint="eastAsia" w:ascii="宋体" w:hAnsi="宋体"/>
          <w:b/>
          <w:color w:val="auto"/>
          <w:sz w:val="28"/>
          <w:szCs w:val="28"/>
          <w:highlight w:val="none"/>
          <w:u w:val="single"/>
        </w:rPr>
        <w:t>）</w:t>
      </w:r>
      <w:r>
        <w:rPr>
          <w:rFonts w:hint="eastAsia" w:ascii="宋体" w:hAnsi="宋体"/>
          <w:color w:val="auto"/>
          <w:spacing w:val="6"/>
          <w:sz w:val="28"/>
          <w:szCs w:val="28"/>
          <w:highlight w:val="none"/>
        </w:rPr>
        <w:t>采购活动，服务全部由符合政策要求的中小企业承接。相关企业的具体情况如下：</w:t>
      </w:r>
    </w:p>
    <w:p>
      <w:pPr>
        <w:tabs>
          <w:tab w:val="left" w:pos="1134"/>
        </w:tabs>
        <w:spacing w:line="500" w:lineRule="exact"/>
        <w:ind w:firstLine="584" w:firstLineChars="200"/>
        <w:rPr>
          <w:rFonts w:ascii="宋体" w:hAnsi="宋体"/>
          <w:color w:val="auto"/>
          <w:spacing w:val="6"/>
          <w:sz w:val="28"/>
          <w:szCs w:val="28"/>
          <w:highlight w:val="none"/>
        </w:rPr>
      </w:pPr>
      <w:r>
        <w:rPr>
          <w:rFonts w:ascii="宋体" w:hAnsi="宋体"/>
          <w:color w:val="auto"/>
          <w:spacing w:val="6"/>
          <w:sz w:val="28"/>
          <w:szCs w:val="28"/>
          <w:highlight w:val="none"/>
          <w:u w:val="single"/>
        </w:rPr>
        <w:t>XXXX</w:t>
      </w:r>
      <w:r>
        <w:rPr>
          <w:rFonts w:hint="eastAsia" w:ascii="宋体" w:hAnsi="宋体"/>
          <w:color w:val="auto"/>
          <w:spacing w:val="6"/>
          <w:sz w:val="28"/>
          <w:szCs w:val="28"/>
          <w:highlight w:val="none"/>
          <w:u w:val="single"/>
        </w:rPr>
        <w:t>（标的名称）</w:t>
      </w:r>
      <w:r>
        <w:rPr>
          <w:rFonts w:hint="eastAsia" w:ascii="宋体" w:hAnsi="宋体"/>
          <w:color w:val="auto"/>
          <w:spacing w:val="6"/>
          <w:sz w:val="28"/>
          <w:szCs w:val="28"/>
          <w:highlight w:val="none"/>
        </w:rPr>
        <w:t>，属于</w:t>
      </w:r>
      <w:r>
        <w:rPr>
          <w:rFonts w:ascii="宋体" w:hAnsi="宋体"/>
          <w:color w:val="auto"/>
          <w:spacing w:val="6"/>
          <w:sz w:val="28"/>
          <w:szCs w:val="28"/>
          <w:highlight w:val="none"/>
          <w:u w:val="single"/>
        </w:rPr>
        <w:t>XXXX</w:t>
      </w:r>
      <w:r>
        <w:rPr>
          <w:rFonts w:hint="eastAsia" w:ascii="宋体" w:hAnsi="宋体"/>
          <w:color w:val="auto"/>
          <w:spacing w:val="6"/>
          <w:sz w:val="28"/>
          <w:szCs w:val="28"/>
          <w:highlight w:val="none"/>
          <w:u w:val="single"/>
        </w:rPr>
        <w:t>（采购文件中明确的所属行业）</w:t>
      </w:r>
      <w:r>
        <w:rPr>
          <w:rFonts w:hint="eastAsia" w:ascii="宋体" w:hAnsi="宋体"/>
          <w:color w:val="auto"/>
          <w:spacing w:val="6"/>
          <w:sz w:val="28"/>
          <w:szCs w:val="28"/>
          <w:highlight w:val="none"/>
        </w:rPr>
        <w:t>；承接企业为</w:t>
      </w:r>
      <w:r>
        <w:rPr>
          <w:rFonts w:ascii="宋体" w:hAnsi="宋体"/>
          <w:color w:val="auto"/>
          <w:spacing w:val="6"/>
          <w:sz w:val="28"/>
          <w:szCs w:val="28"/>
          <w:highlight w:val="none"/>
          <w:u w:val="single"/>
        </w:rPr>
        <w:t>XXX</w:t>
      </w:r>
      <w:r>
        <w:rPr>
          <w:rFonts w:hint="eastAsia" w:ascii="宋体" w:hAnsi="宋体"/>
          <w:color w:val="auto"/>
          <w:spacing w:val="6"/>
          <w:sz w:val="28"/>
          <w:szCs w:val="28"/>
          <w:highlight w:val="none"/>
          <w:u w:val="single"/>
        </w:rPr>
        <w:t>X</w:t>
      </w:r>
      <w:r>
        <w:rPr>
          <w:rFonts w:ascii="宋体" w:hAnsi="宋体"/>
          <w:color w:val="auto"/>
          <w:spacing w:val="6"/>
          <w:sz w:val="28"/>
          <w:szCs w:val="28"/>
          <w:highlight w:val="none"/>
          <w:u w:val="single"/>
        </w:rPr>
        <w:t>（企业名称）</w:t>
      </w:r>
      <w:r>
        <w:rPr>
          <w:rFonts w:hint="eastAsia" w:ascii="宋体" w:hAnsi="宋体"/>
          <w:color w:val="auto"/>
          <w:spacing w:val="6"/>
          <w:sz w:val="28"/>
          <w:szCs w:val="28"/>
          <w:highlight w:val="none"/>
        </w:rPr>
        <w:t>，从业人员</w:t>
      </w:r>
      <w:r>
        <w:rPr>
          <w:rFonts w:ascii="宋体" w:hAnsi="宋体"/>
          <w:color w:val="auto"/>
          <w:spacing w:val="6"/>
          <w:sz w:val="28"/>
          <w:szCs w:val="28"/>
          <w:highlight w:val="none"/>
          <w:u w:val="single"/>
        </w:rPr>
        <w:t>XX</w:t>
      </w:r>
      <w:r>
        <w:rPr>
          <w:rFonts w:hint="eastAsia" w:ascii="宋体" w:hAnsi="宋体"/>
          <w:color w:val="auto"/>
          <w:spacing w:val="6"/>
          <w:sz w:val="28"/>
          <w:szCs w:val="28"/>
          <w:highlight w:val="none"/>
        </w:rPr>
        <w:t>人，营业收入为</w:t>
      </w:r>
      <w:r>
        <w:rPr>
          <w:rFonts w:ascii="宋体" w:hAnsi="宋体"/>
          <w:color w:val="auto"/>
          <w:spacing w:val="6"/>
          <w:sz w:val="28"/>
          <w:szCs w:val="28"/>
          <w:highlight w:val="none"/>
          <w:u w:val="single"/>
        </w:rPr>
        <w:t>XX</w:t>
      </w:r>
      <w:r>
        <w:rPr>
          <w:rFonts w:hint="eastAsia" w:ascii="宋体" w:hAnsi="宋体"/>
          <w:color w:val="auto"/>
          <w:spacing w:val="6"/>
          <w:sz w:val="28"/>
          <w:szCs w:val="28"/>
          <w:highlight w:val="none"/>
        </w:rPr>
        <w:t>万元，资产总额为</w:t>
      </w:r>
      <w:r>
        <w:rPr>
          <w:rFonts w:ascii="宋体" w:hAnsi="宋体"/>
          <w:color w:val="auto"/>
          <w:spacing w:val="6"/>
          <w:sz w:val="28"/>
          <w:szCs w:val="28"/>
          <w:highlight w:val="none"/>
          <w:u w:val="single"/>
        </w:rPr>
        <w:t>XX</w:t>
      </w:r>
      <w:r>
        <w:rPr>
          <w:rFonts w:hint="eastAsia" w:ascii="宋体" w:hAnsi="宋体"/>
          <w:color w:val="auto"/>
          <w:spacing w:val="6"/>
          <w:sz w:val="28"/>
          <w:szCs w:val="28"/>
          <w:highlight w:val="none"/>
        </w:rPr>
        <w:t>万元，属于</w:t>
      </w:r>
      <w:r>
        <w:rPr>
          <w:rFonts w:ascii="宋体" w:hAnsi="宋体"/>
          <w:color w:val="auto"/>
          <w:spacing w:val="6"/>
          <w:sz w:val="28"/>
          <w:szCs w:val="28"/>
          <w:highlight w:val="none"/>
          <w:u w:val="single"/>
        </w:rPr>
        <w:t>XXXX（中型企业、小型企业、微型企业）</w:t>
      </w:r>
      <w:r>
        <w:rPr>
          <w:rFonts w:hint="eastAsia" w:ascii="宋体" w:hAnsi="宋体"/>
          <w:color w:val="auto"/>
          <w:spacing w:val="6"/>
          <w:sz w:val="28"/>
          <w:szCs w:val="28"/>
          <w:highlight w:val="none"/>
        </w:rPr>
        <w:t>。</w:t>
      </w:r>
    </w:p>
    <w:p>
      <w:pPr>
        <w:tabs>
          <w:tab w:val="left" w:pos="1134"/>
        </w:tabs>
        <w:spacing w:line="500" w:lineRule="exact"/>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以上企业，不属于大企业的分支机构，不存在控股股东为大企业的情形，也不存在与大企业的负责人为同一人的情形。</w:t>
      </w:r>
    </w:p>
    <w:p>
      <w:pPr>
        <w:tabs>
          <w:tab w:val="left" w:pos="1134"/>
        </w:tabs>
        <w:spacing w:line="500" w:lineRule="exact"/>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本企业对上述声明内容的真实性负责。如有虚假，将依法承担相应责任。</w:t>
      </w:r>
    </w:p>
    <w:p>
      <w:pPr>
        <w:spacing w:line="500" w:lineRule="exact"/>
        <w:ind w:firstLine="586" w:firstLineChars="200"/>
        <w:rPr>
          <w:rFonts w:ascii="宋体" w:hAnsi="宋体"/>
          <w:b/>
          <w:color w:val="auto"/>
          <w:spacing w:val="6"/>
          <w:sz w:val="28"/>
          <w:szCs w:val="28"/>
          <w:highlight w:val="none"/>
        </w:rPr>
      </w:pPr>
    </w:p>
    <w:p>
      <w:pPr>
        <w:spacing w:line="500" w:lineRule="exact"/>
        <w:ind w:firstLine="586" w:firstLineChars="200"/>
        <w:rPr>
          <w:rFonts w:ascii="宋体" w:hAnsi="宋体"/>
          <w:b/>
          <w:color w:val="auto"/>
          <w:spacing w:val="6"/>
          <w:sz w:val="28"/>
          <w:szCs w:val="28"/>
          <w:highlight w:val="none"/>
        </w:rPr>
      </w:pPr>
    </w:p>
    <w:p>
      <w:pPr>
        <w:spacing w:line="500" w:lineRule="exact"/>
        <w:ind w:firstLine="586" w:firstLineChars="200"/>
        <w:rPr>
          <w:rFonts w:ascii="宋体" w:hAnsi="宋体"/>
          <w:b/>
          <w:color w:val="auto"/>
          <w:spacing w:val="6"/>
          <w:sz w:val="28"/>
          <w:szCs w:val="28"/>
          <w:highlight w:val="none"/>
        </w:rPr>
      </w:pPr>
    </w:p>
    <w:p>
      <w:pPr>
        <w:spacing w:line="500" w:lineRule="exact"/>
        <w:ind w:firstLine="586" w:firstLineChars="200"/>
        <w:rPr>
          <w:rFonts w:ascii="宋体" w:hAnsi="宋体"/>
          <w:b/>
          <w:color w:val="auto"/>
          <w:spacing w:val="6"/>
          <w:sz w:val="28"/>
          <w:szCs w:val="28"/>
          <w:highlight w:val="none"/>
        </w:rPr>
      </w:pPr>
    </w:p>
    <w:p>
      <w:pPr>
        <w:tabs>
          <w:tab w:val="left" w:pos="3969"/>
        </w:tabs>
        <w:spacing w:line="500" w:lineRule="exact"/>
        <w:ind w:right="-58" w:firstLine="584" w:firstLineChars="200"/>
        <w:jc w:val="left"/>
        <w:rPr>
          <w:rFonts w:ascii="宋体" w:hAnsi="宋体"/>
          <w:color w:val="auto"/>
          <w:spacing w:val="6"/>
          <w:sz w:val="28"/>
          <w:szCs w:val="28"/>
          <w:highlight w:val="none"/>
        </w:rPr>
      </w:pPr>
      <w:r>
        <w:rPr>
          <w:rFonts w:hint="eastAsia" w:ascii="宋体" w:hAnsi="宋体"/>
          <w:color w:val="auto"/>
          <w:spacing w:val="6"/>
          <w:sz w:val="28"/>
          <w:szCs w:val="28"/>
          <w:highlight w:val="none"/>
        </w:rPr>
        <w:t>企业名称：</w:t>
      </w:r>
      <w:r>
        <w:rPr>
          <w:rFonts w:ascii="宋体" w:hAnsi="宋体"/>
          <w:color w:val="auto"/>
          <w:sz w:val="28"/>
          <w:szCs w:val="28"/>
          <w:highlight w:val="none"/>
          <w:u w:val="single"/>
        </w:rPr>
        <w:t>XXXX</w:t>
      </w:r>
      <w:r>
        <w:rPr>
          <w:rFonts w:ascii="宋体" w:hAnsi="宋体"/>
          <w:color w:val="auto"/>
          <w:spacing w:val="6"/>
          <w:sz w:val="28"/>
          <w:szCs w:val="28"/>
          <w:highlight w:val="none"/>
        </w:rPr>
        <w:t xml:space="preserve"> </w:t>
      </w:r>
    </w:p>
    <w:p>
      <w:pPr>
        <w:tabs>
          <w:tab w:val="left" w:pos="3969"/>
        </w:tabs>
        <w:spacing w:line="500" w:lineRule="exact"/>
        <w:ind w:right="-58" w:firstLine="584" w:firstLineChars="200"/>
        <w:jc w:val="left"/>
        <w:rPr>
          <w:color w:val="auto"/>
          <w:sz w:val="28"/>
          <w:szCs w:val="28"/>
          <w:highlight w:val="none"/>
        </w:rPr>
      </w:pPr>
      <w:r>
        <w:rPr>
          <w:rFonts w:hint="eastAsia" w:ascii="宋体" w:hAnsi="宋体"/>
          <w:color w:val="auto"/>
          <w:spacing w:val="6"/>
          <w:sz w:val="28"/>
          <w:szCs w:val="28"/>
          <w:highlight w:val="none"/>
        </w:rPr>
        <w:t>日</w:t>
      </w:r>
      <w:r>
        <w:rPr>
          <w:rFonts w:ascii="宋体" w:hAnsi="宋体"/>
          <w:color w:val="auto"/>
          <w:spacing w:val="6"/>
          <w:sz w:val="28"/>
          <w:szCs w:val="28"/>
          <w:highlight w:val="none"/>
        </w:rPr>
        <w:t xml:space="preserve">  </w:t>
      </w:r>
      <w:r>
        <w:rPr>
          <w:rFonts w:hint="eastAsia" w:ascii="宋体" w:hAnsi="宋体"/>
          <w:color w:val="auto"/>
          <w:spacing w:val="6"/>
          <w:sz w:val="28"/>
          <w:szCs w:val="28"/>
          <w:highlight w:val="none"/>
        </w:rPr>
        <w:t>期：</w:t>
      </w:r>
      <w:r>
        <w:rPr>
          <w:rFonts w:ascii="宋体" w:hAnsi="宋体"/>
          <w:color w:val="auto"/>
          <w:sz w:val="28"/>
          <w:szCs w:val="28"/>
          <w:highlight w:val="none"/>
        </w:rPr>
        <w:t>20</w:t>
      </w:r>
      <w:r>
        <w:rPr>
          <w:rFonts w:ascii="宋体" w:hAnsi="宋体"/>
          <w:color w:val="auto"/>
          <w:sz w:val="28"/>
          <w:szCs w:val="28"/>
          <w:highlight w:val="none"/>
          <w:u w:val="single"/>
        </w:rPr>
        <w:t>XX</w:t>
      </w:r>
      <w:r>
        <w:rPr>
          <w:rFonts w:ascii="宋体" w:hAnsi="宋体"/>
          <w:color w:val="auto"/>
          <w:sz w:val="28"/>
          <w:szCs w:val="28"/>
          <w:highlight w:val="none"/>
        </w:rPr>
        <w:t>年</w:t>
      </w:r>
      <w:r>
        <w:rPr>
          <w:rFonts w:ascii="宋体" w:hAnsi="宋体"/>
          <w:color w:val="auto"/>
          <w:sz w:val="28"/>
          <w:szCs w:val="28"/>
          <w:highlight w:val="none"/>
          <w:u w:val="single"/>
        </w:rPr>
        <w:t>XX</w:t>
      </w:r>
      <w:r>
        <w:rPr>
          <w:rFonts w:ascii="宋体" w:hAnsi="宋体"/>
          <w:color w:val="auto"/>
          <w:sz w:val="28"/>
          <w:szCs w:val="28"/>
          <w:highlight w:val="none"/>
        </w:rPr>
        <w:t>月</w:t>
      </w:r>
      <w:r>
        <w:rPr>
          <w:rFonts w:ascii="宋体" w:hAnsi="宋体"/>
          <w:color w:val="auto"/>
          <w:sz w:val="28"/>
          <w:szCs w:val="28"/>
          <w:highlight w:val="none"/>
          <w:u w:val="single"/>
        </w:rPr>
        <w:t>XX</w:t>
      </w:r>
      <w:r>
        <w:rPr>
          <w:rFonts w:ascii="宋体" w:hAnsi="宋体"/>
          <w:color w:val="auto"/>
          <w:sz w:val="28"/>
          <w:szCs w:val="28"/>
          <w:highlight w:val="none"/>
        </w:rPr>
        <w:t>日</w:t>
      </w:r>
    </w:p>
    <w:p>
      <w:pPr>
        <w:pStyle w:val="88"/>
        <w:tabs>
          <w:tab w:val="left" w:pos="567"/>
          <w:tab w:val="left" w:pos="709"/>
          <w:tab w:val="left" w:pos="851"/>
        </w:tabs>
        <w:spacing w:before="60" w:line="360" w:lineRule="auto"/>
        <w:ind w:firstLine="562"/>
        <w:rPr>
          <w:rFonts w:ascii="宋体" w:hAnsi="宋体"/>
          <w:b/>
          <w:color w:val="auto"/>
          <w:sz w:val="28"/>
          <w:szCs w:val="28"/>
          <w:highlight w:val="none"/>
        </w:rPr>
      </w:pPr>
      <w:r>
        <w:rPr>
          <w:rFonts w:hint="eastAsia" w:ascii="宋体" w:hAnsi="宋体"/>
          <w:b/>
          <w:color w:val="auto"/>
          <w:kern w:val="0"/>
          <w:sz w:val="28"/>
          <w:szCs w:val="28"/>
          <w:highlight w:val="none"/>
        </w:rPr>
        <w:t>说明：</w:t>
      </w:r>
      <w:r>
        <w:rPr>
          <w:rFonts w:ascii="宋体" w:hAnsi="宋体"/>
          <w:b/>
          <w:color w:val="auto"/>
          <w:sz w:val="28"/>
          <w:szCs w:val="28"/>
          <w:highlight w:val="none"/>
        </w:rPr>
        <w:t>从业人员、营业收入、资产总额填报上</w:t>
      </w:r>
      <w:r>
        <w:rPr>
          <w:rFonts w:hint="eastAsia" w:ascii="宋体" w:hAnsi="宋体"/>
          <w:b/>
          <w:color w:val="auto"/>
          <w:sz w:val="28"/>
          <w:szCs w:val="28"/>
          <w:highlight w:val="none"/>
        </w:rPr>
        <w:t>一</w:t>
      </w:r>
      <w:r>
        <w:rPr>
          <w:rFonts w:ascii="宋体" w:hAnsi="宋体"/>
          <w:b/>
          <w:color w:val="auto"/>
          <w:sz w:val="28"/>
          <w:szCs w:val="28"/>
          <w:highlight w:val="none"/>
        </w:rPr>
        <w:t>年度数据，无上一年度</w:t>
      </w:r>
      <w:r>
        <w:rPr>
          <w:rFonts w:hint="eastAsia" w:ascii="宋体" w:hAnsi="宋体"/>
          <w:b/>
          <w:color w:val="auto"/>
          <w:sz w:val="28"/>
          <w:szCs w:val="28"/>
          <w:highlight w:val="none"/>
        </w:rPr>
        <w:t>数据</w:t>
      </w:r>
      <w:r>
        <w:rPr>
          <w:rFonts w:ascii="宋体" w:hAnsi="宋体"/>
          <w:b/>
          <w:color w:val="auto"/>
          <w:sz w:val="28"/>
          <w:szCs w:val="28"/>
          <w:highlight w:val="none"/>
        </w:rPr>
        <w:t>的新成立企业可不填报。</w:t>
      </w:r>
    </w:p>
    <w:p>
      <w:pPr>
        <w:pStyle w:val="88"/>
        <w:tabs>
          <w:tab w:val="left" w:pos="567"/>
          <w:tab w:val="left" w:pos="709"/>
          <w:tab w:val="left" w:pos="851"/>
        </w:tabs>
        <w:spacing w:line="500" w:lineRule="exact"/>
        <w:ind w:firstLine="548" w:firstLineChars="195"/>
        <w:rPr>
          <w:rFonts w:ascii="宋体" w:hAnsi="宋体"/>
          <w:b/>
          <w:color w:val="auto"/>
          <w:kern w:val="0"/>
          <w:sz w:val="28"/>
          <w:szCs w:val="28"/>
          <w:highlight w:val="none"/>
        </w:rPr>
      </w:pPr>
    </w:p>
    <w:p>
      <w:pPr>
        <w:tabs>
          <w:tab w:val="left" w:pos="567"/>
          <w:tab w:val="left" w:pos="709"/>
          <w:tab w:val="left" w:pos="851"/>
        </w:tabs>
        <w:spacing w:line="500" w:lineRule="exact"/>
        <w:rPr>
          <w:rFonts w:ascii="宋体" w:hAnsi="宋体"/>
          <w:b/>
          <w:color w:val="auto"/>
          <w:kern w:val="0"/>
          <w:sz w:val="28"/>
          <w:szCs w:val="28"/>
          <w:highlight w:val="none"/>
        </w:rPr>
      </w:pPr>
    </w:p>
    <w:p>
      <w:pPr>
        <w:pStyle w:val="5"/>
        <w:numPr>
          <w:ilvl w:val="2"/>
          <w:numId w:val="4"/>
        </w:numPr>
        <w:spacing w:after="200" w:line="240" w:lineRule="auto"/>
        <w:ind w:left="851"/>
        <w:rPr>
          <w:color w:val="auto"/>
          <w:highlight w:val="none"/>
        </w:rPr>
      </w:pPr>
      <w:r>
        <w:rPr>
          <w:rFonts w:hint="eastAsia"/>
          <w:color w:val="auto"/>
          <w:highlight w:val="none"/>
        </w:rPr>
        <w:t>残疾人福利性单位声明函</w:t>
      </w:r>
    </w:p>
    <w:p>
      <w:pPr>
        <w:spacing w:line="500" w:lineRule="exact"/>
        <w:jc w:val="center"/>
        <w:rPr>
          <w:rFonts w:ascii="宋体" w:hAnsi="宋体"/>
          <w:b/>
          <w:color w:val="auto"/>
          <w:spacing w:val="6"/>
          <w:sz w:val="28"/>
          <w:szCs w:val="28"/>
          <w:highlight w:val="none"/>
        </w:rPr>
      </w:pPr>
      <w:r>
        <w:rPr>
          <w:rFonts w:hint="eastAsia" w:ascii="宋体" w:hAnsi="宋体"/>
          <w:b/>
          <w:color w:val="auto"/>
          <w:spacing w:val="6"/>
          <w:sz w:val="28"/>
          <w:szCs w:val="28"/>
          <w:highlight w:val="none"/>
        </w:rPr>
        <w:t>残疾人福利性单位声明函</w:t>
      </w:r>
    </w:p>
    <w:p>
      <w:pPr>
        <w:spacing w:line="440" w:lineRule="exact"/>
        <w:rPr>
          <w:rFonts w:ascii="仿宋_GB2312" w:eastAsia="仿宋_GB2312"/>
          <w:b/>
          <w:color w:val="auto"/>
          <w:spacing w:val="6"/>
          <w:sz w:val="30"/>
          <w:szCs w:val="30"/>
          <w:highlight w:val="none"/>
        </w:rPr>
      </w:pPr>
    </w:p>
    <w:p>
      <w:pPr>
        <w:tabs>
          <w:tab w:val="left" w:pos="1134"/>
        </w:tabs>
        <w:spacing w:line="500" w:lineRule="exact"/>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color w:val="auto"/>
          <w:spacing w:val="6"/>
          <w:sz w:val="28"/>
          <w:szCs w:val="28"/>
          <w:highlight w:val="none"/>
          <w:u w:val="single"/>
        </w:rPr>
        <w:t>XXXX</w:t>
      </w:r>
      <w:r>
        <w:rPr>
          <w:rFonts w:hint="eastAsia" w:ascii="宋体" w:hAnsi="宋体"/>
          <w:color w:val="auto"/>
          <w:spacing w:val="6"/>
          <w:sz w:val="28"/>
          <w:szCs w:val="28"/>
          <w:highlight w:val="none"/>
        </w:rPr>
        <w:t>单位的</w:t>
      </w:r>
      <w:r>
        <w:rPr>
          <w:rFonts w:hint="eastAsia" w:ascii="宋体" w:hAnsi="宋体"/>
          <w:color w:val="auto"/>
          <w:spacing w:val="6"/>
          <w:sz w:val="28"/>
          <w:szCs w:val="28"/>
          <w:highlight w:val="none"/>
          <w:u w:val="single"/>
        </w:rPr>
        <w:t>XXXX</w:t>
      </w:r>
      <w:r>
        <w:rPr>
          <w:rFonts w:hint="eastAsia" w:ascii="宋体" w:hAnsi="宋体"/>
          <w:color w:val="auto"/>
          <w:spacing w:val="6"/>
          <w:sz w:val="28"/>
          <w:szCs w:val="28"/>
          <w:highlight w:val="none"/>
        </w:rPr>
        <w:t>项目采购活动由本单位提供服务。</w:t>
      </w:r>
    </w:p>
    <w:p>
      <w:pPr>
        <w:tabs>
          <w:tab w:val="left" w:pos="1134"/>
        </w:tabs>
        <w:spacing w:line="500" w:lineRule="exact"/>
        <w:ind w:firstLine="584" w:firstLineChars="200"/>
        <w:rPr>
          <w:rFonts w:ascii="宋体" w:hAnsi="宋体"/>
          <w:color w:val="auto"/>
          <w:spacing w:val="6"/>
          <w:sz w:val="28"/>
          <w:szCs w:val="28"/>
          <w:highlight w:val="none"/>
        </w:rPr>
      </w:pPr>
      <w:r>
        <w:rPr>
          <w:rFonts w:hint="eastAsia" w:ascii="宋体" w:hAnsi="宋体"/>
          <w:color w:val="auto"/>
          <w:spacing w:val="6"/>
          <w:sz w:val="28"/>
          <w:szCs w:val="28"/>
          <w:highlight w:val="none"/>
        </w:rPr>
        <w:t>本单位对上述声明的真实性负责。如有虚假，将依法承担相应责任。</w:t>
      </w:r>
    </w:p>
    <w:p>
      <w:pPr>
        <w:overflowPunct w:val="0"/>
        <w:spacing w:line="520" w:lineRule="exact"/>
        <w:ind w:firstLine="560" w:firstLineChars="200"/>
        <w:rPr>
          <w:rFonts w:ascii="Times New Roman" w:hAnsi="Times New Roman" w:eastAsia="仿宋_GB2312"/>
          <w:bCs/>
          <w:color w:val="auto"/>
          <w:sz w:val="28"/>
          <w:szCs w:val="28"/>
          <w:highlight w:val="none"/>
        </w:rPr>
      </w:pPr>
    </w:p>
    <w:p>
      <w:pPr>
        <w:overflowPunct w:val="0"/>
        <w:spacing w:line="546" w:lineRule="exact"/>
        <w:ind w:firstLine="560" w:firstLineChars="200"/>
        <w:rPr>
          <w:rFonts w:ascii="Times New Roman" w:hAnsi="Times New Roman" w:eastAsia="仿宋_GB2312"/>
          <w:bCs/>
          <w:color w:val="auto"/>
          <w:sz w:val="28"/>
          <w:szCs w:val="28"/>
          <w:highlight w:val="none"/>
        </w:rPr>
      </w:pPr>
    </w:p>
    <w:p>
      <w:pPr>
        <w:overflowPunct w:val="0"/>
        <w:spacing w:line="546" w:lineRule="exact"/>
        <w:ind w:firstLine="560" w:firstLineChars="200"/>
        <w:rPr>
          <w:rFonts w:ascii="Times New Roman" w:hAnsi="Times New Roman" w:eastAsia="仿宋_GB2312"/>
          <w:bCs/>
          <w:color w:val="auto"/>
          <w:sz w:val="28"/>
          <w:szCs w:val="28"/>
          <w:highlight w:val="none"/>
        </w:rPr>
      </w:pPr>
    </w:p>
    <w:p>
      <w:pPr>
        <w:overflowPunct w:val="0"/>
        <w:spacing w:line="546" w:lineRule="exact"/>
        <w:ind w:firstLine="560" w:firstLineChars="200"/>
        <w:rPr>
          <w:rFonts w:ascii="Times New Roman" w:hAnsi="Times New Roman" w:eastAsia="仿宋_GB2312"/>
          <w:bCs/>
          <w:color w:val="auto"/>
          <w:sz w:val="28"/>
          <w:szCs w:val="28"/>
          <w:highlight w:val="none"/>
        </w:rPr>
      </w:pPr>
    </w:p>
    <w:p>
      <w:pPr>
        <w:overflowPunct w:val="0"/>
        <w:spacing w:line="546" w:lineRule="exact"/>
        <w:ind w:firstLine="560" w:firstLineChars="200"/>
        <w:rPr>
          <w:rFonts w:ascii="Times New Roman" w:hAnsi="Times New Roman" w:eastAsia="仿宋_GB2312"/>
          <w:bCs/>
          <w:color w:val="auto"/>
          <w:sz w:val="28"/>
          <w:szCs w:val="28"/>
          <w:highlight w:val="none"/>
        </w:rPr>
      </w:pPr>
    </w:p>
    <w:p>
      <w:pPr>
        <w:overflowPunct w:val="0"/>
        <w:spacing w:line="546" w:lineRule="exact"/>
        <w:ind w:firstLine="560" w:firstLineChars="200"/>
        <w:rPr>
          <w:rFonts w:ascii="Times New Roman" w:hAnsi="Times New Roman" w:eastAsia="仿宋_GB2312"/>
          <w:bCs/>
          <w:color w:val="auto"/>
          <w:sz w:val="28"/>
          <w:szCs w:val="28"/>
          <w:highlight w:val="none"/>
        </w:rPr>
      </w:pPr>
    </w:p>
    <w:p>
      <w:pPr>
        <w:overflowPunct w:val="0"/>
        <w:spacing w:line="546" w:lineRule="exact"/>
        <w:ind w:firstLine="560" w:firstLineChars="200"/>
        <w:rPr>
          <w:rFonts w:ascii="Times New Roman" w:hAnsi="Times New Roman" w:eastAsia="仿宋_GB2312"/>
          <w:bCs/>
          <w:color w:val="auto"/>
          <w:sz w:val="28"/>
          <w:szCs w:val="28"/>
          <w:highlight w:val="none"/>
        </w:rPr>
      </w:pPr>
    </w:p>
    <w:p>
      <w:pPr>
        <w:overflowPunct w:val="0"/>
        <w:spacing w:line="546" w:lineRule="exact"/>
        <w:ind w:firstLine="560" w:firstLineChars="200"/>
        <w:rPr>
          <w:rFonts w:ascii="Times New Roman" w:hAnsi="Times New Roman" w:eastAsia="仿宋_GB2312"/>
          <w:bCs/>
          <w:color w:val="auto"/>
          <w:sz w:val="28"/>
          <w:szCs w:val="28"/>
          <w:highlight w:val="none"/>
        </w:rPr>
      </w:pPr>
    </w:p>
    <w:p>
      <w:pPr>
        <w:tabs>
          <w:tab w:val="left" w:pos="3969"/>
        </w:tabs>
        <w:spacing w:line="500" w:lineRule="exact"/>
        <w:ind w:right="-58" w:firstLine="584" w:firstLineChars="200"/>
        <w:jc w:val="left"/>
        <w:rPr>
          <w:rFonts w:ascii="宋体" w:hAnsi="宋体"/>
          <w:color w:val="auto"/>
          <w:spacing w:val="6"/>
          <w:sz w:val="28"/>
          <w:szCs w:val="28"/>
          <w:highlight w:val="none"/>
        </w:rPr>
      </w:pPr>
      <w:r>
        <w:rPr>
          <w:rFonts w:hint="eastAsia" w:ascii="宋体" w:hAnsi="宋体"/>
          <w:color w:val="auto"/>
          <w:spacing w:val="6"/>
          <w:sz w:val="28"/>
          <w:szCs w:val="28"/>
          <w:highlight w:val="none"/>
        </w:rPr>
        <w:t>单位名称：</w:t>
      </w:r>
      <w:r>
        <w:rPr>
          <w:rFonts w:ascii="宋体" w:hAnsi="宋体"/>
          <w:color w:val="auto"/>
          <w:sz w:val="28"/>
          <w:szCs w:val="28"/>
          <w:highlight w:val="none"/>
          <w:u w:val="single"/>
        </w:rPr>
        <w:t>XXXX</w:t>
      </w:r>
      <w:r>
        <w:rPr>
          <w:rFonts w:ascii="宋体" w:hAnsi="宋体"/>
          <w:color w:val="auto"/>
          <w:spacing w:val="6"/>
          <w:sz w:val="28"/>
          <w:szCs w:val="28"/>
          <w:highlight w:val="none"/>
        </w:rPr>
        <w:t xml:space="preserve"> </w:t>
      </w:r>
    </w:p>
    <w:p>
      <w:pPr>
        <w:tabs>
          <w:tab w:val="left" w:pos="3969"/>
        </w:tabs>
        <w:spacing w:line="500" w:lineRule="exact"/>
        <w:ind w:right="-58" w:firstLine="584" w:firstLineChars="200"/>
        <w:jc w:val="left"/>
        <w:rPr>
          <w:color w:val="auto"/>
          <w:sz w:val="28"/>
          <w:szCs w:val="28"/>
          <w:highlight w:val="none"/>
        </w:rPr>
      </w:pPr>
      <w:r>
        <w:rPr>
          <w:rFonts w:hint="eastAsia" w:ascii="宋体" w:hAnsi="宋体"/>
          <w:color w:val="auto"/>
          <w:spacing w:val="6"/>
          <w:sz w:val="28"/>
          <w:szCs w:val="28"/>
          <w:highlight w:val="none"/>
        </w:rPr>
        <w:t>日</w:t>
      </w:r>
      <w:r>
        <w:rPr>
          <w:rFonts w:ascii="宋体" w:hAnsi="宋体"/>
          <w:color w:val="auto"/>
          <w:spacing w:val="6"/>
          <w:sz w:val="28"/>
          <w:szCs w:val="28"/>
          <w:highlight w:val="none"/>
        </w:rPr>
        <w:t xml:space="preserve">  </w:t>
      </w:r>
      <w:r>
        <w:rPr>
          <w:rFonts w:hint="eastAsia" w:ascii="宋体" w:hAnsi="宋体"/>
          <w:color w:val="auto"/>
          <w:spacing w:val="6"/>
          <w:sz w:val="28"/>
          <w:szCs w:val="28"/>
          <w:highlight w:val="none"/>
        </w:rPr>
        <w:t>期：</w:t>
      </w:r>
      <w:r>
        <w:rPr>
          <w:rFonts w:ascii="宋体" w:hAnsi="宋体"/>
          <w:color w:val="auto"/>
          <w:sz w:val="28"/>
          <w:szCs w:val="28"/>
          <w:highlight w:val="none"/>
        </w:rPr>
        <w:t>20</w:t>
      </w:r>
      <w:r>
        <w:rPr>
          <w:rFonts w:ascii="宋体" w:hAnsi="宋体"/>
          <w:color w:val="auto"/>
          <w:sz w:val="28"/>
          <w:szCs w:val="28"/>
          <w:highlight w:val="none"/>
          <w:u w:val="single"/>
        </w:rPr>
        <w:t>XX</w:t>
      </w:r>
      <w:r>
        <w:rPr>
          <w:rFonts w:ascii="宋体" w:hAnsi="宋体"/>
          <w:color w:val="auto"/>
          <w:sz w:val="28"/>
          <w:szCs w:val="28"/>
          <w:highlight w:val="none"/>
        </w:rPr>
        <w:t>年</w:t>
      </w:r>
      <w:r>
        <w:rPr>
          <w:rFonts w:ascii="宋体" w:hAnsi="宋体"/>
          <w:color w:val="auto"/>
          <w:sz w:val="28"/>
          <w:szCs w:val="28"/>
          <w:highlight w:val="none"/>
          <w:u w:val="single"/>
        </w:rPr>
        <w:t>XX</w:t>
      </w:r>
      <w:r>
        <w:rPr>
          <w:rFonts w:ascii="宋体" w:hAnsi="宋体"/>
          <w:color w:val="auto"/>
          <w:sz w:val="28"/>
          <w:szCs w:val="28"/>
          <w:highlight w:val="none"/>
        </w:rPr>
        <w:t>月</w:t>
      </w:r>
      <w:r>
        <w:rPr>
          <w:rFonts w:ascii="宋体" w:hAnsi="宋体"/>
          <w:color w:val="auto"/>
          <w:sz w:val="28"/>
          <w:szCs w:val="28"/>
          <w:highlight w:val="none"/>
          <w:u w:val="single"/>
        </w:rPr>
        <w:t>XX</w:t>
      </w:r>
      <w:r>
        <w:rPr>
          <w:rFonts w:ascii="宋体" w:hAnsi="宋体"/>
          <w:color w:val="auto"/>
          <w:sz w:val="28"/>
          <w:szCs w:val="28"/>
          <w:highlight w:val="none"/>
        </w:rPr>
        <w:t>日</w:t>
      </w:r>
    </w:p>
    <w:p>
      <w:pPr>
        <w:rPr>
          <w:color w:val="auto"/>
          <w:highlight w:val="none"/>
        </w:rPr>
      </w:pPr>
    </w:p>
    <w:p>
      <w:pPr>
        <w:rPr>
          <w:color w:val="auto"/>
          <w:highlight w:val="none"/>
        </w:rPr>
      </w:pPr>
      <w:r>
        <w:rPr>
          <w:rFonts w:hint="eastAsia"/>
          <w:color w:val="auto"/>
          <w:highlight w:val="none"/>
        </w:rPr>
        <w:br w:type="page"/>
      </w:r>
    </w:p>
    <w:p>
      <w:pPr>
        <w:pStyle w:val="5"/>
        <w:numPr>
          <w:ilvl w:val="2"/>
          <w:numId w:val="4"/>
        </w:numPr>
        <w:spacing w:after="200" w:line="240" w:lineRule="auto"/>
        <w:ind w:left="0" w:firstLine="0"/>
        <w:rPr>
          <w:color w:val="auto"/>
          <w:highlight w:val="none"/>
        </w:rPr>
      </w:pPr>
      <w:r>
        <w:rPr>
          <w:rFonts w:hint="eastAsia"/>
          <w:color w:val="auto"/>
          <w:highlight w:val="none"/>
        </w:rPr>
        <w:t>投标人应提交的相关资格证明材料</w:t>
      </w:r>
    </w:p>
    <w:p>
      <w:pPr>
        <w:ind w:firstLine="560" w:firstLineChars="200"/>
        <w:rPr>
          <w:color w:val="auto"/>
          <w:sz w:val="28"/>
          <w:szCs w:val="28"/>
          <w:highlight w:val="none"/>
        </w:rPr>
      </w:pPr>
      <w:r>
        <w:rPr>
          <w:rFonts w:hint="eastAsia"/>
          <w:color w:val="auto"/>
          <w:sz w:val="28"/>
          <w:szCs w:val="28"/>
          <w:highlight w:val="none"/>
        </w:rPr>
        <w:t>投标人按招标文件要求，应提供以下相关资格证明材料：</w:t>
      </w:r>
    </w:p>
    <w:p>
      <w:pPr>
        <w:numPr>
          <w:ilvl w:val="0"/>
          <w:numId w:val="35"/>
        </w:numPr>
        <w:tabs>
          <w:tab w:val="left" w:pos="709"/>
        </w:tabs>
        <w:ind w:left="0" w:firstLine="546"/>
        <w:rPr>
          <w:rFonts w:ascii="宋体" w:hAnsi="宋体"/>
          <w:color w:val="auto"/>
          <w:kern w:val="0"/>
          <w:sz w:val="28"/>
          <w:szCs w:val="28"/>
          <w:highlight w:val="none"/>
        </w:rPr>
      </w:pPr>
      <w:r>
        <w:rPr>
          <w:rFonts w:hint="eastAsia" w:ascii="宋体" w:hAnsi="宋体"/>
          <w:color w:val="auto"/>
          <w:kern w:val="0"/>
          <w:sz w:val="28"/>
          <w:szCs w:val="28"/>
          <w:highlight w:val="none"/>
        </w:rPr>
        <w:t>由省级以上监狱管理局、戒毒管理局（含新疆生产建设兵团）出具的投标产品生产厂商属于监狱企业的证明文件复印件（说明：提供了《中小企业声明函》或《残疾人福利性单位声明函》的不需提供）；</w:t>
      </w:r>
    </w:p>
    <w:p>
      <w:pPr>
        <w:numPr>
          <w:ilvl w:val="0"/>
          <w:numId w:val="35"/>
        </w:numPr>
        <w:tabs>
          <w:tab w:val="left" w:pos="709"/>
        </w:tabs>
        <w:ind w:left="0" w:firstLine="546"/>
        <w:rPr>
          <w:rFonts w:ascii="宋体" w:hAnsi="宋体"/>
          <w:color w:val="auto"/>
          <w:kern w:val="0"/>
          <w:sz w:val="28"/>
          <w:szCs w:val="28"/>
          <w:highlight w:val="none"/>
        </w:rPr>
      </w:pPr>
      <w:r>
        <w:rPr>
          <w:rFonts w:hint="eastAsia" w:ascii="宋体" w:hAnsi="宋体"/>
          <w:color w:val="auto"/>
          <w:kern w:val="0"/>
          <w:sz w:val="28"/>
          <w:szCs w:val="28"/>
          <w:highlight w:val="none"/>
        </w:rPr>
        <w:t>营业执照复印件（正本或副本）或法人证书复印件（正本或副本）；</w:t>
      </w:r>
    </w:p>
    <w:p>
      <w:pPr>
        <w:numPr>
          <w:ilvl w:val="0"/>
          <w:numId w:val="35"/>
        </w:numPr>
        <w:tabs>
          <w:tab w:val="left" w:pos="709"/>
        </w:tabs>
        <w:ind w:left="0" w:firstLine="546"/>
        <w:rPr>
          <w:rFonts w:ascii="宋体" w:hAnsi="宋体"/>
          <w:color w:val="auto"/>
          <w:kern w:val="0"/>
          <w:sz w:val="28"/>
          <w:szCs w:val="28"/>
          <w:highlight w:val="none"/>
        </w:rPr>
      </w:pPr>
      <w:r>
        <w:rPr>
          <w:rFonts w:hint="eastAsia" w:ascii="宋体" w:hAnsi="宋体"/>
          <w:color w:val="auto"/>
          <w:kern w:val="0"/>
          <w:sz w:val="28"/>
          <w:szCs w:val="28"/>
          <w:highlight w:val="none"/>
        </w:rPr>
        <w:t>2019或2020会计年度资产负债表复印件（说明：投标人成立时间至递交投标文件截止时间止不足一年的，提供成立后任意时段的资产负债表复印件）；</w:t>
      </w:r>
    </w:p>
    <w:p>
      <w:pPr>
        <w:numPr>
          <w:ilvl w:val="0"/>
          <w:numId w:val="35"/>
        </w:numPr>
        <w:tabs>
          <w:tab w:val="left" w:pos="1134"/>
        </w:tabs>
        <w:ind w:left="0" w:firstLine="546"/>
        <w:rPr>
          <w:rFonts w:ascii="宋体" w:hAnsi="宋体"/>
          <w:color w:val="auto"/>
          <w:kern w:val="0"/>
          <w:sz w:val="28"/>
          <w:szCs w:val="28"/>
          <w:highlight w:val="none"/>
        </w:rPr>
      </w:pPr>
      <w:r>
        <w:rPr>
          <w:rFonts w:hint="eastAsia" w:ascii="宋体" w:hAnsi="宋体"/>
          <w:color w:val="auto"/>
          <w:kern w:val="0"/>
          <w:sz w:val="28"/>
          <w:szCs w:val="28"/>
          <w:highlight w:val="none"/>
        </w:rPr>
        <w:t>投标人缴纳2020年或2021年任意时段的税收的银行电子回单或者行政部门出具的纳税证明或完税证明复印件；</w:t>
      </w:r>
    </w:p>
    <w:p>
      <w:pPr>
        <w:numPr>
          <w:ilvl w:val="0"/>
          <w:numId w:val="35"/>
        </w:numPr>
        <w:tabs>
          <w:tab w:val="left" w:pos="1134"/>
        </w:tabs>
        <w:ind w:left="0" w:firstLine="546"/>
        <w:rPr>
          <w:rFonts w:ascii="宋体" w:hAnsi="宋体"/>
          <w:color w:val="auto"/>
          <w:kern w:val="0"/>
          <w:sz w:val="28"/>
          <w:szCs w:val="28"/>
          <w:highlight w:val="none"/>
        </w:rPr>
      </w:pPr>
      <w:r>
        <w:rPr>
          <w:rFonts w:hint="eastAsia" w:ascii="宋体" w:hAnsi="宋体"/>
          <w:color w:val="auto"/>
          <w:kern w:val="0"/>
          <w:sz w:val="28"/>
          <w:szCs w:val="28"/>
          <w:highlight w:val="none"/>
        </w:rPr>
        <w:t>采购人对投标人履行合同所必须的设备和专业技术能力无其他特殊要求，投标人具有有效的营业执照或法人证书即可，可不提供其他证明材料；</w:t>
      </w:r>
    </w:p>
    <w:p>
      <w:pPr>
        <w:numPr>
          <w:ilvl w:val="0"/>
          <w:numId w:val="35"/>
        </w:numPr>
        <w:tabs>
          <w:tab w:val="left" w:pos="1134"/>
        </w:tabs>
        <w:ind w:left="0" w:firstLine="546"/>
        <w:rPr>
          <w:rFonts w:ascii="宋体" w:hAnsi="宋体"/>
          <w:color w:val="auto"/>
          <w:kern w:val="0"/>
          <w:sz w:val="28"/>
          <w:szCs w:val="28"/>
          <w:highlight w:val="none"/>
        </w:rPr>
      </w:pPr>
      <w:r>
        <w:rPr>
          <w:rFonts w:hint="eastAsia" w:ascii="宋体" w:hAnsi="宋体"/>
          <w:color w:val="auto"/>
          <w:kern w:val="0"/>
          <w:sz w:val="28"/>
          <w:szCs w:val="28"/>
          <w:highlight w:val="none"/>
        </w:rPr>
        <w:t>投标人缴纳2020年或2021年任意时段的社保的银行电子回单或行政部门出具的社保缴纳证明材料复印件；</w:t>
      </w:r>
    </w:p>
    <w:p>
      <w:pPr>
        <w:numPr>
          <w:ilvl w:val="0"/>
          <w:numId w:val="35"/>
        </w:numPr>
        <w:tabs>
          <w:tab w:val="left" w:pos="1134"/>
        </w:tabs>
        <w:ind w:left="0" w:firstLine="546"/>
        <w:rPr>
          <w:rFonts w:ascii="宋体" w:hAnsi="宋体"/>
          <w:color w:val="auto"/>
          <w:kern w:val="0"/>
          <w:sz w:val="28"/>
          <w:szCs w:val="28"/>
          <w:highlight w:val="none"/>
        </w:rPr>
      </w:pPr>
      <w:r>
        <w:rPr>
          <w:rFonts w:hint="eastAsia" w:ascii="宋体" w:hAnsi="宋体"/>
          <w:color w:val="auto"/>
          <w:kern w:val="0"/>
          <w:sz w:val="28"/>
          <w:szCs w:val="28"/>
          <w:highlight w:val="none"/>
        </w:rPr>
        <w:t>采购人对法律、行政法规规定的其他条件无其他特殊要求，投标人具有有效的营业执照或法人证书即可，可不提供其他证明材料。</w:t>
      </w:r>
    </w:p>
    <w:p>
      <w:pPr>
        <w:pStyle w:val="51"/>
        <w:rPr>
          <w:color w:val="auto"/>
          <w:highlight w:val="none"/>
        </w:rPr>
      </w:pPr>
    </w:p>
    <w:p>
      <w:pPr>
        <w:rPr>
          <w:color w:val="auto"/>
          <w:highlight w:val="none"/>
        </w:rPr>
      </w:pPr>
      <w:r>
        <w:rPr>
          <w:color w:val="auto"/>
          <w:highlight w:val="none"/>
        </w:rPr>
        <w:br w:type="page"/>
      </w:r>
    </w:p>
    <w:p>
      <w:pPr>
        <w:pStyle w:val="4"/>
        <w:numPr>
          <w:ilvl w:val="1"/>
          <w:numId w:val="4"/>
        </w:numPr>
        <w:spacing w:before="0" w:after="0" w:line="240" w:lineRule="auto"/>
        <w:ind w:left="2269" w:hanging="2269"/>
        <w:rPr>
          <w:color w:val="auto"/>
          <w:highlight w:val="none"/>
        </w:rPr>
      </w:pPr>
      <w:bookmarkStart w:id="208" w:name="_Toc29848"/>
      <w:r>
        <w:rPr>
          <w:rFonts w:hint="eastAsia"/>
          <w:color w:val="auto"/>
          <w:highlight w:val="none"/>
        </w:rPr>
        <w:t>商务技术</w:t>
      </w:r>
      <w:r>
        <w:rPr>
          <w:color w:val="auto"/>
          <w:highlight w:val="none"/>
        </w:rPr>
        <w:t>响应文件</w:t>
      </w:r>
      <w:bookmarkEnd w:id="208"/>
    </w:p>
    <w:p>
      <w:pPr>
        <w:pStyle w:val="5"/>
        <w:numPr>
          <w:ilvl w:val="2"/>
          <w:numId w:val="4"/>
        </w:numPr>
        <w:spacing w:after="200" w:line="240" w:lineRule="auto"/>
        <w:ind w:left="851"/>
        <w:rPr>
          <w:color w:val="auto"/>
          <w:highlight w:val="none"/>
        </w:rPr>
      </w:pPr>
      <w:r>
        <w:rPr>
          <w:rFonts w:hint="eastAsia"/>
          <w:color w:val="auto"/>
          <w:highlight w:val="none"/>
        </w:rPr>
        <w:t>投标函</w:t>
      </w:r>
      <w:bookmarkEnd w:id="197"/>
    </w:p>
    <w:p>
      <w:pPr>
        <w:pStyle w:val="26"/>
        <w:spacing w:after="0" w:line="500" w:lineRule="exact"/>
        <w:ind w:left="0" w:leftChars="0"/>
        <w:rPr>
          <w:rFonts w:ascii="宋体" w:hAnsi="宋体"/>
          <w:bCs/>
          <w:color w:val="auto"/>
          <w:sz w:val="28"/>
          <w:szCs w:val="28"/>
          <w:highlight w:val="none"/>
        </w:rPr>
      </w:pPr>
      <w:r>
        <w:rPr>
          <w:rFonts w:hint="eastAsia" w:ascii="宋体" w:hAnsi="宋体"/>
          <w:bCs/>
          <w:color w:val="auto"/>
          <w:sz w:val="28"/>
          <w:szCs w:val="28"/>
          <w:highlight w:val="none"/>
        </w:rPr>
        <w:t>成都高新区政府采购服务中心：</w:t>
      </w:r>
    </w:p>
    <w:p>
      <w:pPr>
        <w:pStyle w:val="26"/>
        <w:spacing w:after="0" w:line="500" w:lineRule="exact"/>
        <w:ind w:left="0" w:leftChars="0" w:firstLine="560" w:firstLineChars="200"/>
        <w:rPr>
          <w:rFonts w:ascii="宋体" w:hAnsi="宋体"/>
          <w:bCs/>
          <w:color w:val="auto"/>
          <w:sz w:val="28"/>
          <w:szCs w:val="28"/>
          <w:highlight w:val="none"/>
        </w:rPr>
      </w:pPr>
      <w:r>
        <w:rPr>
          <w:rFonts w:hint="eastAsia" w:ascii="宋体" w:hAnsi="宋体"/>
          <w:bCs/>
          <w:color w:val="auto"/>
          <w:sz w:val="28"/>
          <w:szCs w:val="28"/>
          <w:highlight w:val="none"/>
        </w:rPr>
        <w:t>我方全面研究了</w:t>
      </w:r>
      <w:r>
        <w:rPr>
          <w:rFonts w:hint="eastAsia" w:ascii="宋体" w:hAnsi="宋体"/>
          <w:b/>
          <w:color w:val="auto"/>
          <w:sz w:val="28"/>
          <w:szCs w:val="28"/>
          <w:highlight w:val="none"/>
          <w:u w:val="single"/>
        </w:rPr>
        <w:t>成都高新区芳草小学物业管理服务采购项目</w:t>
      </w:r>
      <w:r>
        <w:rPr>
          <w:rFonts w:hint="eastAsia" w:ascii="宋体" w:hAnsi="宋体"/>
          <w:b/>
          <w:bCs/>
          <w:color w:val="auto"/>
          <w:sz w:val="28"/>
          <w:szCs w:val="28"/>
          <w:highlight w:val="none"/>
          <w:u w:val="single"/>
        </w:rPr>
        <w:t>（项目编号：</w:t>
      </w:r>
      <w:r>
        <w:rPr>
          <w:rFonts w:hint="eastAsia" w:ascii="宋体" w:hAnsi="宋体"/>
          <w:b/>
          <w:bCs/>
          <w:color w:val="auto"/>
          <w:sz w:val="28"/>
          <w:szCs w:val="28"/>
          <w:highlight w:val="none"/>
          <w:u w:val="single"/>
          <w:lang w:eastAsia="zh-CN"/>
        </w:rPr>
        <w:t>成都高新技术产业开发区政采（2021）A0045号</w:t>
      </w:r>
      <w:r>
        <w:rPr>
          <w:rFonts w:hint="eastAsia" w:ascii="宋体" w:hAnsi="宋体"/>
          <w:b/>
          <w:bCs/>
          <w:color w:val="auto"/>
          <w:sz w:val="28"/>
          <w:szCs w:val="28"/>
          <w:highlight w:val="none"/>
          <w:u w:val="single"/>
        </w:rPr>
        <w:t>）</w:t>
      </w:r>
      <w:r>
        <w:rPr>
          <w:rFonts w:hint="eastAsia" w:ascii="宋体" w:hAnsi="宋体"/>
          <w:bCs/>
          <w:color w:val="auto"/>
          <w:sz w:val="28"/>
          <w:szCs w:val="28"/>
          <w:highlight w:val="none"/>
        </w:rPr>
        <w:t>招标文件，决定参加贵单位组织的本项目的投标。我方授权</w:t>
      </w:r>
      <w:r>
        <w:rPr>
          <w:rFonts w:hint="eastAsia" w:ascii="宋体" w:hAnsi="宋体"/>
          <w:bCs/>
          <w:color w:val="auto"/>
          <w:sz w:val="28"/>
          <w:szCs w:val="28"/>
          <w:highlight w:val="none"/>
          <w:u w:val="single"/>
        </w:rPr>
        <w:t>XXX（姓名、职务）</w:t>
      </w:r>
      <w:r>
        <w:rPr>
          <w:rFonts w:hint="eastAsia" w:ascii="宋体" w:hAnsi="宋体"/>
          <w:bCs/>
          <w:color w:val="auto"/>
          <w:sz w:val="28"/>
          <w:szCs w:val="28"/>
          <w:highlight w:val="none"/>
        </w:rPr>
        <w:t>代表我方</w:t>
      </w:r>
      <w:r>
        <w:rPr>
          <w:rFonts w:hint="eastAsia" w:ascii="宋体" w:hAnsi="宋体"/>
          <w:bCs/>
          <w:color w:val="auto"/>
          <w:sz w:val="28"/>
          <w:szCs w:val="28"/>
          <w:highlight w:val="none"/>
          <w:u w:val="single"/>
        </w:rPr>
        <w:t>XXX（投标人名称）</w:t>
      </w:r>
      <w:r>
        <w:rPr>
          <w:rFonts w:hint="eastAsia" w:ascii="宋体" w:hAnsi="宋体"/>
          <w:bCs/>
          <w:color w:val="auto"/>
          <w:sz w:val="28"/>
          <w:szCs w:val="28"/>
          <w:highlight w:val="none"/>
        </w:rPr>
        <w:t>全权处理本项目投标的有关事宜。</w:t>
      </w:r>
    </w:p>
    <w:p>
      <w:pPr>
        <w:numPr>
          <w:ilvl w:val="1"/>
          <w:numId w:val="36"/>
        </w:numPr>
        <w:tabs>
          <w:tab w:val="left" w:pos="1134"/>
        </w:tabs>
        <w:spacing w:after="200" w:line="500" w:lineRule="exact"/>
        <w:ind w:left="0" w:firstLine="567"/>
        <w:rPr>
          <w:rFonts w:ascii="宋体" w:hAnsi="宋体"/>
          <w:color w:val="auto"/>
          <w:sz w:val="28"/>
          <w:szCs w:val="28"/>
          <w:highlight w:val="none"/>
        </w:rPr>
      </w:pPr>
      <w:r>
        <w:rPr>
          <w:rFonts w:hint="eastAsia" w:ascii="宋体" w:hAnsi="宋体"/>
          <w:color w:val="auto"/>
          <w:sz w:val="28"/>
          <w:szCs w:val="28"/>
          <w:highlight w:val="none"/>
        </w:rPr>
        <w:t>我方自愿按照招标文件规定的各项要求向采购人提供所需服务，</w:t>
      </w:r>
      <w:r>
        <w:rPr>
          <w:rFonts w:hint="eastAsia" w:ascii="宋体" w:hAnsi="宋体"/>
          <w:b/>
          <w:color w:val="auto"/>
          <w:sz w:val="28"/>
          <w:szCs w:val="28"/>
          <w:highlight w:val="none"/>
        </w:rPr>
        <w:t>投标报价以《开标一览表》为准</w:t>
      </w:r>
      <w:r>
        <w:rPr>
          <w:rFonts w:hint="eastAsia" w:ascii="宋体" w:hAnsi="宋体"/>
          <w:color w:val="auto"/>
          <w:sz w:val="28"/>
          <w:szCs w:val="28"/>
          <w:highlight w:val="none"/>
        </w:rPr>
        <w:t>。</w:t>
      </w:r>
    </w:p>
    <w:p>
      <w:pPr>
        <w:numPr>
          <w:ilvl w:val="1"/>
          <w:numId w:val="36"/>
        </w:numPr>
        <w:tabs>
          <w:tab w:val="left" w:pos="1134"/>
        </w:tabs>
        <w:spacing w:after="200" w:line="500" w:lineRule="exact"/>
        <w:ind w:left="0" w:firstLine="567"/>
        <w:rPr>
          <w:rFonts w:ascii="宋体" w:hAnsi="宋体"/>
          <w:color w:val="auto"/>
          <w:sz w:val="28"/>
          <w:szCs w:val="28"/>
          <w:highlight w:val="none"/>
        </w:rPr>
      </w:pPr>
      <w:r>
        <w:rPr>
          <w:rFonts w:hint="eastAsia" w:ascii="宋体" w:hAnsi="宋体"/>
          <w:color w:val="auto"/>
          <w:sz w:val="28"/>
          <w:szCs w:val="28"/>
          <w:highlight w:val="none"/>
        </w:rPr>
        <w:t>如果我方中标，我方将严格履行合同规定的责任和义务，否则将承担由此产生的一切责任。</w:t>
      </w:r>
    </w:p>
    <w:p>
      <w:pPr>
        <w:numPr>
          <w:ilvl w:val="1"/>
          <w:numId w:val="36"/>
        </w:numPr>
        <w:tabs>
          <w:tab w:val="left" w:pos="1134"/>
        </w:tabs>
        <w:spacing w:after="200" w:line="500" w:lineRule="exact"/>
        <w:ind w:left="0" w:firstLine="567"/>
        <w:rPr>
          <w:rFonts w:ascii="宋体" w:hAnsi="宋体"/>
          <w:color w:val="auto"/>
          <w:sz w:val="28"/>
          <w:szCs w:val="28"/>
          <w:highlight w:val="none"/>
        </w:rPr>
      </w:pPr>
      <w:r>
        <w:rPr>
          <w:rFonts w:hint="eastAsia" w:ascii="宋体" w:hAnsi="宋体"/>
          <w:color w:val="auto"/>
          <w:sz w:val="28"/>
          <w:szCs w:val="28"/>
          <w:highlight w:val="none"/>
        </w:rPr>
        <w:t>我方已知晓全部招标文件的内容，包括修改文件（如有）以及全部相关资料和有关附件，并对上述文件均无异议。</w:t>
      </w:r>
    </w:p>
    <w:p>
      <w:pPr>
        <w:numPr>
          <w:ilvl w:val="1"/>
          <w:numId w:val="36"/>
        </w:numPr>
        <w:tabs>
          <w:tab w:val="left" w:pos="1134"/>
        </w:tabs>
        <w:spacing w:after="200" w:line="500" w:lineRule="exact"/>
        <w:ind w:left="0" w:firstLine="567"/>
        <w:rPr>
          <w:rFonts w:ascii="宋体" w:hAnsi="宋体"/>
          <w:color w:val="auto"/>
          <w:sz w:val="28"/>
          <w:szCs w:val="28"/>
          <w:highlight w:val="none"/>
        </w:rPr>
      </w:pPr>
      <w:r>
        <w:rPr>
          <w:rFonts w:hint="eastAsia" w:ascii="宋体" w:hAnsi="宋体"/>
          <w:color w:val="auto"/>
          <w:sz w:val="28"/>
          <w:szCs w:val="28"/>
          <w:highlight w:val="none"/>
        </w:rPr>
        <w:t>投标有效期为从投标截止之日起120天。</w:t>
      </w:r>
    </w:p>
    <w:p>
      <w:pPr>
        <w:numPr>
          <w:ilvl w:val="1"/>
          <w:numId w:val="36"/>
        </w:numPr>
        <w:tabs>
          <w:tab w:val="left" w:pos="1134"/>
        </w:tabs>
        <w:spacing w:after="200" w:line="500" w:lineRule="exact"/>
        <w:ind w:left="0" w:firstLine="567"/>
        <w:rPr>
          <w:rFonts w:ascii="宋体" w:hAnsi="宋体"/>
          <w:color w:val="auto"/>
          <w:sz w:val="28"/>
          <w:szCs w:val="28"/>
          <w:highlight w:val="none"/>
        </w:rPr>
      </w:pPr>
      <w:r>
        <w:rPr>
          <w:rFonts w:hint="eastAsia" w:ascii="宋体" w:hAnsi="宋体"/>
          <w:color w:val="auto"/>
          <w:sz w:val="28"/>
          <w:szCs w:val="28"/>
          <w:highlight w:val="none"/>
        </w:rPr>
        <w:t>我方愿意提供贵中心可能另外要求的，与投标有关的文件资料，并保证我方已提供和将要提供的文件资料是真实、准确的，并对此承担一切法律后果。</w:t>
      </w:r>
    </w:p>
    <w:p>
      <w:pPr>
        <w:numPr>
          <w:ilvl w:val="1"/>
          <w:numId w:val="36"/>
        </w:numPr>
        <w:tabs>
          <w:tab w:val="left" w:pos="1134"/>
        </w:tabs>
        <w:spacing w:after="200" w:line="500" w:lineRule="exact"/>
        <w:ind w:left="0" w:firstLine="567"/>
        <w:rPr>
          <w:rFonts w:ascii="宋体" w:hAnsi="宋体"/>
          <w:color w:val="auto"/>
          <w:sz w:val="28"/>
          <w:szCs w:val="28"/>
          <w:highlight w:val="none"/>
        </w:rPr>
      </w:pPr>
      <w:r>
        <w:rPr>
          <w:rFonts w:hint="eastAsia" w:ascii="宋体" w:hAnsi="宋体"/>
          <w:color w:val="auto"/>
          <w:sz w:val="28"/>
          <w:szCs w:val="28"/>
          <w:highlight w:val="none"/>
        </w:rPr>
        <w:t>我单位联系方式：XXXX</w:t>
      </w:r>
    </w:p>
    <w:p>
      <w:pPr>
        <w:tabs>
          <w:tab w:val="left" w:pos="1134"/>
        </w:tabs>
        <w:spacing w:line="500" w:lineRule="exact"/>
        <w:ind w:left="567"/>
        <w:rPr>
          <w:rFonts w:ascii="宋体" w:hAnsi="宋体"/>
          <w:color w:val="auto"/>
          <w:sz w:val="28"/>
          <w:szCs w:val="28"/>
          <w:highlight w:val="none"/>
        </w:rPr>
      </w:pPr>
      <w:r>
        <w:rPr>
          <w:rFonts w:hint="eastAsia" w:ascii="宋体" w:hAnsi="宋体"/>
          <w:color w:val="auto"/>
          <w:sz w:val="28"/>
          <w:szCs w:val="28"/>
          <w:highlight w:val="none"/>
        </w:rPr>
        <w:t>地    址：XXXX</w:t>
      </w:r>
    </w:p>
    <w:p>
      <w:pPr>
        <w:tabs>
          <w:tab w:val="left" w:pos="1134"/>
        </w:tabs>
        <w:spacing w:line="500" w:lineRule="exact"/>
        <w:ind w:left="567"/>
        <w:rPr>
          <w:rFonts w:ascii="宋体" w:hAnsi="宋体"/>
          <w:color w:val="auto"/>
          <w:sz w:val="28"/>
          <w:szCs w:val="28"/>
          <w:highlight w:val="none"/>
        </w:rPr>
      </w:pPr>
      <w:r>
        <w:rPr>
          <w:rFonts w:hint="eastAsia" w:ascii="宋体" w:hAnsi="宋体"/>
          <w:color w:val="auto"/>
          <w:sz w:val="28"/>
          <w:szCs w:val="28"/>
          <w:highlight w:val="none"/>
        </w:rPr>
        <w:t>传    真：XXXX</w:t>
      </w:r>
    </w:p>
    <w:p>
      <w:pPr>
        <w:tabs>
          <w:tab w:val="left" w:pos="1134"/>
        </w:tabs>
        <w:spacing w:line="500" w:lineRule="exact"/>
        <w:ind w:left="567"/>
        <w:rPr>
          <w:rFonts w:ascii="宋体" w:hAnsi="宋体"/>
          <w:color w:val="auto"/>
          <w:sz w:val="28"/>
          <w:szCs w:val="28"/>
          <w:highlight w:val="none"/>
        </w:rPr>
      </w:pPr>
      <w:r>
        <w:rPr>
          <w:rFonts w:hint="eastAsia" w:ascii="宋体" w:hAnsi="宋体"/>
          <w:color w:val="auto"/>
          <w:sz w:val="28"/>
          <w:szCs w:val="28"/>
          <w:highlight w:val="none"/>
        </w:rPr>
        <w:t>邮政编码：XXXX</w:t>
      </w:r>
    </w:p>
    <w:p>
      <w:pPr>
        <w:tabs>
          <w:tab w:val="left" w:pos="1134"/>
        </w:tabs>
        <w:spacing w:line="500" w:lineRule="exact"/>
        <w:ind w:left="567"/>
        <w:rPr>
          <w:rFonts w:ascii="宋体" w:hAnsi="宋体"/>
          <w:color w:val="auto"/>
          <w:sz w:val="28"/>
          <w:szCs w:val="28"/>
          <w:highlight w:val="none"/>
        </w:rPr>
      </w:pPr>
      <w:r>
        <w:rPr>
          <w:rFonts w:hint="eastAsia" w:ascii="宋体" w:hAnsi="宋体"/>
          <w:color w:val="auto"/>
          <w:sz w:val="28"/>
          <w:szCs w:val="28"/>
          <w:highlight w:val="none"/>
        </w:rPr>
        <w:t>投标人名称：XXXX</w:t>
      </w:r>
    </w:p>
    <w:p>
      <w:pPr>
        <w:tabs>
          <w:tab w:val="left" w:pos="1134"/>
        </w:tabs>
        <w:spacing w:line="500" w:lineRule="exact"/>
        <w:ind w:left="567"/>
        <w:rPr>
          <w:rFonts w:ascii="宋体" w:hAnsi="宋体"/>
          <w:color w:val="auto"/>
          <w:sz w:val="28"/>
          <w:szCs w:val="28"/>
          <w:highlight w:val="none"/>
        </w:rPr>
      </w:pPr>
      <w:r>
        <w:rPr>
          <w:rFonts w:hint="eastAsia" w:ascii="宋体" w:hAnsi="宋体"/>
          <w:color w:val="auto"/>
          <w:sz w:val="28"/>
          <w:szCs w:val="28"/>
          <w:highlight w:val="none"/>
        </w:rPr>
        <w:t>日    期：20XX年XX月XX日</w:t>
      </w:r>
    </w:p>
    <w:p>
      <w:pPr>
        <w:pStyle w:val="5"/>
        <w:numPr>
          <w:ilvl w:val="2"/>
          <w:numId w:val="4"/>
        </w:numPr>
        <w:spacing w:after="200" w:line="240" w:lineRule="auto"/>
        <w:ind w:left="851"/>
        <w:rPr>
          <w:color w:val="auto"/>
          <w:highlight w:val="none"/>
        </w:rPr>
      </w:pPr>
      <w:bookmarkStart w:id="209" w:name="_Toc314574804"/>
      <w:bookmarkStart w:id="210" w:name="_Toc265494342"/>
      <w:bookmarkStart w:id="211" w:name="_Toc240865266"/>
      <w:bookmarkStart w:id="212" w:name="_Toc239846734"/>
      <w:bookmarkStart w:id="213" w:name="_Toc231030275"/>
      <w:bookmarkStart w:id="214" w:name="_Toc240367172"/>
      <w:bookmarkStart w:id="215" w:name="_Toc237145395"/>
      <w:bookmarkStart w:id="216" w:name="_Toc229802674"/>
      <w:bookmarkStart w:id="217" w:name="_Toc239849853"/>
      <w:r>
        <w:rPr>
          <w:rFonts w:hint="eastAsia"/>
          <w:color w:val="auto"/>
          <w:highlight w:val="none"/>
        </w:rPr>
        <w:t>法定代表人身份证明书</w:t>
      </w:r>
    </w:p>
    <w:p>
      <w:pPr>
        <w:tabs>
          <w:tab w:val="left" w:pos="6300"/>
        </w:tabs>
        <w:ind w:firstLine="573"/>
        <w:rPr>
          <w:rFonts w:ascii="宋体" w:hAnsi="宋体"/>
          <w:color w:val="auto"/>
          <w:sz w:val="28"/>
          <w:highlight w:val="none"/>
          <w:u w:val="single"/>
          <w:lang w:val="zh-CN"/>
        </w:rPr>
      </w:pPr>
    </w:p>
    <w:p>
      <w:pPr>
        <w:tabs>
          <w:tab w:val="left" w:pos="6300"/>
        </w:tabs>
        <w:ind w:firstLine="573"/>
        <w:rPr>
          <w:rFonts w:ascii="宋体" w:hAnsi="宋体"/>
          <w:color w:val="auto"/>
          <w:sz w:val="28"/>
          <w:highlight w:val="none"/>
          <w:lang w:val="zh-CN"/>
        </w:rPr>
      </w:pPr>
      <w:r>
        <w:rPr>
          <w:rFonts w:hint="eastAsia" w:ascii="宋体" w:hAnsi="宋体"/>
          <w:color w:val="auto"/>
          <w:sz w:val="28"/>
          <w:szCs w:val="28"/>
          <w:highlight w:val="none"/>
          <w:u w:val="single"/>
        </w:rPr>
        <w:t>XXXX</w:t>
      </w:r>
      <w:r>
        <w:rPr>
          <w:rFonts w:hint="eastAsia" w:ascii="宋体" w:hAnsi="宋体"/>
          <w:color w:val="auto"/>
          <w:sz w:val="28"/>
          <w:highlight w:val="none"/>
          <w:u w:val="single"/>
          <w:lang w:val="zh-CN"/>
        </w:rPr>
        <w:t>（法定代表人姓名）</w:t>
      </w:r>
      <w:r>
        <w:rPr>
          <w:rFonts w:hint="eastAsia" w:ascii="宋体" w:hAnsi="宋体"/>
          <w:color w:val="auto"/>
          <w:sz w:val="28"/>
          <w:highlight w:val="none"/>
          <w:lang w:val="zh-CN"/>
        </w:rPr>
        <w:t>在</w:t>
      </w:r>
      <w:r>
        <w:rPr>
          <w:rFonts w:hint="eastAsia" w:ascii="宋体" w:hAnsi="宋体"/>
          <w:color w:val="auto"/>
          <w:sz w:val="28"/>
          <w:szCs w:val="28"/>
          <w:highlight w:val="none"/>
          <w:u w:val="single"/>
        </w:rPr>
        <w:t>XXXX</w:t>
      </w:r>
      <w:r>
        <w:rPr>
          <w:rFonts w:hint="eastAsia" w:ascii="宋体" w:hAnsi="宋体"/>
          <w:color w:val="auto"/>
          <w:sz w:val="28"/>
          <w:highlight w:val="none"/>
          <w:u w:val="single"/>
          <w:lang w:val="zh-CN"/>
        </w:rPr>
        <w:t xml:space="preserve"> （投标人名称）</w:t>
      </w:r>
      <w:r>
        <w:rPr>
          <w:rFonts w:hint="eastAsia" w:ascii="宋体" w:hAnsi="宋体"/>
          <w:color w:val="auto"/>
          <w:sz w:val="28"/>
          <w:highlight w:val="none"/>
          <w:lang w:val="zh-CN"/>
        </w:rPr>
        <w:t>处任</w:t>
      </w:r>
      <w:r>
        <w:rPr>
          <w:rFonts w:hint="eastAsia" w:ascii="宋体" w:hAnsi="宋体"/>
          <w:color w:val="auto"/>
          <w:sz w:val="28"/>
          <w:highlight w:val="none"/>
          <w:u w:val="single"/>
          <w:lang w:val="zh-CN"/>
        </w:rPr>
        <w:t xml:space="preserve">         XXXX（职务名称）</w:t>
      </w:r>
      <w:r>
        <w:rPr>
          <w:rFonts w:hint="eastAsia" w:ascii="宋体" w:hAnsi="宋体"/>
          <w:color w:val="auto"/>
          <w:sz w:val="28"/>
          <w:highlight w:val="none"/>
          <w:lang w:val="zh-CN"/>
        </w:rPr>
        <w:t>职务，是</w:t>
      </w:r>
      <w:r>
        <w:rPr>
          <w:rFonts w:hint="eastAsia" w:ascii="宋体" w:hAnsi="宋体"/>
          <w:color w:val="auto"/>
          <w:sz w:val="28"/>
          <w:szCs w:val="28"/>
          <w:highlight w:val="none"/>
          <w:u w:val="single"/>
        </w:rPr>
        <w:t>XXXX</w:t>
      </w:r>
      <w:r>
        <w:rPr>
          <w:rFonts w:hint="eastAsia" w:ascii="宋体" w:hAnsi="宋体"/>
          <w:color w:val="auto"/>
          <w:sz w:val="28"/>
          <w:highlight w:val="none"/>
          <w:u w:val="single"/>
          <w:lang w:val="zh-CN"/>
        </w:rPr>
        <w:t>（投标人名称）</w:t>
      </w:r>
      <w:r>
        <w:rPr>
          <w:rFonts w:hint="eastAsia" w:ascii="宋体" w:hAnsi="宋体"/>
          <w:color w:val="auto"/>
          <w:sz w:val="28"/>
          <w:highlight w:val="none"/>
          <w:lang w:val="zh-CN"/>
        </w:rPr>
        <w:t>的法定代表人。</w:t>
      </w:r>
    </w:p>
    <w:p>
      <w:pPr>
        <w:tabs>
          <w:tab w:val="left" w:pos="6300"/>
        </w:tabs>
        <w:rPr>
          <w:rFonts w:ascii="宋体" w:hAnsi="宋体"/>
          <w:color w:val="auto"/>
          <w:sz w:val="28"/>
          <w:highlight w:val="none"/>
          <w:lang w:val="zh-CN"/>
        </w:rPr>
      </w:pPr>
    </w:p>
    <w:p>
      <w:pPr>
        <w:tabs>
          <w:tab w:val="left" w:pos="6300"/>
        </w:tabs>
        <w:rPr>
          <w:rFonts w:ascii="宋体" w:hAnsi="宋体"/>
          <w:color w:val="auto"/>
          <w:sz w:val="28"/>
          <w:highlight w:val="none"/>
          <w:lang w:val="zh-CN"/>
        </w:rPr>
      </w:pPr>
    </w:p>
    <w:p>
      <w:pPr>
        <w:tabs>
          <w:tab w:val="left" w:pos="6300"/>
        </w:tabs>
        <w:rPr>
          <w:rFonts w:ascii="宋体" w:hAnsi="宋体"/>
          <w:color w:val="auto"/>
          <w:sz w:val="28"/>
          <w:highlight w:val="none"/>
          <w:lang w:val="zh-CN"/>
        </w:rPr>
      </w:pPr>
    </w:p>
    <w:p>
      <w:pPr>
        <w:tabs>
          <w:tab w:val="left" w:pos="6300"/>
        </w:tabs>
        <w:rPr>
          <w:rFonts w:ascii="宋体" w:hAnsi="宋体"/>
          <w:color w:val="auto"/>
          <w:sz w:val="28"/>
          <w:highlight w:val="none"/>
          <w:lang w:val="zh-CN"/>
        </w:rPr>
      </w:pPr>
    </w:p>
    <w:p>
      <w:pPr>
        <w:tabs>
          <w:tab w:val="left" w:pos="6300"/>
        </w:tabs>
        <w:rPr>
          <w:rFonts w:ascii="宋体" w:hAnsi="宋体"/>
          <w:color w:val="auto"/>
          <w:sz w:val="28"/>
          <w:highlight w:val="none"/>
          <w:lang w:val="zh-CN"/>
        </w:rPr>
      </w:pPr>
    </w:p>
    <w:p>
      <w:pPr>
        <w:tabs>
          <w:tab w:val="left" w:pos="6300"/>
        </w:tabs>
        <w:rPr>
          <w:rFonts w:ascii="宋体" w:hAnsi="宋体"/>
          <w:color w:val="auto"/>
          <w:sz w:val="28"/>
          <w:highlight w:val="none"/>
          <w:lang w:val="zh-CN"/>
        </w:rPr>
      </w:pPr>
    </w:p>
    <w:p>
      <w:pPr>
        <w:tabs>
          <w:tab w:val="left" w:pos="6300"/>
        </w:tabs>
        <w:ind w:firstLine="573"/>
        <w:rPr>
          <w:rFonts w:ascii="宋体" w:hAnsi="宋体"/>
          <w:color w:val="auto"/>
          <w:sz w:val="28"/>
          <w:highlight w:val="none"/>
          <w:lang w:val="zh-CN"/>
        </w:rPr>
      </w:pPr>
    </w:p>
    <w:p>
      <w:pPr>
        <w:tabs>
          <w:tab w:val="left" w:pos="6300"/>
        </w:tabs>
        <w:ind w:firstLine="573"/>
        <w:rPr>
          <w:rFonts w:ascii="宋体" w:hAnsi="宋体"/>
          <w:color w:val="auto"/>
          <w:sz w:val="28"/>
          <w:highlight w:val="none"/>
          <w:lang w:val="zh-CN"/>
        </w:rPr>
      </w:pPr>
      <w:bookmarkStart w:id="218" w:name="_Toc263768866"/>
      <w:r>
        <w:rPr>
          <w:rFonts w:hint="eastAsia" w:ascii="宋体" w:hAnsi="宋体"/>
          <w:color w:val="auto"/>
          <w:sz w:val="28"/>
          <w:highlight w:val="none"/>
          <w:lang w:val="zh-CN"/>
        </w:rPr>
        <w:t>特此证明。</w:t>
      </w:r>
      <w:bookmarkEnd w:id="218"/>
    </w:p>
    <w:p>
      <w:pPr>
        <w:tabs>
          <w:tab w:val="left" w:pos="6300"/>
        </w:tabs>
        <w:rPr>
          <w:rFonts w:ascii="宋体" w:hAnsi="宋体"/>
          <w:color w:val="auto"/>
          <w:sz w:val="28"/>
          <w:highlight w:val="none"/>
          <w:lang w:val="zh-CN"/>
        </w:rPr>
      </w:pPr>
    </w:p>
    <w:p>
      <w:pPr>
        <w:tabs>
          <w:tab w:val="left" w:pos="6300"/>
        </w:tabs>
        <w:rPr>
          <w:rFonts w:ascii="宋体" w:hAnsi="宋体"/>
          <w:color w:val="auto"/>
          <w:sz w:val="28"/>
          <w:highlight w:val="none"/>
          <w:lang w:val="zh-CN"/>
        </w:rPr>
      </w:pPr>
    </w:p>
    <w:p>
      <w:pPr>
        <w:ind w:firstLine="560" w:firstLineChars="200"/>
        <w:rPr>
          <w:rFonts w:ascii="宋体" w:hAnsi="宋体"/>
          <w:color w:val="auto"/>
          <w:sz w:val="28"/>
          <w:highlight w:val="none"/>
          <w:lang w:val="zh-CN"/>
        </w:rPr>
      </w:pPr>
      <w:r>
        <w:rPr>
          <w:rFonts w:hint="eastAsia" w:ascii="宋体" w:hAnsi="宋体"/>
          <w:color w:val="auto"/>
          <w:sz w:val="28"/>
          <w:highlight w:val="none"/>
          <w:lang w:val="zh-CN"/>
        </w:rPr>
        <w:t>投标人名称：</w:t>
      </w:r>
      <w:r>
        <w:rPr>
          <w:rFonts w:hint="eastAsia" w:ascii="宋体" w:hAnsi="宋体"/>
          <w:color w:val="auto"/>
          <w:sz w:val="28"/>
          <w:szCs w:val="28"/>
          <w:highlight w:val="none"/>
        </w:rPr>
        <w:t>XXXX</w:t>
      </w:r>
    </w:p>
    <w:p>
      <w:pPr>
        <w:ind w:firstLine="560" w:firstLineChars="200"/>
        <w:rPr>
          <w:rFonts w:ascii="宋体" w:hAnsi="宋体"/>
          <w:color w:val="auto"/>
          <w:sz w:val="28"/>
          <w:szCs w:val="28"/>
          <w:highlight w:val="none"/>
        </w:rPr>
      </w:pPr>
      <w:r>
        <w:rPr>
          <w:rFonts w:hint="eastAsia" w:ascii="宋体" w:hAnsi="宋体"/>
          <w:color w:val="auto"/>
          <w:sz w:val="28"/>
          <w:highlight w:val="none"/>
        </w:rPr>
        <w:t>日期：</w:t>
      </w:r>
      <w:r>
        <w:rPr>
          <w:rFonts w:hint="eastAsia" w:ascii="宋体" w:hAnsi="宋体"/>
          <w:color w:val="auto"/>
          <w:sz w:val="28"/>
          <w:szCs w:val="28"/>
          <w:highlight w:val="none"/>
        </w:rPr>
        <w:t>20XX</w:t>
      </w:r>
      <w:r>
        <w:rPr>
          <w:rFonts w:hint="eastAsia" w:ascii="宋体" w:hAnsi="宋体"/>
          <w:color w:val="auto"/>
          <w:sz w:val="28"/>
          <w:highlight w:val="none"/>
        </w:rPr>
        <w:t xml:space="preserve"> 年</w:t>
      </w:r>
      <w:r>
        <w:rPr>
          <w:rFonts w:hint="eastAsia" w:ascii="宋体" w:hAnsi="宋体"/>
          <w:color w:val="auto"/>
          <w:sz w:val="28"/>
          <w:szCs w:val="28"/>
          <w:highlight w:val="none"/>
        </w:rPr>
        <w:t>XX</w:t>
      </w:r>
      <w:r>
        <w:rPr>
          <w:rFonts w:hint="eastAsia" w:ascii="宋体" w:hAnsi="宋体"/>
          <w:color w:val="auto"/>
          <w:sz w:val="28"/>
          <w:highlight w:val="none"/>
        </w:rPr>
        <w:t>月</w:t>
      </w:r>
      <w:r>
        <w:rPr>
          <w:rFonts w:hint="eastAsia" w:ascii="宋体" w:hAnsi="宋体"/>
          <w:color w:val="auto"/>
          <w:sz w:val="28"/>
          <w:szCs w:val="28"/>
          <w:highlight w:val="none"/>
        </w:rPr>
        <w:t>XX</w:t>
      </w:r>
      <w:r>
        <w:rPr>
          <w:rFonts w:hint="eastAsia" w:ascii="宋体" w:hAnsi="宋体"/>
          <w:color w:val="auto"/>
          <w:sz w:val="28"/>
          <w:highlight w:val="none"/>
        </w:rPr>
        <w:t>日</w:t>
      </w:r>
    </w:p>
    <w:p>
      <w:pPr>
        <w:tabs>
          <w:tab w:val="left" w:pos="6300"/>
        </w:tabs>
        <w:rPr>
          <w:rFonts w:ascii="宋体" w:hAnsi="宋体"/>
          <w:b/>
          <w:color w:val="auto"/>
          <w:sz w:val="28"/>
          <w:highlight w:val="none"/>
          <w:u w:val="single"/>
          <w:lang w:val="zh-CN"/>
        </w:rPr>
      </w:pPr>
    </w:p>
    <w:p>
      <w:pPr>
        <w:pStyle w:val="13"/>
        <w:spacing w:line="240" w:lineRule="auto"/>
        <w:ind w:firstLine="568" w:firstLineChars="202"/>
        <w:rPr>
          <w:rFonts w:ascii="宋体" w:hAnsi="宋体"/>
          <w:b/>
          <w:color w:val="auto"/>
          <w:sz w:val="28"/>
          <w:szCs w:val="28"/>
          <w:highlight w:val="none"/>
        </w:rPr>
      </w:pPr>
      <w:r>
        <w:rPr>
          <w:rFonts w:hint="eastAsia" w:ascii="宋体" w:hAnsi="宋体"/>
          <w:b/>
          <w:color w:val="auto"/>
          <w:sz w:val="28"/>
          <w:szCs w:val="28"/>
          <w:highlight w:val="none"/>
        </w:rPr>
        <w:t>说明：上述证明文件在投标文件中附有法定代表人身份证复印件（身份证两面均应复印）或护照复印件（供应商的法定代表人为外籍人士的，则提供护照复印件）时才能生效。</w:t>
      </w:r>
    </w:p>
    <w:bookmarkEnd w:id="209"/>
    <w:bookmarkEnd w:id="210"/>
    <w:bookmarkEnd w:id="211"/>
    <w:bookmarkEnd w:id="212"/>
    <w:bookmarkEnd w:id="213"/>
    <w:bookmarkEnd w:id="214"/>
    <w:bookmarkEnd w:id="215"/>
    <w:bookmarkEnd w:id="216"/>
    <w:bookmarkEnd w:id="217"/>
    <w:p>
      <w:pPr>
        <w:pStyle w:val="5"/>
        <w:numPr>
          <w:ilvl w:val="2"/>
          <w:numId w:val="4"/>
        </w:numPr>
        <w:spacing w:after="200" w:line="240" w:lineRule="auto"/>
        <w:ind w:left="851"/>
        <w:rPr>
          <w:color w:val="auto"/>
          <w:highlight w:val="none"/>
        </w:rPr>
      </w:pPr>
      <w:bookmarkStart w:id="219" w:name="_Toc302997926"/>
      <w:bookmarkStart w:id="220" w:name="_Toc263768870"/>
      <w:bookmarkStart w:id="221" w:name="_Toc220299393"/>
      <w:bookmarkStart w:id="222" w:name="_Toc263753605"/>
      <w:bookmarkStart w:id="223" w:name="_Toc217446083"/>
      <w:r>
        <w:rPr>
          <w:rFonts w:hint="eastAsia"/>
          <w:color w:val="auto"/>
          <w:highlight w:val="none"/>
        </w:rPr>
        <w:t>投标人基本情况表</w:t>
      </w:r>
      <w:bookmarkEnd w:id="219"/>
    </w:p>
    <w:tbl>
      <w:tblPr>
        <w:tblStyle w:val="44"/>
        <w:tblW w:w="8520"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515"/>
        <w:gridCol w:w="977"/>
        <w:gridCol w:w="1215"/>
        <w:gridCol w:w="1248"/>
        <w:gridCol w:w="8"/>
        <w:gridCol w:w="1318"/>
        <w:gridCol w:w="160"/>
        <w:gridCol w:w="1012"/>
        <w:gridCol w:w="10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5" w:type="dxa"/>
            <w:tcBorders>
              <w:top w:val="double" w:color="auto" w:sz="4"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投标人名称</w:t>
            </w:r>
          </w:p>
        </w:tc>
        <w:tc>
          <w:tcPr>
            <w:tcW w:w="7005" w:type="dxa"/>
            <w:gridSpan w:val="8"/>
            <w:tcBorders>
              <w:top w:val="double" w:color="auto" w:sz="4"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注册地址</w:t>
            </w:r>
          </w:p>
        </w:tc>
        <w:tc>
          <w:tcPr>
            <w:tcW w:w="3448" w:type="dxa"/>
            <w:gridSpan w:val="4"/>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31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邮政编码</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5" w:type="dxa"/>
            <w:vMerge w:val="restart"/>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联系方式</w:t>
            </w:r>
          </w:p>
        </w:tc>
        <w:tc>
          <w:tcPr>
            <w:tcW w:w="97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联系人</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电话</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1515" w:type="dxa"/>
            <w:vMerge w:val="continue"/>
            <w:tcBorders>
              <w:top w:val="single" w:color="auto" w:sz="6" w:space="0"/>
              <w:left w:val="double" w:color="auto" w:sz="4" w:space="0"/>
              <w:bottom w:val="single" w:color="auto" w:sz="6" w:space="0"/>
              <w:right w:val="single" w:color="auto" w:sz="6" w:space="0"/>
            </w:tcBorders>
            <w:vAlign w:val="center"/>
          </w:tcPr>
          <w:p>
            <w:pPr>
              <w:widowControl/>
              <w:jc w:val="left"/>
              <w:rPr>
                <w:rFonts w:ascii="宋体" w:hAnsi="宋体"/>
                <w:color w:val="auto"/>
                <w:kern w:val="0"/>
                <w:szCs w:val="21"/>
                <w:highlight w:val="none"/>
              </w:rPr>
            </w:pPr>
          </w:p>
        </w:tc>
        <w:tc>
          <w:tcPr>
            <w:tcW w:w="97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传真</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网址</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单位性质</w:t>
            </w:r>
          </w:p>
        </w:tc>
        <w:tc>
          <w:tcPr>
            <w:tcW w:w="7005"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法定代表人</w:t>
            </w:r>
          </w:p>
        </w:tc>
        <w:tc>
          <w:tcPr>
            <w:tcW w:w="977"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姓名</w:t>
            </w:r>
          </w:p>
        </w:tc>
        <w:tc>
          <w:tcPr>
            <w:tcW w:w="1215"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248" w:type="dxa"/>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技术职称</w:t>
            </w:r>
          </w:p>
        </w:tc>
        <w:tc>
          <w:tcPr>
            <w:tcW w:w="1326"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17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电话</w:t>
            </w:r>
          </w:p>
        </w:tc>
        <w:tc>
          <w:tcPr>
            <w:tcW w:w="1067" w:type="dxa"/>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112" w:hRule="atLeast"/>
          <w:jc w:val="center"/>
        </w:trPr>
        <w:tc>
          <w:tcPr>
            <w:tcW w:w="1515" w:type="dxa"/>
            <w:tcBorders>
              <w:top w:val="single" w:color="auto" w:sz="6" w:space="0"/>
              <w:left w:val="double" w:color="auto" w:sz="4" w:space="0"/>
              <w:bottom w:val="single" w:color="auto" w:sz="4"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技术负责人</w:t>
            </w:r>
          </w:p>
        </w:tc>
        <w:tc>
          <w:tcPr>
            <w:tcW w:w="977"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姓名</w:t>
            </w:r>
          </w:p>
        </w:tc>
        <w:tc>
          <w:tcPr>
            <w:tcW w:w="1215"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248" w:type="dxa"/>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技术职称</w:t>
            </w:r>
          </w:p>
        </w:tc>
        <w:tc>
          <w:tcPr>
            <w:tcW w:w="1326"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172" w:type="dxa"/>
            <w:gridSpan w:val="2"/>
            <w:tcBorders>
              <w:top w:val="single" w:color="auto" w:sz="6" w:space="0"/>
              <w:left w:val="single" w:color="auto" w:sz="6" w:space="0"/>
              <w:bottom w:val="single" w:color="auto" w:sz="4"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电话</w:t>
            </w:r>
          </w:p>
        </w:tc>
        <w:tc>
          <w:tcPr>
            <w:tcW w:w="1067" w:type="dxa"/>
            <w:tcBorders>
              <w:top w:val="single" w:color="auto" w:sz="6" w:space="0"/>
              <w:left w:val="single" w:color="auto" w:sz="6" w:space="0"/>
              <w:bottom w:val="single" w:color="auto" w:sz="4" w:space="0"/>
              <w:right w:val="double" w:color="auto" w:sz="4" w:space="0"/>
            </w:tcBorders>
            <w:vAlign w:val="center"/>
          </w:tcPr>
          <w:p>
            <w:pPr>
              <w:autoSpaceDE w:val="0"/>
              <w:autoSpaceDN w:val="0"/>
              <w:adjustRightInd w:val="0"/>
              <w:jc w:val="center"/>
              <w:rPr>
                <w:rFonts w:ascii="宋体" w:hAnsi="宋体"/>
                <w:bCs/>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515" w:type="dxa"/>
            <w:tcBorders>
              <w:top w:val="single" w:color="auto" w:sz="4"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财务负责人</w:t>
            </w:r>
          </w:p>
        </w:tc>
        <w:tc>
          <w:tcPr>
            <w:tcW w:w="977"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姓名</w:t>
            </w:r>
          </w:p>
        </w:tc>
        <w:tc>
          <w:tcPr>
            <w:tcW w:w="1215"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248" w:type="dxa"/>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技术职称</w:t>
            </w:r>
          </w:p>
        </w:tc>
        <w:tc>
          <w:tcPr>
            <w:tcW w:w="1326"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172" w:type="dxa"/>
            <w:gridSpan w:val="2"/>
            <w:tcBorders>
              <w:top w:val="single" w:color="auto" w:sz="4"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电话</w:t>
            </w:r>
          </w:p>
        </w:tc>
        <w:tc>
          <w:tcPr>
            <w:tcW w:w="1067" w:type="dxa"/>
            <w:tcBorders>
              <w:top w:val="single" w:color="auto" w:sz="4"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成立时间</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4813" w:type="dxa"/>
            <w:gridSpan w:val="6"/>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ind w:firstLine="1470" w:firstLineChars="700"/>
              <w:rPr>
                <w:rFonts w:ascii="宋体" w:hAnsi="宋体"/>
                <w:color w:val="auto"/>
                <w:kern w:val="0"/>
                <w:szCs w:val="21"/>
                <w:highlight w:val="none"/>
              </w:rPr>
            </w:pPr>
            <w:r>
              <w:rPr>
                <w:rFonts w:hint="eastAsia" w:ascii="宋体" w:hAnsi="宋体"/>
                <w:color w:val="auto"/>
                <w:kern w:val="0"/>
                <w:szCs w:val="21"/>
                <w:highlight w:val="none"/>
              </w:rPr>
              <w:t>员工总人数：</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企业资质等级</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248" w:type="dxa"/>
            <w:vMerge w:val="restart"/>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其中</w:t>
            </w: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项目经理</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营业执照号</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auto"/>
                <w:kern w:val="0"/>
                <w:szCs w:val="21"/>
                <w:highlight w:val="none"/>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高级职称人员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注册资金</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auto"/>
                <w:kern w:val="0"/>
                <w:szCs w:val="21"/>
                <w:highlight w:val="none"/>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中级职称人员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开户银行</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auto"/>
                <w:kern w:val="0"/>
                <w:szCs w:val="21"/>
                <w:highlight w:val="none"/>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初级职称人员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账号</w:t>
            </w:r>
          </w:p>
        </w:tc>
        <w:tc>
          <w:tcPr>
            <w:tcW w:w="2192" w:type="dxa"/>
            <w:gridSpan w:val="2"/>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p>
        </w:tc>
        <w:tc>
          <w:tcPr>
            <w:tcW w:w="1248" w:type="dxa"/>
            <w:vMerge w:val="continue"/>
            <w:tcBorders>
              <w:top w:val="single" w:color="auto" w:sz="6" w:space="0"/>
              <w:left w:val="single" w:color="auto" w:sz="6" w:space="0"/>
              <w:bottom w:val="single" w:color="auto" w:sz="6" w:space="0"/>
              <w:right w:val="single" w:color="auto" w:sz="6" w:space="0"/>
            </w:tcBorders>
            <w:vAlign w:val="center"/>
          </w:tcPr>
          <w:p>
            <w:pPr>
              <w:widowControl/>
              <w:jc w:val="left"/>
              <w:rPr>
                <w:rFonts w:ascii="宋体" w:hAnsi="宋体"/>
                <w:color w:val="auto"/>
                <w:kern w:val="0"/>
                <w:szCs w:val="21"/>
                <w:highlight w:val="none"/>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技工</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jc w:val="center"/>
              <w:rPr>
                <w:rFonts w:ascii="宋体" w:hAnsi="宋体"/>
                <w:bCs/>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937" w:hRule="atLeast"/>
          <w:jc w:val="center"/>
        </w:trPr>
        <w:tc>
          <w:tcPr>
            <w:tcW w:w="1515" w:type="dxa"/>
            <w:tcBorders>
              <w:top w:val="single" w:color="auto" w:sz="6" w:space="0"/>
              <w:left w:val="double" w:color="auto" w:sz="4" w:space="0"/>
              <w:bottom w:val="single" w:color="auto" w:sz="6" w:space="0"/>
              <w:right w:val="single" w:color="auto" w:sz="6" w:space="0"/>
            </w:tcBorders>
            <w:vAlign w:val="center"/>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经营范围</w:t>
            </w:r>
          </w:p>
        </w:tc>
        <w:tc>
          <w:tcPr>
            <w:tcW w:w="7005" w:type="dxa"/>
            <w:gridSpan w:val="8"/>
            <w:tcBorders>
              <w:top w:val="single" w:color="auto" w:sz="6" w:space="0"/>
              <w:left w:val="single" w:color="auto" w:sz="6" w:space="0"/>
              <w:bottom w:val="single" w:color="auto" w:sz="6" w:space="0"/>
              <w:right w:val="double" w:color="auto" w:sz="4" w:space="0"/>
            </w:tcBorders>
            <w:vAlign w:val="center"/>
          </w:tcPr>
          <w:p>
            <w:pPr>
              <w:autoSpaceDE w:val="0"/>
              <w:autoSpaceDN w:val="0"/>
              <w:adjustRightInd w:val="0"/>
              <w:rPr>
                <w:rFonts w:ascii="宋体" w:hAnsi="宋体"/>
                <w:bCs/>
                <w:color w:val="auto"/>
                <w:kern w:val="0"/>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682" w:hRule="atLeast"/>
          <w:jc w:val="center"/>
        </w:trPr>
        <w:tc>
          <w:tcPr>
            <w:tcW w:w="1515" w:type="dxa"/>
            <w:tcBorders>
              <w:top w:val="single" w:color="auto" w:sz="6" w:space="0"/>
              <w:left w:val="double" w:color="auto" w:sz="4" w:space="0"/>
              <w:bottom w:val="double" w:color="auto" w:sz="4" w:space="0"/>
              <w:right w:val="single" w:color="auto" w:sz="6" w:space="0"/>
            </w:tcBorders>
          </w:tcPr>
          <w:p>
            <w:pPr>
              <w:autoSpaceDE w:val="0"/>
              <w:autoSpaceDN w:val="0"/>
              <w:adjustRightInd w:val="0"/>
              <w:jc w:val="center"/>
              <w:rPr>
                <w:rFonts w:ascii="宋体" w:hAnsi="宋体"/>
                <w:color w:val="auto"/>
                <w:kern w:val="0"/>
                <w:szCs w:val="21"/>
                <w:highlight w:val="none"/>
              </w:rPr>
            </w:pPr>
            <w:r>
              <w:rPr>
                <w:rFonts w:hint="eastAsia" w:ascii="宋体" w:hAnsi="宋体"/>
                <w:color w:val="auto"/>
                <w:kern w:val="0"/>
                <w:szCs w:val="21"/>
                <w:highlight w:val="none"/>
              </w:rPr>
              <w:t>备注</w:t>
            </w:r>
          </w:p>
        </w:tc>
        <w:tc>
          <w:tcPr>
            <w:tcW w:w="7005" w:type="dxa"/>
            <w:gridSpan w:val="8"/>
            <w:tcBorders>
              <w:top w:val="single" w:color="auto" w:sz="6" w:space="0"/>
              <w:left w:val="single" w:color="auto" w:sz="6" w:space="0"/>
              <w:bottom w:val="double" w:color="auto" w:sz="4" w:space="0"/>
              <w:right w:val="double" w:color="auto" w:sz="4" w:space="0"/>
            </w:tcBorders>
          </w:tcPr>
          <w:p>
            <w:pPr>
              <w:autoSpaceDE w:val="0"/>
              <w:autoSpaceDN w:val="0"/>
              <w:adjustRightInd w:val="0"/>
              <w:jc w:val="left"/>
              <w:rPr>
                <w:rFonts w:ascii="宋体" w:hAnsi="宋体"/>
                <w:color w:val="auto"/>
                <w:kern w:val="0"/>
                <w:szCs w:val="21"/>
                <w:highlight w:val="none"/>
              </w:rPr>
            </w:pPr>
          </w:p>
        </w:tc>
      </w:tr>
    </w:tbl>
    <w:p>
      <w:pPr>
        <w:adjustRightInd w:val="0"/>
        <w:jc w:val="left"/>
        <w:rPr>
          <w:rFonts w:ascii="宋体" w:hAnsi="宋体"/>
          <w:bCs/>
          <w:color w:val="auto"/>
          <w:sz w:val="28"/>
          <w:szCs w:val="28"/>
          <w:highlight w:val="none"/>
        </w:rPr>
      </w:pPr>
    </w:p>
    <w:p>
      <w:pPr>
        <w:pStyle w:val="26"/>
        <w:spacing w:line="240" w:lineRule="auto"/>
        <w:ind w:firstLine="288" w:firstLineChars="103"/>
        <w:rPr>
          <w:rFonts w:ascii="宋体" w:hAnsi="宋体"/>
          <w:bCs/>
          <w:color w:val="auto"/>
          <w:sz w:val="28"/>
          <w:szCs w:val="28"/>
          <w:highlight w:val="none"/>
        </w:rPr>
      </w:pPr>
      <w:r>
        <w:rPr>
          <w:rFonts w:hint="eastAsia" w:ascii="宋体" w:hAnsi="宋体"/>
          <w:bCs/>
          <w:color w:val="auto"/>
          <w:sz w:val="28"/>
          <w:szCs w:val="28"/>
          <w:highlight w:val="none"/>
        </w:rPr>
        <w:t>投标人名称：XXXX</w:t>
      </w:r>
    </w:p>
    <w:p>
      <w:pPr>
        <w:adjustRightInd w:val="0"/>
        <w:ind w:firstLine="700" w:firstLineChars="250"/>
        <w:jc w:val="left"/>
        <w:rPr>
          <w:rFonts w:ascii="宋体" w:hAnsi="宋体"/>
          <w:bCs/>
          <w:color w:val="auto"/>
          <w:sz w:val="28"/>
          <w:szCs w:val="28"/>
          <w:highlight w:val="none"/>
        </w:rPr>
      </w:pPr>
      <w:r>
        <w:rPr>
          <w:rFonts w:hint="eastAsia" w:ascii="宋体" w:hAnsi="宋体"/>
          <w:color w:val="auto"/>
          <w:sz w:val="28"/>
          <w:highlight w:val="none"/>
        </w:rPr>
        <w:t>日期：</w:t>
      </w:r>
      <w:r>
        <w:rPr>
          <w:rFonts w:hint="eastAsia" w:ascii="宋体" w:hAnsi="宋体"/>
          <w:bCs/>
          <w:color w:val="auto"/>
          <w:sz w:val="28"/>
          <w:highlight w:val="none"/>
        </w:rPr>
        <w:t>20XX年XX</w:t>
      </w:r>
      <w:r>
        <w:rPr>
          <w:rFonts w:hint="eastAsia" w:ascii="宋体" w:hAnsi="宋体"/>
          <w:bCs/>
          <w:color w:val="auto"/>
          <w:sz w:val="28"/>
          <w:szCs w:val="28"/>
          <w:highlight w:val="none"/>
        </w:rPr>
        <w:t>月</w:t>
      </w:r>
      <w:r>
        <w:rPr>
          <w:rFonts w:hint="eastAsia" w:ascii="宋体" w:hAnsi="宋体"/>
          <w:bCs/>
          <w:color w:val="auto"/>
          <w:sz w:val="28"/>
          <w:highlight w:val="none"/>
        </w:rPr>
        <w:t>XX</w:t>
      </w:r>
      <w:r>
        <w:rPr>
          <w:rFonts w:hint="eastAsia" w:ascii="宋体" w:hAnsi="宋体"/>
          <w:bCs/>
          <w:color w:val="auto"/>
          <w:sz w:val="28"/>
          <w:szCs w:val="28"/>
          <w:highlight w:val="none"/>
        </w:rPr>
        <w:t>日</w:t>
      </w:r>
      <w:bookmarkEnd w:id="220"/>
      <w:bookmarkEnd w:id="221"/>
      <w:bookmarkEnd w:id="222"/>
      <w:bookmarkStart w:id="224" w:name="_Toc263768873"/>
      <w:bookmarkStart w:id="225" w:name="_Toc220299404"/>
      <w:bookmarkStart w:id="226" w:name="_Toc263753615"/>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5"/>
        <w:numPr>
          <w:ilvl w:val="2"/>
          <w:numId w:val="4"/>
        </w:numPr>
        <w:spacing w:after="200" w:line="240" w:lineRule="auto"/>
        <w:ind w:left="851"/>
        <w:rPr>
          <w:color w:val="auto"/>
          <w:highlight w:val="none"/>
        </w:rPr>
      </w:pPr>
      <w:r>
        <w:rPr>
          <w:rFonts w:hint="eastAsia"/>
          <w:color w:val="auto"/>
          <w:highlight w:val="none"/>
        </w:rPr>
        <w:t>服务方案及服务承诺</w:t>
      </w:r>
    </w:p>
    <w:p>
      <w:pPr>
        <w:snapToGrid w:val="0"/>
        <w:rPr>
          <w:rFonts w:ascii="宋体" w:hAnsi="宋体"/>
          <w:b/>
          <w:color w:val="auto"/>
          <w:spacing w:val="-20"/>
          <w:sz w:val="28"/>
          <w:szCs w:val="28"/>
          <w:highlight w:val="none"/>
        </w:rPr>
      </w:pPr>
      <w:r>
        <w:rPr>
          <w:rFonts w:hint="eastAsia" w:ascii="宋体" w:hAnsi="宋体"/>
          <w:b/>
          <w:color w:val="auto"/>
          <w:sz w:val="28"/>
          <w:szCs w:val="28"/>
          <w:highlight w:val="none"/>
        </w:rPr>
        <w:t>项目名称：</w:t>
      </w:r>
      <w:r>
        <w:rPr>
          <w:rFonts w:hint="eastAsia" w:ascii="宋体" w:hAnsi="宋体"/>
          <w:b/>
          <w:color w:val="auto"/>
          <w:sz w:val="28"/>
          <w:szCs w:val="28"/>
          <w:highlight w:val="none"/>
          <w:u w:val="single"/>
        </w:rPr>
        <w:t>成都高新区芳草小学物业管理服务采购项目</w:t>
      </w:r>
    </w:p>
    <w:p>
      <w:pPr>
        <w:snapToGrid w:val="0"/>
        <w:rPr>
          <w:rFonts w:hint="eastAsia" w:ascii="宋体" w:hAnsi="宋体" w:eastAsia="宋体"/>
          <w:b/>
          <w:color w:val="auto"/>
          <w:sz w:val="28"/>
          <w:szCs w:val="28"/>
          <w:highlight w:val="none"/>
          <w:u w:val="single"/>
          <w:lang w:eastAsia="zh-CN"/>
        </w:rPr>
      </w:pPr>
      <w:r>
        <w:rPr>
          <w:rFonts w:hint="eastAsia" w:ascii="宋体" w:hAnsi="宋体"/>
          <w:b/>
          <w:color w:val="auto"/>
          <w:sz w:val="28"/>
          <w:szCs w:val="28"/>
          <w:highlight w:val="none"/>
        </w:rPr>
        <w:t>项目编号：</w:t>
      </w:r>
      <w:r>
        <w:rPr>
          <w:rFonts w:hint="eastAsia" w:ascii="宋体" w:hAnsi="宋体"/>
          <w:b/>
          <w:color w:val="auto"/>
          <w:sz w:val="28"/>
          <w:szCs w:val="28"/>
          <w:highlight w:val="none"/>
          <w:u w:val="single"/>
          <w:lang w:eastAsia="zh-CN"/>
        </w:rPr>
        <w:t>成都高新技术产业开发区政采（2021）A0045号</w:t>
      </w: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p>
    <w:p>
      <w:pPr>
        <w:pStyle w:val="26"/>
        <w:spacing w:line="240" w:lineRule="auto"/>
        <w:rPr>
          <w:rFonts w:ascii="宋体" w:hAnsi="宋体"/>
          <w:bCs/>
          <w:color w:val="auto"/>
          <w:sz w:val="28"/>
          <w:szCs w:val="28"/>
          <w:highlight w:val="none"/>
        </w:rPr>
      </w:pPr>
      <w:r>
        <w:rPr>
          <w:rFonts w:hint="eastAsia" w:ascii="宋体" w:hAnsi="宋体"/>
          <w:bCs/>
          <w:color w:val="auto"/>
          <w:sz w:val="28"/>
          <w:szCs w:val="28"/>
          <w:highlight w:val="none"/>
        </w:rPr>
        <w:t>投标人名称：XXXX</w:t>
      </w:r>
    </w:p>
    <w:p>
      <w:pPr>
        <w:adjustRightInd w:val="0"/>
        <w:ind w:firstLine="420" w:firstLineChars="150"/>
        <w:jc w:val="left"/>
        <w:rPr>
          <w:rFonts w:ascii="宋体" w:hAnsi="宋体"/>
          <w:color w:val="auto"/>
          <w:sz w:val="28"/>
          <w:highlight w:val="none"/>
        </w:rPr>
      </w:pPr>
      <w:r>
        <w:rPr>
          <w:rFonts w:hint="eastAsia" w:ascii="宋体" w:hAnsi="宋体"/>
          <w:color w:val="auto"/>
          <w:sz w:val="28"/>
          <w:highlight w:val="none"/>
        </w:rPr>
        <w:t>日期：20XX年XX月XX日</w:t>
      </w: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5"/>
        <w:numPr>
          <w:ilvl w:val="2"/>
          <w:numId w:val="4"/>
        </w:numPr>
        <w:spacing w:after="200" w:line="240" w:lineRule="auto"/>
        <w:ind w:left="851"/>
        <w:rPr>
          <w:bCs w:val="0"/>
          <w:color w:val="auto"/>
          <w:highlight w:val="none"/>
        </w:rPr>
      </w:pPr>
      <w:bookmarkStart w:id="413" w:name="_GoBack"/>
      <w:bookmarkEnd w:id="413"/>
      <w:r>
        <w:rPr>
          <w:rFonts w:hint="eastAsia"/>
          <w:bCs w:val="0"/>
          <w:color w:val="auto"/>
          <w:highlight w:val="none"/>
        </w:rPr>
        <w:t>承诺函</w:t>
      </w:r>
    </w:p>
    <w:p>
      <w:pPr>
        <w:snapToGrid w:val="0"/>
        <w:rPr>
          <w:rFonts w:ascii="宋体" w:hAnsi="宋体"/>
          <w:b/>
          <w:color w:val="auto"/>
          <w:spacing w:val="-20"/>
          <w:sz w:val="28"/>
          <w:szCs w:val="28"/>
          <w:highlight w:val="none"/>
        </w:rPr>
      </w:pPr>
      <w:r>
        <w:rPr>
          <w:rFonts w:hint="eastAsia" w:ascii="宋体" w:hAnsi="宋体"/>
          <w:b/>
          <w:color w:val="auto"/>
          <w:sz w:val="28"/>
          <w:szCs w:val="28"/>
          <w:highlight w:val="none"/>
        </w:rPr>
        <w:t>项目名称：</w:t>
      </w:r>
      <w:r>
        <w:rPr>
          <w:rFonts w:hint="eastAsia" w:ascii="宋体" w:hAnsi="宋体"/>
          <w:b/>
          <w:color w:val="auto"/>
          <w:sz w:val="28"/>
          <w:szCs w:val="28"/>
          <w:highlight w:val="none"/>
          <w:u w:val="single"/>
        </w:rPr>
        <w:t>成都高新区芳草小学物业管理服务采购项目</w:t>
      </w:r>
    </w:p>
    <w:p>
      <w:pPr>
        <w:snapToGrid w:val="0"/>
        <w:rPr>
          <w:rFonts w:hint="eastAsia" w:ascii="宋体" w:hAnsi="宋体" w:eastAsia="宋体"/>
          <w:b/>
          <w:color w:val="auto"/>
          <w:sz w:val="28"/>
          <w:szCs w:val="28"/>
          <w:highlight w:val="none"/>
          <w:u w:val="single"/>
          <w:lang w:eastAsia="zh-CN"/>
        </w:rPr>
      </w:pPr>
      <w:r>
        <w:rPr>
          <w:rFonts w:hint="eastAsia" w:ascii="宋体" w:hAnsi="宋体"/>
          <w:b/>
          <w:color w:val="auto"/>
          <w:sz w:val="28"/>
          <w:szCs w:val="28"/>
          <w:highlight w:val="none"/>
        </w:rPr>
        <w:t>项目编号：</w:t>
      </w:r>
      <w:r>
        <w:rPr>
          <w:rFonts w:hint="eastAsia" w:ascii="宋体" w:hAnsi="宋体"/>
          <w:b/>
          <w:color w:val="auto"/>
          <w:sz w:val="28"/>
          <w:szCs w:val="28"/>
          <w:highlight w:val="none"/>
          <w:u w:val="single"/>
          <w:lang w:eastAsia="zh-CN"/>
        </w:rPr>
        <w:t>成都高新技术产业开发区政采（2021）A0045号</w:t>
      </w:r>
    </w:p>
    <w:p>
      <w:pPr>
        <w:adjustRightInd w:val="0"/>
        <w:snapToGrid w:val="0"/>
        <w:spacing w:line="360" w:lineRule="auto"/>
        <w:ind w:firstLine="602" w:firstLineChars="201"/>
        <w:rPr>
          <w:rFonts w:ascii="宋体" w:hAnsi="宋体"/>
          <w:color w:val="auto"/>
          <w:sz w:val="30"/>
          <w:szCs w:val="30"/>
          <w:highlight w:val="none"/>
        </w:rPr>
      </w:pPr>
    </w:p>
    <w:p>
      <w:pPr>
        <w:adjustRightInd w:val="0"/>
        <w:snapToGrid w:val="0"/>
        <w:spacing w:line="360" w:lineRule="auto"/>
        <w:ind w:firstLine="602" w:firstLineChars="201"/>
        <w:rPr>
          <w:rFonts w:ascii="宋体" w:hAnsi="宋体"/>
          <w:color w:val="auto"/>
          <w:sz w:val="30"/>
          <w:szCs w:val="30"/>
          <w:highlight w:val="none"/>
        </w:rPr>
      </w:pPr>
      <w:r>
        <w:rPr>
          <w:rFonts w:hint="eastAsia" w:ascii="宋体" w:hAnsi="宋体"/>
          <w:color w:val="auto"/>
          <w:sz w:val="30"/>
          <w:szCs w:val="30"/>
          <w:highlight w:val="none"/>
        </w:rPr>
        <w:t>我公司作为参加本项目的投标人，在此郑重承诺：</w:t>
      </w:r>
    </w:p>
    <w:p>
      <w:pPr>
        <w:pStyle w:val="40"/>
        <w:widowControl w:val="0"/>
        <w:numPr>
          <w:ilvl w:val="0"/>
          <w:numId w:val="37"/>
        </w:numPr>
        <w:spacing w:before="0" w:after="0" w:afterAutospacing="0" w:line="360" w:lineRule="auto"/>
        <w:jc w:val="both"/>
        <w:rPr>
          <w:rFonts w:cs="宋体"/>
          <w:color w:val="auto"/>
          <w:kern w:val="2"/>
          <w:sz w:val="28"/>
          <w:szCs w:val="28"/>
          <w:highlight w:val="none"/>
        </w:rPr>
      </w:pPr>
      <w:r>
        <w:rPr>
          <w:rFonts w:hint="eastAsia" w:cs="宋体"/>
          <w:color w:val="auto"/>
          <w:kern w:val="2"/>
          <w:sz w:val="28"/>
          <w:szCs w:val="28"/>
          <w:highlight w:val="none"/>
          <w:lang w:bidi="ar"/>
        </w:rPr>
        <w:t>我方应当与本项目配置的员工建立合法劳动用工关系，并按照国家法律法规全员购置社保。我方负责支付所派出全部工作人员工资、社保、残疾人基金、工会基金、住房公积金等费用及各项补助、节日福利等，人员工资标准不得低于本地的最低工资标准，采购人对此不承担任何的法律责任和义务，不得以人工工资价格上涨要求相关补助，采购人不额外向个人支付费用（应采购人实际工作需要，</w:t>
      </w:r>
      <w:r>
        <w:rPr>
          <w:rFonts w:hint="eastAsia" w:cs="宋体"/>
          <w:color w:val="auto"/>
          <w:kern w:val="2"/>
          <w:sz w:val="28"/>
          <w:szCs w:val="28"/>
          <w:highlight w:val="none"/>
          <w:lang w:eastAsia="zh-CN" w:bidi="ar"/>
        </w:rPr>
        <w:t>采购人</w:t>
      </w:r>
      <w:r>
        <w:rPr>
          <w:rFonts w:hint="eastAsia" w:cs="宋体"/>
          <w:color w:val="auto"/>
          <w:kern w:val="2"/>
          <w:sz w:val="28"/>
          <w:szCs w:val="28"/>
          <w:highlight w:val="none"/>
          <w:lang w:bidi="ar"/>
        </w:rPr>
        <w:t>要求提供的特约有偿服务或派员参加重大活动协助的除外）；</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sz w:val="28"/>
          <w:szCs w:val="28"/>
          <w:highlight w:val="none"/>
          <w:lang w:bidi="ar"/>
        </w:rPr>
        <w:t>采购人不向我方提供员工住宿（因工作需要采购人向我方提供必要备勤室除外），我方的现场服务人员的工作用餐可以在采购人的食堂用餐，但必须遵守采购人的就餐时间安排，</w:t>
      </w:r>
      <w:r>
        <w:rPr>
          <w:rFonts w:hint="eastAsia"/>
          <w:color w:val="auto"/>
          <w:sz w:val="28"/>
          <w:szCs w:val="28"/>
          <w:highlight w:val="none"/>
        </w:rPr>
        <w:t>行课期间，采购人提供员工本人的工作餐。餐费由我方按照采购人规定收费结算</w:t>
      </w:r>
      <w:r>
        <w:rPr>
          <w:rFonts w:hint="eastAsia" w:cs="宋体"/>
          <w:color w:val="auto"/>
          <w:sz w:val="28"/>
          <w:szCs w:val="28"/>
          <w:highlight w:val="none"/>
          <w:lang w:bidi="ar"/>
        </w:rPr>
        <w:t>。我方应确保现场服务的延续性，采购人出于现场服务延续性考虑需要留用的现场服务人员，我方接收并承认员工的工龄。</w:t>
      </w:r>
      <w:r>
        <w:rPr>
          <w:rFonts w:hint="eastAsia" w:cs="宋体"/>
          <w:color w:val="auto"/>
          <w:kern w:val="2"/>
          <w:sz w:val="28"/>
          <w:szCs w:val="28"/>
          <w:highlight w:val="none"/>
          <w:lang w:bidi="ar"/>
        </w:rPr>
        <w:t>；</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sz w:val="28"/>
          <w:szCs w:val="28"/>
          <w:highlight w:val="none"/>
          <w:lang w:bidi="ar"/>
        </w:rPr>
        <w:t>本项目物业服务人员最低配置人数要求：采购人的物业</w:t>
      </w:r>
      <w:r>
        <w:rPr>
          <w:rFonts w:hint="eastAsia"/>
          <w:color w:val="auto"/>
          <w:sz w:val="28"/>
          <w:szCs w:val="28"/>
          <w:highlight w:val="none"/>
          <w:lang w:bidi="ar"/>
        </w:rPr>
        <w:t>服务人员应</w:t>
      </w:r>
      <w:r>
        <w:rPr>
          <w:rFonts w:hint="eastAsia"/>
          <w:color w:val="auto"/>
          <w:sz w:val="28"/>
          <w:szCs w:val="28"/>
          <w:highlight w:val="none"/>
        </w:rPr>
        <w:t>按照最低40人配置，其中：项目经理：2人（北区1人，南区1人）；保安队长：2人（北区1人，南区1人）；保洁组长：2人（北区1人，南区1人）；文印员：2人（北区1人，南区1人）；秩序维护员：19人（北区7人、南区12人）；保洁员：7人（北区3人，南区4人）；绿化工：2人(北区1人，南区1人)；维修工（电工）：2人(北区1人，南区1人)；体育保管员：2人(北区1人，南区1人)。</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olor w:val="auto"/>
          <w:sz w:val="28"/>
          <w:szCs w:val="28"/>
          <w:highlight w:val="none"/>
        </w:rPr>
        <w:t>我方响应招标文件中商务要求的4.3.2服务期限、4.3.3付款方式的内容。</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我方因自身原因遗漏报价而发生的费用追加，按《民法典》、《劳动法》等法律法规而造成责任和损失，全部由我方自行承担。</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保证所提供的服务或其任何一部分均不会侵犯任何第三方的专利权、商标权或著作权；采购人定期核对我方提供服务所配备的人员数量及相关信息，对于未按照招标文件及投标响应要求执行或存在不合理的部分有权下达整改通知书，并要求我方限期整改；我方定期及时向采购人通告本项目服务范围内有关服务的重大事项及其进度；接受项目行业管理部门及政府有关部门的指导，接受采购人的监督。</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配置项目相关管理人员、值班人员的通讯装备、安防设备；我方统一配备各岗位员工工服（按季节配备）；我方自行解决不少于两套保洁作业机具（包括但不限于电动洗地机、电动清洁车等大型清洁设备）和劳防用品，且必须符合国家相关安全法规的要求；我方负责提供所需的所有消耗品，包括：清洁、洗涤、药剂，生活垃圾袋、垃圾袋等耗材；此类设备所产生的费用均由我方承担。</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公用水电（包括空调、清洁卫生、办公、生活等各类用水；消防、水泵、照明、各类机电设备）费用由采购人承担。</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采购人将提供我方管理办公用房、仓库用房，在服务期限内提供给我方免费使用（办公仓库用水用电费用由中标人支付）。</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我方的各岗位员工要统一服装，并由我方负责员工工服配备和洗涤。</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我方有岗前培训机构，服务人员100%经过岗前培训合格才上岗。</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未经采购人同意，我方不得在合同期限内将本项目的管理权转包或发包。</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我方提供足够的作业机具,自行解决后勤管理服务时所需的日常工具和劳保用品,并能根据采购人的形象要求及规范,保证文明工作。</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我方严格按照标准化的操作程序、完善的培训体系和质量控制体系完成本项目，以保证整个后勤系统安全、高效、有序和有计划地运转。</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我方有责任配合采购人接受上级领导部门的监督、检查，提供必须的资料。</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我方严格按照国家规定给所有的员工缴纳各种社会保险（包括养老、医疗、工伤、生育险、失业保险等）。</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我方自行负责其招聘员工的一切工资、福利；如发生工伤、疾病乃至死亡的一切责任及费用由我方全部负责；</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我方严格遵守国家有关的法律、法规及行业标准；</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全部服务人员的工作时间应严格按国家有关法律、法规要求的标准执行，因工作原因产生的加班（含节假日加班）应严格按国家有关法律、法规要求的标准给付员工加班薪资。</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我方在中标后要为采购人购买公众责任险、为员工购买意外保险。</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采购人不接受任何因遗漏报价而发生的费用追加，因我方违反《劳动法》等法律法规而造成采购人的连带责任和损失全部由我方承担。</w:t>
      </w:r>
    </w:p>
    <w:p>
      <w:pPr>
        <w:pStyle w:val="40"/>
        <w:widowControl w:val="0"/>
        <w:numPr>
          <w:ilvl w:val="0"/>
          <w:numId w:val="37"/>
        </w:numPr>
        <w:spacing w:before="0" w:after="0" w:afterAutospacing="0" w:line="360" w:lineRule="auto"/>
        <w:jc w:val="both"/>
        <w:rPr>
          <w:rFonts w:cs="宋体"/>
          <w:color w:val="auto"/>
          <w:kern w:val="2"/>
          <w:sz w:val="28"/>
          <w:szCs w:val="28"/>
          <w:highlight w:val="none"/>
          <w:lang w:bidi="ar"/>
        </w:rPr>
      </w:pPr>
      <w:r>
        <w:rPr>
          <w:rFonts w:hint="eastAsia" w:cs="宋体"/>
          <w:color w:val="auto"/>
          <w:kern w:val="2"/>
          <w:sz w:val="28"/>
          <w:szCs w:val="28"/>
          <w:highlight w:val="none"/>
          <w:lang w:bidi="ar"/>
        </w:rPr>
        <w:t>我方对安全护卫人员的疾病和人身安全等负责，采购人对此不承担任何的责任和义务。</w:t>
      </w:r>
    </w:p>
    <w:p>
      <w:pPr>
        <w:snapToGrid w:val="0"/>
        <w:spacing w:line="360" w:lineRule="auto"/>
        <w:ind w:firstLine="560" w:firstLineChars="200"/>
        <w:rPr>
          <w:rFonts w:ascii="宋体" w:hAnsi="宋体"/>
          <w:color w:val="auto"/>
          <w:sz w:val="28"/>
          <w:szCs w:val="28"/>
          <w:highlight w:val="none"/>
        </w:rPr>
      </w:pPr>
    </w:p>
    <w:p>
      <w:pPr>
        <w:snapToGrid w:val="0"/>
        <w:spacing w:line="360" w:lineRule="auto"/>
        <w:ind w:firstLine="560" w:firstLineChars="200"/>
        <w:rPr>
          <w:color w:val="auto"/>
          <w:highlight w:val="none"/>
        </w:rPr>
      </w:pPr>
      <w:r>
        <w:rPr>
          <w:rFonts w:hint="eastAsia" w:ascii="宋体" w:hAnsi="宋体"/>
          <w:color w:val="auto"/>
          <w:sz w:val="28"/>
          <w:szCs w:val="28"/>
          <w:highlight w:val="none"/>
        </w:rPr>
        <w:t>特此承诺。</w:t>
      </w:r>
    </w:p>
    <w:p>
      <w:pPr>
        <w:snapToGrid w:val="0"/>
        <w:spacing w:line="360" w:lineRule="auto"/>
        <w:rPr>
          <w:rFonts w:ascii="宋体" w:hAnsi="宋体"/>
          <w:color w:val="auto"/>
          <w:sz w:val="28"/>
          <w:szCs w:val="28"/>
          <w:highlight w:val="none"/>
        </w:rPr>
      </w:pPr>
    </w:p>
    <w:p>
      <w:pPr>
        <w:pStyle w:val="2"/>
        <w:rPr>
          <w:rFonts w:ascii="宋体" w:hAnsi="宋体"/>
          <w:color w:val="auto"/>
          <w:sz w:val="28"/>
          <w:szCs w:val="28"/>
          <w:highlight w:val="none"/>
        </w:rPr>
      </w:pPr>
    </w:p>
    <w:p>
      <w:pPr>
        <w:pStyle w:val="2"/>
        <w:rPr>
          <w:rFonts w:ascii="宋体" w:hAnsi="宋体"/>
          <w:color w:val="auto"/>
          <w:sz w:val="28"/>
          <w:szCs w:val="28"/>
          <w:highlight w:val="none"/>
        </w:rPr>
      </w:pPr>
    </w:p>
    <w:p>
      <w:pPr>
        <w:spacing w:after="120" w:line="360" w:lineRule="auto"/>
        <w:ind w:left="420" w:leftChars="200"/>
        <w:rPr>
          <w:rFonts w:ascii="宋体" w:hAnsi="宋体"/>
          <w:bCs/>
          <w:color w:val="auto"/>
          <w:sz w:val="28"/>
          <w:szCs w:val="28"/>
          <w:highlight w:val="none"/>
        </w:rPr>
      </w:pPr>
      <w:r>
        <w:rPr>
          <w:rFonts w:hint="eastAsia" w:ascii="宋体" w:hAnsi="宋体"/>
          <w:bCs/>
          <w:color w:val="auto"/>
          <w:sz w:val="28"/>
          <w:szCs w:val="28"/>
          <w:highlight w:val="none"/>
        </w:rPr>
        <w:t>投标人名称：</w:t>
      </w:r>
      <w:r>
        <w:rPr>
          <w:rFonts w:hint="eastAsia" w:ascii="宋体" w:hAnsi="宋体"/>
          <w:bCs/>
          <w:color w:val="auto"/>
          <w:sz w:val="28"/>
          <w:szCs w:val="28"/>
          <w:highlight w:val="none"/>
          <w:u w:val="single"/>
        </w:rPr>
        <w:t>XXXX</w:t>
      </w:r>
    </w:p>
    <w:p>
      <w:pPr>
        <w:spacing w:line="360" w:lineRule="auto"/>
        <w:ind w:left="425"/>
        <w:rPr>
          <w:rFonts w:ascii="宋体" w:hAnsi="宋体"/>
          <w:color w:val="auto"/>
          <w:sz w:val="30"/>
          <w:szCs w:val="30"/>
          <w:highlight w:val="none"/>
        </w:rPr>
      </w:pPr>
      <w:r>
        <w:rPr>
          <w:rFonts w:hint="eastAsia" w:ascii="宋体" w:hAnsi="宋体"/>
          <w:color w:val="auto"/>
          <w:sz w:val="28"/>
          <w:highlight w:val="none"/>
        </w:rPr>
        <w:t>日期：</w:t>
      </w:r>
      <w:r>
        <w:rPr>
          <w:rFonts w:hint="eastAsia" w:ascii="宋体" w:hAnsi="宋体"/>
          <w:bCs/>
          <w:color w:val="auto"/>
          <w:sz w:val="28"/>
          <w:highlight w:val="none"/>
        </w:rPr>
        <w:t>202</w:t>
      </w:r>
      <w:r>
        <w:rPr>
          <w:rFonts w:hint="eastAsia" w:ascii="宋体" w:hAnsi="宋体"/>
          <w:bCs/>
          <w:color w:val="auto"/>
          <w:sz w:val="28"/>
          <w:highlight w:val="none"/>
          <w:u w:val="single"/>
        </w:rPr>
        <w:t>X</w:t>
      </w:r>
      <w:r>
        <w:rPr>
          <w:rFonts w:hint="eastAsia" w:ascii="宋体" w:hAnsi="宋体"/>
          <w:bCs/>
          <w:color w:val="auto"/>
          <w:sz w:val="28"/>
          <w:highlight w:val="none"/>
        </w:rPr>
        <w:t>年</w:t>
      </w:r>
      <w:r>
        <w:rPr>
          <w:rFonts w:hint="eastAsia" w:ascii="宋体" w:hAnsi="宋体"/>
          <w:bCs/>
          <w:color w:val="auto"/>
          <w:sz w:val="28"/>
          <w:highlight w:val="none"/>
          <w:u w:val="single"/>
        </w:rPr>
        <w:t>XX</w:t>
      </w:r>
      <w:r>
        <w:rPr>
          <w:rFonts w:hint="eastAsia" w:ascii="宋体" w:hAnsi="宋体"/>
          <w:bCs/>
          <w:color w:val="auto"/>
          <w:sz w:val="28"/>
          <w:highlight w:val="none"/>
        </w:rPr>
        <w:t>月</w:t>
      </w:r>
      <w:r>
        <w:rPr>
          <w:rFonts w:hint="eastAsia" w:ascii="宋体" w:hAnsi="宋体"/>
          <w:bCs/>
          <w:color w:val="auto"/>
          <w:sz w:val="28"/>
          <w:highlight w:val="none"/>
          <w:u w:val="single"/>
        </w:rPr>
        <w:t>XX</w:t>
      </w:r>
      <w:r>
        <w:rPr>
          <w:rFonts w:hint="eastAsia" w:ascii="宋体" w:hAnsi="宋体"/>
          <w:bCs/>
          <w:color w:val="auto"/>
          <w:sz w:val="28"/>
          <w:highlight w:val="none"/>
        </w:rPr>
        <w:t>日</w:t>
      </w:r>
    </w:p>
    <w:p>
      <w:pPr>
        <w:spacing w:line="360" w:lineRule="auto"/>
        <w:rPr>
          <w:rFonts w:ascii="宋体" w:hAnsi="宋体"/>
          <w:color w:val="auto"/>
          <w:sz w:val="30"/>
          <w:szCs w:val="30"/>
          <w:highlight w:val="none"/>
        </w:rPr>
      </w:pPr>
    </w:p>
    <w:p>
      <w:pPr>
        <w:rPr>
          <w:color w:val="auto"/>
          <w:highlight w:val="none"/>
        </w:rPr>
      </w:pPr>
      <w:r>
        <w:rPr>
          <w:rFonts w:ascii="宋体" w:hAnsi="宋体"/>
          <w:color w:val="auto"/>
          <w:sz w:val="30"/>
          <w:szCs w:val="30"/>
          <w:highlight w:val="none"/>
        </w:rPr>
        <w:br w:type="page"/>
      </w:r>
    </w:p>
    <w:p>
      <w:pPr>
        <w:keepNext/>
        <w:keepLines/>
        <w:numPr>
          <w:ilvl w:val="1"/>
          <w:numId w:val="4"/>
        </w:numPr>
        <w:spacing w:before="260" w:after="260" w:line="360" w:lineRule="auto"/>
        <w:jc w:val="left"/>
        <w:outlineLvl w:val="1"/>
        <w:rPr>
          <w:rFonts w:ascii="宋体" w:hAnsi="宋体"/>
          <w:b/>
          <w:color w:val="auto"/>
          <w:sz w:val="28"/>
          <w:highlight w:val="none"/>
        </w:rPr>
      </w:pPr>
      <w:bookmarkStart w:id="227" w:name="_Toc19171"/>
      <w:bookmarkStart w:id="228" w:name="_Toc73619745"/>
      <w:r>
        <w:rPr>
          <w:rFonts w:hint="eastAsia" w:ascii="宋体" w:hAnsi="宋体"/>
          <w:b/>
          <w:color w:val="auto"/>
          <w:sz w:val="28"/>
          <w:highlight w:val="none"/>
        </w:rPr>
        <w:t>报价</w:t>
      </w:r>
      <w:r>
        <w:rPr>
          <w:rFonts w:hint="eastAsia" w:ascii="宋体" w:hAnsi="宋体"/>
          <w:b/>
          <w:bCs/>
          <w:color w:val="auto"/>
          <w:sz w:val="28"/>
          <w:szCs w:val="28"/>
          <w:highlight w:val="none"/>
        </w:rPr>
        <w:t>要求</w:t>
      </w:r>
      <w:r>
        <w:rPr>
          <w:rFonts w:hint="eastAsia" w:ascii="宋体" w:hAnsi="宋体"/>
          <w:b/>
          <w:color w:val="auto"/>
          <w:sz w:val="28"/>
          <w:highlight w:val="none"/>
        </w:rPr>
        <w:t>响应文件</w:t>
      </w:r>
      <w:bookmarkEnd w:id="227"/>
      <w:bookmarkEnd w:id="228"/>
    </w:p>
    <w:p>
      <w:pPr>
        <w:keepNext/>
        <w:keepLines/>
        <w:numPr>
          <w:ilvl w:val="2"/>
          <w:numId w:val="4"/>
        </w:numPr>
        <w:spacing w:line="360" w:lineRule="auto"/>
        <w:ind w:left="3119" w:hanging="3119"/>
        <w:outlineLvl w:val="2"/>
        <w:rPr>
          <w:rFonts w:ascii="宋体" w:hAnsi="宋体"/>
          <w:b/>
          <w:bCs/>
          <w:color w:val="auto"/>
          <w:sz w:val="28"/>
          <w:szCs w:val="28"/>
          <w:highlight w:val="none"/>
        </w:rPr>
      </w:pPr>
      <w:r>
        <w:rPr>
          <w:rFonts w:hint="eastAsia" w:ascii="宋体" w:hAnsi="宋体"/>
          <w:b/>
          <w:bCs/>
          <w:color w:val="auto"/>
          <w:kern w:val="0"/>
          <w:sz w:val="28"/>
          <w:szCs w:val="28"/>
          <w:highlight w:val="none"/>
        </w:rPr>
        <w:t>开标一览表</w:t>
      </w:r>
    </w:p>
    <w:p>
      <w:pPr>
        <w:tabs>
          <w:tab w:val="left" w:pos="1134"/>
        </w:tabs>
        <w:spacing w:line="560" w:lineRule="exact"/>
        <w:ind w:firstLine="427" w:firstLineChars="152"/>
        <w:rPr>
          <w:rFonts w:ascii="宋体" w:hAnsi="宋体"/>
          <w:b/>
          <w:bCs/>
          <w:color w:val="auto"/>
          <w:sz w:val="28"/>
          <w:szCs w:val="28"/>
          <w:highlight w:val="none"/>
        </w:rPr>
      </w:pPr>
      <w:r>
        <w:rPr>
          <w:rFonts w:hint="eastAsia" w:ascii="宋体" w:hAnsi="宋体"/>
          <w:b/>
          <w:bCs/>
          <w:color w:val="auto"/>
          <w:sz w:val="28"/>
          <w:szCs w:val="28"/>
          <w:highlight w:val="none"/>
        </w:rPr>
        <w:t xml:space="preserve">标项1： </w:t>
      </w:r>
    </w:p>
    <w:tbl>
      <w:tblPr>
        <w:tblStyle w:val="45"/>
        <w:tblW w:w="6662" w:type="dxa"/>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2" w:type="dxa"/>
            <w:tcBorders>
              <w:top w:val="single" w:color="auto" w:sz="4" w:space="0"/>
              <w:left w:val="single" w:color="auto" w:sz="4" w:space="0"/>
              <w:bottom w:val="single" w:color="auto" w:sz="4" w:space="0"/>
              <w:right w:val="single" w:color="auto" w:sz="4" w:space="0"/>
            </w:tcBorders>
          </w:tcPr>
          <w:p>
            <w:pPr>
              <w:tabs>
                <w:tab w:val="left" w:pos="1134"/>
              </w:tabs>
              <w:spacing w:line="560" w:lineRule="exact"/>
              <w:jc w:val="center"/>
              <w:rPr>
                <w:rFonts w:ascii="宋体" w:hAnsi="宋体"/>
                <w:color w:val="auto"/>
                <w:kern w:val="0"/>
                <w:sz w:val="28"/>
                <w:szCs w:val="28"/>
                <w:highlight w:val="none"/>
              </w:rPr>
            </w:pPr>
            <w:r>
              <w:rPr>
                <w:rFonts w:hint="eastAsia" w:ascii="宋体" w:hAnsi="宋体"/>
                <w:color w:val="auto"/>
                <w:kern w:val="0"/>
                <w:sz w:val="28"/>
                <w:szCs w:val="28"/>
                <w:highlight w:val="none"/>
              </w:rPr>
              <w:t>投标报价（元）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2" w:type="dxa"/>
            <w:tcBorders>
              <w:top w:val="single" w:color="auto" w:sz="4" w:space="0"/>
              <w:left w:val="single" w:color="auto" w:sz="4" w:space="0"/>
              <w:bottom w:val="single" w:color="auto" w:sz="4" w:space="0"/>
              <w:right w:val="single" w:color="auto" w:sz="4" w:space="0"/>
            </w:tcBorders>
          </w:tcPr>
          <w:p>
            <w:pPr>
              <w:tabs>
                <w:tab w:val="left" w:pos="1134"/>
              </w:tabs>
              <w:spacing w:line="560" w:lineRule="exact"/>
              <w:rPr>
                <w:rFonts w:ascii="宋体" w:hAnsi="宋体"/>
                <w:color w:val="auto"/>
                <w:kern w:val="0"/>
                <w:sz w:val="28"/>
                <w:szCs w:val="28"/>
                <w:highlight w:val="none"/>
              </w:rPr>
            </w:pPr>
          </w:p>
        </w:tc>
      </w:tr>
    </w:tbl>
    <w:p>
      <w:pPr>
        <w:tabs>
          <w:tab w:val="left" w:pos="1134"/>
        </w:tabs>
        <w:spacing w:line="560" w:lineRule="exact"/>
        <w:ind w:firstLine="425" w:firstLineChars="152"/>
        <w:rPr>
          <w:rFonts w:ascii="宋体" w:hAnsi="宋体"/>
          <w:color w:val="auto"/>
          <w:sz w:val="28"/>
          <w:szCs w:val="28"/>
          <w:highlight w:val="none"/>
        </w:rPr>
      </w:pPr>
    </w:p>
    <w:p>
      <w:pPr>
        <w:tabs>
          <w:tab w:val="left" w:pos="1134"/>
        </w:tabs>
        <w:spacing w:line="560" w:lineRule="exact"/>
        <w:ind w:firstLine="427" w:firstLineChars="152"/>
        <w:rPr>
          <w:rFonts w:ascii="宋体" w:hAnsi="宋体"/>
          <w:b/>
          <w:bCs/>
          <w:color w:val="auto"/>
          <w:sz w:val="28"/>
          <w:highlight w:val="none"/>
        </w:rPr>
      </w:pPr>
      <w:r>
        <w:rPr>
          <w:rFonts w:hint="eastAsia" w:ascii="宋体" w:hAnsi="宋体"/>
          <w:b/>
          <w:color w:val="auto"/>
          <w:sz w:val="28"/>
          <w:szCs w:val="28"/>
          <w:highlight w:val="none"/>
        </w:rPr>
        <w:t>投标报价以投标人在政府采购云平台开标一览表中填写的报价为准。</w:t>
      </w:r>
    </w:p>
    <w:p>
      <w:pPr>
        <w:snapToGrid w:val="0"/>
        <w:spacing w:line="500" w:lineRule="exact"/>
        <w:ind w:left="1445" w:right="-57" w:rightChars="-27" w:hanging="1445" w:hangingChars="514"/>
        <w:rPr>
          <w:rFonts w:ascii="宋体" w:hAnsi="宋体"/>
          <w:b/>
          <w:bCs/>
          <w:color w:val="auto"/>
          <w:sz w:val="28"/>
          <w:highlight w:val="none"/>
          <w:u w:val="single"/>
        </w:rPr>
      </w:pPr>
    </w:p>
    <w:p>
      <w:pPr>
        <w:spacing w:line="360" w:lineRule="auto"/>
        <w:rPr>
          <w:rFonts w:ascii="宋体" w:hAnsi="宋体"/>
          <w:b/>
          <w:color w:val="auto"/>
          <w:sz w:val="28"/>
          <w:szCs w:val="28"/>
          <w:highlight w:val="none"/>
          <w:u w:val="singl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spacing w:line="440" w:lineRule="atLeast"/>
        <w:ind w:firstLine="419" w:firstLineChars="149"/>
        <w:rPr>
          <w:rFonts w:ascii="宋体" w:hAnsi="宋体"/>
          <w:b/>
          <w:color w:val="auto"/>
          <w:sz w:val="28"/>
          <w:szCs w:val="28"/>
          <w:highlight w:val="none"/>
        </w:rPr>
      </w:pPr>
    </w:p>
    <w:p>
      <w:pPr>
        <w:keepNext/>
        <w:keepLines/>
        <w:numPr>
          <w:ilvl w:val="2"/>
          <w:numId w:val="4"/>
        </w:numPr>
        <w:spacing w:line="360" w:lineRule="auto"/>
        <w:ind w:left="3119" w:hanging="3119"/>
        <w:outlineLvl w:val="2"/>
        <w:rPr>
          <w:rFonts w:ascii="宋体" w:hAnsi="宋体"/>
          <w:b/>
          <w:bCs/>
          <w:color w:val="auto"/>
          <w:sz w:val="28"/>
          <w:szCs w:val="28"/>
          <w:highlight w:val="none"/>
        </w:rPr>
      </w:pPr>
      <w:r>
        <w:rPr>
          <w:rFonts w:hint="eastAsia" w:ascii="宋体" w:hAnsi="宋体"/>
          <w:b/>
          <w:bCs/>
          <w:color w:val="auto"/>
          <w:sz w:val="28"/>
          <w:szCs w:val="28"/>
          <w:highlight w:val="none"/>
        </w:rPr>
        <w:t>分项报价明细表</w:t>
      </w:r>
    </w:p>
    <w:p>
      <w:pPr>
        <w:snapToGrid w:val="0"/>
        <w:spacing w:line="440" w:lineRule="exact"/>
        <w:ind w:right="-624" w:rightChars="-297"/>
        <w:rPr>
          <w:rFonts w:ascii="宋体" w:hAnsi="宋体"/>
          <w:b/>
          <w:color w:val="auto"/>
          <w:sz w:val="28"/>
          <w:highlight w:val="none"/>
        </w:rPr>
      </w:pPr>
      <w:r>
        <w:rPr>
          <w:rFonts w:hint="eastAsia" w:ascii="宋体" w:hAnsi="宋体"/>
          <w:b/>
          <w:color w:val="auto"/>
          <w:sz w:val="28"/>
          <w:highlight w:val="none"/>
        </w:rPr>
        <w:t>项目名称：</w:t>
      </w:r>
      <w:r>
        <w:rPr>
          <w:rFonts w:hint="eastAsia" w:ascii="宋体" w:hAnsi="宋体"/>
          <w:b/>
          <w:color w:val="auto"/>
          <w:sz w:val="28"/>
          <w:szCs w:val="28"/>
          <w:highlight w:val="none"/>
          <w:u w:val="single"/>
        </w:rPr>
        <w:t>成都高新区芳草小学物业管理服务采购项目</w:t>
      </w:r>
    </w:p>
    <w:p>
      <w:pPr>
        <w:tabs>
          <w:tab w:val="left" w:pos="7560"/>
        </w:tabs>
        <w:spacing w:after="180" w:line="440" w:lineRule="exact"/>
        <w:rPr>
          <w:rFonts w:hint="eastAsia" w:ascii="宋体" w:hAnsi="宋体" w:eastAsia="宋体"/>
          <w:b/>
          <w:color w:val="auto"/>
          <w:sz w:val="28"/>
          <w:szCs w:val="20"/>
          <w:highlight w:val="none"/>
          <w:lang w:eastAsia="zh-CN"/>
        </w:rPr>
      </w:pPr>
      <w:r>
        <w:rPr>
          <w:rFonts w:hint="eastAsia" w:ascii="宋体" w:hAnsi="宋体"/>
          <w:b/>
          <w:color w:val="auto"/>
          <w:sz w:val="28"/>
          <w:szCs w:val="20"/>
          <w:highlight w:val="none"/>
        </w:rPr>
        <w:t>项目编号：</w:t>
      </w:r>
      <w:r>
        <w:rPr>
          <w:rFonts w:hint="eastAsia" w:ascii="宋体" w:hAnsi="宋体"/>
          <w:b/>
          <w:color w:val="auto"/>
          <w:sz w:val="28"/>
          <w:szCs w:val="20"/>
          <w:highlight w:val="none"/>
          <w:u w:val="single"/>
          <w:lang w:eastAsia="zh-CN"/>
        </w:rPr>
        <w:t>成都高新技术产业开发区政采（2021）A0045号</w:t>
      </w:r>
    </w:p>
    <w:tbl>
      <w:tblPr>
        <w:tblStyle w:val="44"/>
        <w:tblW w:w="84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15" w:type="dxa"/>
          <w:bottom w:w="0" w:type="dxa"/>
          <w:right w:w="115" w:type="dxa"/>
        </w:tblCellMar>
      </w:tblPr>
      <w:tblGrid>
        <w:gridCol w:w="824"/>
        <w:gridCol w:w="2552"/>
        <w:gridCol w:w="992"/>
        <w:gridCol w:w="1417"/>
        <w:gridCol w:w="1701"/>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
                <w:color w:val="auto"/>
                <w:sz w:val="28"/>
                <w:highlight w:val="none"/>
              </w:rPr>
            </w:pPr>
            <w:r>
              <w:rPr>
                <w:rFonts w:hint="eastAsia" w:asciiTheme="majorEastAsia" w:hAnsiTheme="majorEastAsia" w:eastAsiaTheme="majorEastAsia" w:cstheme="majorEastAsia"/>
                <w:b/>
                <w:color w:val="auto"/>
                <w:sz w:val="28"/>
                <w:highlight w:val="none"/>
              </w:rPr>
              <w:t>序号</w:t>
            </w:r>
          </w:p>
        </w:tc>
        <w:tc>
          <w:tcPr>
            <w:tcW w:w="2552" w:type="dxa"/>
            <w:vAlign w:val="center"/>
          </w:tcPr>
          <w:p>
            <w:pPr>
              <w:widowControl/>
              <w:jc w:val="center"/>
              <w:rPr>
                <w:rFonts w:asciiTheme="majorEastAsia" w:hAnsiTheme="majorEastAsia" w:eastAsiaTheme="majorEastAsia" w:cstheme="majorEastAsia"/>
                <w:b/>
                <w:color w:val="auto"/>
                <w:sz w:val="28"/>
                <w:highlight w:val="none"/>
              </w:rPr>
            </w:pPr>
            <w:r>
              <w:rPr>
                <w:rFonts w:hint="eastAsia" w:asciiTheme="majorEastAsia" w:hAnsiTheme="majorEastAsia" w:eastAsiaTheme="majorEastAsia" w:cstheme="majorEastAsia"/>
                <w:b/>
                <w:color w:val="auto"/>
                <w:sz w:val="28"/>
                <w:highlight w:val="none"/>
              </w:rPr>
              <w:t>服务岗位</w:t>
            </w:r>
          </w:p>
        </w:tc>
        <w:tc>
          <w:tcPr>
            <w:tcW w:w="992" w:type="dxa"/>
            <w:vAlign w:val="center"/>
          </w:tcPr>
          <w:p>
            <w:pPr>
              <w:pStyle w:val="51"/>
              <w:rPr>
                <w:rFonts w:asciiTheme="majorEastAsia" w:hAnsiTheme="majorEastAsia" w:eastAsiaTheme="majorEastAsia" w:cstheme="majorEastAsia"/>
                <w:b/>
                <w:color w:val="auto"/>
                <w:sz w:val="28"/>
                <w:szCs w:val="28"/>
                <w:highlight w:val="none"/>
              </w:rPr>
            </w:pPr>
            <w:r>
              <w:rPr>
                <w:rFonts w:hint="eastAsia" w:asciiTheme="majorEastAsia" w:hAnsiTheme="majorEastAsia" w:eastAsiaTheme="majorEastAsia" w:cstheme="majorEastAsia"/>
                <w:b/>
                <w:color w:val="auto"/>
                <w:sz w:val="28"/>
                <w:szCs w:val="28"/>
                <w:highlight w:val="none"/>
              </w:rPr>
              <w:t>人数</w:t>
            </w:r>
          </w:p>
        </w:tc>
        <w:tc>
          <w:tcPr>
            <w:tcW w:w="1417" w:type="dxa"/>
            <w:shd w:val="clear" w:color="auto" w:fill="auto"/>
            <w:vAlign w:val="center"/>
          </w:tcPr>
          <w:p>
            <w:pPr>
              <w:pStyle w:val="51"/>
              <w:rPr>
                <w:rFonts w:asciiTheme="majorEastAsia" w:hAnsiTheme="majorEastAsia" w:eastAsiaTheme="majorEastAsia" w:cstheme="majorEastAsia"/>
                <w:b/>
                <w:color w:val="auto"/>
                <w:sz w:val="28"/>
                <w:szCs w:val="28"/>
                <w:highlight w:val="none"/>
              </w:rPr>
            </w:pPr>
            <w:r>
              <w:rPr>
                <w:rFonts w:hint="eastAsia" w:asciiTheme="majorEastAsia" w:hAnsiTheme="majorEastAsia" w:eastAsiaTheme="majorEastAsia" w:cstheme="majorEastAsia"/>
                <w:b/>
                <w:color w:val="auto"/>
                <w:sz w:val="28"/>
                <w:szCs w:val="28"/>
                <w:highlight w:val="none"/>
              </w:rPr>
              <w:t>服务期限</w:t>
            </w:r>
          </w:p>
        </w:tc>
        <w:tc>
          <w:tcPr>
            <w:tcW w:w="1701" w:type="dxa"/>
            <w:vAlign w:val="center"/>
          </w:tcPr>
          <w:p>
            <w:pPr>
              <w:pStyle w:val="51"/>
              <w:ind w:firstLine="422" w:firstLineChars="150"/>
              <w:rPr>
                <w:rFonts w:asciiTheme="majorEastAsia" w:hAnsiTheme="majorEastAsia" w:eastAsiaTheme="majorEastAsia" w:cstheme="majorEastAsia"/>
                <w:b/>
                <w:color w:val="auto"/>
                <w:sz w:val="28"/>
                <w:szCs w:val="28"/>
                <w:highlight w:val="none"/>
              </w:rPr>
            </w:pPr>
            <w:r>
              <w:rPr>
                <w:rFonts w:hint="eastAsia" w:asciiTheme="majorEastAsia" w:hAnsiTheme="majorEastAsia" w:eastAsiaTheme="majorEastAsia" w:cstheme="majorEastAsia"/>
                <w:b/>
                <w:color w:val="auto"/>
                <w:sz w:val="28"/>
                <w:szCs w:val="28"/>
                <w:highlight w:val="none"/>
              </w:rPr>
              <w:t>单价</w:t>
            </w:r>
          </w:p>
        </w:tc>
        <w:tc>
          <w:tcPr>
            <w:tcW w:w="993" w:type="dxa"/>
            <w:vAlign w:val="center"/>
          </w:tcPr>
          <w:p>
            <w:pPr>
              <w:pStyle w:val="51"/>
              <w:rPr>
                <w:rFonts w:asciiTheme="majorEastAsia" w:hAnsiTheme="majorEastAsia" w:eastAsiaTheme="majorEastAsia" w:cstheme="majorEastAsia"/>
                <w:b/>
                <w:color w:val="auto"/>
                <w:sz w:val="28"/>
                <w:szCs w:val="28"/>
                <w:highlight w:val="none"/>
              </w:rPr>
            </w:pPr>
            <w:r>
              <w:rPr>
                <w:rFonts w:hint="eastAsia" w:asciiTheme="majorEastAsia" w:hAnsiTheme="majorEastAsia" w:eastAsiaTheme="majorEastAsia" w:cstheme="majorEastAsia"/>
                <w:b/>
                <w:color w:val="auto"/>
                <w:sz w:val="28"/>
                <w:szCs w:val="28"/>
                <w:highlight w:val="none"/>
              </w:rPr>
              <w:t>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color w:val="auto"/>
                <w:sz w:val="28"/>
                <w:szCs w:val="28"/>
                <w:highlight w:val="none"/>
              </w:rPr>
            </w:pPr>
            <w:r>
              <w:rPr>
                <w:rFonts w:hint="eastAsia" w:asciiTheme="majorEastAsia" w:hAnsiTheme="majorEastAsia" w:eastAsiaTheme="majorEastAsia" w:cstheme="majorEastAsia"/>
                <w:bCs/>
                <w:color w:val="auto"/>
                <w:sz w:val="28"/>
                <w:szCs w:val="28"/>
                <w:highlight w:val="none"/>
              </w:rPr>
              <w:t>1</w:t>
            </w:r>
          </w:p>
        </w:tc>
        <w:tc>
          <w:tcPr>
            <w:tcW w:w="255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99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1417" w:type="dxa"/>
            <w:shd w:val="clear" w:color="auto" w:fill="auto"/>
            <w:vAlign w:val="center"/>
          </w:tcPr>
          <w:p>
            <w:pPr>
              <w:widowControl/>
              <w:jc w:val="center"/>
              <w:rPr>
                <w:rFonts w:asciiTheme="majorEastAsia" w:hAnsiTheme="majorEastAsia" w:eastAsiaTheme="majorEastAsia" w:cstheme="majorEastAsia"/>
                <w:bCs/>
                <w:color w:val="auto"/>
                <w:sz w:val="28"/>
                <w:szCs w:val="28"/>
                <w:highlight w:val="none"/>
              </w:rPr>
            </w:pPr>
          </w:p>
        </w:tc>
        <w:tc>
          <w:tcPr>
            <w:tcW w:w="1701"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993" w:type="dxa"/>
          </w:tcPr>
          <w:p>
            <w:pPr>
              <w:widowControl/>
              <w:jc w:val="center"/>
              <w:rPr>
                <w:rFonts w:asciiTheme="majorEastAsia" w:hAnsiTheme="majorEastAsia" w:eastAsiaTheme="majorEastAsia" w:cstheme="majorEastAsia"/>
                <w:bCs/>
                <w:color w:val="auto"/>
                <w:sz w:val="28"/>
                <w:szCs w:val="28"/>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color w:val="auto"/>
                <w:sz w:val="28"/>
                <w:szCs w:val="28"/>
                <w:highlight w:val="none"/>
              </w:rPr>
            </w:pPr>
            <w:r>
              <w:rPr>
                <w:rFonts w:hint="eastAsia" w:asciiTheme="majorEastAsia" w:hAnsiTheme="majorEastAsia" w:eastAsiaTheme="majorEastAsia" w:cstheme="majorEastAsia"/>
                <w:bCs/>
                <w:color w:val="auto"/>
                <w:sz w:val="28"/>
                <w:szCs w:val="28"/>
                <w:highlight w:val="none"/>
              </w:rPr>
              <w:t>2</w:t>
            </w:r>
          </w:p>
        </w:tc>
        <w:tc>
          <w:tcPr>
            <w:tcW w:w="255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99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1417" w:type="dxa"/>
            <w:shd w:val="clear" w:color="auto" w:fill="auto"/>
            <w:vAlign w:val="center"/>
          </w:tcPr>
          <w:p>
            <w:pPr>
              <w:widowControl/>
              <w:jc w:val="center"/>
              <w:rPr>
                <w:rFonts w:asciiTheme="majorEastAsia" w:hAnsiTheme="majorEastAsia" w:eastAsiaTheme="majorEastAsia" w:cstheme="majorEastAsia"/>
                <w:bCs/>
                <w:color w:val="auto"/>
                <w:sz w:val="28"/>
                <w:szCs w:val="28"/>
                <w:highlight w:val="none"/>
              </w:rPr>
            </w:pPr>
          </w:p>
        </w:tc>
        <w:tc>
          <w:tcPr>
            <w:tcW w:w="1701" w:type="dxa"/>
            <w:vAlign w:val="center"/>
          </w:tcPr>
          <w:p>
            <w:pPr>
              <w:widowControl/>
              <w:jc w:val="center"/>
              <w:rPr>
                <w:rFonts w:asciiTheme="majorEastAsia" w:hAnsiTheme="majorEastAsia" w:eastAsiaTheme="majorEastAsia" w:cstheme="majorEastAsia"/>
                <w:bCs/>
                <w:color w:val="auto"/>
                <w:sz w:val="28"/>
                <w:szCs w:val="28"/>
                <w:highlight w:val="none"/>
                <w:u w:val="single"/>
              </w:rPr>
            </w:pPr>
          </w:p>
        </w:tc>
        <w:tc>
          <w:tcPr>
            <w:tcW w:w="993" w:type="dxa"/>
          </w:tcPr>
          <w:p>
            <w:pPr>
              <w:widowControl/>
              <w:jc w:val="center"/>
              <w:rPr>
                <w:rFonts w:asciiTheme="majorEastAsia" w:hAnsiTheme="majorEastAsia" w:eastAsiaTheme="majorEastAsia" w:cstheme="majorEastAsia"/>
                <w:bCs/>
                <w:color w:val="auto"/>
                <w:sz w:val="28"/>
                <w:szCs w:val="28"/>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color w:val="auto"/>
                <w:sz w:val="28"/>
                <w:szCs w:val="28"/>
                <w:highlight w:val="none"/>
              </w:rPr>
            </w:pPr>
            <w:r>
              <w:rPr>
                <w:rFonts w:hint="eastAsia" w:asciiTheme="majorEastAsia" w:hAnsiTheme="majorEastAsia" w:eastAsiaTheme="majorEastAsia" w:cstheme="majorEastAsia"/>
                <w:bCs/>
                <w:color w:val="auto"/>
                <w:sz w:val="28"/>
                <w:szCs w:val="28"/>
                <w:highlight w:val="none"/>
              </w:rPr>
              <w:t>3</w:t>
            </w:r>
          </w:p>
        </w:tc>
        <w:tc>
          <w:tcPr>
            <w:tcW w:w="255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99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1417" w:type="dxa"/>
            <w:shd w:val="clear" w:color="auto" w:fill="auto"/>
            <w:vAlign w:val="center"/>
          </w:tcPr>
          <w:p>
            <w:pPr>
              <w:widowControl/>
              <w:jc w:val="center"/>
              <w:rPr>
                <w:rFonts w:asciiTheme="majorEastAsia" w:hAnsiTheme="majorEastAsia" w:eastAsiaTheme="majorEastAsia" w:cstheme="majorEastAsia"/>
                <w:bCs/>
                <w:color w:val="auto"/>
                <w:sz w:val="28"/>
                <w:szCs w:val="28"/>
                <w:highlight w:val="none"/>
              </w:rPr>
            </w:pPr>
          </w:p>
        </w:tc>
        <w:tc>
          <w:tcPr>
            <w:tcW w:w="1701" w:type="dxa"/>
            <w:vAlign w:val="center"/>
          </w:tcPr>
          <w:p>
            <w:pPr>
              <w:widowControl/>
              <w:jc w:val="center"/>
              <w:rPr>
                <w:rFonts w:asciiTheme="majorEastAsia" w:hAnsiTheme="majorEastAsia" w:eastAsiaTheme="majorEastAsia" w:cstheme="majorEastAsia"/>
                <w:bCs/>
                <w:color w:val="auto"/>
                <w:sz w:val="28"/>
                <w:szCs w:val="28"/>
                <w:highlight w:val="none"/>
                <w:u w:val="single"/>
              </w:rPr>
            </w:pPr>
          </w:p>
        </w:tc>
        <w:tc>
          <w:tcPr>
            <w:tcW w:w="993" w:type="dxa"/>
          </w:tcPr>
          <w:p>
            <w:pPr>
              <w:widowControl/>
              <w:jc w:val="center"/>
              <w:rPr>
                <w:rFonts w:asciiTheme="majorEastAsia" w:hAnsiTheme="majorEastAsia" w:eastAsiaTheme="majorEastAsia" w:cstheme="majorEastAsia"/>
                <w:bCs/>
                <w:color w:val="auto"/>
                <w:sz w:val="28"/>
                <w:szCs w:val="28"/>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color w:val="auto"/>
                <w:sz w:val="28"/>
                <w:szCs w:val="28"/>
                <w:highlight w:val="none"/>
              </w:rPr>
            </w:pPr>
            <w:r>
              <w:rPr>
                <w:rFonts w:hint="eastAsia" w:asciiTheme="majorEastAsia" w:hAnsiTheme="majorEastAsia" w:eastAsiaTheme="majorEastAsia" w:cstheme="majorEastAsia"/>
                <w:bCs/>
                <w:color w:val="auto"/>
                <w:sz w:val="28"/>
                <w:szCs w:val="28"/>
                <w:highlight w:val="none"/>
              </w:rPr>
              <w:t>4</w:t>
            </w:r>
          </w:p>
        </w:tc>
        <w:tc>
          <w:tcPr>
            <w:tcW w:w="255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99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1417" w:type="dxa"/>
            <w:shd w:val="clear" w:color="auto" w:fill="auto"/>
            <w:vAlign w:val="center"/>
          </w:tcPr>
          <w:p>
            <w:pPr>
              <w:widowControl/>
              <w:jc w:val="center"/>
              <w:rPr>
                <w:rFonts w:asciiTheme="majorEastAsia" w:hAnsiTheme="majorEastAsia" w:eastAsiaTheme="majorEastAsia" w:cstheme="majorEastAsia"/>
                <w:bCs/>
                <w:color w:val="auto"/>
                <w:sz w:val="28"/>
                <w:szCs w:val="28"/>
                <w:highlight w:val="none"/>
              </w:rPr>
            </w:pPr>
          </w:p>
        </w:tc>
        <w:tc>
          <w:tcPr>
            <w:tcW w:w="1701" w:type="dxa"/>
            <w:vAlign w:val="center"/>
          </w:tcPr>
          <w:p>
            <w:pPr>
              <w:widowControl/>
              <w:jc w:val="center"/>
              <w:rPr>
                <w:rFonts w:asciiTheme="majorEastAsia" w:hAnsiTheme="majorEastAsia" w:eastAsiaTheme="majorEastAsia" w:cstheme="majorEastAsia"/>
                <w:bCs/>
                <w:color w:val="auto"/>
                <w:sz w:val="28"/>
                <w:szCs w:val="28"/>
                <w:highlight w:val="none"/>
                <w:u w:val="single"/>
              </w:rPr>
            </w:pPr>
          </w:p>
        </w:tc>
        <w:tc>
          <w:tcPr>
            <w:tcW w:w="993" w:type="dxa"/>
          </w:tcPr>
          <w:p>
            <w:pPr>
              <w:widowControl/>
              <w:jc w:val="center"/>
              <w:rPr>
                <w:rFonts w:asciiTheme="majorEastAsia" w:hAnsiTheme="majorEastAsia" w:eastAsiaTheme="majorEastAsia" w:cstheme="majorEastAsia"/>
                <w:bCs/>
                <w:color w:val="auto"/>
                <w:sz w:val="28"/>
                <w:szCs w:val="28"/>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color w:val="auto"/>
                <w:sz w:val="28"/>
                <w:szCs w:val="28"/>
                <w:highlight w:val="none"/>
              </w:rPr>
            </w:pPr>
            <w:r>
              <w:rPr>
                <w:rFonts w:hint="eastAsia" w:asciiTheme="majorEastAsia" w:hAnsiTheme="majorEastAsia" w:eastAsiaTheme="majorEastAsia" w:cstheme="majorEastAsia"/>
                <w:bCs/>
                <w:color w:val="auto"/>
                <w:sz w:val="28"/>
                <w:szCs w:val="28"/>
                <w:highlight w:val="none"/>
              </w:rPr>
              <w:t>5</w:t>
            </w:r>
          </w:p>
        </w:tc>
        <w:tc>
          <w:tcPr>
            <w:tcW w:w="255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99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1417" w:type="dxa"/>
            <w:shd w:val="clear" w:color="auto" w:fill="auto"/>
            <w:vAlign w:val="center"/>
          </w:tcPr>
          <w:p>
            <w:pPr>
              <w:widowControl/>
              <w:jc w:val="center"/>
              <w:rPr>
                <w:rFonts w:asciiTheme="majorEastAsia" w:hAnsiTheme="majorEastAsia" w:eastAsiaTheme="majorEastAsia" w:cstheme="majorEastAsia"/>
                <w:bCs/>
                <w:color w:val="auto"/>
                <w:sz w:val="28"/>
                <w:szCs w:val="28"/>
                <w:highlight w:val="none"/>
              </w:rPr>
            </w:pPr>
          </w:p>
        </w:tc>
        <w:tc>
          <w:tcPr>
            <w:tcW w:w="1701" w:type="dxa"/>
            <w:vAlign w:val="center"/>
          </w:tcPr>
          <w:p>
            <w:pPr>
              <w:widowControl/>
              <w:jc w:val="center"/>
              <w:rPr>
                <w:rFonts w:asciiTheme="majorEastAsia" w:hAnsiTheme="majorEastAsia" w:eastAsiaTheme="majorEastAsia" w:cstheme="majorEastAsia"/>
                <w:bCs/>
                <w:color w:val="auto"/>
                <w:sz w:val="28"/>
                <w:szCs w:val="28"/>
                <w:highlight w:val="none"/>
                <w:u w:val="single"/>
              </w:rPr>
            </w:pPr>
          </w:p>
        </w:tc>
        <w:tc>
          <w:tcPr>
            <w:tcW w:w="993" w:type="dxa"/>
          </w:tcPr>
          <w:p>
            <w:pPr>
              <w:widowControl/>
              <w:jc w:val="center"/>
              <w:rPr>
                <w:rFonts w:asciiTheme="majorEastAsia" w:hAnsiTheme="majorEastAsia" w:eastAsiaTheme="majorEastAsia" w:cstheme="majorEastAsia"/>
                <w:bCs/>
                <w:color w:val="auto"/>
                <w:sz w:val="28"/>
                <w:szCs w:val="28"/>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824" w:type="dxa"/>
            <w:vAlign w:val="center"/>
          </w:tcPr>
          <w:p>
            <w:pPr>
              <w:widowControl/>
              <w:jc w:val="center"/>
              <w:rPr>
                <w:rFonts w:asciiTheme="majorEastAsia" w:hAnsiTheme="majorEastAsia" w:eastAsiaTheme="majorEastAsia" w:cstheme="majorEastAsia"/>
                <w:bCs/>
                <w:color w:val="auto"/>
                <w:sz w:val="28"/>
                <w:szCs w:val="28"/>
                <w:highlight w:val="none"/>
              </w:rPr>
            </w:pPr>
            <w:r>
              <w:rPr>
                <w:rFonts w:hint="eastAsia" w:asciiTheme="majorEastAsia" w:hAnsiTheme="majorEastAsia" w:eastAsiaTheme="majorEastAsia" w:cstheme="majorEastAsia"/>
                <w:bCs/>
                <w:color w:val="auto"/>
                <w:sz w:val="28"/>
                <w:szCs w:val="28"/>
                <w:highlight w:val="none"/>
              </w:rPr>
              <w:t>6</w:t>
            </w:r>
          </w:p>
        </w:tc>
        <w:tc>
          <w:tcPr>
            <w:tcW w:w="255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992" w:type="dxa"/>
            <w:vAlign w:val="center"/>
          </w:tcPr>
          <w:p>
            <w:pPr>
              <w:widowControl/>
              <w:jc w:val="center"/>
              <w:rPr>
                <w:rFonts w:asciiTheme="majorEastAsia" w:hAnsiTheme="majorEastAsia" w:eastAsiaTheme="majorEastAsia" w:cstheme="majorEastAsia"/>
                <w:bCs/>
                <w:color w:val="auto"/>
                <w:sz w:val="28"/>
                <w:szCs w:val="28"/>
                <w:highlight w:val="none"/>
              </w:rPr>
            </w:pPr>
          </w:p>
        </w:tc>
        <w:tc>
          <w:tcPr>
            <w:tcW w:w="1417" w:type="dxa"/>
            <w:shd w:val="clear" w:color="auto" w:fill="auto"/>
            <w:vAlign w:val="center"/>
          </w:tcPr>
          <w:p>
            <w:pPr>
              <w:widowControl/>
              <w:jc w:val="center"/>
              <w:rPr>
                <w:rFonts w:asciiTheme="majorEastAsia" w:hAnsiTheme="majorEastAsia" w:eastAsiaTheme="majorEastAsia" w:cstheme="majorEastAsia"/>
                <w:bCs/>
                <w:color w:val="auto"/>
                <w:sz w:val="28"/>
                <w:szCs w:val="28"/>
                <w:highlight w:val="none"/>
              </w:rPr>
            </w:pPr>
          </w:p>
        </w:tc>
        <w:tc>
          <w:tcPr>
            <w:tcW w:w="1701" w:type="dxa"/>
            <w:vAlign w:val="center"/>
          </w:tcPr>
          <w:p>
            <w:pPr>
              <w:widowControl/>
              <w:jc w:val="center"/>
              <w:rPr>
                <w:rFonts w:asciiTheme="majorEastAsia" w:hAnsiTheme="majorEastAsia" w:eastAsiaTheme="majorEastAsia" w:cstheme="majorEastAsia"/>
                <w:bCs/>
                <w:color w:val="auto"/>
                <w:sz w:val="28"/>
                <w:szCs w:val="28"/>
                <w:highlight w:val="none"/>
                <w:u w:val="single"/>
              </w:rPr>
            </w:pPr>
          </w:p>
        </w:tc>
        <w:tc>
          <w:tcPr>
            <w:tcW w:w="993" w:type="dxa"/>
          </w:tcPr>
          <w:p>
            <w:pPr>
              <w:widowControl/>
              <w:jc w:val="center"/>
              <w:rPr>
                <w:rFonts w:asciiTheme="majorEastAsia" w:hAnsiTheme="majorEastAsia" w:eastAsiaTheme="majorEastAsia" w:cstheme="majorEastAsia"/>
                <w:bCs/>
                <w:color w:val="auto"/>
                <w:sz w:val="28"/>
                <w:szCs w:val="28"/>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15" w:type="dxa"/>
            <w:bottom w:w="0" w:type="dxa"/>
            <w:right w:w="115" w:type="dxa"/>
          </w:tblCellMar>
        </w:tblPrEx>
        <w:trPr>
          <w:trHeight w:val="23" w:hRule="atLeast"/>
        </w:trPr>
        <w:tc>
          <w:tcPr>
            <w:tcW w:w="7486" w:type="dxa"/>
            <w:gridSpan w:val="5"/>
            <w:vAlign w:val="center"/>
          </w:tcPr>
          <w:p>
            <w:pPr>
              <w:jc w:val="center"/>
              <w:rPr>
                <w:rFonts w:asciiTheme="majorEastAsia" w:hAnsiTheme="majorEastAsia" w:eastAsiaTheme="majorEastAsia" w:cstheme="majorEastAsia"/>
                <w:bCs/>
                <w:color w:val="auto"/>
                <w:sz w:val="28"/>
                <w:highlight w:val="none"/>
                <w:u w:val="single"/>
              </w:rPr>
            </w:pPr>
            <w:r>
              <w:rPr>
                <w:rFonts w:hint="eastAsia" w:asciiTheme="majorEastAsia" w:hAnsiTheme="majorEastAsia" w:eastAsiaTheme="majorEastAsia" w:cstheme="majorEastAsia"/>
                <w:b/>
                <w:bCs/>
                <w:color w:val="auto"/>
                <w:sz w:val="28"/>
                <w:highlight w:val="none"/>
              </w:rPr>
              <w:t>投标报价（报价合计）</w:t>
            </w:r>
          </w:p>
        </w:tc>
        <w:tc>
          <w:tcPr>
            <w:tcW w:w="993" w:type="dxa"/>
          </w:tcPr>
          <w:p>
            <w:pPr>
              <w:jc w:val="center"/>
              <w:rPr>
                <w:rFonts w:asciiTheme="majorEastAsia" w:hAnsiTheme="majorEastAsia" w:eastAsiaTheme="majorEastAsia" w:cstheme="majorEastAsia"/>
                <w:b/>
                <w:bCs/>
                <w:color w:val="auto"/>
                <w:sz w:val="28"/>
                <w:highlight w:val="none"/>
              </w:rPr>
            </w:pPr>
            <w:r>
              <w:rPr>
                <w:rFonts w:hint="eastAsia" w:asciiTheme="majorEastAsia" w:hAnsiTheme="majorEastAsia" w:eastAsiaTheme="majorEastAsia" w:cstheme="majorEastAsia"/>
                <w:bCs/>
                <w:color w:val="auto"/>
                <w:sz w:val="28"/>
                <w:highlight w:val="none"/>
                <w:u w:val="single"/>
              </w:rPr>
              <w:t>XX</w:t>
            </w:r>
            <w:r>
              <w:rPr>
                <w:rFonts w:hint="eastAsia" w:asciiTheme="majorEastAsia" w:hAnsiTheme="majorEastAsia" w:eastAsiaTheme="majorEastAsia" w:cstheme="majorEastAsia"/>
                <w:bCs/>
                <w:color w:val="auto"/>
                <w:sz w:val="28"/>
                <w:highlight w:val="none"/>
              </w:rPr>
              <w:t>元</w:t>
            </w:r>
          </w:p>
        </w:tc>
      </w:tr>
    </w:tbl>
    <w:p>
      <w:pPr>
        <w:rPr>
          <w:rFonts w:ascii="宋体" w:hAnsi="宋体"/>
          <w:color w:val="auto"/>
          <w:sz w:val="28"/>
          <w:highlight w:val="none"/>
          <w:lang w:val="zh-CN"/>
        </w:rPr>
      </w:pPr>
      <w:r>
        <w:rPr>
          <w:rFonts w:hint="eastAsia" w:ascii="宋体" w:hAnsi="宋体"/>
          <w:color w:val="auto"/>
          <w:sz w:val="28"/>
          <w:highlight w:val="none"/>
          <w:lang w:val="zh-CN"/>
        </w:rPr>
        <w:t>投标人名称：XXXX</w:t>
      </w:r>
    </w:p>
    <w:p>
      <w:pPr>
        <w:rPr>
          <w:rFonts w:ascii="宋体" w:hAnsi="宋体"/>
          <w:bCs/>
          <w:color w:val="auto"/>
          <w:sz w:val="28"/>
          <w:szCs w:val="28"/>
          <w:highlight w:val="none"/>
        </w:rPr>
      </w:pPr>
      <w:r>
        <w:rPr>
          <w:rFonts w:hint="eastAsia" w:ascii="宋体" w:hAnsi="宋体"/>
          <w:color w:val="auto"/>
          <w:sz w:val="28"/>
          <w:highlight w:val="none"/>
        </w:rPr>
        <w:t>日期：</w:t>
      </w:r>
      <w:r>
        <w:rPr>
          <w:rFonts w:hint="eastAsia" w:ascii="宋体" w:hAnsi="宋体"/>
          <w:bCs/>
          <w:color w:val="auto"/>
          <w:sz w:val="28"/>
          <w:highlight w:val="none"/>
        </w:rPr>
        <w:t>20XX年XX月XX日</w:t>
      </w:r>
    </w:p>
    <w:p>
      <w:pPr>
        <w:pStyle w:val="13"/>
        <w:spacing w:after="0" w:line="240" w:lineRule="auto"/>
        <w:ind w:firstLine="0"/>
        <w:rPr>
          <w:rFonts w:ascii="宋体" w:hAnsi="宋体"/>
          <w:b/>
          <w:color w:val="auto"/>
          <w:sz w:val="28"/>
          <w:highlight w:val="none"/>
        </w:rPr>
      </w:pPr>
      <w:r>
        <w:rPr>
          <w:rFonts w:hint="eastAsia" w:ascii="宋体" w:hAnsi="宋体"/>
          <w:b/>
          <w:color w:val="auto"/>
          <w:sz w:val="28"/>
          <w:highlight w:val="none"/>
        </w:rPr>
        <w:t>说明：投标人应根据以上表格格式填写分项报价，报价合计应包括投标人完成本项目所需的一切费用。</w:t>
      </w:r>
    </w:p>
    <w:p>
      <w:pPr>
        <w:snapToGrid w:val="0"/>
        <w:spacing w:line="50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特此承诺。</w:t>
      </w:r>
    </w:p>
    <w:p>
      <w:pPr>
        <w:pStyle w:val="26"/>
        <w:spacing w:line="500" w:lineRule="exact"/>
        <w:ind w:firstLine="145" w:firstLineChars="52"/>
        <w:rPr>
          <w:rFonts w:ascii="宋体" w:hAnsi="宋体"/>
          <w:bCs/>
          <w:color w:val="auto"/>
          <w:sz w:val="28"/>
          <w:szCs w:val="28"/>
          <w:highlight w:val="none"/>
        </w:rPr>
      </w:pPr>
      <w:r>
        <w:rPr>
          <w:rFonts w:hint="eastAsia" w:ascii="宋体" w:hAnsi="宋体"/>
          <w:bCs/>
          <w:color w:val="auto"/>
          <w:sz w:val="28"/>
          <w:szCs w:val="28"/>
          <w:highlight w:val="none"/>
        </w:rPr>
        <w:t>投标人名称：XXXX</w:t>
      </w:r>
    </w:p>
    <w:p>
      <w:pPr>
        <w:pStyle w:val="26"/>
        <w:spacing w:line="500" w:lineRule="exact"/>
        <w:ind w:firstLine="145" w:firstLineChars="52"/>
        <w:rPr>
          <w:rFonts w:ascii="宋体" w:hAnsi="宋体"/>
          <w:bCs/>
          <w:color w:val="auto"/>
          <w:sz w:val="28"/>
          <w:highlight w:val="none"/>
        </w:rPr>
      </w:pPr>
      <w:r>
        <w:rPr>
          <w:rFonts w:hint="eastAsia" w:ascii="宋体" w:hAnsi="宋体"/>
          <w:color w:val="auto"/>
          <w:sz w:val="28"/>
          <w:highlight w:val="none"/>
        </w:rPr>
        <w:t>日期：</w:t>
      </w:r>
      <w:r>
        <w:rPr>
          <w:rFonts w:hint="eastAsia" w:ascii="宋体" w:hAnsi="宋体"/>
          <w:bCs/>
          <w:color w:val="auto"/>
          <w:sz w:val="28"/>
          <w:highlight w:val="none"/>
        </w:rPr>
        <w:t>20XX年XX月XX日</w:t>
      </w:r>
    </w:p>
    <w:p>
      <w:pPr>
        <w:pStyle w:val="26"/>
        <w:spacing w:line="500" w:lineRule="exact"/>
        <w:ind w:firstLine="145" w:firstLineChars="52"/>
        <w:rPr>
          <w:rFonts w:ascii="宋体" w:hAnsi="宋体"/>
          <w:bCs/>
          <w:color w:val="auto"/>
          <w:sz w:val="28"/>
          <w:highlight w:val="none"/>
        </w:rPr>
      </w:pPr>
    </w:p>
    <w:p>
      <w:pPr>
        <w:pStyle w:val="26"/>
        <w:spacing w:line="500" w:lineRule="exact"/>
        <w:ind w:firstLine="145" w:firstLineChars="52"/>
        <w:rPr>
          <w:rFonts w:ascii="宋体" w:hAnsi="宋体"/>
          <w:bCs/>
          <w:color w:val="auto"/>
          <w:sz w:val="28"/>
          <w:highlight w:val="none"/>
        </w:rPr>
      </w:pPr>
    </w:p>
    <w:p>
      <w:pPr>
        <w:rPr>
          <w:rFonts w:ascii="宋体" w:hAnsi="宋体"/>
          <w:bCs/>
          <w:color w:val="auto"/>
          <w:sz w:val="28"/>
          <w:highlight w:val="none"/>
        </w:rPr>
      </w:pPr>
    </w:p>
    <w:p>
      <w:pPr>
        <w:pStyle w:val="26"/>
        <w:spacing w:line="500" w:lineRule="exact"/>
        <w:ind w:firstLine="145" w:firstLineChars="52"/>
        <w:rPr>
          <w:rFonts w:ascii="宋体" w:hAnsi="宋体"/>
          <w:bCs/>
          <w:color w:val="auto"/>
          <w:sz w:val="28"/>
          <w:highlight w:val="none"/>
        </w:rPr>
      </w:pPr>
    </w:p>
    <w:bookmarkEnd w:id="223"/>
    <w:bookmarkEnd w:id="224"/>
    <w:bookmarkEnd w:id="225"/>
    <w:bookmarkEnd w:id="226"/>
    <w:p>
      <w:pPr>
        <w:pStyle w:val="3"/>
        <w:numPr>
          <w:ilvl w:val="0"/>
          <w:numId w:val="4"/>
        </w:numPr>
        <w:spacing w:before="0" w:after="0" w:line="500" w:lineRule="exact"/>
        <w:rPr>
          <w:color w:val="auto"/>
          <w:highlight w:val="none"/>
        </w:rPr>
      </w:pPr>
      <w:bookmarkStart w:id="229" w:name="_Toc4768"/>
      <w:bookmarkStart w:id="230" w:name="_Toc30585"/>
      <w:bookmarkStart w:id="231" w:name="_Toc1870"/>
      <w:bookmarkStart w:id="232" w:name="_Toc17291826"/>
      <w:bookmarkStart w:id="233" w:name="_Toc24469"/>
      <w:bookmarkStart w:id="234" w:name="_Toc22961"/>
      <w:bookmarkStart w:id="235" w:name="_Toc316292231"/>
      <w:bookmarkStart w:id="236" w:name="_Toc321382057"/>
      <w:r>
        <w:rPr>
          <w:rFonts w:hint="eastAsia"/>
          <w:color w:val="auto"/>
          <w:highlight w:val="none"/>
        </w:rPr>
        <w:t>招标项目服务、商务及其他要求</w:t>
      </w:r>
      <w:bookmarkEnd w:id="229"/>
      <w:bookmarkEnd w:id="230"/>
      <w:bookmarkEnd w:id="231"/>
      <w:bookmarkEnd w:id="232"/>
      <w:bookmarkEnd w:id="233"/>
      <w:bookmarkEnd w:id="234"/>
    </w:p>
    <w:bookmarkEnd w:id="235"/>
    <w:bookmarkEnd w:id="236"/>
    <w:p>
      <w:pPr>
        <w:pStyle w:val="4"/>
        <w:numPr>
          <w:ilvl w:val="1"/>
          <w:numId w:val="4"/>
        </w:numPr>
        <w:tabs>
          <w:tab w:val="left" w:pos="0"/>
          <w:tab w:val="left" w:pos="426"/>
          <w:tab w:val="left" w:pos="576"/>
          <w:tab w:val="left" w:pos="786"/>
        </w:tabs>
        <w:spacing w:before="0" w:after="0" w:line="500" w:lineRule="exact"/>
        <w:ind w:left="0" w:firstLine="0"/>
        <w:jc w:val="both"/>
        <w:rPr>
          <w:color w:val="auto"/>
          <w:highlight w:val="none"/>
        </w:rPr>
      </w:pPr>
      <w:bookmarkStart w:id="237" w:name="_Toc19749"/>
      <w:bookmarkStart w:id="238" w:name="_Toc54857461"/>
      <w:bookmarkStart w:id="239" w:name="_Toc8639"/>
      <w:bookmarkStart w:id="240" w:name="_Toc21821"/>
      <w:bookmarkStart w:id="241" w:name="_Toc5355"/>
      <w:bookmarkStart w:id="242" w:name="_Toc24101"/>
      <w:bookmarkStart w:id="243" w:name="_Toc26497"/>
      <w:r>
        <w:rPr>
          <w:rFonts w:hint="eastAsia"/>
          <w:color w:val="auto"/>
          <w:highlight w:val="none"/>
        </w:rPr>
        <w:t>项目概况</w:t>
      </w:r>
      <w:bookmarkEnd w:id="237"/>
      <w:bookmarkEnd w:id="238"/>
    </w:p>
    <w:p>
      <w:pPr>
        <w:pStyle w:val="159"/>
        <w:spacing w:line="360" w:lineRule="auto"/>
        <w:ind w:firstLineChars="0"/>
        <w:rPr>
          <w:rFonts w:ascii="宋体" w:hAnsi="宋体"/>
          <w:color w:val="auto"/>
          <w:sz w:val="28"/>
          <w:szCs w:val="28"/>
          <w:highlight w:val="none"/>
        </w:rPr>
      </w:pPr>
      <w:r>
        <w:rPr>
          <w:rFonts w:hint="eastAsia"/>
          <w:color w:val="auto"/>
          <w:sz w:val="28"/>
          <w:highlight w:val="none"/>
        </w:rPr>
        <w:t>成都高新区芳草小学分为北区和南区两个校区，其中</w:t>
      </w:r>
      <w:r>
        <w:rPr>
          <w:rFonts w:hint="eastAsia"/>
          <w:b/>
          <w:bCs/>
          <w:color w:val="auto"/>
          <w:sz w:val="28"/>
          <w:highlight w:val="none"/>
        </w:rPr>
        <w:t>芳草小学北区</w:t>
      </w:r>
      <w:r>
        <w:rPr>
          <w:rFonts w:hint="eastAsia"/>
          <w:color w:val="auto"/>
          <w:sz w:val="28"/>
          <w:highlight w:val="none"/>
        </w:rPr>
        <w:t>位于成都市高新区玉林西路沙子堰中巷29号，占地面积3220.44m²，教学、办公、场馆、停车场等内部区域建筑面积6300m²，操场、绿化带、道路等外部公共区域占地面积1645 m²，北区共1个出入大门，一个水箱、一个化粪池、一栋教学及办公楼，共有学生约1220名。</w:t>
      </w:r>
      <w:r>
        <w:rPr>
          <w:rFonts w:hint="eastAsia"/>
          <w:b/>
          <w:bCs/>
          <w:color w:val="auto"/>
          <w:sz w:val="28"/>
          <w:highlight w:val="none"/>
        </w:rPr>
        <w:t>芳草小学南区</w:t>
      </w:r>
      <w:r>
        <w:rPr>
          <w:rFonts w:hint="eastAsia"/>
          <w:color w:val="auto"/>
          <w:sz w:val="28"/>
          <w:highlight w:val="none"/>
        </w:rPr>
        <w:t>位于高新区泰和二街180号，占地面积14175m²，教学、办公、场馆、停车场等内部区域建筑面积8372.63m²，操场、绿化带、道路等外部公共区域占地面积4000m²。南区共2个出入大门，两台电梯，一台水箱、1一个化粪池，3栋教学楼，1栋办公楼，1栋体育馆，共有学生约1250名。</w:t>
      </w:r>
    </w:p>
    <w:p>
      <w:pPr>
        <w:pStyle w:val="4"/>
        <w:numPr>
          <w:ilvl w:val="1"/>
          <w:numId w:val="4"/>
        </w:numPr>
        <w:tabs>
          <w:tab w:val="left" w:pos="0"/>
          <w:tab w:val="left" w:pos="426"/>
          <w:tab w:val="left" w:pos="576"/>
          <w:tab w:val="left" w:pos="786"/>
        </w:tabs>
        <w:spacing w:before="0" w:after="0" w:line="520" w:lineRule="exact"/>
        <w:ind w:left="0" w:firstLine="0"/>
        <w:jc w:val="both"/>
        <w:rPr>
          <w:color w:val="auto"/>
          <w:highlight w:val="none"/>
        </w:rPr>
      </w:pPr>
      <w:bookmarkStart w:id="244" w:name="_Toc3868"/>
      <w:bookmarkStart w:id="245" w:name="_Toc31844"/>
      <w:bookmarkStart w:id="246" w:name="_Toc54857462"/>
      <w:bookmarkStart w:id="247" w:name="_Toc4576"/>
      <w:bookmarkStart w:id="248" w:name="_Toc24356540"/>
      <w:bookmarkStart w:id="249" w:name="_Toc513796935"/>
      <w:bookmarkStart w:id="250" w:name="_Toc4509118"/>
      <w:bookmarkStart w:id="251" w:name="_Toc21599"/>
      <w:bookmarkStart w:id="252" w:name="_Toc13016"/>
      <w:bookmarkStart w:id="253" w:name="_Toc30090"/>
      <w:r>
        <w:rPr>
          <w:rFonts w:hint="eastAsia"/>
          <w:color w:val="auto"/>
          <w:highlight w:val="none"/>
        </w:rPr>
        <w:t>服务内容及要求</w:t>
      </w:r>
      <w:bookmarkEnd w:id="244"/>
      <w:bookmarkEnd w:id="245"/>
      <w:bookmarkEnd w:id="246"/>
      <w:bookmarkEnd w:id="247"/>
      <w:bookmarkEnd w:id="248"/>
      <w:bookmarkEnd w:id="249"/>
      <w:bookmarkEnd w:id="250"/>
      <w:bookmarkEnd w:id="251"/>
      <w:bookmarkEnd w:id="252"/>
      <w:bookmarkEnd w:id="253"/>
    </w:p>
    <w:p>
      <w:pPr>
        <w:pStyle w:val="5"/>
        <w:numPr>
          <w:ilvl w:val="2"/>
          <w:numId w:val="4"/>
        </w:numPr>
        <w:spacing w:after="200" w:line="520" w:lineRule="exact"/>
        <w:ind w:left="8" w:hanging="8"/>
        <w:rPr>
          <w:bCs w:val="0"/>
          <w:color w:val="auto"/>
          <w:highlight w:val="none"/>
        </w:rPr>
      </w:pPr>
      <w:bookmarkStart w:id="254" w:name="_Toc513796936"/>
      <w:r>
        <w:rPr>
          <w:rFonts w:hint="eastAsia"/>
          <w:bCs w:val="0"/>
          <w:color w:val="auto"/>
          <w:highlight w:val="none"/>
        </w:rPr>
        <w:t>服务内容</w:t>
      </w:r>
    </w:p>
    <w:p>
      <w:pPr>
        <w:ind w:firstLine="565" w:firstLineChars="202"/>
        <w:rPr>
          <w:rFonts w:ascii="宋体" w:hAnsi="宋体"/>
          <w:color w:val="auto"/>
          <w:sz w:val="28"/>
          <w:szCs w:val="28"/>
          <w:highlight w:val="none"/>
        </w:rPr>
      </w:pPr>
      <w:r>
        <w:rPr>
          <w:rFonts w:hint="eastAsia" w:ascii="宋体" w:hAnsi="宋体"/>
          <w:color w:val="auto"/>
          <w:sz w:val="28"/>
          <w:szCs w:val="28"/>
          <w:highlight w:val="none"/>
        </w:rPr>
        <w:t>服务内容包括：1、安全管理；2、环境卫生保洁；3、水电维护及维修；4、绿化养护；5、文印服务；6、体育管理；7、接待管理8、应急事件处置。</w:t>
      </w:r>
    </w:p>
    <w:p>
      <w:pPr>
        <w:pStyle w:val="5"/>
        <w:numPr>
          <w:ilvl w:val="2"/>
          <w:numId w:val="4"/>
        </w:numPr>
        <w:spacing w:after="200" w:line="520" w:lineRule="exact"/>
        <w:ind w:left="8" w:hanging="8"/>
        <w:rPr>
          <w:bCs w:val="0"/>
          <w:color w:val="auto"/>
          <w:highlight w:val="none"/>
        </w:rPr>
      </w:pPr>
      <w:r>
        <w:rPr>
          <w:rFonts w:hint="eastAsia"/>
          <w:bCs w:val="0"/>
          <w:color w:val="auto"/>
          <w:highlight w:val="none"/>
        </w:rPr>
        <w:t>服务要求</w:t>
      </w:r>
    </w:p>
    <w:p>
      <w:pPr>
        <w:numPr>
          <w:ilvl w:val="255"/>
          <w:numId w:val="0"/>
        </w:numPr>
        <w:ind w:firstLine="562" w:firstLineChars="200"/>
        <w:rPr>
          <w:rFonts w:ascii="宋体" w:hAnsi="宋体"/>
          <w:b/>
          <w:bCs/>
          <w:color w:val="auto"/>
          <w:sz w:val="28"/>
          <w:szCs w:val="28"/>
          <w:highlight w:val="none"/>
        </w:rPr>
      </w:pPr>
      <w:bookmarkStart w:id="255" w:name="_Toc24972"/>
      <w:bookmarkStart w:id="256" w:name="_Toc27442"/>
      <w:bookmarkStart w:id="257" w:name="_Toc4509120"/>
      <w:bookmarkStart w:id="258" w:name="_Toc24356563"/>
      <w:bookmarkStart w:id="259" w:name="_Toc9486"/>
      <w:bookmarkStart w:id="260" w:name="_Toc12170"/>
      <w:bookmarkStart w:id="261" w:name="_Toc54857463"/>
      <w:bookmarkStart w:id="262" w:name="_Toc19248"/>
      <w:r>
        <w:rPr>
          <w:rFonts w:hint="eastAsia" w:ascii="宋体" w:hAnsi="宋体" w:cs="宋体"/>
          <w:b/>
          <w:bCs/>
          <w:color w:val="auto"/>
          <w:sz w:val="28"/>
          <w:szCs w:val="28"/>
          <w:highlight w:val="none"/>
          <w:lang w:bidi="ar"/>
        </w:rPr>
        <w:t>一、服务总体要求</w:t>
      </w:r>
    </w:p>
    <w:p>
      <w:pPr>
        <w:numPr>
          <w:ilvl w:val="0"/>
          <w:numId w:val="38"/>
        </w:numPr>
        <w:ind w:firstLine="565" w:firstLineChars="202"/>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人员要求：合同签订之日起一周内需保证人员配备齐全且能立即进场并到位执行工作。</w:t>
      </w:r>
    </w:p>
    <w:p>
      <w:pPr>
        <w:numPr>
          <w:ilvl w:val="0"/>
          <w:numId w:val="38"/>
        </w:numPr>
        <w:ind w:firstLine="565" w:firstLineChars="202"/>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考核办法：采购人相关部门次月5日前完成对物业服务考核。如考核不合格，扣减当月费用。合同期内累计三个月或连续两个月考核不合格，采购人有权单方面终止合同，并收取违约金与赔偿款。</w:t>
      </w:r>
    </w:p>
    <w:p>
      <w:pPr>
        <w:numPr>
          <w:ilvl w:val="0"/>
          <w:numId w:val="38"/>
        </w:numPr>
        <w:ind w:firstLine="565" w:firstLineChars="202"/>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其他要求：中标人派遣的服务人员在服务期限内，无论发生任何意外事件均由中标人承担所有的经济与法律责任，采购人不负任何经济与法律责任。</w:t>
      </w:r>
    </w:p>
    <w:p>
      <w:pPr>
        <w:numPr>
          <w:ilvl w:val="0"/>
          <w:numId w:val="38"/>
        </w:numPr>
        <w:ind w:firstLine="565" w:firstLineChars="202"/>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本次物业管理招标项目采用包干制。供应商人在编制投标报价时应注意，其人员工资标准不得低于成都市最低工资标准。</w:t>
      </w:r>
    </w:p>
    <w:p>
      <w:pPr>
        <w:numPr>
          <w:ilvl w:val="0"/>
          <w:numId w:val="38"/>
        </w:numPr>
        <w:ind w:firstLine="565" w:firstLineChars="202"/>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本项目所涉及人员一经校方确认不得随意更换，如需更换需告知采购人取得同意后方可执行。</w:t>
      </w:r>
    </w:p>
    <w:p>
      <w:pPr>
        <w:numPr>
          <w:ilvl w:val="255"/>
          <w:numId w:val="0"/>
        </w:numPr>
        <w:ind w:firstLine="560" w:firstLineChars="200"/>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（六）物业服务人员工资标准、劳保、福利等不得低于国家和工作所在地的最低工资及福利标准。</w:t>
      </w:r>
    </w:p>
    <w:p>
      <w:pPr>
        <w:numPr>
          <w:ilvl w:val="255"/>
          <w:numId w:val="0"/>
        </w:numPr>
        <w:ind w:firstLine="560" w:firstLineChars="200"/>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（七）根据采购人工作需求，应按要求提供物业服务项目合同之外的特约服务和代办服务。</w:t>
      </w:r>
    </w:p>
    <w:p>
      <w:pPr>
        <w:numPr>
          <w:ilvl w:val="255"/>
          <w:numId w:val="0"/>
        </w:numPr>
        <w:ind w:firstLine="560" w:firstLineChars="200"/>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（八）学生放假期间投标人根据工作量和学校后勤处的要求安排留守值班人员，保持采购人的物业管理正常运行，管理目标不变。</w:t>
      </w:r>
    </w:p>
    <w:p>
      <w:pPr>
        <w:numPr>
          <w:ilvl w:val="255"/>
          <w:numId w:val="0"/>
        </w:numPr>
        <w:ind w:firstLine="560" w:firstLineChars="200"/>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九）服务人员必须统一着装上岗，标志明显，衣着整洁，不披衣散扣，不穿拖鞋，言行文明。男性不留长发，不纹身，不赤裸上身，不穿膝盖以上的肥大短裤；女性不裸露后背及肚皮。安全护卫人员24小时在校值班。保洁人员应明确工作内容、工作时间和工作要点，制定出具体的工作标准、检查标准。</w:t>
      </w:r>
    </w:p>
    <w:p>
      <w:pPr>
        <w:numPr>
          <w:ilvl w:val="255"/>
          <w:numId w:val="0"/>
        </w:numPr>
        <w:ind w:firstLine="560" w:firstLineChars="200"/>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十）按照采购人划定的工作范围、工作内容及管理目标成立相关机构，制定相应工作流程、工作制度、监督考核办法，合理安排人员，科学管理，严格要求，达标运行。服从采购人分管领导及职能部门的监督、管理。</w:t>
      </w:r>
    </w:p>
    <w:p>
      <w:pPr>
        <w:numPr>
          <w:ilvl w:val="255"/>
          <w:numId w:val="0"/>
        </w:numPr>
        <w:ind w:firstLine="560" w:firstLineChars="200"/>
        <w:rPr>
          <w:rFonts w:ascii="宋体" w:hAnsi="宋体" w:cs="宋体"/>
          <w:color w:val="auto"/>
          <w:sz w:val="28"/>
          <w:szCs w:val="28"/>
          <w:highlight w:val="none"/>
          <w:lang w:bidi="ar"/>
        </w:rPr>
      </w:pPr>
      <w:r>
        <w:rPr>
          <w:rFonts w:hint="eastAsia" w:ascii="宋体" w:hAnsi="宋体" w:cs="宋体"/>
          <w:color w:val="auto"/>
          <w:sz w:val="28"/>
          <w:szCs w:val="28"/>
          <w:highlight w:val="none"/>
          <w:lang w:bidi="ar"/>
        </w:rPr>
        <w:t>（十一）相关物资、设备、材料、生活条件提供:</w:t>
      </w:r>
    </w:p>
    <w:p>
      <w:pPr>
        <w:numPr>
          <w:ilvl w:val="255"/>
          <w:numId w:val="0"/>
        </w:numPr>
        <w:ind w:firstLine="560" w:firstLineChars="200"/>
        <w:rPr>
          <w:rFonts w:ascii="宋体" w:hAnsi="宋体"/>
          <w:color w:val="auto"/>
          <w:sz w:val="28"/>
          <w:szCs w:val="28"/>
          <w:highlight w:val="none"/>
        </w:rPr>
      </w:pPr>
      <w:r>
        <w:rPr>
          <w:rFonts w:hint="eastAsia" w:ascii="宋体" w:hAnsi="宋体"/>
          <w:color w:val="auto"/>
          <w:sz w:val="28"/>
          <w:szCs w:val="28"/>
          <w:highlight w:val="none"/>
        </w:rPr>
        <w:t>1.采购人提供物管办公室一间、物业库房一间。</w:t>
      </w:r>
    </w:p>
    <w:p>
      <w:pPr>
        <w:numPr>
          <w:ilvl w:val="255"/>
          <w:numId w:val="0"/>
        </w:numPr>
        <w:ind w:firstLine="560" w:firstLineChars="200"/>
        <w:rPr>
          <w:rFonts w:ascii="宋体" w:hAnsi="宋体" w:cs="宋体"/>
          <w:color w:val="auto"/>
          <w:sz w:val="28"/>
          <w:szCs w:val="28"/>
          <w:highlight w:val="none"/>
          <w:lang w:bidi="ar"/>
        </w:rPr>
      </w:pPr>
      <w:r>
        <w:rPr>
          <w:rFonts w:hint="eastAsia" w:ascii="宋体" w:hAnsi="宋体"/>
          <w:color w:val="auto"/>
          <w:sz w:val="28"/>
          <w:szCs w:val="28"/>
          <w:highlight w:val="none"/>
        </w:rPr>
        <w:t>2.保安、保洁、绿化、维修等所需工具、器具及工作服由中标人提供。</w:t>
      </w:r>
    </w:p>
    <w:p>
      <w:pPr>
        <w:numPr>
          <w:ilvl w:val="255"/>
          <w:numId w:val="0"/>
        </w:numPr>
        <w:ind w:firstLine="562" w:firstLineChars="200"/>
        <w:rPr>
          <w:rFonts w:ascii="宋体" w:hAnsi="宋体"/>
          <w:b/>
          <w:bCs/>
          <w:color w:val="auto"/>
          <w:sz w:val="28"/>
          <w:szCs w:val="28"/>
          <w:highlight w:val="none"/>
        </w:rPr>
      </w:pPr>
      <w:r>
        <w:rPr>
          <w:rFonts w:hint="eastAsia" w:ascii="宋体" w:hAnsi="宋体"/>
          <w:b/>
          <w:bCs/>
          <w:color w:val="auto"/>
          <w:sz w:val="28"/>
          <w:szCs w:val="28"/>
          <w:highlight w:val="none"/>
        </w:rPr>
        <w:t>二、安全管理服务要求</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投标人就采购人的治安、消防、交通及学生安全进行防范管理服务，协助和配合本地公安机关维护公共秩序。每天24小时提供安全服务，定期检查消防栓和灭火器，保证随时启用。上班期间维护门卫秩序，严禁车辆在学校大门外侧停放及小贩叫卖，保证校门外畅通。</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学生凭校服或者校牌入校。学生上课时段出校门，门卫必须验证有班主任签字认可的出门条。在校午餐的学生一律不能出校门，外校学生一律不准进入我校。如放学后及节假日未经相关教师签字批准，一律不准入校。</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 xml:space="preserve">周末期间进出学校的人员（本校教职工除外）必须出示相关证明并登记。对向外开放的设施设备物业须派1名保安人员同学校值班教师、街道办工作人员一起值守，并在开放结束后清场。 </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上放学时段，所有保安人员需到岗参与门卫管理；岗亭须安排礼仪保安站岗服务，随时观察校门周围情况。家长接送学生一律原则上不进入学校大门，若有特殊情况须在放学高峰时段结束后，联系班主任，登记入校。夜间要有3位以上保安人员值班和巡逻。</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学校门卫室应由投标人配置够用、实用的防护器械（胶棒，头盔，盾牌，防割手套，叉子等），以应急时之用。</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门卫若遇紧急情况，必须立即报告采购人安全负责人，必要时拨打110或派出所电话报警。</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每天根据实际情况分层分时开关楼层过道灯，白天课间休息时段，各楼层及公共区域的巡视和监管，夜间清校并巡逻，晚上专人值守监控报警系统。</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负责收发采购人各处室、教职工、学生的信件、报纸、杂志、快递、包裹等。谢绝外来人员推销。遇外来客人按采购人规定放行，并将人数、单位等情况做好记录，引领客人到相关部门。对所登记个人信息严格保密。</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 xml:space="preserve">值班人员每天做好校门口所属区域的清洁卫生，每周洗地一次，保持校门口地面、墙面干净，无污渍。值班室内物品、信件摆放整齐、干净，无灰尘、垃圾。 </w:t>
      </w:r>
    </w:p>
    <w:p>
      <w:pPr>
        <w:numPr>
          <w:ilvl w:val="0"/>
          <w:numId w:val="39"/>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仔细检查外来车辆、登记车牌号，严控噪音、车速。校内有车辆人为损坏、被盗，投标人将承担赔偿责任。采购人举行大型活动、考试以及家长会等期间，物管应安排专人管理引导校内外车辆的有序停放。采购人的物防、技防设备交由投标人负责，及时上报设备故障，由于物管人员失职造成的损坏由投标人及时维修。发生学校财物被盗事件，由投标人照价赔偿。</w:t>
      </w:r>
    </w:p>
    <w:p>
      <w:pPr>
        <w:numPr>
          <w:ilvl w:val="255"/>
          <w:numId w:val="0"/>
        </w:numPr>
        <w:ind w:firstLine="562" w:firstLineChars="200"/>
        <w:rPr>
          <w:rFonts w:ascii="宋体" w:hAnsi="宋体"/>
          <w:b/>
          <w:bCs/>
          <w:color w:val="auto"/>
          <w:sz w:val="28"/>
          <w:szCs w:val="28"/>
          <w:highlight w:val="none"/>
        </w:rPr>
      </w:pPr>
      <w:r>
        <w:rPr>
          <w:rFonts w:hint="eastAsia" w:ascii="宋体" w:hAnsi="宋体"/>
          <w:b/>
          <w:bCs/>
          <w:color w:val="auto"/>
          <w:sz w:val="28"/>
          <w:szCs w:val="28"/>
          <w:highlight w:val="none"/>
        </w:rPr>
        <w:t>三、环境卫生保洁服务要求</w:t>
      </w:r>
    </w:p>
    <w:p>
      <w:pPr>
        <w:numPr>
          <w:ilvl w:val="0"/>
          <w:numId w:val="40"/>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校园公共区及楼道、梯步、围栏、门窗框台、公示指示标牌、走廊、架空层、厕所、体育馆、功能室、学术厅、会议室、功能室的清扫、拖地、清洗，绿化带无杂物、绿植修剪整齐。</w:t>
      </w:r>
    </w:p>
    <w:p>
      <w:pPr>
        <w:numPr>
          <w:ilvl w:val="0"/>
          <w:numId w:val="40"/>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校园道路、操场定期冲洗，操场和校园围墙扶栏每周清洁1次，体育馆每周清洁1次。</w:t>
      </w:r>
    </w:p>
    <w:p>
      <w:pPr>
        <w:numPr>
          <w:ilvl w:val="0"/>
          <w:numId w:val="40"/>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定期对全校所有办公室、功能室的天棚、窗玻璃、风扇、灯管、多媒体设备等进行蛛网、灰尘的清除、清扫或擦洗，保持无灰尘无蜘蛛网。负责雨季前雨水、污水管道疏通，化粪池清掏，按采购人要求对未提到场所清洁，并完成其它临时性工作。</w:t>
      </w:r>
    </w:p>
    <w:p>
      <w:pPr>
        <w:numPr>
          <w:ilvl w:val="0"/>
          <w:numId w:val="40"/>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每天早上7:30前做好各区域、厕所等清扫、拖地和冲洗工作。每节课上课后做好各区域、厕所等保洁工作。建立完备的清洁岗位，在规定时间内始终保持有岗、有人、有服务。</w:t>
      </w:r>
    </w:p>
    <w:p>
      <w:pPr>
        <w:numPr>
          <w:ilvl w:val="0"/>
          <w:numId w:val="40"/>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清洁卫生质量标准：做到“四净”。即窗明几净；地面、楼面、墙面、台面干净；路灯、户外音箱标识标牌、画框干净；厕所冲洗干净。</w:t>
      </w:r>
    </w:p>
    <w:p>
      <w:pPr>
        <w:numPr>
          <w:ilvl w:val="0"/>
          <w:numId w:val="40"/>
        </w:numPr>
        <w:ind w:left="0" w:firstLine="560" w:firstLineChars="200"/>
        <w:rPr>
          <w:rFonts w:ascii="宋体" w:hAnsi="宋体"/>
          <w:color w:val="auto"/>
          <w:sz w:val="24"/>
          <w:highlight w:val="none"/>
        </w:rPr>
      </w:pPr>
      <w:r>
        <w:rPr>
          <w:rFonts w:hint="eastAsia" w:ascii="宋体" w:hAnsi="宋体"/>
          <w:color w:val="auto"/>
          <w:sz w:val="28"/>
          <w:szCs w:val="28"/>
          <w:highlight w:val="none"/>
        </w:rPr>
        <w:t>垃圾桶内垃圾，每天早、中、晚三次清理。拖布、抹布分类实用，避免室内、过道和大厅等处有异味。定期进行卫生消杀灭菌工作。节约用水，爱护用具。服务态度好，不与师生争吵。上班时段不得大声喧哗。</w:t>
      </w:r>
    </w:p>
    <w:p>
      <w:pPr>
        <w:numPr>
          <w:ilvl w:val="255"/>
          <w:numId w:val="0"/>
        </w:numPr>
        <w:ind w:firstLine="562" w:firstLineChars="200"/>
        <w:rPr>
          <w:rFonts w:ascii="宋体" w:hAnsi="宋体"/>
          <w:color w:val="auto"/>
          <w:sz w:val="28"/>
          <w:szCs w:val="28"/>
          <w:highlight w:val="none"/>
        </w:rPr>
      </w:pPr>
      <w:r>
        <w:rPr>
          <w:rFonts w:hint="eastAsia" w:ascii="宋体" w:hAnsi="宋体"/>
          <w:b/>
          <w:bCs/>
          <w:color w:val="auto"/>
          <w:sz w:val="28"/>
          <w:szCs w:val="28"/>
          <w:highlight w:val="none"/>
        </w:rPr>
        <w:t>四、水电维护及维修服务要求</w:t>
      </w:r>
    </w:p>
    <w:p>
      <w:pPr>
        <w:numPr>
          <w:ilvl w:val="0"/>
          <w:numId w:val="41"/>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负责采购人的水电维修工作。水（含消防设备）、电（含配电设备）、地板及教室和办公室内的桌、椅、板凳、门窗、大小黑板，强、弱电门锁、墙砖的简单维修、安装等工作。所有维修材料费采购人实报实销。</w:t>
      </w:r>
    </w:p>
    <w:p>
      <w:pPr>
        <w:numPr>
          <w:ilvl w:val="0"/>
          <w:numId w:val="41"/>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保存好完整的维修档案资料（需随时给采购人提供完整的资料），做到项目齐全、管理完善。负责学生桌椅高度的调整。</w:t>
      </w:r>
    </w:p>
    <w:p>
      <w:pPr>
        <w:numPr>
          <w:ilvl w:val="0"/>
          <w:numId w:val="41"/>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值班人员做到每日巡视水、电、桌椅门锁等设施，发现故障和安全隐患应及时维修，随时进行质量跟踪，维修合格率100％。</w:t>
      </w:r>
    </w:p>
    <w:p>
      <w:pPr>
        <w:numPr>
          <w:ilvl w:val="0"/>
          <w:numId w:val="41"/>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每天上下午巡查校园各一次，做好记录，自己能解决的维修工作应自行解决；需要请人来维修的，必须书面向后勤主任汇报，并配合外请人员的维修工作，接待外请维修人员，检查验收维修好的设备，向后勤主任汇报维修结果。</w:t>
      </w:r>
    </w:p>
    <w:p>
      <w:pPr>
        <w:numPr>
          <w:ilvl w:val="0"/>
          <w:numId w:val="41"/>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对师生报修的有关装置、设备等，必须在接报修后当天到达现场处理。重大紧急情况发生时，不管是上班还是休息时间，必需立刻到达现场处理。对当时不能维修的问题要书面填写缺少的工具、材料和困难等原因，并向报修者反馈。</w:t>
      </w:r>
    </w:p>
    <w:p>
      <w:pPr>
        <w:numPr>
          <w:ilvl w:val="0"/>
          <w:numId w:val="41"/>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每学期开学前应对采购人水电消防设施设备、门窗、课桌椅等各种物品进行检查，发现缺损及时修理配置好，做好开学工作。平时做到勤检查、勤修理、文明修理，工完料清，不留隐患。</w:t>
      </w:r>
    </w:p>
    <w:p>
      <w:pPr>
        <w:numPr>
          <w:ilvl w:val="0"/>
          <w:numId w:val="41"/>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根据季节变化，提前作好空调、风扇的维护保养工作。做好维修材料储备，发觉缺料及时通知保管室备齐。按质、按时、按量完成采购人交办的其它临时任务。</w:t>
      </w:r>
    </w:p>
    <w:p>
      <w:pPr>
        <w:numPr>
          <w:ilvl w:val="255"/>
          <w:numId w:val="0"/>
        </w:numPr>
        <w:ind w:firstLine="562" w:firstLineChars="200"/>
        <w:rPr>
          <w:rFonts w:ascii="宋体" w:hAnsi="宋体"/>
          <w:color w:val="auto"/>
          <w:sz w:val="28"/>
          <w:szCs w:val="28"/>
          <w:highlight w:val="none"/>
        </w:rPr>
      </w:pPr>
      <w:r>
        <w:rPr>
          <w:rFonts w:hint="eastAsia" w:ascii="宋体" w:hAnsi="宋体"/>
          <w:b/>
          <w:bCs/>
          <w:color w:val="auto"/>
          <w:sz w:val="28"/>
          <w:szCs w:val="28"/>
          <w:highlight w:val="none"/>
        </w:rPr>
        <w:t>五、绿化养护要求</w:t>
      </w:r>
    </w:p>
    <w:p>
      <w:pPr>
        <w:numPr>
          <w:ilvl w:val="0"/>
          <w:numId w:val="42"/>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负责校园绿化区的日常绿化维护，适时对花木、草坪进行修剪、施肥、防治病虫害、养护和浇水，清除绿化区杂草。</w:t>
      </w:r>
    </w:p>
    <w:p>
      <w:pPr>
        <w:numPr>
          <w:ilvl w:val="0"/>
          <w:numId w:val="42"/>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在维护原有绿化的基础上，对采购人提供的绿化租赁花卉进行摆放及维护，适时种植培育新的花草等。</w:t>
      </w:r>
    </w:p>
    <w:p>
      <w:pPr>
        <w:numPr>
          <w:ilvl w:val="255"/>
          <w:numId w:val="0"/>
        </w:numPr>
        <w:ind w:firstLine="562" w:firstLineChars="200"/>
        <w:rPr>
          <w:rFonts w:ascii="宋体" w:hAnsi="宋体"/>
          <w:color w:val="auto"/>
          <w:sz w:val="28"/>
          <w:szCs w:val="28"/>
          <w:highlight w:val="none"/>
        </w:rPr>
      </w:pPr>
      <w:r>
        <w:rPr>
          <w:rFonts w:hint="eastAsia" w:ascii="宋体" w:hAnsi="宋体"/>
          <w:b/>
          <w:bCs/>
          <w:color w:val="auto"/>
          <w:sz w:val="28"/>
          <w:szCs w:val="28"/>
          <w:highlight w:val="none"/>
        </w:rPr>
        <w:t>六、文印服务要求</w:t>
      </w:r>
    </w:p>
    <w:p>
      <w:pPr>
        <w:numPr>
          <w:ilvl w:val="0"/>
          <w:numId w:val="43"/>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文印室负责全校各类文件、材料打印、复印工作。</w:t>
      </w:r>
    </w:p>
    <w:p>
      <w:pPr>
        <w:numPr>
          <w:ilvl w:val="0"/>
          <w:numId w:val="43"/>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文印员应严格按照学校文印制度，及时完成各类文印工作。</w:t>
      </w:r>
    </w:p>
    <w:p>
      <w:pPr>
        <w:numPr>
          <w:ilvl w:val="0"/>
          <w:numId w:val="43"/>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文印员应定期监督保养一体机和复印机，确保设备安全正常运行。</w:t>
      </w:r>
    </w:p>
    <w:p>
      <w:pPr>
        <w:numPr>
          <w:ilvl w:val="0"/>
          <w:numId w:val="43"/>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 xml:space="preserve">文印室应做好材料入室登记工作，做好维修登记工作。每学期结束前，文印员应做好纸张和油墨的消耗、结余数清点及设备维修费用统计工作。  </w:t>
      </w:r>
    </w:p>
    <w:p>
      <w:pPr>
        <w:numPr>
          <w:ilvl w:val="0"/>
          <w:numId w:val="43"/>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 xml:space="preserve">文印员应做好安全和规定时限的保密工作。  </w:t>
      </w:r>
    </w:p>
    <w:p>
      <w:pPr>
        <w:numPr>
          <w:ilvl w:val="0"/>
          <w:numId w:val="43"/>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文印室要牢固树立为师生服务的思想，语言文明，坚守岗位，接受学校安排的临时性工作。</w:t>
      </w:r>
    </w:p>
    <w:p>
      <w:pPr>
        <w:numPr>
          <w:ilvl w:val="0"/>
          <w:numId w:val="43"/>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 xml:space="preserve">纸张使用以节约为原则。印刷所产生的底纸和其它废弃物应分类整理并妥善处理。  </w:t>
      </w:r>
    </w:p>
    <w:p>
      <w:pPr>
        <w:numPr>
          <w:ilvl w:val="0"/>
          <w:numId w:val="43"/>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保持设备和文印室清洁卫生，设备空闲时关掉电源，以便节约用电，延长设备使用寿命。文印室电脑及设备仅限工作人员使用，其他人不得随意使用；</w:t>
      </w:r>
    </w:p>
    <w:p>
      <w:pPr>
        <w:numPr>
          <w:ilvl w:val="0"/>
          <w:numId w:val="43"/>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老师图书阅览室的管理及服务，服务内容包括：图书整理、登记、阅览室卫生、沏茶及茶杯等用具的清洗、保管、维护工作。</w:t>
      </w:r>
    </w:p>
    <w:p>
      <w:pPr>
        <w:numPr>
          <w:ilvl w:val="255"/>
          <w:numId w:val="0"/>
        </w:numPr>
        <w:ind w:firstLine="562" w:firstLineChars="200"/>
        <w:rPr>
          <w:rFonts w:ascii="宋体" w:hAnsi="宋体"/>
          <w:b/>
          <w:bCs/>
          <w:color w:val="auto"/>
          <w:sz w:val="28"/>
          <w:szCs w:val="28"/>
          <w:highlight w:val="none"/>
        </w:rPr>
      </w:pPr>
      <w:r>
        <w:rPr>
          <w:rFonts w:hint="eastAsia" w:ascii="宋体" w:hAnsi="宋体"/>
          <w:b/>
          <w:bCs/>
          <w:color w:val="auto"/>
          <w:sz w:val="28"/>
          <w:szCs w:val="28"/>
          <w:highlight w:val="none"/>
        </w:rPr>
        <w:t>七、体育管理服务要求</w:t>
      </w:r>
    </w:p>
    <w:p>
      <w:pPr>
        <w:numPr>
          <w:ilvl w:val="0"/>
          <w:numId w:val="44"/>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建立财产管理账目，有严格的借用手续和赔偿制度，并认真执行；</w:t>
      </w:r>
    </w:p>
    <w:p>
      <w:pPr>
        <w:numPr>
          <w:ilvl w:val="0"/>
          <w:numId w:val="44"/>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熟悉各年级教学进度，根据教师上课需用器材，提前做好准备，保证上课使用。课结束后，要清点器材数量，发现短缺或损坏及时处理；</w:t>
      </w:r>
    </w:p>
    <w:p>
      <w:pPr>
        <w:numPr>
          <w:ilvl w:val="0"/>
          <w:numId w:val="44"/>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经常打扫器材室，保持室内整洁。器材存放要得当、有序、搬运方便。并备有灭火器材；</w:t>
      </w:r>
    </w:p>
    <w:p>
      <w:pPr>
        <w:numPr>
          <w:ilvl w:val="0"/>
          <w:numId w:val="44"/>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 xml:space="preserve">经常检查固定器材，发现损坏要及时维修，防止伤害事故的发生。  </w:t>
      </w:r>
    </w:p>
    <w:p>
      <w:pPr>
        <w:numPr>
          <w:ilvl w:val="0"/>
          <w:numId w:val="44"/>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加强对海绵垫等器材的防腐安置，应经常检查或更换存入位置；</w:t>
      </w:r>
    </w:p>
    <w:p>
      <w:pPr>
        <w:numPr>
          <w:ilvl w:val="0"/>
          <w:numId w:val="44"/>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定期清点器材，做到帐物相符，对损坏的器材填写单据，上报注销，根据器材的损坏程度提出维修和购置计划；</w:t>
      </w:r>
    </w:p>
    <w:p>
      <w:pPr>
        <w:numPr>
          <w:ilvl w:val="0"/>
          <w:numId w:val="44"/>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录播教室、体育馆音响系统及其他设备的管理、操作日常维护。</w:t>
      </w:r>
    </w:p>
    <w:p>
      <w:pPr>
        <w:pStyle w:val="18"/>
        <w:ind w:left="567"/>
        <w:rPr>
          <w:rFonts w:ascii="宋体" w:hAnsi="宋体"/>
          <w:b/>
          <w:bCs/>
          <w:color w:val="auto"/>
          <w:sz w:val="28"/>
          <w:szCs w:val="28"/>
          <w:highlight w:val="none"/>
        </w:rPr>
      </w:pPr>
      <w:r>
        <w:rPr>
          <w:rFonts w:hint="eastAsia" w:ascii="宋体" w:hAnsi="宋体"/>
          <w:b/>
          <w:bCs/>
          <w:color w:val="auto"/>
          <w:sz w:val="28"/>
          <w:szCs w:val="28"/>
          <w:highlight w:val="none"/>
        </w:rPr>
        <w:t>八、接待管理</w:t>
      </w:r>
    </w:p>
    <w:p>
      <w:pPr>
        <w:numPr>
          <w:ilvl w:val="0"/>
          <w:numId w:val="45"/>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加强业务、管理技巧的学习，自觉遵守各项规章制度。负责检查各部门上岗人员仪容仪表是否达标准，岗位卫生是否达标；</w:t>
      </w:r>
    </w:p>
    <w:p>
      <w:pPr>
        <w:numPr>
          <w:ilvl w:val="0"/>
          <w:numId w:val="45"/>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上岗要按规定化淡妆修饰，着工装，仪容仪表端庄、整洁、精神饱满，禁止面带倦容，情绪低落状态上岗；</w:t>
      </w:r>
    </w:p>
    <w:p>
      <w:pPr>
        <w:numPr>
          <w:ilvl w:val="0"/>
          <w:numId w:val="45"/>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负责监督检查各部门人员工作情况，每日查阅各岗位工作记录，准确了解各项工作完成及未完成情况；</w:t>
      </w:r>
    </w:p>
    <w:p>
      <w:pPr>
        <w:numPr>
          <w:ilvl w:val="0"/>
          <w:numId w:val="45"/>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熟悉校园情况，不定时进行巡查，发现问题及时处理；</w:t>
      </w:r>
    </w:p>
    <w:p>
      <w:pPr>
        <w:numPr>
          <w:ilvl w:val="0"/>
          <w:numId w:val="45"/>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每日上班时间，主动向主要领导问好致意；参观期间，做好为来宾提供迎送、引领服务；</w:t>
      </w:r>
    </w:p>
    <w:p>
      <w:pPr>
        <w:numPr>
          <w:ilvl w:val="0"/>
          <w:numId w:val="45"/>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会议前问清楚参会人数，会议室房间，是否使用投影仪，是否挂会标，做好会议各种物资的筹备，保持会议区域的整洁，做好会前的引领工作；</w:t>
      </w:r>
    </w:p>
    <w:p>
      <w:pPr>
        <w:numPr>
          <w:ilvl w:val="0"/>
          <w:numId w:val="45"/>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会议时，做好会场的秩序和环境维护，防止无关人员进出，做好茶水、水果等供应保障，积极响应参会人员需求；</w:t>
      </w:r>
    </w:p>
    <w:p>
      <w:pPr>
        <w:numPr>
          <w:ilvl w:val="0"/>
          <w:numId w:val="45"/>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会后及时对会场进行清理，做好茶杯的清洁、烘干工作，关闭电源，锁紧门窗。</w:t>
      </w:r>
    </w:p>
    <w:p>
      <w:pPr>
        <w:numPr>
          <w:ilvl w:val="0"/>
          <w:numId w:val="45"/>
        </w:numPr>
        <w:ind w:left="0" w:firstLine="560" w:firstLineChars="200"/>
        <w:rPr>
          <w:rFonts w:ascii="宋体" w:hAnsi="宋体"/>
          <w:color w:val="auto"/>
          <w:sz w:val="28"/>
          <w:szCs w:val="28"/>
          <w:highlight w:val="none"/>
        </w:rPr>
      </w:pPr>
      <w:r>
        <w:rPr>
          <w:rFonts w:hint="eastAsia" w:ascii="宋体" w:hAnsi="宋体"/>
          <w:color w:val="auto"/>
          <w:sz w:val="28"/>
          <w:szCs w:val="28"/>
          <w:highlight w:val="none"/>
        </w:rPr>
        <w:t>学生图书阅览室的管理，学生图书阅览室全天对学生开放，按照学校制定的借阅流程、管理要求进行管理</w:t>
      </w:r>
    </w:p>
    <w:p>
      <w:pPr>
        <w:numPr>
          <w:ilvl w:val="0"/>
          <w:numId w:val="45"/>
        </w:numPr>
        <w:ind w:left="0" w:firstLine="560" w:firstLineChars="200"/>
        <w:rPr>
          <w:color w:val="auto"/>
          <w:highlight w:val="none"/>
        </w:rPr>
      </w:pPr>
      <w:r>
        <w:rPr>
          <w:rFonts w:hint="eastAsia" w:ascii="宋体" w:hAnsi="宋体"/>
          <w:color w:val="auto"/>
          <w:sz w:val="28"/>
          <w:szCs w:val="28"/>
          <w:highlight w:val="none"/>
        </w:rPr>
        <w:t>协助采购人做好照相机、摄像机的管理，日常活动的照相、摄像工作，在办公室的指导下完成微信推送的编辑工作。</w:t>
      </w:r>
    </w:p>
    <w:p>
      <w:pPr>
        <w:pStyle w:val="18"/>
        <w:ind w:firstLine="562" w:firstLineChars="200"/>
        <w:rPr>
          <w:rFonts w:ascii="宋体" w:hAnsi="宋体"/>
          <w:b/>
          <w:bCs/>
          <w:color w:val="auto"/>
          <w:sz w:val="28"/>
          <w:szCs w:val="28"/>
          <w:highlight w:val="none"/>
        </w:rPr>
      </w:pPr>
      <w:r>
        <w:rPr>
          <w:rFonts w:hint="eastAsia" w:ascii="宋体" w:hAnsi="宋体"/>
          <w:b/>
          <w:bCs/>
          <w:color w:val="auto"/>
          <w:sz w:val="28"/>
          <w:szCs w:val="28"/>
          <w:highlight w:val="none"/>
        </w:rPr>
        <w:t>九、应急事件处置</w:t>
      </w:r>
    </w:p>
    <w:p>
      <w:pPr>
        <w:pStyle w:val="18"/>
        <w:ind w:firstLine="560" w:firstLineChars="200"/>
        <w:rPr>
          <w:rFonts w:ascii="宋体" w:hAnsi="宋体"/>
          <w:color w:val="auto"/>
          <w:sz w:val="28"/>
          <w:szCs w:val="28"/>
          <w:highlight w:val="none"/>
        </w:rPr>
      </w:pPr>
      <w:r>
        <w:rPr>
          <w:rFonts w:hint="eastAsia" w:ascii="宋体" w:hAnsi="宋体"/>
          <w:color w:val="auto"/>
          <w:sz w:val="28"/>
          <w:szCs w:val="28"/>
          <w:highlight w:val="none"/>
        </w:rPr>
        <w:t>根据项目实际情况，建立应急处置方案，及时处理突发事件。</w:t>
      </w:r>
    </w:p>
    <w:p>
      <w:pPr>
        <w:pStyle w:val="5"/>
        <w:numPr>
          <w:ilvl w:val="2"/>
          <w:numId w:val="4"/>
        </w:numPr>
        <w:spacing w:after="200" w:line="520" w:lineRule="exact"/>
        <w:ind w:left="8" w:hanging="8"/>
        <w:rPr>
          <w:bCs w:val="0"/>
          <w:color w:val="auto"/>
          <w:highlight w:val="none"/>
        </w:rPr>
      </w:pPr>
      <w:r>
        <w:rPr>
          <w:rFonts w:hint="eastAsia"/>
          <w:bCs w:val="0"/>
          <w:color w:val="auto"/>
          <w:highlight w:val="none"/>
        </w:rPr>
        <w:t>项目服务人员配置</w:t>
      </w:r>
    </w:p>
    <w:p>
      <w:pPr>
        <w:pStyle w:val="40"/>
        <w:widowControl w:val="0"/>
        <w:spacing w:before="0" w:after="0" w:afterAutospacing="0" w:line="360" w:lineRule="auto"/>
        <w:ind w:firstLine="312"/>
        <w:jc w:val="both"/>
        <w:rPr>
          <w:rFonts w:cs="宋体"/>
          <w:color w:val="auto"/>
          <w:kern w:val="2"/>
          <w:sz w:val="28"/>
          <w:szCs w:val="28"/>
          <w:highlight w:val="none"/>
        </w:rPr>
      </w:pPr>
      <w:r>
        <w:rPr>
          <w:rFonts w:hint="eastAsia" w:cs="宋体"/>
          <w:color w:val="auto"/>
          <w:kern w:val="2"/>
          <w:sz w:val="28"/>
          <w:szCs w:val="28"/>
          <w:highlight w:val="none"/>
          <w:lang w:bidi="ar"/>
        </w:rPr>
        <w:t>一、人员配置要求</w:t>
      </w:r>
    </w:p>
    <w:p>
      <w:pPr>
        <w:pStyle w:val="40"/>
        <w:widowControl w:val="0"/>
        <w:numPr>
          <w:ilvl w:val="0"/>
          <w:numId w:val="46"/>
        </w:numPr>
        <w:spacing w:before="0" w:after="0" w:afterAutospacing="0" w:line="360" w:lineRule="auto"/>
        <w:jc w:val="both"/>
        <w:rPr>
          <w:rFonts w:cs="宋体"/>
          <w:color w:val="auto"/>
          <w:kern w:val="2"/>
          <w:sz w:val="28"/>
          <w:szCs w:val="28"/>
          <w:highlight w:val="none"/>
        </w:rPr>
      </w:pPr>
      <w:r>
        <w:rPr>
          <w:rFonts w:hint="eastAsia" w:cs="宋体"/>
          <w:color w:val="auto"/>
          <w:kern w:val="2"/>
          <w:sz w:val="28"/>
          <w:szCs w:val="28"/>
          <w:highlight w:val="none"/>
          <w:lang w:bidi="ar"/>
        </w:rPr>
        <w:t>★投标人应当与本项目配置的员工建立合法劳动用工关系，并按照国家法律法规全员购置社保。中标人负责支付所派出全部工作人员工资、社保、残疾人基金、工会基金、住房公积金等费用及各项补助、节日福利等，人员工资标准不得低于本地的最低工资标准，采购人对此不承担任何的法律责任和义务，不得以人工工资价格上涨要求相关补助，采购人不额外向个人支付费用（应采购人实际工作需要，采购人要求提供的特约有偿服务或派员参加重大活动协助的除外）（</w:t>
      </w:r>
      <w:r>
        <w:rPr>
          <w:rFonts w:hint="eastAsia" w:cs="宋体"/>
          <w:b/>
          <w:color w:val="auto"/>
          <w:kern w:val="2"/>
          <w:sz w:val="28"/>
          <w:szCs w:val="28"/>
          <w:highlight w:val="none"/>
          <w:lang w:bidi="ar"/>
        </w:rPr>
        <w:t>注：按第3章3.3.5提供书面承诺函</w:t>
      </w:r>
      <w:r>
        <w:rPr>
          <w:rFonts w:hint="eastAsia" w:cs="宋体"/>
          <w:color w:val="auto"/>
          <w:kern w:val="2"/>
          <w:sz w:val="28"/>
          <w:szCs w:val="28"/>
          <w:highlight w:val="none"/>
          <w:lang w:bidi="ar"/>
        </w:rPr>
        <w:t>）。</w:t>
      </w:r>
    </w:p>
    <w:p>
      <w:pPr>
        <w:pStyle w:val="40"/>
        <w:numPr>
          <w:ilvl w:val="0"/>
          <w:numId w:val="46"/>
        </w:numPr>
        <w:spacing w:line="360" w:lineRule="auto"/>
        <w:rPr>
          <w:color w:val="auto"/>
          <w:sz w:val="28"/>
          <w:szCs w:val="28"/>
          <w:highlight w:val="none"/>
        </w:rPr>
      </w:pPr>
      <w:r>
        <w:rPr>
          <w:rFonts w:hint="eastAsia" w:cs="宋体"/>
          <w:color w:val="auto"/>
          <w:sz w:val="28"/>
          <w:szCs w:val="28"/>
          <w:highlight w:val="none"/>
          <w:lang w:bidi="ar"/>
        </w:rPr>
        <w:t>★采购人不向投标人提供员工住宿（因工作需要采购人向投标人提供必要备勤室除外），投标人的现场服务人员的工作用餐可以在采购人的食堂用餐，但必须遵守采购人的就餐时间安排，</w:t>
      </w:r>
      <w:r>
        <w:rPr>
          <w:rFonts w:hint="eastAsia"/>
          <w:color w:val="auto"/>
          <w:sz w:val="28"/>
          <w:szCs w:val="28"/>
          <w:highlight w:val="none"/>
        </w:rPr>
        <w:t>行课期间，采购人提供员工本人的工作餐。餐费由投标人按照采购人规定收费结算</w:t>
      </w:r>
      <w:r>
        <w:rPr>
          <w:rFonts w:hint="eastAsia" w:cs="宋体"/>
          <w:color w:val="auto"/>
          <w:sz w:val="28"/>
          <w:szCs w:val="28"/>
          <w:highlight w:val="none"/>
          <w:lang w:bidi="ar"/>
        </w:rPr>
        <w:t>。投标人应确保现场服务的延续性，采购人出于现场服务延续性考虑需要留用的现场服务人员，投标人应当接收并承认员工的工龄。（</w:t>
      </w:r>
      <w:r>
        <w:rPr>
          <w:rFonts w:hint="eastAsia" w:cs="宋体"/>
          <w:b/>
          <w:color w:val="auto"/>
          <w:sz w:val="28"/>
          <w:szCs w:val="28"/>
          <w:highlight w:val="none"/>
          <w:lang w:bidi="ar"/>
        </w:rPr>
        <w:t>注：按第3章3.3.5提供书面承诺函</w:t>
      </w:r>
      <w:r>
        <w:rPr>
          <w:rFonts w:hint="eastAsia" w:cs="宋体"/>
          <w:color w:val="auto"/>
          <w:sz w:val="28"/>
          <w:szCs w:val="28"/>
          <w:highlight w:val="none"/>
          <w:lang w:bidi="ar"/>
        </w:rPr>
        <w:t>）</w:t>
      </w:r>
    </w:p>
    <w:p>
      <w:pPr>
        <w:pStyle w:val="40"/>
        <w:numPr>
          <w:ilvl w:val="0"/>
          <w:numId w:val="46"/>
        </w:numPr>
        <w:spacing w:line="360" w:lineRule="auto"/>
        <w:rPr>
          <w:rFonts w:cs="宋体"/>
          <w:color w:val="auto"/>
          <w:kern w:val="2"/>
          <w:sz w:val="28"/>
          <w:szCs w:val="28"/>
          <w:highlight w:val="none"/>
          <w:lang w:bidi="ar"/>
        </w:rPr>
      </w:pPr>
      <w:r>
        <w:rPr>
          <w:rFonts w:hint="eastAsia" w:cs="宋体"/>
          <w:color w:val="auto"/>
          <w:sz w:val="28"/>
          <w:szCs w:val="28"/>
          <w:highlight w:val="none"/>
          <w:lang w:bidi="ar"/>
        </w:rPr>
        <w:t>★本项目物业服务人员最低配置人数要求：采购人的物业</w:t>
      </w:r>
      <w:r>
        <w:rPr>
          <w:rFonts w:hint="eastAsia"/>
          <w:color w:val="auto"/>
          <w:sz w:val="28"/>
          <w:szCs w:val="28"/>
          <w:highlight w:val="none"/>
          <w:lang w:bidi="ar"/>
        </w:rPr>
        <w:t>服务人员应</w:t>
      </w:r>
      <w:r>
        <w:rPr>
          <w:rFonts w:hint="eastAsia"/>
          <w:color w:val="auto"/>
          <w:sz w:val="28"/>
          <w:szCs w:val="28"/>
          <w:highlight w:val="none"/>
        </w:rPr>
        <w:t>按照最低40人配置，其中：项目经理：2人（北区1人，南区1人）；保安队长：2人（北区1人，南区1人）；保洁组长：2人（北区1人，南区1人）；文印员：2人（北区1人，南区1人）；秩序维护员：19人（北区7人、南区12人）；保洁员：7人（北区3人，南区4人）；绿化工：2人(北区1人，南区1人)；维修工（电工）：2人(北区1人，南区1人)；体育保管员：2人(北区1人，南区1人)。</w:t>
      </w:r>
      <w:r>
        <w:rPr>
          <w:rFonts w:hint="eastAsia" w:cs="宋体"/>
          <w:color w:val="auto"/>
          <w:kern w:val="2"/>
          <w:sz w:val="28"/>
          <w:szCs w:val="28"/>
          <w:highlight w:val="none"/>
          <w:lang w:bidi="ar"/>
        </w:rPr>
        <w:t>（</w:t>
      </w:r>
      <w:r>
        <w:rPr>
          <w:rFonts w:hint="eastAsia" w:cs="宋体"/>
          <w:b/>
          <w:color w:val="auto"/>
          <w:kern w:val="2"/>
          <w:sz w:val="28"/>
          <w:szCs w:val="28"/>
          <w:highlight w:val="none"/>
          <w:lang w:bidi="ar"/>
        </w:rPr>
        <w:t>注：按第3章3.3.5提供书面承诺函</w:t>
      </w:r>
      <w:r>
        <w:rPr>
          <w:rFonts w:hint="eastAsia" w:cs="宋体"/>
          <w:color w:val="auto"/>
          <w:kern w:val="2"/>
          <w:sz w:val="28"/>
          <w:szCs w:val="28"/>
          <w:highlight w:val="none"/>
          <w:lang w:bidi="ar"/>
        </w:rPr>
        <w:t>）</w:t>
      </w:r>
    </w:p>
    <w:p>
      <w:pPr>
        <w:pStyle w:val="40"/>
        <w:spacing w:line="360" w:lineRule="auto"/>
        <w:ind w:firstLine="560" w:firstLineChars="200"/>
        <w:rPr>
          <w:color w:val="auto"/>
          <w:sz w:val="28"/>
          <w:szCs w:val="28"/>
          <w:highlight w:val="none"/>
        </w:rPr>
      </w:pPr>
      <w:r>
        <w:rPr>
          <w:rFonts w:hint="eastAsia" w:cs="宋体"/>
          <w:color w:val="auto"/>
          <w:kern w:val="2"/>
          <w:sz w:val="28"/>
          <w:szCs w:val="28"/>
          <w:highlight w:val="none"/>
          <w:lang w:bidi="ar"/>
        </w:rPr>
        <w:t>（四）</w:t>
      </w:r>
      <w:r>
        <w:rPr>
          <w:rFonts w:hint="eastAsia"/>
          <w:color w:val="auto"/>
          <w:sz w:val="28"/>
          <w:szCs w:val="28"/>
          <w:highlight w:val="none"/>
        </w:rPr>
        <w:t>具体配置标准：</w:t>
      </w:r>
    </w:p>
    <w:tbl>
      <w:tblPr>
        <w:tblStyle w:val="44"/>
        <w:tblW w:w="833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41"/>
        <w:gridCol w:w="1294"/>
        <w:gridCol w:w="1746"/>
        <w:gridCol w:w="47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rPr>
                <w:b/>
                <w:bCs/>
                <w:color w:val="auto"/>
                <w:highlight w:val="none"/>
                <w:lang w:val="en-US"/>
              </w:rPr>
            </w:pPr>
            <w:r>
              <w:rPr>
                <w:rFonts w:hint="eastAsia"/>
                <w:b/>
                <w:bCs/>
                <w:color w:val="auto"/>
                <w:highlight w:val="none"/>
                <w:lang w:val="en-US"/>
              </w:rPr>
              <w:t>序号</w:t>
            </w:r>
          </w:p>
        </w:tc>
        <w:tc>
          <w:tcPr>
            <w:tcW w:w="1294" w:type="dxa"/>
          </w:tcPr>
          <w:p>
            <w:pPr>
              <w:pStyle w:val="239"/>
              <w:adjustRightInd w:val="0"/>
              <w:snapToGrid w:val="0"/>
              <w:ind w:firstLine="0" w:firstLineChars="0"/>
              <w:rPr>
                <w:b/>
                <w:bCs/>
                <w:color w:val="auto"/>
                <w:highlight w:val="none"/>
                <w:lang w:val="en-US"/>
              </w:rPr>
            </w:pPr>
            <w:r>
              <w:rPr>
                <w:rFonts w:hint="eastAsia"/>
                <w:b/>
                <w:bCs/>
                <w:color w:val="auto"/>
                <w:highlight w:val="none"/>
                <w:lang w:val="en-US"/>
              </w:rPr>
              <w:t>岗位设置</w:t>
            </w:r>
          </w:p>
        </w:tc>
        <w:tc>
          <w:tcPr>
            <w:tcW w:w="1746" w:type="dxa"/>
          </w:tcPr>
          <w:p>
            <w:pPr>
              <w:pStyle w:val="239"/>
              <w:adjustRightInd w:val="0"/>
              <w:snapToGrid w:val="0"/>
              <w:ind w:firstLine="0" w:firstLineChars="0"/>
              <w:jc w:val="center"/>
              <w:rPr>
                <w:b/>
                <w:bCs/>
                <w:color w:val="auto"/>
                <w:highlight w:val="none"/>
                <w:lang w:val="en-US"/>
              </w:rPr>
            </w:pPr>
            <w:r>
              <w:rPr>
                <w:rFonts w:hint="eastAsia"/>
                <w:b/>
                <w:bCs/>
                <w:color w:val="auto"/>
                <w:highlight w:val="none"/>
                <w:lang w:val="en-US"/>
              </w:rPr>
              <w:t>数量</w:t>
            </w:r>
          </w:p>
        </w:tc>
        <w:tc>
          <w:tcPr>
            <w:tcW w:w="4752" w:type="dxa"/>
          </w:tcPr>
          <w:p>
            <w:pPr>
              <w:pStyle w:val="239"/>
              <w:adjustRightInd w:val="0"/>
              <w:snapToGrid w:val="0"/>
              <w:ind w:firstLine="0" w:firstLineChars="0"/>
              <w:jc w:val="center"/>
              <w:rPr>
                <w:b/>
                <w:bCs/>
                <w:color w:val="auto"/>
                <w:highlight w:val="none"/>
                <w:lang w:val="en-US"/>
              </w:rPr>
            </w:pPr>
            <w:r>
              <w:rPr>
                <w:rFonts w:hint="eastAsia"/>
                <w:b/>
                <w:bCs/>
                <w:color w:val="auto"/>
                <w:highlight w:val="none"/>
                <w:lang w:val="en-US"/>
              </w:rPr>
              <w:t>岗位要求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1</w:t>
            </w:r>
          </w:p>
        </w:tc>
        <w:tc>
          <w:tcPr>
            <w:tcW w:w="1294" w:type="dxa"/>
          </w:tcPr>
          <w:p>
            <w:pPr>
              <w:pStyle w:val="239"/>
              <w:adjustRightInd w:val="0"/>
              <w:snapToGrid w:val="0"/>
              <w:ind w:firstLine="0" w:firstLineChars="0"/>
              <w:rPr>
                <w:color w:val="auto"/>
                <w:highlight w:val="none"/>
                <w:lang w:val="en-US"/>
              </w:rPr>
            </w:pPr>
            <w:r>
              <w:rPr>
                <w:rFonts w:hint="eastAsia"/>
                <w:color w:val="auto"/>
                <w:highlight w:val="none"/>
                <w:lang w:val="en-US"/>
              </w:rPr>
              <w:t>项目经理</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2人</w:t>
            </w:r>
          </w:p>
          <w:p>
            <w:pPr>
              <w:pStyle w:val="239"/>
              <w:adjustRightInd w:val="0"/>
              <w:snapToGrid w:val="0"/>
              <w:ind w:firstLine="0" w:firstLineChars="0"/>
              <w:jc w:val="center"/>
              <w:rPr>
                <w:color w:val="auto"/>
                <w:highlight w:val="none"/>
                <w:lang w:val="en-US"/>
              </w:rPr>
            </w:pPr>
            <w:r>
              <w:rPr>
                <w:rFonts w:hint="eastAsia"/>
                <w:color w:val="auto"/>
                <w:highlight w:val="none"/>
                <w:lang w:val="en-US"/>
              </w:rPr>
              <w:t>（北区1人，南区1人）</w:t>
            </w:r>
          </w:p>
        </w:tc>
        <w:tc>
          <w:tcPr>
            <w:tcW w:w="4752" w:type="dxa"/>
          </w:tcPr>
          <w:p>
            <w:pPr>
              <w:pStyle w:val="239"/>
              <w:adjustRightInd w:val="0"/>
              <w:snapToGrid w:val="0"/>
              <w:ind w:firstLine="0" w:firstLineChars="0"/>
              <w:rPr>
                <w:color w:val="auto"/>
                <w:highlight w:val="none"/>
                <w:lang w:val="en-US"/>
              </w:rPr>
            </w:pPr>
            <w:r>
              <w:rPr>
                <w:rFonts w:hint="eastAsia"/>
                <w:color w:val="auto"/>
                <w:highlight w:val="none"/>
                <w:lang w:val="en-US"/>
              </w:rPr>
              <w:t>45岁以下，有制定基本制度的能力，原则性强，具沟通能力，懂接待，有良好的服务意识及管理能力，有一定统筹管理能力，能有效的领会采购人的意图并有效组织实施，完成既定工作任务,能熟练驾驶汽车。所聘人员需经学校面试合格后方能上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2</w:t>
            </w:r>
          </w:p>
        </w:tc>
        <w:tc>
          <w:tcPr>
            <w:tcW w:w="1294"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保安队长</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2人</w:t>
            </w:r>
          </w:p>
          <w:p>
            <w:pPr>
              <w:pStyle w:val="239"/>
              <w:adjustRightInd w:val="0"/>
              <w:snapToGrid w:val="0"/>
              <w:ind w:firstLine="0" w:firstLineChars="0"/>
              <w:jc w:val="center"/>
              <w:rPr>
                <w:color w:val="auto"/>
                <w:highlight w:val="none"/>
                <w:lang w:val="en-US"/>
              </w:rPr>
            </w:pPr>
            <w:r>
              <w:rPr>
                <w:rFonts w:hint="eastAsia"/>
                <w:color w:val="auto"/>
                <w:highlight w:val="none"/>
                <w:lang w:val="en-US"/>
              </w:rPr>
              <w:t>（北区1人，南区1人）</w:t>
            </w:r>
          </w:p>
        </w:tc>
        <w:tc>
          <w:tcPr>
            <w:tcW w:w="4752" w:type="dxa"/>
          </w:tcPr>
          <w:p>
            <w:pPr>
              <w:pStyle w:val="239"/>
              <w:adjustRightInd w:val="0"/>
              <w:snapToGrid w:val="0"/>
              <w:ind w:firstLine="0" w:firstLineChars="0"/>
              <w:rPr>
                <w:color w:val="auto"/>
                <w:highlight w:val="none"/>
              </w:rPr>
            </w:pPr>
            <w:r>
              <w:rPr>
                <w:rFonts w:hint="eastAsia"/>
                <w:color w:val="auto"/>
                <w:highlight w:val="none"/>
              </w:rPr>
              <w:t>4</w:t>
            </w:r>
            <w:r>
              <w:rPr>
                <w:rFonts w:hint="eastAsia"/>
                <w:color w:val="auto"/>
                <w:highlight w:val="none"/>
                <w:lang w:val="en-US"/>
              </w:rPr>
              <w:t>5</w:t>
            </w:r>
            <w:r>
              <w:rPr>
                <w:rFonts w:hint="eastAsia"/>
                <w:color w:val="auto"/>
                <w:highlight w:val="none"/>
              </w:rPr>
              <w:t>岁以下，持有效证件上岗【保安员证】，有本岗位工作经验2年以上，有较强的组织管理能力，能进行员工培训和队列操练，原则性强，有一定的接待能力，有良好的亲和力，执行力，</w:t>
            </w:r>
            <w:r>
              <w:rPr>
                <w:rFonts w:hint="eastAsia"/>
                <w:color w:val="auto"/>
                <w:highlight w:val="none"/>
                <w:lang w:val="en-US"/>
              </w:rPr>
              <w:t>所聘人员需经学校面试合格后方能上岗</w:t>
            </w:r>
            <w:r>
              <w:rPr>
                <w:rFonts w:hint="eastAsia"/>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3</w:t>
            </w:r>
          </w:p>
        </w:tc>
        <w:tc>
          <w:tcPr>
            <w:tcW w:w="1294"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保洁组长</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2人</w:t>
            </w:r>
          </w:p>
          <w:p>
            <w:pPr>
              <w:pStyle w:val="239"/>
              <w:adjustRightInd w:val="0"/>
              <w:snapToGrid w:val="0"/>
              <w:ind w:firstLine="0" w:firstLineChars="0"/>
              <w:jc w:val="center"/>
              <w:rPr>
                <w:color w:val="auto"/>
                <w:highlight w:val="none"/>
                <w:lang w:val="en-US"/>
              </w:rPr>
            </w:pPr>
            <w:r>
              <w:rPr>
                <w:rFonts w:hint="eastAsia"/>
                <w:color w:val="auto"/>
                <w:highlight w:val="none"/>
                <w:lang w:val="en-US"/>
              </w:rPr>
              <w:t>（北区1人，南区1人）</w:t>
            </w:r>
          </w:p>
        </w:tc>
        <w:tc>
          <w:tcPr>
            <w:tcW w:w="4752" w:type="dxa"/>
          </w:tcPr>
          <w:p>
            <w:pPr>
              <w:pStyle w:val="239"/>
              <w:adjustRightInd w:val="0"/>
              <w:snapToGrid w:val="0"/>
              <w:ind w:firstLine="0" w:firstLineChars="0"/>
              <w:rPr>
                <w:color w:val="auto"/>
                <w:highlight w:val="none"/>
              </w:rPr>
            </w:pPr>
            <w:r>
              <w:rPr>
                <w:rFonts w:hint="eastAsia"/>
                <w:color w:val="auto"/>
                <w:highlight w:val="none"/>
              </w:rPr>
              <w:t>本岗位工作经验</w:t>
            </w:r>
            <w:r>
              <w:rPr>
                <w:rFonts w:hint="eastAsia"/>
                <w:color w:val="auto"/>
                <w:highlight w:val="none"/>
                <w:lang w:val="en-US"/>
              </w:rPr>
              <w:t>2</w:t>
            </w:r>
            <w:r>
              <w:rPr>
                <w:rFonts w:hint="eastAsia"/>
                <w:color w:val="auto"/>
                <w:highlight w:val="none"/>
              </w:rPr>
              <w:t>年以上，具有一定的接待能力，有一定组织力和团队协作能力，</w:t>
            </w:r>
            <w:r>
              <w:rPr>
                <w:rFonts w:hint="eastAsia"/>
                <w:color w:val="auto"/>
                <w:highlight w:val="none"/>
                <w:lang w:val="en-US"/>
              </w:rPr>
              <w:t>50</w:t>
            </w:r>
            <w:r>
              <w:rPr>
                <w:rFonts w:hint="eastAsia"/>
                <w:color w:val="auto"/>
                <w:highlight w:val="none"/>
              </w:rPr>
              <w:t>岁以下，能进行基本的员工培训，能熟练操作擦玻器，洗地机，身体健康，吃苦耐劳，动作麻利，有爱心，有耐心，有一定沟通技巧，工作主动热情，有责任心吃苦耐劳，</w:t>
            </w:r>
            <w:r>
              <w:rPr>
                <w:rFonts w:hint="eastAsia"/>
                <w:color w:val="auto"/>
                <w:highlight w:val="none"/>
                <w:lang w:val="en-US"/>
              </w:rPr>
              <w:t>所聘人员需经学校面试合格后方能上岗</w:t>
            </w:r>
            <w:r>
              <w:rPr>
                <w:rFonts w:hint="eastAsia"/>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4</w:t>
            </w:r>
          </w:p>
        </w:tc>
        <w:tc>
          <w:tcPr>
            <w:tcW w:w="1294"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文印员</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2人</w:t>
            </w:r>
          </w:p>
          <w:p>
            <w:pPr>
              <w:pStyle w:val="239"/>
              <w:adjustRightInd w:val="0"/>
              <w:snapToGrid w:val="0"/>
              <w:ind w:firstLine="0" w:firstLineChars="0"/>
              <w:jc w:val="center"/>
              <w:rPr>
                <w:color w:val="auto"/>
                <w:highlight w:val="none"/>
                <w:lang w:val="en-US"/>
              </w:rPr>
            </w:pPr>
            <w:r>
              <w:rPr>
                <w:rFonts w:hint="eastAsia"/>
                <w:color w:val="auto"/>
                <w:highlight w:val="none"/>
                <w:lang w:val="en-US"/>
              </w:rPr>
              <w:t>（北区1人，南区1人）</w:t>
            </w:r>
          </w:p>
        </w:tc>
        <w:tc>
          <w:tcPr>
            <w:tcW w:w="4752" w:type="dxa"/>
          </w:tcPr>
          <w:p>
            <w:pPr>
              <w:pStyle w:val="239"/>
              <w:adjustRightInd w:val="0"/>
              <w:snapToGrid w:val="0"/>
              <w:ind w:firstLine="0" w:firstLineChars="0"/>
              <w:rPr>
                <w:color w:val="auto"/>
                <w:highlight w:val="none"/>
              </w:rPr>
            </w:pPr>
            <w:r>
              <w:rPr>
                <w:rFonts w:hint="eastAsia"/>
                <w:color w:val="auto"/>
                <w:highlight w:val="none"/>
              </w:rPr>
              <w:t>年龄不超过</w:t>
            </w:r>
            <w:r>
              <w:rPr>
                <w:rFonts w:hint="eastAsia"/>
                <w:color w:val="auto"/>
                <w:highlight w:val="none"/>
                <w:lang w:val="en-US"/>
              </w:rPr>
              <w:t>45岁，大专及以上学历，</w:t>
            </w:r>
            <w:r>
              <w:rPr>
                <w:rFonts w:hint="eastAsia"/>
                <w:color w:val="auto"/>
                <w:highlight w:val="none"/>
              </w:rPr>
              <w:t>会电脑以及能使用复印、速印机等办公设备，熟悉相关办公软件，</w:t>
            </w:r>
            <w:r>
              <w:rPr>
                <w:rFonts w:hint="eastAsia"/>
                <w:color w:val="auto"/>
                <w:highlight w:val="none"/>
                <w:lang w:val="en-US"/>
              </w:rPr>
              <w:t>所聘人员需经学校面试合格后方能上岗</w:t>
            </w:r>
            <w:r>
              <w:rPr>
                <w:rFonts w:hint="eastAsia"/>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5</w:t>
            </w:r>
          </w:p>
        </w:tc>
        <w:tc>
          <w:tcPr>
            <w:tcW w:w="1294"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秩序维护员</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19人</w:t>
            </w:r>
          </w:p>
          <w:p>
            <w:pPr>
              <w:pStyle w:val="239"/>
              <w:adjustRightInd w:val="0"/>
              <w:snapToGrid w:val="0"/>
              <w:ind w:firstLine="0" w:firstLineChars="0"/>
              <w:jc w:val="center"/>
              <w:rPr>
                <w:color w:val="auto"/>
                <w:highlight w:val="none"/>
                <w:lang w:val="en-US"/>
              </w:rPr>
            </w:pPr>
            <w:r>
              <w:rPr>
                <w:rFonts w:hint="eastAsia"/>
                <w:color w:val="auto"/>
                <w:highlight w:val="none"/>
                <w:lang w:val="en-US"/>
              </w:rPr>
              <w:t>（北区7人、南区12人）</w:t>
            </w:r>
          </w:p>
        </w:tc>
        <w:tc>
          <w:tcPr>
            <w:tcW w:w="4752" w:type="dxa"/>
          </w:tcPr>
          <w:p>
            <w:pPr>
              <w:pStyle w:val="239"/>
              <w:adjustRightInd w:val="0"/>
              <w:snapToGrid w:val="0"/>
              <w:ind w:firstLine="0" w:firstLineChars="0"/>
              <w:rPr>
                <w:color w:val="auto"/>
                <w:highlight w:val="none"/>
              </w:rPr>
            </w:pPr>
            <w:r>
              <w:rPr>
                <w:rFonts w:hint="eastAsia"/>
                <w:color w:val="auto"/>
                <w:highlight w:val="none"/>
              </w:rPr>
              <w:t>持有效证件上岗【保安员证】；</w:t>
            </w:r>
            <w:r>
              <w:rPr>
                <w:rFonts w:hint="eastAsia"/>
                <w:color w:val="auto"/>
                <w:highlight w:val="none"/>
                <w:lang w:val="en-US"/>
              </w:rPr>
              <w:t>白班年龄45岁以下，夜班50岁以下，其中门岗接待人员年龄不超过40岁，身高170cm以上，形象气质佳，</w:t>
            </w:r>
            <w:r>
              <w:rPr>
                <w:rFonts w:hint="eastAsia"/>
                <w:color w:val="auto"/>
                <w:highlight w:val="none"/>
              </w:rPr>
              <w:t>五官端正，有亲和力，能讲基本的普通话，身体健康，无不良记录，吃苦耐劳，喜欢小朋友，有爱心，有耐心，有团队感，服从性高，</w:t>
            </w:r>
            <w:r>
              <w:rPr>
                <w:rFonts w:hint="eastAsia"/>
                <w:color w:val="auto"/>
                <w:highlight w:val="none"/>
                <w:lang w:val="en-US"/>
              </w:rPr>
              <w:t>所聘人员需经学校面试合格后方能上岗</w:t>
            </w:r>
            <w:r>
              <w:rPr>
                <w:rFonts w:hint="eastAsia"/>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6</w:t>
            </w:r>
          </w:p>
        </w:tc>
        <w:tc>
          <w:tcPr>
            <w:tcW w:w="1294"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保洁员</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7人</w:t>
            </w:r>
          </w:p>
          <w:p>
            <w:pPr>
              <w:pStyle w:val="239"/>
              <w:adjustRightInd w:val="0"/>
              <w:snapToGrid w:val="0"/>
              <w:ind w:firstLine="0" w:firstLineChars="0"/>
              <w:jc w:val="center"/>
              <w:rPr>
                <w:color w:val="auto"/>
                <w:highlight w:val="none"/>
                <w:lang w:val="en-US"/>
              </w:rPr>
            </w:pPr>
            <w:r>
              <w:rPr>
                <w:rFonts w:hint="eastAsia"/>
                <w:color w:val="auto"/>
                <w:highlight w:val="none"/>
                <w:lang w:val="en-US"/>
              </w:rPr>
              <w:t>（北区3人，南区4人）</w:t>
            </w:r>
          </w:p>
        </w:tc>
        <w:tc>
          <w:tcPr>
            <w:tcW w:w="4752" w:type="dxa"/>
          </w:tcPr>
          <w:p>
            <w:pPr>
              <w:pStyle w:val="239"/>
              <w:adjustRightInd w:val="0"/>
              <w:snapToGrid w:val="0"/>
              <w:ind w:firstLine="0" w:firstLineChars="0"/>
              <w:rPr>
                <w:color w:val="auto"/>
                <w:highlight w:val="none"/>
              </w:rPr>
            </w:pPr>
            <w:r>
              <w:rPr>
                <w:rFonts w:hint="eastAsia"/>
                <w:color w:val="auto"/>
                <w:highlight w:val="none"/>
              </w:rPr>
              <w:t>5</w:t>
            </w:r>
            <w:r>
              <w:rPr>
                <w:rFonts w:hint="eastAsia"/>
                <w:color w:val="auto"/>
                <w:highlight w:val="none"/>
                <w:lang w:val="en-US"/>
              </w:rPr>
              <w:t>0</w:t>
            </w:r>
            <w:r>
              <w:rPr>
                <w:rFonts w:hint="eastAsia"/>
                <w:color w:val="auto"/>
                <w:highlight w:val="none"/>
              </w:rPr>
              <w:t>岁以下，身体健康，吃苦耐劳，动作麻利，熟手优先，有爱心，有耐心，少言少语，有团队感，服从性高。工作主动热情，有责任心，吃苦耐劳，</w:t>
            </w:r>
            <w:r>
              <w:rPr>
                <w:rFonts w:hint="eastAsia"/>
                <w:color w:val="auto"/>
                <w:highlight w:val="none"/>
                <w:lang w:val="en-US"/>
              </w:rPr>
              <w:t>所聘人员需经学校面试合格后方能上岗</w:t>
            </w:r>
            <w:r>
              <w:rPr>
                <w:rFonts w:hint="eastAsia"/>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7</w:t>
            </w:r>
          </w:p>
        </w:tc>
        <w:tc>
          <w:tcPr>
            <w:tcW w:w="1294"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绿化工</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2人</w:t>
            </w:r>
          </w:p>
          <w:p>
            <w:pPr>
              <w:pStyle w:val="239"/>
              <w:adjustRightInd w:val="0"/>
              <w:snapToGrid w:val="0"/>
              <w:ind w:firstLine="0" w:firstLineChars="0"/>
              <w:jc w:val="center"/>
              <w:rPr>
                <w:color w:val="auto"/>
                <w:highlight w:val="none"/>
                <w:lang w:val="en-US"/>
              </w:rPr>
            </w:pPr>
            <w:r>
              <w:rPr>
                <w:rFonts w:hint="eastAsia"/>
                <w:color w:val="auto"/>
                <w:highlight w:val="none"/>
                <w:lang w:val="en-US"/>
              </w:rPr>
              <w:t>(北区1人，南区1人)</w:t>
            </w:r>
          </w:p>
        </w:tc>
        <w:tc>
          <w:tcPr>
            <w:tcW w:w="4752" w:type="dxa"/>
          </w:tcPr>
          <w:p>
            <w:pPr>
              <w:pStyle w:val="239"/>
              <w:adjustRightInd w:val="0"/>
              <w:snapToGrid w:val="0"/>
              <w:ind w:firstLine="0" w:firstLineChars="0"/>
              <w:rPr>
                <w:color w:val="auto"/>
                <w:highlight w:val="none"/>
              </w:rPr>
            </w:pPr>
            <w:r>
              <w:rPr>
                <w:rFonts w:hint="eastAsia"/>
                <w:color w:val="auto"/>
                <w:highlight w:val="none"/>
              </w:rPr>
              <w:t>5</w:t>
            </w:r>
            <w:r>
              <w:rPr>
                <w:rFonts w:hint="eastAsia"/>
                <w:color w:val="auto"/>
                <w:highlight w:val="none"/>
                <w:lang w:val="en-US"/>
              </w:rPr>
              <w:t>0</w:t>
            </w:r>
            <w:r>
              <w:rPr>
                <w:rFonts w:hint="eastAsia"/>
                <w:color w:val="auto"/>
                <w:highlight w:val="none"/>
              </w:rPr>
              <w:t>岁以下，技术较全面，身体健康，吃苦耐劳，</w:t>
            </w:r>
            <w:r>
              <w:rPr>
                <w:rFonts w:hint="eastAsia"/>
                <w:color w:val="auto"/>
                <w:highlight w:val="none"/>
                <w:lang w:val="en-US"/>
              </w:rPr>
              <w:t>所聘人员需经学校面试合格后方能上岗</w:t>
            </w:r>
            <w:r>
              <w:rPr>
                <w:rFonts w:hint="eastAsia"/>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8</w:t>
            </w:r>
          </w:p>
        </w:tc>
        <w:tc>
          <w:tcPr>
            <w:tcW w:w="1294"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维修工（电工）</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2人</w:t>
            </w:r>
          </w:p>
          <w:p>
            <w:pPr>
              <w:pStyle w:val="239"/>
              <w:adjustRightInd w:val="0"/>
              <w:snapToGrid w:val="0"/>
              <w:ind w:firstLine="0" w:firstLineChars="0"/>
              <w:jc w:val="center"/>
              <w:rPr>
                <w:color w:val="auto"/>
                <w:highlight w:val="none"/>
                <w:lang w:val="en-US"/>
              </w:rPr>
            </w:pPr>
            <w:r>
              <w:rPr>
                <w:rFonts w:hint="eastAsia"/>
                <w:color w:val="auto"/>
                <w:highlight w:val="none"/>
                <w:lang w:val="en-US"/>
              </w:rPr>
              <w:t>（北区1人，南区1人）</w:t>
            </w:r>
          </w:p>
        </w:tc>
        <w:tc>
          <w:tcPr>
            <w:tcW w:w="4752" w:type="dxa"/>
          </w:tcPr>
          <w:p>
            <w:pPr>
              <w:pStyle w:val="239"/>
              <w:adjustRightInd w:val="0"/>
              <w:snapToGrid w:val="0"/>
              <w:ind w:firstLine="0" w:firstLineChars="0"/>
              <w:rPr>
                <w:color w:val="auto"/>
                <w:highlight w:val="none"/>
              </w:rPr>
            </w:pPr>
            <w:r>
              <w:rPr>
                <w:rFonts w:hint="eastAsia"/>
                <w:color w:val="auto"/>
                <w:highlight w:val="none"/>
              </w:rPr>
              <w:t>5</w:t>
            </w:r>
            <w:r>
              <w:rPr>
                <w:rFonts w:hint="eastAsia"/>
                <w:color w:val="auto"/>
                <w:highlight w:val="none"/>
                <w:lang w:val="en-US"/>
              </w:rPr>
              <w:t>0</w:t>
            </w:r>
            <w:r>
              <w:rPr>
                <w:rFonts w:hint="eastAsia"/>
                <w:color w:val="auto"/>
                <w:highlight w:val="none"/>
              </w:rPr>
              <w:t>岁以下，身体健康，吃苦耐劳，动作麻利，有爱心，有耐心，有团队感，服从性高，遵守安全操作规程，</w:t>
            </w:r>
            <w:r>
              <w:rPr>
                <w:rFonts w:hint="eastAsia"/>
                <w:color w:val="auto"/>
                <w:highlight w:val="none"/>
                <w:lang w:val="en-US"/>
              </w:rPr>
              <w:t>所聘人员需经学校面试合格后方能上岗</w:t>
            </w:r>
            <w:r>
              <w:rPr>
                <w:rFonts w:hint="eastAsia"/>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9</w:t>
            </w:r>
          </w:p>
        </w:tc>
        <w:tc>
          <w:tcPr>
            <w:tcW w:w="1294"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体育保管员</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2人</w:t>
            </w:r>
          </w:p>
          <w:p>
            <w:pPr>
              <w:pStyle w:val="239"/>
              <w:adjustRightInd w:val="0"/>
              <w:snapToGrid w:val="0"/>
              <w:ind w:firstLine="0" w:firstLineChars="0"/>
              <w:jc w:val="center"/>
              <w:rPr>
                <w:color w:val="auto"/>
                <w:highlight w:val="none"/>
                <w:lang w:val="en-US"/>
              </w:rPr>
            </w:pPr>
            <w:r>
              <w:rPr>
                <w:rFonts w:hint="eastAsia"/>
                <w:color w:val="auto"/>
                <w:highlight w:val="none"/>
                <w:lang w:val="en-US"/>
              </w:rPr>
              <w:t>(北区1人，南区1人)</w:t>
            </w:r>
          </w:p>
        </w:tc>
        <w:tc>
          <w:tcPr>
            <w:tcW w:w="4752" w:type="dxa"/>
          </w:tcPr>
          <w:p>
            <w:pPr>
              <w:pStyle w:val="239"/>
              <w:adjustRightInd w:val="0"/>
              <w:snapToGrid w:val="0"/>
              <w:ind w:firstLine="0" w:firstLineChars="0"/>
              <w:rPr>
                <w:color w:val="auto"/>
                <w:highlight w:val="none"/>
              </w:rPr>
            </w:pPr>
            <w:r>
              <w:rPr>
                <w:rFonts w:hint="eastAsia"/>
                <w:color w:val="auto"/>
                <w:highlight w:val="none"/>
              </w:rPr>
              <w:t>年龄不超过4</w:t>
            </w:r>
            <w:r>
              <w:rPr>
                <w:rFonts w:hint="eastAsia"/>
                <w:color w:val="auto"/>
                <w:highlight w:val="none"/>
                <w:lang w:val="en-US"/>
              </w:rPr>
              <w:t>5</w:t>
            </w:r>
            <w:r>
              <w:rPr>
                <w:rFonts w:hint="eastAsia"/>
                <w:color w:val="auto"/>
                <w:highlight w:val="none"/>
              </w:rPr>
              <w:t>岁，高中及以上学历，具有体育器材相关管理经验，熟悉物品出入库流程和电子台账建立，有一定沟通技巧，工作主动热情，有责任心，能吃苦耐劳，</w:t>
            </w:r>
            <w:r>
              <w:rPr>
                <w:rFonts w:hint="eastAsia"/>
                <w:color w:val="auto"/>
                <w:highlight w:val="none"/>
                <w:lang w:val="en-US"/>
              </w:rPr>
              <w:t>所聘人员需经学校面试合格后方能上岗</w:t>
            </w:r>
            <w:r>
              <w:rPr>
                <w:rFonts w:hint="eastAsia"/>
                <w:color w:val="auto"/>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c>
          <w:tcPr>
            <w:tcW w:w="541" w:type="dxa"/>
          </w:tcPr>
          <w:p>
            <w:pPr>
              <w:pStyle w:val="239"/>
              <w:adjustRightInd w:val="0"/>
              <w:snapToGrid w:val="0"/>
              <w:ind w:firstLine="0" w:firstLineChars="0"/>
              <w:jc w:val="center"/>
              <w:rPr>
                <w:color w:val="auto"/>
                <w:highlight w:val="none"/>
                <w:lang w:val="en-US"/>
              </w:rPr>
            </w:pPr>
          </w:p>
        </w:tc>
        <w:tc>
          <w:tcPr>
            <w:tcW w:w="1294"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合计</w:t>
            </w:r>
          </w:p>
        </w:tc>
        <w:tc>
          <w:tcPr>
            <w:tcW w:w="1746" w:type="dxa"/>
          </w:tcPr>
          <w:p>
            <w:pPr>
              <w:pStyle w:val="239"/>
              <w:adjustRightInd w:val="0"/>
              <w:snapToGrid w:val="0"/>
              <w:ind w:firstLine="0" w:firstLineChars="0"/>
              <w:jc w:val="center"/>
              <w:rPr>
                <w:color w:val="auto"/>
                <w:highlight w:val="none"/>
                <w:lang w:val="en-US"/>
              </w:rPr>
            </w:pPr>
            <w:r>
              <w:rPr>
                <w:rFonts w:hint="eastAsia"/>
                <w:color w:val="auto"/>
                <w:highlight w:val="none"/>
                <w:lang w:val="en-US"/>
              </w:rPr>
              <w:t>40人</w:t>
            </w:r>
          </w:p>
        </w:tc>
        <w:tc>
          <w:tcPr>
            <w:tcW w:w="4752" w:type="dxa"/>
          </w:tcPr>
          <w:p>
            <w:pPr>
              <w:pStyle w:val="239"/>
              <w:adjustRightInd w:val="0"/>
              <w:snapToGrid w:val="0"/>
              <w:ind w:firstLine="0" w:firstLineChars="0"/>
              <w:rPr>
                <w:color w:val="auto"/>
                <w:highlight w:val="none"/>
              </w:rPr>
            </w:pPr>
          </w:p>
        </w:tc>
      </w:tr>
    </w:tbl>
    <w:p>
      <w:pPr>
        <w:rPr>
          <w:color w:val="auto"/>
          <w:highlight w:val="none"/>
        </w:rPr>
      </w:pPr>
      <w:r>
        <w:rPr>
          <w:rFonts w:hint="eastAsia"/>
          <w:color w:val="auto"/>
          <w:highlight w:val="none"/>
        </w:rPr>
        <w:t>备注：学校因午餐供餐需要，所以物业上岗人员必须持健康证上岗。</w:t>
      </w:r>
    </w:p>
    <w:p>
      <w:pPr>
        <w:pStyle w:val="4"/>
        <w:numPr>
          <w:ilvl w:val="1"/>
          <w:numId w:val="4"/>
        </w:numPr>
        <w:tabs>
          <w:tab w:val="left" w:pos="0"/>
          <w:tab w:val="left" w:pos="426"/>
          <w:tab w:val="left" w:pos="576"/>
          <w:tab w:val="left" w:pos="786"/>
        </w:tabs>
        <w:spacing w:before="0" w:after="0" w:line="560" w:lineRule="exact"/>
        <w:ind w:left="0" w:firstLine="0"/>
        <w:jc w:val="both"/>
        <w:rPr>
          <w:color w:val="auto"/>
          <w:highlight w:val="none"/>
        </w:rPr>
      </w:pPr>
      <w:bookmarkStart w:id="263" w:name="_Toc5730"/>
      <w:r>
        <w:rPr>
          <w:rFonts w:hint="eastAsia"/>
          <w:color w:val="auto"/>
          <w:highlight w:val="none"/>
        </w:rPr>
        <w:t>商务要求</w:t>
      </w:r>
      <w:bookmarkEnd w:id="254"/>
      <w:bookmarkEnd w:id="255"/>
      <w:bookmarkEnd w:id="256"/>
      <w:bookmarkEnd w:id="257"/>
      <w:bookmarkEnd w:id="258"/>
      <w:bookmarkEnd w:id="259"/>
      <w:bookmarkEnd w:id="260"/>
      <w:bookmarkEnd w:id="261"/>
      <w:bookmarkEnd w:id="262"/>
      <w:bookmarkEnd w:id="263"/>
    </w:p>
    <w:p>
      <w:pPr>
        <w:keepNext/>
        <w:keepLines/>
        <w:numPr>
          <w:ilvl w:val="2"/>
          <w:numId w:val="47"/>
        </w:numPr>
        <w:spacing w:line="360" w:lineRule="auto"/>
        <w:ind w:left="569" w:hanging="569"/>
        <w:outlineLvl w:val="2"/>
        <w:rPr>
          <w:rFonts w:ascii="宋体" w:hAnsi="宋体"/>
          <w:b/>
          <w:bCs/>
          <w:color w:val="auto"/>
          <w:sz w:val="28"/>
          <w:szCs w:val="28"/>
          <w:highlight w:val="none"/>
        </w:rPr>
      </w:pPr>
      <w:r>
        <w:rPr>
          <w:rFonts w:hint="eastAsia" w:ascii="宋体" w:hAnsi="宋体"/>
          <w:b/>
          <w:bCs/>
          <w:color w:val="auto"/>
          <w:sz w:val="28"/>
          <w:szCs w:val="28"/>
          <w:highlight w:val="none"/>
        </w:rPr>
        <w:t>服务地点</w:t>
      </w:r>
    </w:p>
    <w:p>
      <w:pPr>
        <w:ind w:firstLine="565" w:firstLineChars="202"/>
        <w:rPr>
          <w:color w:val="auto"/>
          <w:sz w:val="28"/>
          <w:highlight w:val="none"/>
        </w:rPr>
      </w:pPr>
      <w:r>
        <w:rPr>
          <w:rFonts w:hint="eastAsia" w:ascii="宋体" w:hAnsi="宋体"/>
          <w:color w:val="auto"/>
          <w:sz w:val="28"/>
          <w:szCs w:val="28"/>
          <w:highlight w:val="none"/>
        </w:rPr>
        <w:t>成都市高新区玉林西路沙子堰中巷29号，成都高新区泰和二街180号。</w:t>
      </w:r>
    </w:p>
    <w:p>
      <w:pPr>
        <w:keepNext/>
        <w:keepLines/>
        <w:numPr>
          <w:ilvl w:val="2"/>
          <w:numId w:val="47"/>
        </w:numPr>
        <w:spacing w:line="360" w:lineRule="auto"/>
        <w:ind w:left="569" w:hanging="569"/>
        <w:outlineLvl w:val="2"/>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bCs/>
          <w:color w:val="auto"/>
          <w:sz w:val="28"/>
          <w:szCs w:val="28"/>
          <w:highlight w:val="none"/>
        </w:rPr>
        <w:t>服务期限</w:t>
      </w:r>
      <w:r>
        <w:rPr>
          <w:rFonts w:hint="eastAsia" w:ascii="宋体" w:hAnsi="宋体"/>
          <w:b/>
          <w:color w:val="auto"/>
          <w:sz w:val="28"/>
          <w:szCs w:val="28"/>
          <w:highlight w:val="none"/>
        </w:rPr>
        <w:t>（注：按第3章3.3.5提供书面承诺函原件）</w:t>
      </w:r>
    </w:p>
    <w:p>
      <w:pPr>
        <w:spacing w:line="360" w:lineRule="auto"/>
        <w:ind w:firstLine="560" w:firstLineChars="200"/>
        <w:rPr>
          <w:color w:val="auto"/>
          <w:sz w:val="28"/>
          <w:highlight w:val="none"/>
        </w:rPr>
      </w:pPr>
      <w:r>
        <w:rPr>
          <w:rFonts w:hint="eastAsia" w:ascii="宋体" w:hAnsi="宋体"/>
          <w:color w:val="auto"/>
          <w:sz w:val="28"/>
          <w:szCs w:val="28"/>
          <w:highlight w:val="none"/>
        </w:rPr>
        <w:t>本项目服务期限三年，合同一年一签。采购人每月对中标人工作进行考核，如达不到要求则采购人有权适当扣减费用，一年合同到期后，经采购人考评合格后，中标人与采购人续签一年合同，最多续签到第三年。合同续签时，根据采购人实际需求，并遵照相关规定执行。</w:t>
      </w:r>
    </w:p>
    <w:p>
      <w:pPr>
        <w:keepNext/>
        <w:keepLines/>
        <w:numPr>
          <w:ilvl w:val="2"/>
          <w:numId w:val="47"/>
        </w:numPr>
        <w:spacing w:line="360" w:lineRule="auto"/>
        <w:ind w:left="569" w:hanging="569"/>
        <w:outlineLvl w:val="2"/>
        <w:rPr>
          <w:rFonts w:ascii="宋体" w:hAnsi="宋体"/>
          <w:b/>
          <w:bCs/>
          <w:color w:val="auto"/>
          <w:sz w:val="28"/>
          <w:szCs w:val="28"/>
          <w:highlight w:val="none"/>
        </w:rPr>
      </w:pPr>
      <w:r>
        <w:rPr>
          <w:rFonts w:hint="eastAsia" w:ascii="宋体" w:hAnsi="宋体"/>
          <w:b/>
          <w:color w:val="auto"/>
          <w:sz w:val="28"/>
          <w:szCs w:val="28"/>
          <w:highlight w:val="none"/>
          <w:lang w:val="zh-CN"/>
        </w:rPr>
        <w:t>★</w:t>
      </w:r>
      <w:r>
        <w:rPr>
          <w:rFonts w:hint="eastAsia" w:ascii="宋体" w:hAnsi="宋体"/>
          <w:b/>
          <w:bCs/>
          <w:color w:val="auto"/>
          <w:sz w:val="28"/>
          <w:szCs w:val="28"/>
          <w:highlight w:val="none"/>
        </w:rPr>
        <w:t>付款方式</w:t>
      </w:r>
      <w:r>
        <w:rPr>
          <w:rFonts w:hint="eastAsia" w:ascii="宋体" w:hAnsi="宋体"/>
          <w:b/>
          <w:color w:val="auto"/>
          <w:sz w:val="28"/>
          <w:szCs w:val="28"/>
          <w:highlight w:val="none"/>
        </w:rPr>
        <w:t>（注：按第3章3.3.5提供书面承诺函原件）</w:t>
      </w:r>
    </w:p>
    <w:p>
      <w:pPr>
        <w:numPr>
          <w:ilvl w:val="255"/>
          <w:numId w:val="0"/>
        </w:num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1.付款按月支付。物业管理服务费以合同金额为基础，在此基础上平均分摊至每月，即合同金额*1/12。在中标人完成当月服务后采购人支付本月物业管理服务费用的90%，剩余10%作为本月的考核金额，采购人相关部门在次月5日前完成对本月物业服务内容及效果的考核，达到合同约定要求的，前一自然月的考核金额将在第二月进行支付。</w:t>
      </w:r>
    </w:p>
    <w:p>
      <w:pPr>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2.中标人须向采购人出具合法有效完整的增值税发票及凭证资料后进行支付结算，付款方式均采用公对公的银行转账，中标人接受转账的开户信息以采购合同载明的为准。</w:t>
      </w:r>
    </w:p>
    <w:p>
      <w:pPr>
        <w:keepNext/>
        <w:keepLines/>
        <w:numPr>
          <w:ilvl w:val="2"/>
          <w:numId w:val="47"/>
        </w:numPr>
        <w:spacing w:line="360" w:lineRule="auto"/>
        <w:ind w:left="569" w:hanging="569"/>
        <w:outlineLvl w:val="2"/>
        <w:rPr>
          <w:rFonts w:ascii="宋体" w:hAnsi="宋体"/>
          <w:b/>
          <w:bCs/>
          <w:color w:val="auto"/>
          <w:sz w:val="28"/>
          <w:szCs w:val="28"/>
          <w:highlight w:val="none"/>
        </w:rPr>
      </w:pPr>
      <w:r>
        <w:rPr>
          <w:rFonts w:hint="eastAsia" w:ascii="宋体" w:hAnsi="宋体"/>
          <w:b/>
          <w:bCs/>
          <w:color w:val="auto"/>
          <w:sz w:val="28"/>
          <w:szCs w:val="28"/>
          <w:highlight w:val="none"/>
        </w:rPr>
        <w:t>考核标准和方法</w:t>
      </w:r>
    </w:p>
    <w:p>
      <w:pPr>
        <w:pStyle w:val="159"/>
        <w:spacing w:line="360" w:lineRule="auto"/>
        <w:ind w:left="567" w:firstLine="0" w:firstLineChars="0"/>
        <w:rPr>
          <w:color w:val="auto"/>
          <w:sz w:val="28"/>
          <w:highlight w:val="none"/>
        </w:rPr>
      </w:pPr>
      <w:r>
        <w:rPr>
          <w:rFonts w:hint="eastAsia"/>
          <w:color w:val="auto"/>
          <w:sz w:val="28"/>
          <w:highlight w:val="none"/>
        </w:rPr>
        <w:t>详见附件。</w:t>
      </w:r>
    </w:p>
    <w:p>
      <w:pPr>
        <w:keepNext/>
        <w:keepLines/>
        <w:numPr>
          <w:ilvl w:val="2"/>
          <w:numId w:val="47"/>
        </w:numPr>
        <w:spacing w:line="360" w:lineRule="auto"/>
        <w:ind w:left="569" w:hanging="569"/>
        <w:outlineLvl w:val="2"/>
        <w:rPr>
          <w:rFonts w:ascii="宋体" w:hAnsi="宋体"/>
          <w:b/>
          <w:bCs/>
          <w:color w:val="auto"/>
          <w:sz w:val="28"/>
          <w:szCs w:val="28"/>
          <w:highlight w:val="none"/>
        </w:rPr>
      </w:pPr>
      <w:r>
        <w:rPr>
          <w:rFonts w:hint="eastAsia" w:ascii="宋体" w:hAnsi="宋体"/>
          <w:b/>
          <w:bCs/>
          <w:color w:val="auto"/>
          <w:sz w:val="28"/>
          <w:szCs w:val="28"/>
          <w:highlight w:val="none"/>
        </w:rPr>
        <w:t>违约责任</w:t>
      </w:r>
    </w:p>
    <w:p>
      <w:pPr>
        <w:ind w:firstLine="565" w:firstLineChars="202"/>
        <w:rPr>
          <w:rFonts w:ascii="宋体" w:hAnsi="宋体"/>
          <w:color w:val="auto"/>
          <w:sz w:val="28"/>
          <w:szCs w:val="28"/>
          <w:highlight w:val="none"/>
        </w:rPr>
      </w:pPr>
      <w:r>
        <w:rPr>
          <w:rFonts w:hint="eastAsia" w:ascii="宋体" w:hAnsi="宋体"/>
          <w:color w:val="auto"/>
          <w:sz w:val="28"/>
          <w:szCs w:val="28"/>
          <w:highlight w:val="none"/>
        </w:rPr>
        <w:t>1、采购人违约责任</w:t>
      </w:r>
    </w:p>
    <w:p>
      <w:pPr>
        <w:ind w:firstLine="565" w:firstLineChars="202"/>
        <w:rPr>
          <w:rFonts w:ascii="宋体" w:hAnsi="宋体"/>
          <w:color w:val="auto"/>
          <w:sz w:val="28"/>
          <w:szCs w:val="28"/>
          <w:highlight w:val="none"/>
        </w:rPr>
      </w:pPr>
      <w:r>
        <w:rPr>
          <w:rFonts w:hint="eastAsia" w:ascii="宋体" w:hAnsi="宋体"/>
          <w:color w:val="auto"/>
          <w:sz w:val="28"/>
          <w:szCs w:val="28"/>
          <w:highlight w:val="none"/>
        </w:rPr>
        <w:t>1.1因采购人原因逾期支付合同款的，除应及时付合同款外，应向投标人支付欠款总额万分之一/天的违约金；逾期付款超过30天的，投标人有权终止合同；</w:t>
      </w:r>
    </w:p>
    <w:p>
      <w:pPr>
        <w:ind w:firstLine="565" w:firstLineChars="202"/>
        <w:rPr>
          <w:rFonts w:ascii="宋体" w:hAnsi="宋体"/>
          <w:color w:val="auto"/>
          <w:sz w:val="28"/>
          <w:szCs w:val="28"/>
          <w:highlight w:val="none"/>
        </w:rPr>
      </w:pPr>
      <w:r>
        <w:rPr>
          <w:rFonts w:hint="eastAsia" w:ascii="宋体" w:hAnsi="宋体"/>
          <w:color w:val="auto"/>
          <w:sz w:val="28"/>
          <w:szCs w:val="28"/>
          <w:highlight w:val="none"/>
        </w:rPr>
        <w:t>1.2采购人支付的违约金不足以弥补投标人损失的，还应按投标人损失尚未弥补的部分，支付赔偿金给投标人。</w:t>
      </w:r>
    </w:p>
    <w:p>
      <w:pPr>
        <w:ind w:firstLine="565" w:firstLineChars="202"/>
        <w:rPr>
          <w:rFonts w:ascii="宋体" w:hAnsi="宋体"/>
          <w:color w:val="auto"/>
          <w:sz w:val="28"/>
          <w:szCs w:val="28"/>
          <w:highlight w:val="none"/>
        </w:rPr>
      </w:pPr>
      <w:r>
        <w:rPr>
          <w:rFonts w:hint="eastAsia" w:ascii="宋体" w:hAnsi="宋体"/>
          <w:color w:val="auto"/>
          <w:sz w:val="28"/>
          <w:szCs w:val="28"/>
          <w:highlight w:val="none"/>
        </w:rPr>
        <w:t>2、中标人违约责任</w:t>
      </w:r>
    </w:p>
    <w:p>
      <w:pPr>
        <w:ind w:firstLine="565" w:firstLineChars="202"/>
        <w:rPr>
          <w:rFonts w:ascii="宋体" w:hAnsi="宋体"/>
          <w:color w:val="auto"/>
          <w:sz w:val="28"/>
          <w:szCs w:val="28"/>
          <w:highlight w:val="none"/>
        </w:rPr>
      </w:pPr>
      <w:r>
        <w:rPr>
          <w:rFonts w:hint="eastAsia" w:ascii="宋体" w:hAnsi="宋体"/>
          <w:color w:val="auto"/>
          <w:sz w:val="28"/>
          <w:szCs w:val="28"/>
          <w:highlight w:val="none"/>
        </w:rPr>
        <w:t>2.1签订合同后中标人不履行合同或不完全履行合同或单方面终止合同的，中标人承担违约责任。</w:t>
      </w:r>
    </w:p>
    <w:p>
      <w:pPr>
        <w:ind w:firstLine="565" w:firstLineChars="202"/>
        <w:rPr>
          <w:color w:val="auto"/>
          <w:sz w:val="28"/>
          <w:highlight w:val="none"/>
        </w:rPr>
      </w:pPr>
      <w:r>
        <w:rPr>
          <w:rFonts w:hint="eastAsia" w:ascii="宋体" w:hAnsi="宋体"/>
          <w:color w:val="auto"/>
          <w:sz w:val="28"/>
          <w:szCs w:val="28"/>
          <w:highlight w:val="none"/>
        </w:rPr>
        <w:t>2.2中标人违约时应承担合同总金额20%违约金。给采购人造成的损失超过违约金的，中标人还应对超过部分予以赔偿，并依法承担相应的法律责任。</w:t>
      </w:r>
    </w:p>
    <w:p>
      <w:pPr>
        <w:keepNext/>
        <w:keepLines/>
        <w:numPr>
          <w:ilvl w:val="2"/>
          <w:numId w:val="47"/>
        </w:numPr>
        <w:spacing w:line="360" w:lineRule="auto"/>
        <w:ind w:left="569" w:hanging="569"/>
        <w:outlineLvl w:val="2"/>
        <w:rPr>
          <w:rFonts w:ascii="宋体" w:hAnsi="宋体"/>
          <w:b/>
          <w:bCs/>
          <w:color w:val="auto"/>
          <w:sz w:val="28"/>
          <w:szCs w:val="28"/>
          <w:highlight w:val="none"/>
        </w:rPr>
      </w:pPr>
      <w:r>
        <w:rPr>
          <w:rFonts w:hint="eastAsia" w:ascii="宋体" w:hAnsi="宋体"/>
          <w:b/>
          <w:bCs/>
          <w:color w:val="auto"/>
          <w:sz w:val="28"/>
          <w:szCs w:val="28"/>
          <w:highlight w:val="none"/>
        </w:rPr>
        <w:t>履约验收</w:t>
      </w:r>
    </w:p>
    <w:p>
      <w:pPr>
        <w:numPr>
          <w:ilvl w:val="0"/>
          <w:numId w:val="48"/>
        </w:numPr>
        <w:rPr>
          <w:rFonts w:ascii="宋体" w:hAnsi="宋体"/>
          <w:color w:val="auto"/>
          <w:sz w:val="28"/>
          <w:szCs w:val="28"/>
          <w:highlight w:val="none"/>
        </w:rPr>
      </w:pPr>
      <w:r>
        <w:rPr>
          <w:rFonts w:hint="eastAsia" w:ascii="宋体" w:hAnsi="宋体"/>
          <w:color w:val="auto"/>
          <w:sz w:val="28"/>
          <w:szCs w:val="28"/>
          <w:highlight w:val="none"/>
        </w:rPr>
        <w:t>服务在中标人通知履约完毕后5日内进行验收，验收合格，双方签署《质量验收合格证明书》；</w:t>
      </w:r>
    </w:p>
    <w:p>
      <w:pPr>
        <w:numPr>
          <w:ilvl w:val="0"/>
          <w:numId w:val="48"/>
        </w:numPr>
        <w:rPr>
          <w:rFonts w:ascii="宋体" w:hAnsi="宋体"/>
          <w:color w:val="auto"/>
          <w:sz w:val="28"/>
          <w:szCs w:val="28"/>
          <w:highlight w:val="none"/>
        </w:rPr>
      </w:pPr>
      <w:r>
        <w:rPr>
          <w:rFonts w:hint="eastAsia" w:ascii="宋体" w:hAnsi="宋体"/>
          <w:color w:val="auto"/>
          <w:sz w:val="28"/>
          <w:szCs w:val="28"/>
          <w:highlight w:val="none"/>
        </w:rPr>
        <w:t>验收标准：按国家有关规定以及采购文件的质量要求和技术指标、中标人的投标文件及承诺与本合同约定标准进行验收；采购人与中标人双方如对质量要求和技术指标的约定标准有相互抵触或异议的事项，由采购人在招标文件及投标文件中按质量要求和技术指标比较优胜的原则确定该项的约定标准进行验收；</w:t>
      </w:r>
    </w:p>
    <w:p>
      <w:pPr>
        <w:numPr>
          <w:ilvl w:val="0"/>
          <w:numId w:val="48"/>
        </w:numPr>
        <w:rPr>
          <w:rFonts w:ascii="宋体" w:hAnsi="宋体"/>
          <w:color w:val="auto"/>
          <w:sz w:val="28"/>
          <w:szCs w:val="28"/>
          <w:highlight w:val="none"/>
        </w:rPr>
      </w:pPr>
      <w:r>
        <w:rPr>
          <w:rFonts w:hint="eastAsia" w:ascii="宋体" w:hAnsi="宋体"/>
          <w:color w:val="auto"/>
          <w:sz w:val="28"/>
          <w:szCs w:val="28"/>
          <w:highlight w:val="none"/>
        </w:rPr>
        <w:t>采购人无故不进行验收工作并已使用项目履约成果的，视同验收合格；</w:t>
      </w:r>
    </w:p>
    <w:p>
      <w:pPr>
        <w:numPr>
          <w:ilvl w:val="0"/>
          <w:numId w:val="48"/>
        </w:numPr>
        <w:rPr>
          <w:rFonts w:ascii="宋体" w:hAnsi="宋体"/>
          <w:color w:val="auto"/>
          <w:sz w:val="28"/>
          <w:szCs w:val="28"/>
          <w:highlight w:val="none"/>
        </w:rPr>
      </w:pPr>
      <w:r>
        <w:rPr>
          <w:rFonts w:hint="eastAsia" w:ascii="宋体" w:hAnsi="宋体"/>
          <w:color w:val="auto"/>
          <w:sz w:val="28"/>
          <w:szCs w:val="28"/>
          <w:highlight w:val="none"/>
        </w:rPr>
        <w:t>其他未尽事宜应按照《财政部关于进一步加强政府采购需求和履约验收管理的指导意见》(财库〔2016〕205号)执行。报价要求</w:t>
      </w:r>
    </w:p>
    <w:p>
      <w:pPr>
        <w:keepNext/>
        <w:keepLines/>
        <w:numPr>
          <w:ilvl w:val="2"/>
          <w:numId w:val="47"/>
        </w:numPr>
        <w:spacing w:line="360" w:lineRule="auto"/>
        <w:ind w:left="569" w:hanging="569"/>
        <w:outlineLvl w:val="2"/>
        <w:rPr>
          <w:rFonts w:ascii="宋体" w:hAnsi="宋体"/>
          <w:b/>
          <w:bCs/>
          <w:color w:val="auto"/>
          <w:sz w:val="28"/>
          <w:szCs w:val="28"/>
          <w:highlight w:val="none"/>
        </w:rPr>
      </w:pPr>
      <w:r>
        <w:rPr>
          <w:rFonts w:hint="eastAsia" w:ascii="宋体" w:hAnsi="宋体"/>
          <w:b/>
          <w:bCs/>
          <w:color w:val="auto"/>
          <w:sz w:val="28"/>
          <w:szCs w:val="28"/>
          <w:highlight w:val="none"/>
        </w:rPr>
        <w:t>最高限价</w:t>
      </w:r>
    </w:p>
    <w:p>
      <w:pPr>
        <w:pStyle w:val="88"/>
        <w:tabs>
          <w:tab w:val="left" w:pos="993"/>
          <w:tab w:val="left" w:pos="1134"/>
        </w:tabs>
        <w:spacing w:line="560" w:lineRule="exact"/>
        <w:ind w:firstLine="565" w:firstLineChars="201"/>
        <w:rPr>
          <w:rFonts w:ascii="宋体" w:hAnsi="宋体" w:eastAsia="宋体"/>
          <w:b/>
          <w:color w:val="auto"/>
          <w:sz w:val="28"/>
          <w:szCs w:val="28"/>
          <w:highlight w:val="none"/>
        </w:rPr>
      </w:pPr>
      <w:r>
        <w:rPr>
          <w:rFonts w:hint="eastAsia" w:ascii="宋体" w:hAnsi="宋体"/>
          <w:b/>
          <w:color w:val="auto"/>
          <w:sz w:val="28"/>
          <w:szCs w:val="28"/>
          <w:highlight w:val="none"/>
          <w:lang w:val="zh-CN"/>
        </w:rPr>
        <w:t>★本项目最高限价为人民币</w:t>
      </w:r>
      <w:r>
        <w:rPr>
          <w:rFonts w:hint="eastAsia" w:ascii="宋体" w:hAnsi="宋体"/>
          <w:b/>
          <w:color w:val="auto"/>
          <w:sz w:val="28"/>
          <w:szCs w:val="28"/>
          <w:highlight w:val="none"/>
        </w:rPr>
        <w:t>1965000.00元</w:t>
      </w:r>
      <w:r>
        <w:rPr>
          <w:rFonts w:hint="eastAsia" w:ascii="宋体" w:hAnsi="宋体"/>
          <w:b/>
          <w:color w:val="auto"/>
          <w:sz w:val="28"/>
          <w:szCs w:val="28"/>
          <w:highlight w:val="none"/>
          <w:lang w:val="zh-CN"/>
        </w:rPr>
        <w:t>，投标人投标报价高于最高限价的其投标文件将按无效投标文件处理。</w:t>
      </w:r>
    </w:p>
    <w:p>
      <w:pPr>
        <w:pStyle w:val="4"/>
        <w:numPr>
          <w:ilvl w:val="1"/>
          <w:numId w:val="4"/>
        </w:numPr>
        <w:tabs>
          <w:tab w:val="left" w:pos="0"/>
          <w:tab w:val="left" w:pos="426"/>
          <w:tab w:val="left" w:pos="576"/>
          <w:tab w:val="left" w:pos="786"/>
        </w:tabs>
        <w:spacing w:before="0" w:after="0" w:line="560" w:lineRule="exact"/>
        <w:ind w:left="0" w:firstLine="0"/>
        <w:jc w:val="both"/>
        <w:rPr>
          <w:color w:val="auto"/>
          <w:highlight w:val="none"/>
        </w:rPr>
      </w:pPr>
      <w:r>
        <w:rPr>
          <w:rFonts w:hint="eastAsia"/>
          <w:color w:val="auto"/>
          <w:highlight w:val="none"/>
        </w:rPr>
        <w:t>其他要求</w:t>
      </w:r>
    </w:p>
    <w:p>
      <w:pPr>
        <w:numPr>
          <w:ilvl w:val="0"/>
          <w:numId w:val="49"/>
        </w:numPr>
        <w:tabs>
          <w:tab w:val="left" w:pos="1134"/>
        </w:tabs>
        <w:snapToGrid w:val="0"/>
        <w:spacing w:line="360" w:lineRule="auto"/>
        <w:rPr>
          <w:rFonts w:ascii="宋体" w:hAnsi="宋体"/>
          <w:b/>
          <w:color w:val="auto"/>
          <w:sz w:val="28"/>
          <w:szCs w:val="28"/>
          <w:highlight w:val="none"/>
          <w:lang w:val="zh-CN"/>
        </w:rPr>
      </w:pPr>
      <w:r>
        <w:rPr>
          <w:rFonts w:hint="eastAsia" w:ascii="宋体" w:hAnsi="宋体"/>
          <w:b/>
          <w:color w:val="auto"/>
          <w:sz w:val="28"/>
          <w:szCs w:val="28"/>
          <w:highlight w:val="none"/>
          <w:lang w:val="zh-CN"/>
        </w:rPr>
        <w:t>★在评标过程中，评标委员会认为投标人投标报价明显低于其他通过符合性审查投标人的投标报价，有可能影响产品质量或者不能诚信履约的，评标委员会应当要求其在合理的时间内提供书面说明，必要时提交相关证明材料。投标人提交的书面说明、相关证明材料（如涉及），应当加盖投标人（法定名称）电子签章，在评标委员会要求的时间内通过政府采购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中标人因自身原因遗漏报价而发生的费用追加，按《民法典》、《劳动法》等法律法规而造成责任和损失，全部由投标人自行承担。（注：按第3章3.3.5提供书面承诺函原件）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应保证所提供的服务或其任何一部分均不会侵犯任何第三方的专利权、商标权或著作权；采购人定期核对中标人提供服务所配备的人员数量及相关信息，对于未按照招标文件及投标响应要求执行或存在不合理的部分有权下达整改通知书，并要求投标人限期整改；中标人定期及时向采购人通告本项目服务范围内有关服务的重大事项及其进度；接受项目行业管理部门及政府有关部门的指导，接受采购人的监督。（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须配置项目相关管理人员、值班人员的通讯装备、安防设备；中标人须统一配备各岗位员工工服（按季节配备）；中标人须自行解决不少于两套保洁作业机具（包括但不限于电动洗地机、电动清洁车等大型清洁设备）和劳防用品，且必须符合国家相关安全法规的要求；中标人负责提供所需的所有消耗品，包括：清洁、洗涤、药剂，生活垃圾袋、垃圾袋等耗材；此类设备所产生的费用均由中标人承担。（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公用水电（包括空调、清洁卫生、办公、生活等各类用水；消防、水泵、照明、各类机电设备）费用由采购人承担。（注：按第3章3.3.5提供书面承诺函原件）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采购人将提供中标人管理办公用房、仓库用房，在服务期限内提供给中标人免费使用（办公仓库用水用电费用由中标人支付）。（注：按第3章3.3.5提供书面承诺函原件）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中标人的各岗位员工要统一服装，并由中标人负责其员工工服配备和洗涤。（注：按第3章3.3.5提供书面承诺函原件）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中标人有岗前培训机构，服务人员100%经过岗前培训合格才上岗。（注：按第3章3.3.5提供书面承诺函原件）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未经采购人同意，中标人不得在合同期限内将本项目的管理权转包或发包。（注：按第3章3.3.5提供书面承诺函原件）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中标人须提供足够的作业机具,自行解决后勤管理服务时所需的日常工具和劳保用品,并能根据采购人的形象要求及规范,保证文明工作。（注：按第3章3.3.5提供书面承诺函原件）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中标人须严格按照标准化的操作程序、完善的培训体系和质量控制体系完成本项目，以保证整个后勤系统安全、高效、有序和有计划地运转。（注：按第3章3.3.5提供书面承诺函原件）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中标人有责任配合采购人接受上级领导部门的监督、检查，提供必须的资料。（注：按第3章3.3.5提供书面承诺函原件）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中标人须严格按照国家规定给所有的员工缴纳各种社会保险（包括养老、医疗、工伤、生育险、失业保险等）。（注：按第3章3.3.5提供书面承诺函原件）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中标人自行负责其招聘员工的一切工资、福利；如发生工伤、疾病乃至死亡的一切责任及费用由中标人全部负责；（注：按第3章3.3.5提供书面承诺函原件）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中标人应严格遵守国家有关的法律、法规及行业标准：（注：按第3章3.3.5提供书面承诺函原件）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全部服务人员的工作时间应严格按国家有关法律、法规要求的标准执行，因工作原因产生的加班（含节假日加班）应严格按国家有关法律、法规要求的标准给付员工加班薪资。（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中标人在中标后要为采购人购买公众责任险、为员工购买意外保险。（注：按第3章3.3.5提供书面承诺函原件）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采购人不接受任何因遗漏报价而发生的费用追加，因投标人违反《劳动法》等法律法规而造成采购人的连带责任和损失全部由中标人承担。（注：按第3章3.3.5提供书面承诺函原件）</w:t>
      </w:r>
    </w:p>
    <w:p>
      <w:pPr>
        <w:pStyle w:val="159"/>
        <w:numPr>
          <w:ilvl w:val="0"/>
          <w:numId w:val="49"/>
        </w:numPr>
        <w:tabs>
          <w:tab w:val="left" w:pos="993"/>
          <w:tab w:val="left" w:pos="1134"/>
        </w:tabs>
        <w:spacing w:before="60" w:line="560" w:lineRule="exact"/>
        <w:ind w:right="210" w:firstLineChars="0"/>
        <w:rPr>
          <w:rFonts w:ascii="宋体" w:hAnsi="宋体"/>
          <w:b/>
          <w:color w:val="auto"/>
          <w:sz w:val="28"/>
          <w:szCs w:val="28"/>
          <w:highlight w:val="none"/>
        </w:rPr>
      </w:pPr>
      <w:r>
        <w:rPr>
          <w:rFonts w:hint="eastAsia" w:ascii="宋体" w:hAnsi="宋体"/>
          <w:b/>
          <w:color w:val="auto"/>
          <w:sz w:val="28"/>
          <w:szCs w:val="28"/>
          <w:highlight w:val="none"/>
          <w:lang w:val="zh-CN"/>
        </w:rPr>
        <w:t>★</w:t>
      </w:r>
      <w:r>
        <w:rPr>
          <w:rFonts w:hint="eastAsia" w:ascii="宋体" w:hAnsi="宋体"/>
          <w:b/>
          <w:color w:val="auto"/>
          <w:sz w:val="28"/>
          <w:szCs w:val="28"/>
          <w:highlight w:val="none"/>
        </w:rPr>
        <w:t>中标人须对其安全护卫人员的疾病和人身安全等负责，采购人对此不承担任何的责任和义务。（注：按第3章3.3.5提供书面承诺函原件）</w:t>
      </w:r>
    </w:p>
    <w:p>
      <w:pPr>
        <w:spacing w:line="360" w:lineRule="auto"/>
        <w:rPr>
          <w:rFonts w:asciiTheme="minorEastAsia" w:hAnsiTheme="minorEastAsia" w:eastAsiaTheme="minorEastAsia"/>
          <w:color w:val="auto"/>
          <w:sz w:val="28"/>
          <w:szCs w:val="28"/>
          <w:highlight w:val="none"/>
        </w:rPr>
      </w:pPr>
    </w:p>
    <w:p>
      <w:pPr>
        <w:spacing w:line="360" w:lineRule="auto"/>
        <w:ind w:firstLine="560" w:firstLineChars="200"/>
        <w:rPr>
          <w:rFonts w:asciiTheme="minorEastAsia" w:hAnsiTheme="minorEastAsia" w:eastAsiaTheme="minorEastAsia"/>
          <w:color w:val="auto"/>
          <w:sz w:val="28"/>
          <w:szCs w:val="28"/>
          <w:highlight w:val="none"/>
        </w:rPr>
      </w:pPr>
      <w:r>
        <w:rPr>
          <w:rFonts w:hint="eastAsia" w:asciiTheme="minorEastAsia" w:hAnsiTheme="minorEastAsia" w:eastAsiaTheme="minorEastAsia"/>
          <w:color w:val="auto"/>
          <w:sz w:val="28"/>
          <w:szCs w:val="28"/>
          <w:highlight w:val="none"/>
        </w:rPr>
        <w:t>本章打“</w:t>
      </w:r>
      <w:r>
        <w:rPr>
          <w:rFonts w:hint="eastAsia" w:ascii="宋体" w:hAnsi="宋体"/>
          <w:b/>
          <w:color w:val="auto"/>
          <w:sz w:val="28"/>
          <w:szCs w:val="28"/>
          <w:highlight w:val="none"/>
          <w:lang w:val="zh-CN"/>
        </w:rPr>
        <w:t>★</w:t>
      </w:r>
      <w:r>
        <w:rPr>
          <w:rFonts w:hint="eastAsia" w:asciiTheme="minorEastAsia" w:hAnsiTheme="minorEastAsia" w:eastAsiaTheme="minorEastAsia"/>
          <w:color w:val="auto"/>
          <w:sz w:val="28"/>
          <w:szCs w:val="28"/>
          <w:highlight w:val="none"/>
        </w:rPr>
        <w:t>”内容作为实质性要求，供应商若未作出响应，则按无效投标处理。</w:t>
      </w:r>
    </w:p>
    <w:p>
      <w:pPr>
        <w:rPr>
          <w:rFonts w:asciiTheme="minorEastAsia" w:hAnsiTheme="minorEastAsia" w:eastAsiaTheme="minorEastAsia"/>
          <w:color w:val="auto"/>
          <w:sz w:val="28"/>
          <w:szCs w:val="28"/>
          <w:highlight w:val="none"/>
        </w:rPr>
        <w:sectPr>
          <w:headerReference r:id="rId3" w:type="default"/>
          <w:footerReference r:id="rId4" w:type="default"/>
          <w:pgSz w:w="11906" w:h="16838"/>
          <w:pgMar w:top="1440" w:right="1800" w:bottom="1440" w:left="1800" w:header="851" w:footer="992" w:gutter="0"/>
          <w:cols w:space="425" w:num="1"/>
          <w:docGrid w:type="lines" w:linePitch="312" w:charSpace="0"/>
        </w:sectPr>
      </w:pPr>
      <w:r>
        <w:rPr>
          <w:rFonts w:asciiTheme="minorEastAsia" w:hAnsiTheme="minorEastAsia" w:eastAsiaTheme="minorEastAsia"/>
          <w:color w:val="auto"/>
          <w:sz w:val="28"/>
          <w:szCs w:val="28"/>
          <w:highlight w:val="none"/>
        </w:rPr>
        <w:br w:type="page"/>
      </w:r>
    </w:p>
    <w:p>
      <w:pPr>
        <w:pStyle w:val="52"/>
        <w:ind w:left="0" w:firstLine="0"/>
        <w:rPr>
          <w:rFonts w:asciiTheme="minorEastAsia" w:hAnsiTheme="minorEastAsia" w:eastAsiaTheme="minorEastAsia"/>
          <w:color w:val="auto"/>
          <w:sz w:val="28"/>
          <w:highlight w:val="none"/>
        </w:rPr>
      </w:pPr>
      <w:r>
        <w:rPr>
          <w:rFonts w:hint="eastAsia" w:asciiTheme="minorEastAsia" w:hAnsiTheme="minorEastAsia" w:eastAsiaTheme="minorEastAsia"/>
          <w:color w:val="auto"/>
          <w:sz w:val="28"/>
          <w:highlight w:val="none"/>
        </w:rPr>
        <w:t>附件：</w:t>
      </w:r>
    </w:p>
    <w:p>
      <w:pPr>
        <w:pStyle w:val="51"/>
        <w:spacing w:line="192" w:lineRule="auto"/>
        <w:rPr>
          <w:color w:val="auto"/>
          <w:highlight w:val="none"/>
        </w:rPr>
      </w:pPr>
      <w:r>
        <w:rPr>
          <w:rFonts w:hint="eastAsia" w:ascii="Times New Roman" w:hAnsi="Times New Roman" w:eastAsia="方正仿宋" w:cs="Times New Roman"/>
          <w:b/>
          <w:bCs/>
          <w:color w:val="auto"/>
          <w:spacing w:val="6"/>
          <w:kern w:val="2"/>
          <w:sz w:val="32"/>
          <w:szCs w:val="32"/>
          <w:highlight w:val="none"/>
        </w:rPr>
        <w:t>附件（考核办法）</w:t>
      </w:r>
    </w:p>
    <w:p>
      <w:pPr>
        <w:ind w:firstLine="420" w:firstLineChars="200"/>
        <w:rPr>
          <w:rFonts w:ascii="宋体" w:hAnsi="宋体" w:cs="宋体"/>
          <w:color w:val="auto"/>
          <w:szCs w:val="21"/>
          <w:highlight w:val="none"/>
        </w:rPr>
      </w:pPr>
      <w:r>
        <w:rPr>
          <w:rFonts w:hint="eastAsia" w:ascii="宋体" w:hAnsi="宋体" w:cs="宋体"/>
          <w:color w:val="auto"/>
          <w:szCs w:val="21"/>
          <w:highlight w:val="none"/>
        </w:rPr>
        <w:t>采购人每月对物业公司提供的服务进行考评，考评项目分为环境卫生维护、公共区域的秩序维护、综合服务工作、绿化养护与管理等四个大项。对每个大项分别进行考核，每项考核85分以下作为不合格，根据各项考核结果算出考核结果的平均值，并根据相关约定进行处理。当出现某项考评结果不合格时，甲方可向物业公司提出警告并要求整改，物业公司应提交相应整改报告。如连续两个月或一年中累计三次考评出现不合格项，采购人有权与物业公司无条件解除合同，不视为违约，服务费支付至合同解除当月。</w:t>
      </w:r>
    </w:p>
    <w:p>
      <w:pPr>
        <w:ind w:firstLine="420" w:firstLineChars="200"/>
        <w:rPr>
          <w:rFonts w:ascii="宋体" w:hAnsi="宋体" w:cs="宋体"/>
          <w:color w:val="auto"/>
          <w:szCs w:val="21"/>
          <w:highlight w:val="none"/>
        </w:rPr>
      </w:pPr>
      <w:r>
        <w:rPr>
          <w:rFonts w:hint="eastAsia" w:ascii="宋体" w:hAnsi="宋体" w:cs="宋体"/>
          <w:color w:val="auto"/>
          <w:szCs w:val="21"/>
          <w:highlight w:val="none"/>
        </w:rPr>
        <w:t>A．由于物管公司单项方面工作导致学校被点名或通报批评造成较大负面影响，当月考核结果扣5分，或直接扣除当月物业管理服务费3000-5000元；造成重大负面影响，当月考核结果扣30分。</w:t>
      </w:r>
    </w:p>
    <w:p>
      <w:pPr>
        <w:ind w:firstLine="420" w:firstLineChars="200"/>
        <w:rPr>
          <w:rFonts w:ascii="宋体" w:hAnsi="宋体" w:cs="宋体"/>
          <w:color w:val="auto"/>
          <w:szCs w:val="21"/>
          <w:highlight w:val="none"/>
        </w:rPr>
      </w:pPr>
      <w:r>
        <w:rPr>
          <w:rFonts w:hint="eastAsia" w:ascii="宋体" w:hAnsi="宋体" w:cs="宋体"/>
          <w:color w:val="auto"/>
          <w:szCs w:val="21"/>
          <w:highlight w:val="none"/>
        </w:rPr>
        <w:t>B．出现物品或设施设备遗失、损坏事件，除原价赔赏外，还对当月考核结果扣5分。</w:t>
      </w:r>
    </w:p>
    <w:p>
      <w:pPr>
        <w:ind w:firstLine="420" w:firstLineChars="200"/>
        <w:rPr>
          <w:rFonts w:ascii="宋体" w:hAnsi="宋体" w:cs="宋体"/>
          <w:color w:val="auto"/>
          <w:szCs w:val="21"/>
          <w:highlight w:val="none"/>
        </w:rPr>
      </w:pPr>
      <w:r>
        <w:rPr>
          <w:rFonts w:hint="eastAsia" w:ascii="宋体" w:hAnsi="宋体" w:cs="宋体"/>
          <w:color w:val="auto"/>
          <w:szCs w:val="21"/>
          <w:highlight w:val="none"/>
        </w:rPr>
        <w:t>C．队员监守自盗、内外勾结盗窃或其他严重违法行为的；一经查实，当月考核结果每起扣十分，并视其后果移交公安机关处理。</w:t>
      </w:r>
    </w:p>
    <w:p>
      <w:pPr>
        <w:ind w:firstLine="420" w:firstLineChars="200"/>
        <w:rPr>
          <w:rFonts w:ascii="宋体" w:hAnsi="宋体" w:cs="宋体"/>
          <w:color w:val="auto"/>
          <w:szCs w:val="21"/>
          <w:highlight w:val="none"/>
        </w:rPr>
      </w:pPr>
      <w:r>
        <w:rPr>
          <w:rFonts w:hint="eastAsia" w:ascii="宋体" w:hAnsi="宋体" w:cs="宋体"/>
          <w:color w:val="auto"/>
          <w:szCs w:val="21"/>
          <w:highlight w:val="none"/>
        </w:rPr>
        <w:t>D．当月综合平均得分85以上的支付当月物业服务费若检查结果为85分（不含）以下，每1分扣除当月物业服务费1000元后支付；</w:t>
      </w:r>
    </w:p>
    <w:p>
      <w:pPr>
        <w:ind w:firstLine="420" w:firstLineChars="200"/>
        <w:rPr>
          <w:rFonts w:ascii="宋体" w:hAnsi="宋体" w:cs="宋体"/>
          <w:color w:val="auto"/>
          <w:szCs w:val="21"/>
          <w:highlight w:val="none"/>
        </w:rPr>
      </w:pPr>
      <w:r>
        <w:rPr>
          <w:rFonts w:hint="eastAsia" w:ascii="宋体" w:hAnsi="宋体" w:cs="宋体"/>
          <w:color w:val="auto"/>
          <w:szCs w:val="21"/>
          <w:highlight w:val="none"/>
        </w:rPr>
        <w:t>E．如果月考核分数连续2个月或一年中累计三次考核分低于85分，采购人可直接解除合同关系。</w:t>
      </w:r>
    </w:p>
    <w:p>
      <w:pPr>
        <w:spacing w:line="440" w:lineRule="exact"/>
        <w:ind w:firstLine="422" w:firstLineChars="200"/>
        <w:rPr>
          <w:rFonts w:ascii="宋体" w:hAnsi="宋体" w:cs="宋体"/>
          <w:b/>
          <w:bCs/>
          <w:color w:val="auto"/>
          <w:szCs w:val="21"/>
          <w:highlight w:val="none"/>
        </w:rPr>
      </w:pPr>
      <w:r>
        <w:rPr>
          <w:rFonts w:hint="eastAsia" w:ascii="宋体" w:hAnsi="宋体" w:cs="宋体"/>
          <w:b/>
          <w:bCs/>
          <w:color w:val="auto"/>
          <w:szCs w:val="21"/>
          <w:highlight w:val="none"/>
        </w:rPr>
        <w:t>考核评分表</w:t>
      </w:r>
    </w:p>
    <w:p>
      <w:pPr>
        <w:spacing w:line="440" w:lineRule="exact"/>
        <w:ind w:firstLine="420" w:firstLineChars="200"/>
        <w:rPr>
          <w:rFonts w:ascii="宋体" w:hAnsi="宋体" w:cs="宋体"/>
          <w:color w:val="auto"/>
          <w:szCs w:val="21"/>
          <w:highlight w:val="none"/>
        </w:rPr>
      </w:pPr>
      <w:r>
        <w:rPr>
          <w:rFonts w:hint="eastAsia" w:ascii="宋体" w:hAnsi="宋体" w:cs="宋体"/>
          <w:color w:val="auto"/>
          <w:szCs w:val="21"/>
          <w:highlight w:val="none"/>
        </w:rPr>
        <w:t>1）、公共区域安保及秩序维护月度考核评分表</w:t>
      </w:r>
    </w:p>
    <w:p>
      <w:pPr>
        <w:spacing w:line="440" w:lineRule="exact"/>
        <w:ind w:firstLine="420" w:firstLineChars="200"/>
        <w:rPr>
          <w:rFonts w:ascii="宋体" w:hAnsi="宋体" w:cs="宋体"/>
          <w:color w:val="auto"/>
          <w:szCs w:val="21"/>
          <w:highlight w:val="none"/>
        </w:rPr>
      </w:pPr>
      <w:r>
        <w:rPr>
          <w:rFonts w:hint="eastAsia" w:ascii="宋体" w:hAnsi="宋体" w:cs="宋体"/>
          <w:color w:val="auto"/>
          <w:szCs w:val="21"/>
          <w:highlight w:val="none"/>
        </w:rPr>
        <w:t xml:space="preserve"> </w:t>
      </w:r>
    </w:p>
    <w:tbl>
      <w:tblPr>
        <w:tblStyle w:val="44"/>
        <w:tblW w:w="836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904"/>
        <w:gridCol w:w="4766"/>
        <w:gridCol w:w="850"/>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364" w:type="dxa"/>
            <w:gridSpan w:val="5"/>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 xml:space="preserve">成都高新区芳草小学门卫值班服务月度考核评分表             </w:t>
            </w:r>
          </w:p>
          <w:p>
            <w:pPr>
              <w:jc w:val="center"/>
              <w:rPr>
                <w:rFonts w:ascii="宋体" w:hAnsi="宋体" w:cs="宋体"/>
                <w:color w:val="auto"/>
                <w:szCs w:val="21"/>
                <w:highlight w:val="none"/>
              </w:rPr>
            </w:pPr>
            <w:r>
              <w:rPr>
                <w:rFonts w:hint="eastAsia" w:ascii="宋体" w:hAnsi="宋体" w:cs="宋体"/>
                <w:color w:val="auto"/>
                <w:szCs w:val="21"/>
                <w:highlight w:val="none"/>
              </w:rPr>
              <w:t xml:space="preserve">                                    考评时间：    年    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序号</w:t>
            </w:r>
          </w:p>
        </w:tc>
        <w:tc>
          <w:tcPr>
            <w:tcW w:w="904"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项目</w:t>
            </w:r>
          </w:p>
        </w:tc>
        <w:tc>
          <w:tcPr>
            <w:tcW w:w="4766"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标准</w:t>
            </w:r>
          </w:p>
        </w:tc>
        <w:tc>
          <w:tcPr>
            <w:tcW w:w="850"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分值</w:t>
            </w:r>
          </w:p>
        </w:tc>
        <w:tc>
          <w:tcPr>
            <w:tcW w:w="993"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w:t>
            </w:r>
          </w:p>
        </w:tc>
        <w:tc>
          <w:tcPr>
            <w:tcW w:w="904" w:type="dxa"/>
            <w:vMerge w:val="restart"/>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仪</w:t>
            </w:r>
          </w:p>
          <w:p>
            <w:pPr>
              <w:jc w:val="center"/>
              <w:rPr>
                <w:rFonts w:ascii="宋体" w:hAnsi="宋体" w:cs="宋体"/>
                <w:color w:val="auto"/>
                <w:szCs w:val="21"/>
                <w:highlight w:val="none"/>
              </w:rPr>
            </w:pPr>
            <w:r>
              <w:rPr>
                <w:rFonts w:hint="eastAsia" w:ascii="宋体" w:hAnsi="宋体" w:cs="宋体"/>
                <w:color w:val="auto"/>
                <w:szCs w:val="21"/>
                <w:highlight w:val="none"/>
              </w:rPr>
              <w:t>容</w:t>
            </w:r>
          </w:p>
          <w:p>
            <w:pPr>
              <w:jc w:val="center"/>
              <w:rPr>
                <w:rFonts w:ascii="宋体" w:hAnsi="宋体" w:cs="宋体"/>
                <w:color w:val="auto"/>
                <w:szCs w:val="21"/>
                <w:highlight w:val="none"/>
              </w:rPr>
            </w:pPr>
            <w:r>
              <w:rPr>
                <w:rFonts w:hint="eastAsia" w:ascii="宋体" w:hAnsi="宋体" w:cs="宋体"/>
                <w:color w:val="auto"/>
                <w:szCs w:val="21"/>
                <w:highlight w:val="none"/>
              </w:rPr>
              <w:t>仪</w:t>
            </w:r>
          </w:p>
          <w:p>
            <w:pPr>
              <w:jc w:val="center"/>
              <w:rPr>
                <w:rFonts w:ascii="宋体" w:hAnsi="宋体" w:cs="宋体"/>
                <w:color w:val="auto"/>
                <w:szCs w:val="21"/>
                <w:highlight w:val="none"/>
              </w:rPr>
            </w:pPr>
            <w:r>
              <w:rPr>
                <w:rFonts w:hint="eastAsia" w:ascii="宋体" w:hAnsi="宋体" w:cs="宋体"/>
                <w:color w:val="auto"/>
                <w:szCs w:val="21"/>
                <w:highlight w:val="none"/>
              </w:rPr>
              <w:t>表</w:t>
            </w: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按公司规定着装，在岗时保持仪表端庄、仪容整洁、精神饱满；按规定坐、立、站</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w:t>
            </w:r>
          </w:p>
        </w:tc>
        <w:tc>
          <w:tcPr>
            <w:tcW w:w="904" w:type="dxa"/>
            <w:vMerge w:val="continue"/>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工作器具（如对讲机）按规定摆放，干净、整齐，爱护器具</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w:t>
            </w:r>
          </w:p>
        </w:tc>
        <w:tc>
          <w:tcPr>
            <w:tcW w:w="904" w:type="dxa"/>
            <w:vMerge w:val="continue"/>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准时立岗、换岗，站姿要端正，精神要振作</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4</w:t>
            </w:r>
          </w:p>
        </w:tc>
        <w:tc>
          <w:tcPr>
            <w:tcW w:w="904" w:type="dxa"/>
            <w:vMerge w:val="restart"/>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工</w:t>
            </w:r>
          </w:p>
          <w:p>
            <w:pPr>
              <w:jc w:val="center"/>
              <w:rPr>
                <w:rFonts w:ascii="宋体" w:hAnsi="宋体" w:cs="宋体"/>
                <w:color w:val="auto"/>
                <w:szCs w:val="21"/>
                <w:highlight w:val="none"/>
              </w:rPr>
            </w:pPr>
            <w:r>
              <w:rPr>
                <w:rFonts w:hint="eastAsia" w:ascii="宋体" w:hAnsi="宋体" w:cs="宋体"/>
                <w:color w:val="auto"/>
                <w:szCs w:val="21"/>
                <w:highlight w:val="none"/>
              </w:rPr>
              <w:t>作</w:t>
            </w:r>
          </w:p>
          <w:p>
            <w:pPr>
              <w:jc w:val="center"/>
              <w:rPr>
                <w:rFonts w:ascii="宋体" w:hAnsi="宋体" w:cs="宋体"/>
                <w:color w:val="auto"/>
                <w:szCs w:val="21"/>
                <w:highlight w:val="none"/>
              </w:rPr>
            </w:pPr>
            <w:r>
              <w:rPr>
                <w:rFonts w:hint="eastAsia" w:ascii="宋体" w:hAnsi="宋体" w:cs="宋体"/>
                <w:color w:val="auto"/>
                <w:szCs w:val="21"/>
                <w:highlight w:val="none"/>
              </w:rPr>
              <w:t>纪</w:t>
            </w:r>
          </w:p>
          <w:p>
            <w:pPr>
              <w:jc w:val="center"/>
              <w:rPr>
                <w:rFonts w:ascii="宋体" w:hAnsi="宋体" w:cs="宋体"/>
                <w:color w:val="auto"/>
                <w:szCs w:val="21"/>
                <w:highlight w:val="none"/>
              </w:rPr>
            </w:pPr>
            <w:r>
              <w:rPr>
                <w:rFonts w:hint="eastAsia" w:ascii="宋体" w:hAnsi="宋体" w:cs="宋体"/>
                <w:color w:val="auto"/>
                <w:szCs w:val="21"/>
                <w:highlight w:val="none"/>
              </w:rPr>
              <w:t>律</w:t>
            </w: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上班无迟到，早退情况</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w:t>
            </w:r>
          </w:p>
        </w:tc>
        <w:tc>
          <w:tcPr>
            <w:tcW w:w="904" w:type="dxa"/>
            <w:vMerge w:val="continue"/>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请假经过领导批准，无擅自离岗现象</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6</w:t>
            </w:r>
          </w:p>
        </w:tc>
        <w:tc>
          <w:tcPr>
            <w:tcW w:w="904" w:type="dxa"/>
            <w:vMerge w:val="continue"/>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上班时间不打瞌睡、不聊天或做与工作无关的事情</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7</w:t>
            </w:r>
          </w:p>
        </w:tc>
        <w:tc>
          <w:tcPr>
            <w:tcW w:w="904" w:type="dxa"/>
            <w:vMerge w:val="continue"/>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服从上级领导分配，认真、积极处理好领导交办的事情</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8</w:t>
            </w:r>
          </w:p>
        </w:tc>
        <w:tc>
          <w:tcPr>
            <w:tcW w:w="904" w:type="dxa"/>
            <w:vMerge w:val="continue"/>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无违纪、违法行为</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9</w:t>
            </w:r>
          </w:p>
        </w:tc>
        <w:tc>
          <w:tcPr>
            <w:tcW w:w="904" w:type="dxa"/>
            <w:vMerge w:val="continue"/>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无因自身行为影响办公区声誉行为</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10</w:t>
            </w:r>
          </w:p>
        </w:tc>
        <w:tc>
          <w:tcPr>
            <w:tcW w:w="904" w:type="dxa"/>
            <w:vMerge w:val="restart"/>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工</w:t>
            </w:r>
          </w:p>
          <w:p>
            <w:pPr>
              <w:jc w:val="center"/>
              <w:rPr>
                <w:rFonts w:ascii="宋体" w:hAnsi="宋体" w:cs="宋体"/>
                <w:color w:val="auto"/>
                <w:szCs w:val="21"/>
                <w:highlight w:val="none"/>
              </w:rPr>
            </w:pPr>
            <w:r>
              <w:rPr>
                <w:rFonts w:hint="eastAsia" w:ascii="宋体" w:hAnsi="宋体" w:cs="宋体"/>
                <w:color w:val="auto"/>
                <w:szCs w:val="21"/>
                <w:highlight w:val="none"/>
              </w:rPr>
              <w:t>作</w:t>
            </w:r>
          </w:p>
          <w:p>
            <w:pPr>
              <w:jc w:val="center"/>
              <w:rPr>
                <w:rFonts w:ascii="宋体" w:hAnsi="宋体" w:cs="宋体"/>
                <w:color w:val="auto"/>
                <w:szCs w:val="21"/>
                <w:highlight w:val="none"/>
              </w:rPr>
            </w:pPr>
            <w:r>
              <w:rPr>
                <w:rFonts w:hint="eastAsia" w:ascii="宋体" w:hAnsi="宋体" w:cs="宋体"/>
                <w:color w:val="auto"/>
                <w:szCs w:val="21"/>
                <w:highlight w:val="none"/>
              </w:rPr>
              <w:t>态</w:t>
            </w:r>
          </w:p>
          <w:p>
            <w:pPr>
              <w:jc w:val="center"/>
              <w:rPr>
                <w:rFonts w:ascii="宋体" w:hAnsi="宋体" w:cs="宋体"/>
                <w:color w:val="auto"/>
                <w:szCs w:val="21"/>
                <w:highlight w:val="none"/>
              </w:rPr>
            </w:pPr>
            <w:r>
              <w:rPr>
                <w:rFonts w:hint="eastAsia" w:ascii="宋体" w:hAnsi="宋体" w:cs="宋体"/>
                <w:color w:val="auto"/>
                <w:szCs w:val="21"/>
                <w:highlight w:val="none"/>
              </w:rPr>
              <w:t>度</w:t>
            </w: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准时参加例会和训练，积极主动；动作准确，精神振奋</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11</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及时发现区内损坏的公用设施，汇报给领导</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12</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遇到物品乱摆放，堵塞安全、消防通道时，及时制止清除</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13</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重大活动、接待配合</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14</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与干警相互沟通，形成联动机制</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15</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夜班执勤是精神抖擞，无瞌睡、摆弄手机、窜岗聊天等行为</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16</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按办公区规定对临时进出车辆规范停放</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17</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按时仔细巡查办公区内情况，及时发现问题并处理，避免损失</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18</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发现有可疑人员，及时制止并且汇报</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19</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发生紧急情况时及时上报并文明有效处理，做好记录</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20</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提醒吸烟人员在规定的地方吸烟，并注意卫生及防火</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21</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阻止外来人员在办公区内闹事，文明、妥善处理闹事人员，并及时汇报</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22</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在物业区域内巡逻期间见到显眼的垃圾，及时处理</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23</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门岗各类登记表、物品摆放整齐，室内干净、整洁</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24</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准时交接班，注意事项、问题交接清楚</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25</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及时关闭楼内忘记关掉的门、灯、空调、电脑、机械仪器</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26</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在物业区域内遇见乱扔垃圾、随意停车等不文明行为时，及时制止，加以劝告</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27</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接到投诉时，文明对待投诉人，核实投诉事项，积极改正、改善工作态度</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28</w:t>
            </w:r>
          </w:p>
        </w:tc>
        <w:tc>
          <w:tcPr>
            <w:tcW w:w="904" w:type="dxa"/>
            <w:vMerge w:val="restart"/>
            <w:tcBorders>
              <w:top w:val="nil"/>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安</w:t>
            </w:r>
          </w:p>
          <w:p>
            <w:pPr>
              <w:jc w:val="center"/>
              <w:rPr>
                <w:rFonts w:ascii="宋体" w:hAnsi="宋体" w:cs="宋体"/>
                <w:color w:val="auto"/>
                <w:szCs w:val="21"/>
                <w:highlight w:val="none"/>
              </w:rPr>
            </w:pPr>
            <w:r>
              <w:rPr>
                <w:rFonts w:hint="eastAsia" w:ascii="宋体" w:hAnsi="宋体" w:cs="宋体"/>
                <w:color w:val="auto"/>
                <w:szCs w:val="21"/>
                <w:highlight w:val="none"/>
              </w:rPr>
              <w:t>全</w:t>
            </w:r>
          </w:p>
          <w:p>
            <w:pPr>
              <w:jc w:val="center"/>
              <w:rPr>
                <w:rFonts w:ascii="宋体" w:hAnsi="宋体" w:cs="宋体"/>
                <w:color w:val="auto"/>
                <w:szCs w:val="21"/>
                <w:highlight w:val="none"/>
              </w:rPr>
            </w:pPr>
            <w:r>
              <w:rPr>
                <w:rFonts w:hint="eastAsia" w:ascii="宋体" w:hAnsi="宋体" w:cs="宋体"/>
                <w:color w:val="auto"/>
                <w:szCs w:val="21"/>
                <w:highlight w:val="none"/>
              </w:rPr>
              <w:t>防</w:t>
            </w:r>
          </w:p>
          <w:p>
            <w:pPr>
              <w:jc w:val="center"/>
              <w:rPr>
                <w:rFonts w:ascii="宋体" w:hAnsi="宋体" w:cs="宋体"/>
                <w:color w:val="auto"/>
                <w:szCs w:val="21"/>
                <w:highlight w:val="none"/>
              </w:rPr>
            </w:pPr>
            <w:r>
              <w:rPr>
                <w:rFonts w:hint="eastAsia" w:ascii="宋体" w:hAnsi="宋体" w:cs="宋体"/>
                <w:color w:val="auto"/>
                <w:szCs w:val="21"/>
                <w:highlight w:val="none"/>
              </w:rPr>
              <w:t>范</w:t>
            </w:r>
          </w:p>
        </w:tc>
        <w:tc>
          <w:tcPr>
            <w:tcW w:w="4766"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当班防范一切危险因素，避免产生任何失窃后果</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29</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恶劣天气，物业区域内出现的紧急问题及时、妥善处理并汇报</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30</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认真巡查物业区域内各类情况，凡有情况，迅速、妥善处理并汇报</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31</w:t>
            </w:r>
          </w:p>
        </w:tc>
        <w:tc>
          <w:tcPr>
            <w:tcW w:w="904" w:type="dxa"/>
            <w:vMerge w:val="continue"/>
            <w:tcBorders>
              <w:top w:val="nil"/>
              <w:left w:val="nil"/>
              <w:bottom w:val="single" w:color="auto" w:sz="4" w:space="0"/>
              <w:right w:val="single" w:color="auto" w:sz="4" w:space="0"/>
            </w:tcBorders>
            <w:vAlign w:val="center"/>
          </w:tcPr>
          <w:p>
            <w:pP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检查物业区域内消防情况，对存在的消防隐患采取措施并上报</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总得分</w:t>
            </w:r>
          </w:p>
        </w:tc>
        <w:tc>
          <w:tcPr>
            <w:tcW w:w="90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4766"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bl>
    <w:p>
      <w:pPr>
        <w:ind w:firstLine="420" w:firstLineChars="200"/>
        <w:rPr>
          <w:rFonts w:ascii="宋体" w:hAnsi="宋体" w:cs="宋体"/>
          <w:color w:val="auto"/>
          <w:szCs w:val="21"/>
          <w:highlight w:val="none"/>
        </w:rPr>
      </w:pPr>
      <w:r>
        <w:rPr>
          <w:rFonts w:hint="eastAsia" w:ascii="宋体" w:hAnsi="宋体" w:cs="宋体"/>
          <w:color w:val="auto"/>
          <w:szCs w:val="21"/>
          <w:highlight w:val="none"/>
        </w:rPr>
        <w:t>2）、环境卫生维护月考核评分</w:t>
      </w:r>
    </w:p>
    <w:tbl>
      <w:tblPr>
        <w:tblStyle w:val="44"/>
        <w:tblW w:w="8364"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52"/>
        <w:gridCol w:w="5369"/>
        <w:gridCol w:w="850"/>
        <w:gridCol w:w="9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考核项目</w:t>
            </w:r>
          </w:p>
        </w:tc>
        <w:tc>
          <w:tcPr>
            <w:tcW w:w="5369"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考核内容</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分值</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restart"/>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仪容仪表、着装</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在岗时保持仪表端庄、仪容整洁、精神饱满；</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工作器具（如扫帚托帕）按规定摆放，干净、整齐，爱护器具</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不得在胸前或腰间挂钥匙等物品</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统一穿工作服，正确佩戴工作牌，服装合身、整洁（除特殊情况外，例如工作时刚刚沾染尘土、脏物等），无破损</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穿平底深色鞋袜，鞋袜干净无破损</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不得披衣、敞怀、挽裤腿，不得穿拖鞋或赤脚</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restart"/>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礼仪礼貌</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主动和服务对象微笑点头，或用礼貌用语和服务对象打招呼</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不得对服务对象有不文明行为或语言</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9"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不得故意躲避服务对象或视而不见</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通道内或在狭窄的地方一律靠右行走</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restart"/>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工作纪律</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遵守办公区规章制度，不迟到、早退、窜岗、旷工，按岗设编，人员变动需及时补充，休假要调配好工作</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有紧急接待任务时必须随叫随到，做好一切工作</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遵守保密制度</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restart"/>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卫生间</w:t>
            </w:r>
          </w:p>
          <w:p>
            <w:pPr>
              <w:jc w:val="center"/>
              <w:rPr>
                <w:rFonts w:ascii="宋体" w:hAnsi="宋体" w:cs="宋体"/>
                <w:color w:val="auto"/>
                <w:szCs w:val="21"/>
                <w:highlight w:val="none"/>
              </w:rPr>
            </w:pPr>
            <w:r>
              <w:rPr>
                <w:rFonts w:hint="eastAsia" w:ascii="宋体" w:hAnsi="宋体" w:cs="宋体"/>
                <w:color w:val="auto"/>
                <w:szCs w:val="21"/>
                <w:highlight w:val="none"/>
              </w:rPr>
              <w:t>卫生</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卫生间内无异味</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墙面：清洁无尘，无水迹，无污点，无抹痕</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洗手盆：干净无积水，无污渍</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目视墙：干净无尘，无水点，无污迹，无网状物，无抹痕</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地漏：无头发，无杂物</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蹲便器、小便器：干净，无污渍，无黄渍</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镜面：无水点，无污迹，无抹痕，无指印</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水龙头，冲水阀：干净、光亮无尘，无污迹，无水痕，无抹痕</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卫生纸盒：干净无尘，无水点，无污迹，无抹痕</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restart"/>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公共区域卫生</w:t>
            </w:r>
          </w:p>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楼梯、扶手、：干净无尘，无水迹，无污渍，无抹痕</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走廊：墙壁墙群无尘，无污迹，无网状物</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楼梯间横梁：干净无尘，无杂物，无网状物</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消火栓，灭火器箱：内外干净无尘，无杂物，表面无污迹，无水渍，无抹痕</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玻璃：清洁光亮，无手印，无水迹，无抹痕</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展板：干净无尘，无水渍，无污迹，无抹痕，无网状物</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电器设备、开关、插座：无尘、无污迹、无水迹、无抹痕</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会议室：管理有序，确保会议正常有序开展</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人行道、停车场、道路：每天彻底清扫至少两次，保持无灰积尘，无果皮纸屑，无烟头树叶，无杂石等</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外墙无小广告等粘贴物</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人行道与绿化带：无果皮纸屑，无枯叶等</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水箅子、阴井盖：损坏或丢失放明显标示物</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垃圾桶：及时清倒垃圾桶内垃圾，擦拭垃圾箱内外，保持垃圾箱内外的清洁</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雨天：及时清扫路上积水</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保洁</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每隔2小时巡检一次</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3分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总得分</w:t>
            </w:r>
          </w:p>
        </w:tc>
        <w:tc>
          <w:tcPr>
            <w:tcW w:w="5369"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1843" w:type="dxa"/>
            <w:gridSpan w:val="2"/>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bl>
    <w:p>
      <w:pPr>
        <w:ind w:firstLine="420" w:firstLineChars="200"/>
        <w:rPr>
          <w:rFonts w:ascii="宋体" w:hAnsi="宋体" w:cs="宋体"/>
          <w:color w:val="auto"/>
          <w:szCs w:val="21"/>
          <w:highlight w:val="none"/>
        </w:rPr>
      </w:pPr>
      <w:r>
        <w:rPr>
          <w:rFonts w:hint="eastAsia" w:ascii="宋体" w:hAnsi="宋体" w:cs="宋体"/>
          <w:color w:val="auto"/>
          <w:szCs w:val="21"/>
          <w:highlight w:val="none"/>
        </w:rPr>
        <w:t>3）、绿化养护与管理月考核评分表</w:t>
      </w:r>
    </w:p>
    <w:tbl>
      <w:tblPr>
        <w:tblStyle w:val="44"/>
        <w:tblW w:w="836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2"/>
        <w:gridCol w:w="1144"/>
        <w:gridCol w:w="3725"/>
        <w:gridCol w:w="850"/>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类别</w:t>
            </w: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工作</w:t>
            </w:r>
          </w:p>
          <w:p>
            <w:pPr>
              <w:jc w:val="center"/>
              <w:rPr>
                <w:rFonts w:ascii="宋体" w:hAnsi="宋体" w:cs="宋体"/>
                <w:color w:val="auto"/>
                <w:szCs w:val="21"/>
                <w:highlight w:val="none"/>
              </w:rPr>
            </w:pPr>
            <w:r>
              <w:rPr>
                <w:rFonts w:hint="eastAsia" w:ascii="宋体" w:hAnsi="宋体" w:cs="宋体"/>
                <w:color w:val="auto"/>
                <w:szCs w:val="21"/>
                <w:highlight w:val="none"/>
              </w:rPr>
              <w:t>项目</w:t>
            </w:r>
          </w:p>
        </w:tc>
        <w:tc>
          <w:tcPr>
            <w:tcW w:w="3725"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考核标准</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项目</w:t>
            </w:r>
          </w:p>
          <w:p>
            <w:pPr>
              <w:jc w:val="center"/>
              <w:rPr>
                <w:rFonts w:ascii="宋体" w:hAnsi="宋体" w:cs="宋体"/>
                <w:color w:val="auto"/>
                <w:szCs w:val="21"/>
                <w:highlight w:val="none"/>
              </w:rPr>
            </w:pPr>
            <w:r>
              <w:rPr>
                <w:rFonts w:hint="eastAsia" w:ascii="宋体" w:hAnsi="宋体" w:cs="宋体"/>
                <w:color w:val="auto"/>
                <w:szCs w:val="21"/>
                <w:highlight w:val="none"/>
              </w:rPr>
              <w:t>分数</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实际</w:t>
            </w:r>
          </w:p>
          <w:p>
            <w:pPr>
              <w:jc w:val="center"/>
              <w:rPr>
                <w:rFonts w:ascii="宋体" w:hAnsi="宋体" w:cs="宋体"/>
                <w:color w:val="auto"/>
                <w:szCs w:val="21"/>
                <w:highlight w:val="none"/>
              </w:rPr>
            </w:pPr>
            <w:r>
              <w:rPr>
                <w:rFonts w:hint="eastAsia" w:ascii="宋体" w:hAnsi="宋体" w:cs="宋体"/>
                <w:color w:val="auto"/>
                <w:szCs w:val="21"/>
                <w:highlight w:val="none"/>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restart"/>
            <w:tcBorders>
              <w:top w:val="nil"/>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修剪</w:t>
            </w: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乔木</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1．无枯枝</w:t>
            </w:r>
          </w:p>
          <w:p>
            <w:pPr>
              <w:rPr>
                <w:rFonts w:ascii="宋体" w:hAnsi="宋体" w:cs="宋体"/>
                <w:color w:val="auto"/>
                <w:szCs w:val="21"/>
                <w:highlight w:val="none"/>
              </w:rPr>
            </w:pPr>
            <w:r>
              <w:rPr>
                <w:rFonts w:hint="eastAsia" w:ascii="宋体" w:hAnsi="宋体" w:cs="宋体"/>
                <w:color w:val="auto"/>
                <w:szCs w:val="21"/>
                <w:highlight w:val="none"/>
              </w:rPr>
              <w:t>2．树不阻车辆和行人通过</w:t>
            </w:r>
          </w:p>
          <w:p>
            <w:pPr>
              <w:rPr>
                <w:rFonts w:ascii="宋体" w:hAnsi="宋体" w:cs="宋体"/>
                <w:color w:val="auto"/>
                <w:szCs w:val="21"/>
                <w:highlight w:val="none"/>
              </w:rPr>
            </w:pPr>
            <w:r>
              <w:rPr>
                <w:rFonts w:hint="eastAsia" w:ascii="宋体" w:hAnsi="宋体" w:cs="宋体"/>
                <w:color w:val="auto"/>
                <w:szCs w:val="21"/>
                <w:highlight w:val="none"/>
              </w:rPr>
              <w:t>3．主侧枝分布均匀</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continue"/>
            <w:tcBorders>
              <w:top w:val="nil"/>
              <w:left w:val="single" w:color="auto" w:sz="4" w:space="0"/>
              <w:bottom w:val="single" w:color="auto" w:sz="4" w:space="0"/>
              <w:right w:val="single" w:color="auto" w:sz="4" w:space="0"/>
            </w:tcBorders>
            <w:vAlign w:val="center"/>
          </w:tcPr>
          <w:p>
            <w:pPr>
              <w:rPr>
                <w:rFonts w:ascii="宋体" w:hAnsi="宋体" w:cs="宋体"/>
                <w:color w:val="auto"/>
                <w:szCs w:val="21"/>
                <w:highlight w:val="none"/>
              </w:rPr>
            </w:pP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灌木</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1．成型、整齐</w:t>
            </w:r>
          </w:p>
          <w:p>
            <w:pPr>
              <w:rPr>
                <w:rFonts w:ascii="宋体" w:hAnsi="宋体" w:cs="宋体"/>
                <w:color w:val="auto"/>
                <w:szCs w:val="21"/>
                <w:highlight w:val="none"/>
              </w:rPr>
            </w:pPr>
            <w:r>
              <w:rPr>
                <w:rFonts w:hint="eastAsia" w:ascii="宋体" w:hAnsi="宋体" w:cs="宋体"/>
                <w:color w:val="auto"/>
                <w:szCs w:val="21"/>
                <w:highlight w:val="none"/>
              </w:rPr>
              <w:t>2．新长枝不超过30厘米</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continue"/>
            <w:tcBorders>
              <w:top w:val="nil"/>
              <w:left w:val="single" w:color="auto" w:sz="4" w:space="0"/>
              <w:bottom w:val="single" w:color="auto" w:sz="4" w:space="0"/>
              <w:right w:val="single" w:color="auto" w:sz="4" w:space="0"/>
            </w:tcBorders>
            <w:vAlign w:val="center"/>
          </w:tcPr>
          <w:p>
            <w:pPr>
              <w:rPr>
                <w:rFonts w:ascii="宋体" w:hAnsi="宋体" w:cs="宋体"/>
                <w:color w:val="auto"/>
                <w:szCs w:val="21"/>
                <w:highlight w:val="none"/>
              </w:rPr>
            </w:pP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绿篱</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1．绿篱成型、造型美观</w:t>
            </w:r>
          </w:p>
          <w:p>
            <w:pPr>
              <w:rPr>
                <w:rFonts w:ascii="宋体" w:hAnsi="宋体" w:cs="宋体"/>
                <w:color w:val="auto"/>
                <w:szCs w:val="21"/>
                <w:highlight w:val="none"/>
              </w:rPr>
            </w:pPr>
            <w:r>
              <w:rPr>
                <w:rFonts w:hint="eastAsia" w:ascii="宋体" w:hAnsi="宋体" w:cs="宋体"/>
                <w:color w:val="auto"/>
                <w:szCs w:val="21"/>
                <w:highlight w:val="none"/>
              </w:rPr>
              <w:t>2．新长枝不超过30厘米</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652" w:type="dxa"/>
            <w:vMerge w:val="continue"/>
            <w:tcBorders>
              <w:top w:val="nil"/>
              <w:left w:val="single" w:color="auto" w:sz="4" w:space="0"/>
              <w:bottom w:val="single" w:color="auto" w:sz="4" w:space="0"/>
              <w:right w:val="single" w:color="auto" w:sz="4" w:space="0"/>
            </w:tcBorders>
            <w:vAlign w:val="center"/>
          </w:tcPr>
          <w:p>
            <w:pPr>
              <w:rPr>
                <w:rFonts w:ascii="宋体" w:hAnsi="宋体" w:cs="宋体"/>
                <w:color w:val="auto"/>
                <w:szCs w:val="21"/>
                <w:highlight w:val="none"/>
              </w:rPr>
            </w:pP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草</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草地整齐、草坪目视平整</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10分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restart"/>
            <w:tcBorders>
              <w:top w:val="nil"/>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施肥</w:t>
            </w: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乔木</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1．采用穴施，施肥、浇水及时</w:t>
            </w:r>
          </w:p>
          <w:p>
            <w:pPr>
              <w:rPr>
                <w:rFonts w:ascii="宋体" w:hAnsi="宋体" w:cs="宋体"/>
                <w:color w:val="auto"/>
                <w:szCs w:val="21"/>
                <w:highlight w:val="none"/>
              </w:rPr>
            </w:pPr>
            <w:r>
              <w:rPr>
                <w:rFonts w:hint="eastAsia" w:ascii="宋体" w:hAnsi="宋体" w:cs="宋体"/>
                <w:color w:val="auto"/>
                <w:szCs w:val="21"/>
                <w:highlight w:val="none"/>
              </w:rPr>
              <w:t>2．覆土平整，肥料不露出土面</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continue"/>
            <w:tcBorders>
              <w:top w:val="nil"/>
              <w:left w:val="single" w:color="auto" w:sz="4" w:space="0"/>
              <w:bottom w:val="single" w:color="auto" w:sz="4" w:space="0"/>
              <w:right w:val="single" w:color="auto" w:sz="4" w:space="0"/>
            </w:tcBorders>
            <w:vAlign w:val="center"/>
          </w:tcPr>
          <w:p>
            <w:pPr>
              <w:rPr>
                <w:rFonts w:ascii="宋体" w:hAnsi="宋体" w:cs="宋体"/>
                <w:color w:val="auto"/>
                <w:szCs w:val="21"/>
                <w:highlight w:val="none"/>
              </w:rPr>
            </w:pP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草地</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播篱和喷施，不伤花草</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continue"/>
            <w:tcBorders>
              <w:top w:val="nil"/>
              <w:left w:val="single" w:color="auto" w:sz="4" w:space="0"/>
              <w:bottom w:val="single" w:color="auto" w:sz="4" w:space="0"/>
              <w:right w:val="single" w:color="auto" w:sz="4" w:space="0"/>
            </w:tcBorders>
            <w:vAlign w:val="center"/>
          </w:tcPr>
          <w:p>
            <w:pPr>
              <w:rPr>
                <w:rFonts w:ascii="宋体" w:hAnsi="宋体" w:cs="宋体"/>
                <w:color w:val="auto"/>
                <w:szCs w:val="21"/>
                <w:highlight w:val="none"/>
              </w:rPr>
            </w:pP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花卉</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保证基肥，追施化肥，少量多次，不伤花草</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10分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96"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防病治虫</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无明显枯枝、死杈，有虫害枝条2%以下</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10分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652" w:type="dxa"/>
            <w:vMerge w:val="restart"/>
            <w:tcBorders>
              <w:top w:val="nil"/>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抗旱</w:t>
            </w: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花卉、苗</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花叶不染泥土，土不压苗心，水不冲倒苗</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continue"/>
            <w:tcBorders>
              <w:top w:val="nil"/>
              <w:left w:val="single" w:color="auto" w:sz="4" w:space="0"/>
              <w:bottom w:val="single" w:color="auto" w:sz="4" w:space="0"/>
              <w:right w:val="single" w:color="auto" w:sz="4" w:space="0"/>
            </w:tcBorders>
            <w:vAlign w:val="center"/>
          </w:tcPr>
          <w:p>
            <w:pPr>
              <w:rPr>
                <w:rFonts w:ascii="宋体" w:hAnsi="宋体" w:cs="宋体"/>
                <w:color w:val="auto"/>
                <w:szCs w:val="21"/>
                <w:highlight w:val="none"/>
              </w:rPr>
            </w:pP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树木</w:t>
            </w:r>
          </w:p>
          <w:p>
            <w:pPr>
              <w:jc w:val="center"/>
              <w:rPr>
                <w:rFonts w:ascii="宋体" w:hAnsi="宋体" w:cs="宋体"/>
                <w:color w:val="auto"/>
                <w:szCs w:val="21"/>
                <w:highlight w:val="none"/>
              </w:rPr>
            </w:pPr>
            <w:r>
              <w:rPr>
                <w:rFonts w:hint="eastAsia" w:ascii="宋体" w:hAnsi="宋体" w:cs="宋体"/>
                <w:color w:val="auto"/>
                <w:szCs w:val="21"/>
                <w:highlight w:val="none"/>
              </w:rPr>
              <w:t>草地</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1．冬季早晚不浇水，夏季中午不浇水，浇水时不遗漏</w:t>
            </w:r>
          </w:p>
          <w:p>
            <w:pPr>
              <w:rPr>
                <w:rFonts w:ascii="宋体" w:hAnsi="宋体" w:cs="宋体"/>
                <w:color w:val="auto"/>
                <w:szCs w:val="21"/>
                <w:highlight w:val="none"/>
              </w:rPr>
            </w:pPr>
            <w:r>
              <w:rPr>
                <w:rFonts w:hint="eastAsia" w:ascii="宋体" w:hAnsi="宋体" w:cs="宋体"/>
                <w:color w:val="auto"/>
                <w:szCs w:val="21"/>
                <w:highlight w:val="none"/>
              </w:rPr>
              <w:t>2．浇水透土深度为：树木3厘米，草地2厘米，无旱死、旱枯的现象</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10分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restart"/>
            <w:tcBorders>
              <w:top w:val="nil"/>
              <w:left w:val="single" w:color="auto" w:sz="4" w:space="0"/>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日常养护</w:t>
            </w: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中耕、除杂草</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1．无明显杂草</w:t>
            </w:r>
          </w:p>
          <w:p>
            <w:pPr>
              <w:rPr>
                <w:rFonts w:ascii="宋体" w:hAnsi="宋体" w:cs="宋体"/>
                <w:color w:val="auto"/>
                <w:szCs w:val="21"/>
                <w:highlight w:val="none"/>
              </w:rPr>
            </w:pPr>
            <w:r>
              <w:rPr>
                <w:rFonts w:hint="eastAsia" w:ascii="宋体" w:hAnsi="宋体" w:cs="宋体"/>
                <w:color w:val="auto"/>
                <w:szCs w:val="21"/>
                <w:highlight w:val="none"/>
              </w:rPr>
              <w:t>2．草地纯度大于90%</w:t>
            </w:r>
          </w:p>
          <w:p>
            <w:pPr>
              <w:rPr>
                <w:rFonts w:ascii="宋体" w:hAnsi="宋体" w:cs="宋体"/>
                <w:color w:val="auto"/>
                <w:szCs w:val="21"/>
                <w:highlight w:val="none"/>
              </w:rPr>
            </w:pPr>
            <w:r>
              <w:rPr>
                <w:rFonts w:hint="eastAsia" w:ascii="宋体" w:hAnsi="宋体" w:cs="宋体"/>
                <w:color w:val="auto"/>
                <w:szCs w:val="21"/>
                <w:highlight w:val="none"/>
              </w:rPr>
              <w:t>3．树木底下土面层不板结，透气良好</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10分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continue"/>
            <w:tcBorders>
              <w:top w:val="nil"/>
              <w:left w:val="single" w:color="auto" w:sz="4" w:space="0"/>
              <w:bottom w:val="single" w:color="auto" w:sz="4" w:space="0"/>
              <w:right w:val="single" w:color="auto" w:sz="4" w:space="0"/>
            </w:tcBorders>
            <w:vAlign w:val="center"/>
          </w:tcPr>
          <w:p>
            <w:pPr>
              <w:rPr>
                <w:rFonts w:ascii="宋体" w:hAnsi="宋体" w:cs="宋体"/>
                <w:color w:val="auto"/>
                <w:szCs w:val="21"/>
                <w:highlight w:val="none"/>
              </w:rPr>
            </w:pP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补栽补种</w:t>
            </w:r>
          </w:p>
        </w:tc>
        <w:tc>
          <w:tcPr>
            <w:tcW w:w="3725" w:type="dxa"/>
            <w:tcBorders>
              <w:top w:val="single" w:color="auto" w:sz="4" w:space="0"/>
              <w:left w:val="nil"/>
              <w:bottom w:val="single" w:color="auto" w:sz="4" w:space="0"/>
              <w:right w:val="single" w:color="auto"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1．无明显黄土裸露，最大裸露块在0.4平方米</w:t>
            </w:r>
          </w:p>
          <w:p>
            <w:pPr>
              <w:rPr>
                <w:rFonts w:ascii="宋体" w:hAnsi="宋体" w:cs="宋体"/>
                <w:color w:val="auto"/>
                <w:szCs w:val="21"/>
                <w:highlight w:val="none"/>
              </w:rPr>
            </w:pPr>
            <w:r>
              <w:rPr>
                <w:rFonts w:hint="eastAsia" w:ascii="宋体" w:hAnsi="宋体" w:cs="宋体"/>
                <w:color w:val="auto"/>
                <w:szCs w:val="21"/>
                <w:highlight w:val="none"/>
              </w:rPr>
              <w:t>2．裸露面积在总面积的0.5%以下</w:t>
            </w:r>
          </w:p>
          <w:p>
            <w:pPr>
              <w:rPr>
                <w:rFonts w:ascii="宋体" w:hAnsi="宋体" w:cs="宋体"/>
                <w:color w:val="auto"/>
                <w:szCs w:val="21"/>
                <w:highlight w:val="none"/>
              </w:rPr>
            </w:pPr>
            <w:r>
              <w:rPr>
                <w:rFonts w:hint="eastAsia" w:ascii="宋体" w:hAnsi="宋体" w:cs="宋体"/>
                <w:color w:val="auto"/>
                <w:szCs w:val="21"/>
                <w:highlight w:val="none"/>
              </w:rPr>
              <w:t>3．缺株在0.5%以下</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10分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52" w:type="dxa"/>
            <w:vMerge w:val="continue"/>
            <w:tcBorders>
              <w:top w:val="nil"/>
              <w:left w:val="single" w:color="auto" w:sz="4" w:space="0"/>
              <w:bottom w:val="single" w:color="auto" w:sz="4" w:space="0"/>
              <w:right w:val="single" w:color="auto" w:sz="4" w:space="0"/>
            </w:tcBorders>
            <w:vAlign w:val="center"/>
          </w:tcPr>
          <w:p>
            <w:pPr>
              <w:rPr>
                <w:rFonts w:ascii="宋体" w:hAnsi="宋体" w:cs="宋体"/>
                <w:color w:val="auto"/>
                <w:szCs w:val="21"/>
                <w:highlight w:val="none"/>
              </w:rPr>
            </w:pPr>
          </w:p>
        </w:tc>
        <w:tc>
          <w:tcPr>
            <w:tcW w:w="1144"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防风排涝</w:t>
            </w:r>
          </w:p>
          <w:p>
            <w:pPr>
              <w:jc w:val="center"/>
              <w:rPr>
                <w:rFonts w:ascii="宋体" w:hAnsi="宋体" w:cs="宋体"/>
                <w:color w:val="auto"/>
                <w:szCs w:val="21"/>
                <w:highlight w:val="none"/>
              </w:rPr>
            </w:pPr>
            <w:r>
              <w:rPr>
                <w:rFonts w:hint="eastAsia" w:ascii="宋体" w:hAnsi="宋体" w:cs="宋体"/>
                <w:color w:val="auto"/>
                <w:szCs w:val="21"/>
                <w:highlight w:val="none"/>
              </w:rPr>
              <w:t>巡视看管</w:t>
            </w:r>
          </w:p>
        </w:tc>
        <w:tc>
          <w:tcPr>
            <w:tcW w:w="3725"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暴风雨过后12小时内</w:t>
            </w:r>
          </w:p>
          <w:p>
            <w:pPr>
              <w:rPr>
                <w:rFonts w:ascii="宋体" w:hAnsi="宋体" w:cs="宋体"/>
                <w:color w:val="auto"/>
                <w:szCs w:val="21"/>
                <w:highlight w:val="none"/>
              </w:rPr>
            </w:pPr>
            <w:r>
              <w:rPr>
                <w:rFonts w:hint="eastAsia" w:ascii="宋体" w:hAnsi="宋体" w:cs="宋体"/>
                <w:color w:val="auto"/>
                <w:szCs w:val="21"/>
                <w:highlight w:val="none"/>
              </w:rPr>
              <w:t>1．草地无1平方米以上的积水</w:t>
            </w:r>
          </w:p>
          <w:p>
            <w:pPr>
              <w:rPr>
                <w:rFonts w:ascii="宋体" w:hAnsi="宋体" w:cs="宋体"/>
                <w:color w:val="auto"/>
                <w:szCs w:val="21"/>
                <w:highlight w:val="none"/>
              </w:rPr>
            </w:pPr>
            <w:r>
              <w:rPr>
                <w:rFonts w:hint="eastAsia" w:ascii="宋体" w:hAnsi="宋体" w:cs="宋体"/>
                <w:color w:val="auto"/>
                <w:szCs w:val="21"/>
                <w:highlight w:val="none"/>
              </w:rPr>
              <w:t>2．树木无倒斜</w:t>
            </w:r>
          </w:p>
          <w:p>
            <w:pPr>
              <w:rPr>
                <w:rFonts w:ascii="宋体" w:hAnsi="宋体" w:cs="宋体"/>
                <w:color w:val="auto"/>
                <w:szCs w:val="21"/>
                <w:highlight w:val="none"/>
              </w:rPr>
            </w:pPr>
            <w:r>
              <w:rPr>
                <w:rFonts w:hint="eastAsia" w:ascii="宋体" w:hAnsi="宋体" w:cs="宋体"/>
                <w:color w:val="auto"/>
                <w:szCs w:val="21"/>
                <w:highlight w:val="none"/>
              </w:rPr>
              <w:t>3．断枝落叶在半天内处理</w:t>
            </w:r>
          </w:p>
        </w:tc>
        <w:tc>
          <w:tcPr>
            <w:tcW w:w="850"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10分</w:t>
            </w:r>
          </w:p>
        </w:tc>
        <w:tc>
          <w:tcPr>
            <w:tcW w:w="993" w:type="dxa"/>
            <w:tcBorders>
              <w:top w:val="single" w:color="auto" w:sz="4" w:space="0"/>
              <w:left w:val="nil"/>
              <w:bottom w:val="single" w:color="auto" w:sz="4" w:space="0"/>
              <w:right w:val="single" w:color="auto" w:sz="4" w:space="0"/>
            </w:tcBorders>
            <w:vAlign w:val="center"/>
          </w:tcPr>
          <w:p>
            <w:pPr>
              <w:jc w:val="center"/>
              <w:rPr>
                <w:rFonts w:ascii="宋体" w:hAnsi="宋体" w:cs="宋体"/>
                <w:color w:val="auto"/>
                <w:szCs w:val="21"/>
                <w:highlight w:val="none"/>
              </w:rPr>
            </w:pPr>
          </w:p>
        </w:tc>
      </w:tr>
    </w:tbl>
    <w:p>
      <w:pPr>
        <w:ind w:right="-1594" w:rightChars="-759" w:firstLine="420" w:firstLineChars="200"/>
        <w:rPr>
          <w:rFonts w:ascii="宋体" w:hAnsi="宋体" w:cs="宋体"/>
          <w:color w:val="auto"/>
          <w:szCs w:val="21"/>
          <w:highlight w:val="none"/>
        </w:rPr>
      </w:pPr>
      <w:r>
        <w:rPr>
          <w:rFonts w:hint="eastAsia" w:ascii="宋体" w:hAnsi="宋体" w:cs="宋体"/>
          <w:color w:val="auto"/>
          <w:szCs w:val="21"/>
          <w:highlight w:val="none"/>
        </w:rPr>
        <w:t>4）、综合服务月考核评分表</w:t>
      </w:r>
    </w:p>
    <w:tbl>
      <w:tblPr>
        <w:tblStyle w:val="44"/>
        <w:tblW w:w="8364"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52"/>
        <w:gridCol w:w="5369"/>
        <w:gridCol w:w="850"/>
        <w:gridCol w:w="9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考核项目</w:t>
            </w:r>
          </w:p>
        </w:tc>
        <w:tc>
          <w:tcPr>
            <w:tcW w:w="5369"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考核内容</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配分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restart"/>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p>
            <w:pPr>
              <w:rPr>
                <w:rFonts w:ascii="宋体" w:hAnsi="宋体" w:cs="宋体"/>
                <w:color w:val="auto"/>
                <w:szCs w:val="21"/>
                <w:highlight w:val="none"/>
              </w:rPr>
            </w:pPr>
          </w:p>
          <w:p>
            <w:pPr>
              <w:rPr>
                <w:rFonts w:ascii="宋体" w:hAnsi="宋体" w:cs="宋体"/>
                <w:color w:val="auto"/>
                <w:szCs w:val="21"/>
                <w:highlight w:val="none"/>
              </w:rPr>
            </w:pPr>
            <w:r>
              <w:rPr>
                <w:rFonts w:hint="eastAsia" w:ascii="宋体" w:hAnsi="宋体" w:cs="宋体"/>
                <w:color w:val="auto"/>
                <w:szCs w:val="21"/>
                <w:highlight w:val="none"/>
              </w:rPr>
              <w:t>仪容仪表、着装</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在岗时保持仪表端庄、仪容整洁、精神饱满；</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工作用具按规定摆放，干净、整齐，爱护器具</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不得在胸前或腰间挂钥匙等物品</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统一穿工作服，正确佩戴工作牌，服装合身、整洁（除特殊情况外，例如工作时刚刚沾染尘土、脏物等），无破损</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穿平底深色鞋袜，鞋袜干净无破损</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不得披衣、敞怀、挽裤腿，不得穿拖鞋或赤脚</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1152" w:type="dxa"/>
            <w:vMerge w:val="restart"/>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礼仪礼貌</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主动和服务对象微笑点头，或用礼貌用语和服务对象打招呼</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不得对服务对象有不文明行为或语言</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不得故意躲避服务对象或视而不见</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通道内或在狭窄的地方一律靠右行走</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1152" w:type="dxa"/>
            <w:vMerge w:val="restart"/>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工作纪律</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遵守办公区规章制度，不迟到、早退、窜岗、旷工，按岗设编，人员变动需及时补充，休假要调配好工作</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有紧急接待任务时必须随叫随到，做好一切工作</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vMerge w:val="continue"/>
            <w:tcBorders>
              <w:top w:val="nil"/>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p>
        </w:tc>
        <w:tc>
          <w:tcPr>
            <w:tcW w:w="5369"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遵守保密制度</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2分</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40" w:hRule="atLeast"/>
        </w:trPr>
        <w:tc>
          <w:tcPr>
            <w:tcW w:w="115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文印服务</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工作认真负责，对交代的任务能及时完成，对没有完成的任务导致业主单位工作不能开展的，每有一次扣1分，情况严重扣2分</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15</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1152"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校园设施设备的管理和维护</w:t>
            </w:r>
          </w:p>
        </w:tc>
        <w:tc>
          <w:tcPr>
            <w:tcW w:w="5369" w:type="dxa"/>
            <w:tcBorders>
              <w:top w:val="single" w:color="000000" w:sz="4" w:space="0"/>
              <w:left w:val="nil"/>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按照“校园设施设备的管理和维护”要求考核同时达到：</w:t>
            </w:r>
          </w:p>
          <w:p>
            <w:pPr>
              <w:rPr>
                <w:rFonts w:ascii="宋体" w:hAnsi="宋体" w:cs="宋体"/>
                <w:color w:val="auto"/>
                <w:szCs w:val="21"/>
                <w:highlight w:val="none"/>
              </w:rPr>
            </w:pPr>
            <w:r>
              <w:rPr>
                <w:rFonts w:hint="eastAsia" w:ascii="宋体" w:hAnsi="宋体" w:cs="宋体"/>
                <w:color w:val="auto"/>
                <w:szCs w:val="21"/>
                <w:highlight w:val="none"/>
              </w:rPr>
              <w:t>1、维修人员在接到报修后，急修在15分钟内到达现场，零修在30分钟内到达现场，对没有按照规定到达现场处理的，每发现一次扣2分。</w:t>
            </w:r>
          </w:p>
          <w:p>
            <w:pPr>
              <w:rPr>
                <w:rFonts w:ascii="宋体" w:hAnsi="宋体" w:cs="宋体"/>
                <w:color w:val="auto"/>
                <w:szCs w:val="21"/>
                <w:highlight w:val="none"/>
              </w:rPr>
            </w:pPr>
            <w:r>
              <w:rPr>
                <w:rFonts w:hint="eastAsia" w:ascii="宋体" w:hAnsi="宋体" w:cs="宋体"/>
                <w:color w:val="auto"/>
                <w:szCs w:val="21"/>
                <w:highlight w:val="none"/>
              </w:rPr>
              <w:t>2、对维修工作能处理的应及时处理，并做好记录，对不能处理的工作应及时上报主管单位，等待批示，对因个人原因导致工作延误的，每发现一次扣2分。</w:t>
            </w:r>
          </w:p>
        </w:tc>
        <w:tc>
          <w:tcPr>
            <w:tcW w:w="850"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50</w:t>
            </w:r>
          </w:p>
        </w:tc>
        <w:tc>
          <w:tcPr>
            <w:tcW w:w="99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bl>
    <w:p>
      <w:pPr>
        <w:ind w:right="-1594" w:rightChars="-759" w:firstLine="420" w:firstLineChars="200"/>
        <w:rPr>
          <w:rFonts w:ascii="宋体" w:hAnsi="宋体" w:cs="宋体"/>
          <w:color w:val="auto"/>
          <w:szCs w:val="21"/>
          <w:highlight w:val="none"/>
        </w:rPr>
      </w:pPr>
      <w:r>
        <w:rPr>
          <w:rFonts w:hint="eastAsia" w:ascii="宋体" w:hAnsi="宋体" w:cs="宋体"/>
          <w:color w:val="auto"/>
          <w:szCs w:val="21"/>
          <w:highlight w:val="none"/>
        </w:rPr>
        <w:t>5）、综合物管及服务月考核评分总表</w:t>
      </w:r>
    </w:p>
    <w:tbl>
      <w:tblPr>
        <w:tblStyle w:val="44"/>
        <w:tblW w:w="847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426"/>
        <w:gridCol w:w="1462"/>
        <w:gridCol w:w="1741"/>
        <w:gridCol w:w="18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426"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服务项目名称</w:t>
            </w:r>
          </w:p>
        </w:tc>
        <w:tc>
          <w:tcPr>
            <w:tcW w:w="1462"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得分</w:t>
            </w:r>
          </w:p>
        </w:tc>
        <w:tc>
          <w:tcPr>
            <w:tcW w:w="1741"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扣除服务费</w:t>
            </w:r>
          </w:p>
        </w:tc>
        <w:tc>
          <w:tcPr>
            <w:tcW w:w="184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426" w:type="dxa"/>
            <w:tcBorders>
              <w:top w:val="single" w:color="000000" w:sz="4" w:space="0"/>
              <w:left w:val="single" w:color="000000" w:sz="4" w:space="0"/>
              <w:bottom w:val="single" w:color="000000" w:sz="4" w:space="0"/>
              <w:right w:val="single" w:color="000000" w:sz="4" w:space="0"/>
            </w:tcBorders>
            <w:vAlign w:val="center"/>
          </w:tcPr>
          <w:p>
            <w:pPr>
              <w:rPr>
                <w:rFonts w:ascii="宋体" w:hAnsi="宋体" w:cs="宋体"/>
                <w:color w:val="auto"/>
                <w:szCs w:val="21"/>
                <w:highlight w:val="none"/>
              </w:rPr>
            </w:pPr>
            <w:r>
              <w:rPr>
                <w:rFonts w:hint="eastAsia" w:ascii="宋体" w:hAnsi="宋体" w:cs="宋体"/>
                <w:color w:val="auto"/>
                <w:szCs w:val="21"/>
                <w:highlight w:val="none"/>
              </w:rPr>
              <w:t>公共区域安保及秩序维护项目</w:t>
            </w:r>
          </w:p>
        </w:tc>
        <w:tc>
          <w:tcPr>
            <w:tcW w:w="1462"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1741"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184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426"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环境卫生维护项目</w:t>
            </w:r>
          </w:p>
        </w:tc>
        <w:tc>
          <w:tcPr>
            <w:tcW w:w="1462"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1741"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184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426"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绿化养护与管理项目</w:t>
            </w:r>
          </w:p>
        </w:tc>
        <w:tc>
          <w:tcPr>
            <w:tcW w:w="1462"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1741"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184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426"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综合服务项目</w:t>
            </w:r>
          </w:p>
        </w:tc>
        <w:tc>
          <w:tcPr>
            <w:tcW w:w="1462"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1741"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c>
          <w:tcPr>
            <w:tcW w:w="1843" w:type="dxa"/>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426"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扣除服务费总计</w:t>
            </w:r>
          </w:p>
        </w:tc>
        <w:tc>
          <w:tcPr>
            <w:tcW w:w="5046" w:type="dxa"/>
            <w:gridSpan w:val="3"/>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trPr>
        <w:tc>
          <w:tcPr>
            <w:tcW w:w="3426" w:type="dxa"/>
            <w:tcBorders>
              <w:top w:val="single" w:color="000000" w:sz="4" w:space="0"/>
              <w:left w:val="single" w:color="000000" w:sz="4" w:space="0"/>
              <w:bottom w:val="single" w:color="000000" w:sz="4" w:space="0"/>
              <w:right w:val="single" w:color="000000" w:sz="4" w:space="0"/>
            </w:tcBorders>
            <w:vAlign w:val="center"/>
          </w:tcPr>
          <w:p>
            <w:pPr>
              <w:jc w:val="center"/>
              <w:rPr>
                <w:rFonts w:ascii="宋体" w:hAnsi="宋体" w:cs="宋体"/>
                <w:color w:val="auto"/>
                <w:szCs w:val="21"/>
                <w:highlight w:val="none"/>
              </w:rPr>
            </w:pPr>
            <w:r>
              <w:rPr>
                <w:rFonts w:hint="eastAsia" w:ascii="宋体" w:hAnsi="宋体" w:cs="宋体"/>
                <w:color w:val="auto"/>
                <w:szCs w:val="21"/>
                <w:highlight w:val="none"/>
              </w:rPr>
              <w:t>综合得分（平均分）</w:t>
            </w:r>
          </w:p>
        </w:tc>
        <w:tc>
          <w:tcPr>
            <w:tcW w:w="5046" w:type="dxa"/>
            <w:gridSpan w:val="3"/>
            <w:tcBorders>
              <w:top w:val="single" w:color="000000" w:sz="4" w:space="0"/>
              <w:left w:val="nil"/>
              <w:bottom w:val="single" w:color="000000" w:sz="4" w:space="0"/>
              <w:right w:val="single" w:color="000000" w:sz="4" w:space="0"/>
            </w:tcBorders>
            <w:vAlign w:val="center"/>
          </w:tcPr>
          <w:p>
            <w:pPr>
              <w:jc w:val="center"/>
              <w:rPr>
                <w:rFonts w:ascii="宋体" w:hAnsi="宋体" w:cs="宋体"/>
                <w:color w:val="auto"/>
                <w:szCs w:val="21"/>
                <w:highlight w:val="none"/>
              </w:rPr>
            </w:pPr>
          </w:p>
        </w:tc>
      </w:tr>
    </w:tbl>
    <w:p>
      <w:pPr>
        <w:pStyle w:val="53"/>
        <w:rPr>
          <w:color w:val="auto"/>
          <w:highlight w:val="none"/>
        </w:rPr>
      </w:pPr>
    </w:p>
    <w:p>
      <w:pPr>
        <w:pStyle w:val="53"/>
        <w:rPr>
          <w:color w:val="auto"/>
          <w:highlight w:val="none"/>
        </w:rPr>
      </w:pPr>
    </w:p>
    <w:p>
      <w:pPr>
        <w:rPr>
          <w:color w:val="auto"/>
          <w:highlight w:val="none"/>
        </w:rPr>
        <w:sectPr>
          <w:pgSz w:w="11906" w:h="16838"/>
          <w:pgMar w:top="1440" w:right="1800" w:bottom="1440" w:left="1800" w:header="851" w:footer="992" w:gutter="0"/>
          <w:cols w:space="425" w:num="1"/>
          <w:docGrid w:type="lines" w:linePitch="312" w:charSpace="0"/>
        </w:sectPr>
      </w:pPr>
    </w:p>
    <w:p>
      <w:pPr>
        <w:rPr>
          <w:color w:val="auto"/>
          <w:highlight w:val="none"/>
        </w:rPr>
      </w:pPr>
    </w:p>
    <w:bookmarkEnd w:id="239"/>
    <w:bookmarkEnd w:id="240"/>
    <w:bookmarkEnd w:id="241"/>
    <w:bookmarkEnd w:id="242"/>
    <w:bookmarkEnd w:id="243"/>
    <w:p>
      <w:pPr>
        <w:pStyle w:val="3"/>
        <w:numPr>
          <w:ilvl w:val="0"/>
          <w:numId w:val="4"/>
        </w:numPr>
        <w:spacing w:before="0" w:after="0" w:line="360" w:lineRule="auto"/>
        <w:ind w:left="142" w:firstLine="0"/>
        <w:rPr>
          <w:color w:val="auto"/>
          <w:highlight w:val="none"/>
        </w:rPr>
      </w:pPr>
      <w:bookmarkStart w:id="264" w:name="_Toc7093"/>
      <w:bookmarkStart w:id="265" w:name="_Toc10524"/>
      <w:bookmarkStart w:id="266" w:name="_Toc1676"/>
      <w:bookmarkStart w:id="267" w:name="_Toc7800"/>
      <w:bookmarkStart w:id="268" w:name="_Toc5104"/>
      <w:r>
        <w:rPr>
          <w:rFonts w:hint="eastAsia"/>
          <w:color w:val="auto"/>
          <w:highlight w:val="none"/>
        </w:rPr>
        <w:t>资格性审查</w:t>
      </w:r>
      <w:bookmarkEnd w:id="264"/>
      <w:bookmarkEnd w:id="265"/>
      <w:bookmarkEnd w:id="266"/>
      <w:bookmarkEnd w:id="267"/>
      <w:bookmarkEnd w:id="268"/>
    </w:p>
    <w:p>
      <w:pPr>
        <w:tabs>
          <w:tab w:val="left" w:pos="851"/>
        </w:tabs>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资格性审查由采购人组建的资格审查小组依据法律法规和招标文件的规定，对高新区采购中心出具的</w:t>
      </w:r>
      <w:r>
        <w:rPr>
          <w:rFonts w:hint="eastAsia" w:ascii="宋体" w:hAnsi="宋体"/>
          <w:b/>
          <w:color w:val="auto"/>
          <w:sz w:val="28"/>
          <w:szCs w:val="28"/>
          <w:highlight w:val="none"/>
        </w:rPr>
        <w:t>《</w:t>
      </w:r>
      <w:r>
        <w:rPr>
          <w:rFonts w:hint="eastAsia" w:ascii="宋体" w:hAnsi="宋体"/>
          <w:color w:val="auto"/>
          <w:sz w:val="28"/>
          <w:szCs w:val="28"/>
          <w:highlight w:val="none"/>
        </w:rPr>
        <w:t>高新区</w:t>
      </w:r>
      <w:r>
        <w:rPr>
          <w:rFonts w:hint="eastAsia" w:ascii="宋体" w:hAnsi="宋体"/>
          <w:b/>
          <w:color w:val="auto"/>
          <w:sz w:val="28"/>
          <w:szCs w:val="28"/>
          <w:highlight w:val="none"/>
        </w:rPr>
        <w:t>政府采购项目供应商参与情况表》</w:t>
      </w:r>
      <w:r>
        <w:rPr>
          <w:rFonts w:hint="eastAsia" w:ascii="宋体" w:hAnsi="宋体"/>
          <w:color w:val="auto"/>
          <w:sz w:val="28"/>
          <w:szCs w:val="28"/>
          <w:highlight w:val="none"/>
        </w:rPr>
        <w:t>、投标文件中的资格证明等进行审查，以确定投标人是否具备投标资格，并出具资格性审查报告。</w:t>
      </w:r>
    </w:p>
    <w:p>
      <w:pPr>
        <w:tabs>
          <w:tab w:val="left" w:pos="851"/>
        </w:tabs>
        <w:spacing w:line="360" w:lineRule="auto"/>
        <w:ind w:firstLine="565" w:firstLineChars="202"/>
        <w:rPr>
          <w:rFonts w:ascii="宋体" w:hAnsi="宋体"/>
          <w:color w:val="auto"/>
          <w:sz w:val="28"/>
          <w:szCs w:val="28"/>
          <w:highlight w:val="none"/>
        </w:rPr>
      </w:pPr>
      <w:r>
        <w:rPr>
          <w:rFonts w:hint="eastAsia" w:ascii="宋体" w:hAnsi="宋体"/>
          <w:color w:val="auto"/>
          <w:sz w:val="28"/>
          <w:szCs w:val="28"/>
          <w:highlight w:val="none"/>
        </w:rPr>
        <w:t>资格性审查时因断电、断网、系统故障或其他不可抗力等因素，导致资格审查小组无法通过系统阅读投标文件进行审查的，待系统恢复后继续审查。出现上述情况时，高新区采购中心将以电子邮件形式通知各投标人。资格性审查标准见下表：</w:t>
      </w:r>
    </w:p>
    <w:tbl>
      <w:tblPr>
        <w:tblStyle w:val="44"/>
        <w:tblW w:w="85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700"/>
        <w:gridCol w:w="1197"/>
        <w:gridCol w:w="59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85" w:type="dxa"/>
            <w:gridSpan w:val="3"/>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b/>
                <w:color w:val="auto"/>
                <w:sz w:val="20"/>
                <w:highlight w:val="none"/>
              </w:rPr>
            </w:pPr>
            <w:r>
              <w:rPr>
                <w:b/>
                <w:color w:val="auto"/>
                <w:sz w:val="20"/>
                <w:highlight w:val="none"/>
              </w:rPr>
              <w:t>资格性审查项</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color w:val="auto"/>
                <w:sz w:val="20"/>
                <w:highlight w:val="none"/>
              </w:rPr>
            </w:pPr>
            <w:r>
              <w:rPr>
                <w:b/>
                <w:color w:val="auto"/>
                <w:sz w:val="20"/>
                <w:highlight w:val="none"/>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1</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在中华人民共和国境内依法登记注册，并有效存续具有独立法人资格的</w:t>
            </w:r>
            <w:r>
              <w:rPr>
                <w:rFonts w:hint="eastAsia"/>
                <w:color w:val="auto"/>
                <w:sz w:val="20"/>
                <w:highlight w:val="none"/>
              </w:rPr>
              <w:t>供应商</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营业执照复印件（正本或副本）或法人证书复印件（正本或副本）</w:t>
            </w:r>
            <w:r>
              <w:rPr>
                <w:rFonts w:hint="eastAsia"/>
                <w:color w:val="auto"/>
                <w:sz w:val="20"/>
                <w:highlight w:val="none"/>
              </w:rPr>
              <w:t>。</w:t>
            </w:r>
            <w:r>
              <w:rPr>
                <w:color w:val="auto"/>
                <w:sz w:val="20"/>
                <w:highlight w:val="none"/>
              </w:rPr>
              <w:t>【说明：</w:t>
            </w:r>
            <w:r>
              <w:rPr>
                <w:rFonts w:hint="eastAsia" w:ascii="宋体" w:hAnsi="宋体"/>
                <w:color w:val="auto"/>
                <w:sz w:val="20"/>
                <w:szCs w:val="28"/>
                <w:highlight w:val="none"/>
              </w:rPr>
              <w:t>①</w:t>
            </w:r>
            <w:r>
              <w:rPr>
                <w:color w:val="auto"/>
                <w:sz w:val="20"/>
                <w:highlight w:val="none"/>
              </w:rPr>
              <w:t>营业执照或法人证书载明有期限的，应在有效期限内；</w:t>
            </w:r>
            <w:r>
              <w:rPr>
                <w:rFonts w:hint="eastAsia" w:ascii="宋体" w:hAnsi="宋体"/>
                <w:color w:val="auto"/>
                <w:sz w:val="20"/>
                <w:szCs w:val="28"/>
                <w:highlight w:val="none"/>
              </w:rPr>
              <w:t>②</w:t>
            </w:r>
            <w:r>
              <w:rPr>
                <w:color w:val="auto"/>
                <w:sz w:val="20"/>
                <w:highlight w:val="none"/>
              </w:rPr>
              <w:t>在中华人民共和国境内注册，具有独立法人资格。】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restart"/>
            <w:tcBorders>
              <w:top w:val="single" w:color="auto" w:sz="2" w:space="0"/>
              <w:left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2</w:t>
            </w:r>
          </w:p>
        </w:tc>
        <w:tc>
          <w:tcPr>
            <w:tcW w:w="700" w:type="dxa"/>
            <w:vMerge w:val="restart"/>
            <w:tcBorders>
              <w:top w:val="single" w:color="auto" w:sz="2" w:space="0"/>
              <w:left w:val="single" w:color="auto" w:sz="2" w:space="0"/>
              <w:right w:val="single" w:color="auto" w:sz="4" w:space="0"/>
            </w:tcBorders>
            <w:vAlign w:val="center"/>
          </w:tcPr>
          <w:p>
            <w:pPr>
              <w:tabs>
                <w:tab w:val="left" w:pos="851"/>
              </w:tabs>
              <w:spacing w:line="360" w:lineRule="auto"/>
              <w:rPr>
                <w:color w:val="auto"/>
                <w:sz w:val="20"/>
                <w:highlight w:val="none"/>
              </w:rPr>
            </w:pPr>
            <w:r>
              <w:rPr>
                <w:rFonts w:hint="eastAsia"/>
                <w:color w:val="auto"/>
                <w:sz w:val="20"/>
                <w:highlight w:val="none"/>
              </w:rPr>
              <w:t>书面声明材料</w:t>
            </w: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具有良好的商业信誉的证明材料</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投标人具有良好的商业信誉的书面声明材料。【说明：</w:t>
            </w:r>
            <w:r>
              <w:rPr>
                <w:rFonts w:hint="eastAsia" w:ascii="宋体" w:hAnsi="宋体"/>
                <w:color w:val="auto"/>
                <w:sz w:val="20"/>
                <w:szCs w:val="28"/>
                <w:highlight w:val="none"/>
              </w:rPr>
              <w:t>①</w:t>
            </w:r>
            <w:r>
              <w:rPr>
                <w:rFonts w:hint="eastAsia"/>
                <w:color w:val="auto"/>
                <w:sz w:val="20"/>
                <w:highlight w:val="none"/>
              </w:rPr>
              <w:t>按招标文件第</w:t>
            </w:r>
            <w:r>
              <w:rPr>
                <w:color w:val="auto"/>
                <w:sz w:val="20"/>
                <w:highlight w:val="none"/>
              </w:rPr>
              <w:t>3</w:t>
            </w:r>
            <w:r>
              <w:rPr>
                <w:rFonts w:hint="eastAsia"/>
                <w:color w:val="auto"/>
                <w:sz w:val="20"/>
                <w:highlight w:val="none"/>
              </w:rPr>
              <w:t>章的内容及要求提供书面声明材料</w:t>
            </w:r>
            <w:r>
              <w:rPr>
                <w:rFonts w:hint="eastAsia" w:ascii="宋体" w:hAnsi="宋体"/>
                <w:color w:val="auto"/>
                <w:sz w:val="20"/>
                <w:szCs w:val="28"/>
                <w:highlight w:val="none"/>
              </w:rPr>
              <w:t>；②供应商具有良好的商业信誉</w:t>
            </w:r>
            <w:r>
              <w:rPr>
                <w:rFonts w:hint="eastAsia"/>
                <w:color w:val="auto"/>
                <w:sz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参加政府采购活动前三年内，在经营活动中没有重大违法记录</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1.</w:t>
            </w:r>
            <w:r>
              <w:rPr>
                <w:rFonts w:hint="eastAsia"/>
                <w:color w:val="auto"/>
                <w:sz w:val="20"/>
                <w:highlight w:val="none"/>
              </w:rPr>
              <w:t>投标人参加政府采购活动前三年内，在经营活动中没有重大违法记录的书面声明材料。【说明：</w:t>
            </w:r>
            <w:r>
              <w:rPr>
                <w:rFonts w:hint="eastAsia" w:ascii="宋体" w:hAnsi="宋体"/>
                <w:color w:val="auto"/>
                <w:sz w:val="20"/>
                <w:szCs w:val="28"/>
                <w:highlight w:val="none"/>
              </w:rPr>
              <w:t>①</w:t>
            </w:r>
            <w:r>
              <w:rPr>
                <w:rFonts w:hint="eastAsia"/>
                <w:color w:val="auto"/>
                <w:sz w:val="20"/>
                <w:highlight w:val="none"/>
              </w:rPr>
              <w:t>按第</w:t>
            </w:r>
            <w:r>
              <w:rPr>
                <w:color w:val="auto"/>
                <w:sz w:val="20"/>
                <w:highlight w:val="none"/>
              </w:rPr>
              <w:t>3</w:t>
            </w:r>
            <w:r>
              <w:rPr>
                <w:rFonts w:hint="eastAsia"/>
                <w:color w:val="auto"/>
                <w:sz w:val="20"/>
                <w:highlight w:val="none"/>
              </w:rPr>
              <w:t>章的内容及要求提供书面声明材料；</w:t>
            </w:r>
            <w:r>
              <w:rPr>
                <w:rFonts w:hint="eastAsia" w:ascii="宋体" w:hAnsi="宋体"/>
                <w:color w:val="auto"/>
                <w:sz w:val="20"/>
                <w:szCs w:val="28"/>
                <w:highlight w:val="none"/>
              </w:rPr>
              <w:t>②供应商参加政府采购活动前三年内，在经营活动中没有重大违法记录</w:t>
            </w:r>
            <w:r>
              <w:rPr>
                <w:rFonts w:hint="eastAsia"/>
                <w:color w:val="auto"/>
                <w:sz w:val="20"/>
                <w:highlight w:val="none"/>
              </w:rPr>
              <w:t>。】</w:t>
            </w:r>
          </w:p>
          <w:p>
            <w:pPr>
              <w:tabs>
                <w:tab w:val="left" w:pos="851"/>
              </w:tabs>
              <w:spacing w:line="360" w:lineRule="auto"/>
              <w:rPr>
                <w:color w:val="auto"/>
                <w:sz w:val="20"/>
                <w:highlight w:val="none"/>
              </w:rPr>
            </w:pPr>
            <w:r>
              <w:rPr>
                <w:color w:val="auto"/>
                <w:sz w:val="20"/>
                <w:highlight w:val="none"/>
              </w:rPr>
              <w:t xml:space="preserve">2. </w:t>
            </w:r>
            <w:r>
              <w:rPr>
                <w:rFonts w:hint="eastAsia"/>
                <w:color w:val="auto"/>
                <w:sz w:val="20"/>
                <w:highlight w:val="none"/>
              </w:rPr>
              <w:t>资格审查小组根据</w:t>
            </w:r>
            <w:r>
              <w:rPr>
                <w:color w:val="auto"/>
                <w:sz w:val="20"/>
                <w:highlight w:val="none"/>
              </w:rPr>
              <w:t>“</w:t>
            </w:r>
            <w:r>
              <w:rPr>
                <w:rFonts w:hint="eastAsia"/>
                <w:color w:val="auto"/>
                <w:sz w:val="20"/>
                <w:highlight w:val="none"/>
              </w:rPr>
              <w:t>信用中国</w:t>
            </w:r>
            <w:r>
              <w:rPr>
                <w:color w:val="auto"/>
                <w:sz w:val="20"/>
                <w:highlight w:val="none"/>
              </w:rPr>
              <w:t>”</w:t>
            </w:r>
            <w:r>
              <w:rPr>
                <w:rFonts w:hint="eastAsia"/>
                <w:color w:val="auto"/>
                <w:sz w:val="20"/>
                <w:highlight w:val="none"/>
              </w:rPr>
              <w:t>和</w:t>
            </w:r>
            <w:r>
              <w:rPr>
                <w:color w:val="auto"/>
                <w:sz w:val="20"/>
                <w:highlight w:val="none"/>
              </w:rPr>
              <w:t>“</w:t>
            </w:r>
            <w:r>
              <w:rPr>
                <w:rFonts w:hint="eastAsia"/>
                <w:color w:val="auto"/>
                <w:sz w:val="20"/>
                <w:highlight w:val="none"/>
              </w:rPr>
              <w:t>中国政府采购网</w:t>
            </w:r>
            <w:r>
              <w:rPr>
                <w:color w:val="auto"/>
                <w:sz w:val="20"/>
                <w:highlight w:val="none"/>
              </w:rPr>
              <w:t>”</w:t>
            </w:r>
            <w:r>
              <w:rPr>
                <w:rFonts w:hint="eastAsia"/>
                <w:color w:val="auto"/>
                <w:sz w:val="20"/>
                <w:highlight w:val="none"/>
              </w:rPr>
              <w:t>网站的查询结果，在资格审查期间对投标人在参加政府采购活动前三年内，在经营活动中是否有重大违法记录进行审查。【说明：投标人参加政府采购活动前三年内，在经营活动中没有重大违法记录。】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未被列入失信被执行人、重大税收违法案件当事人名单、政府采购严重违法失信行为记录名单</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1.</w:t>
            </w:r>
            <w:r>
              <w:rPr>
                <w:rFonts w:hint="eastAsia"/>
                <w:color w:val="auto"/>
                <w:sz w:val="20"/>
                <w:highlight w:val="none"/>
              </w:rPr>
              <w:t>投标人未列入失信被执行人、重大税收违法案件当事人名单、政府采购严重违法失信行为记录名单的书面声明材料。【说明：</w:t>
            </w:r>
            <w:r>
              <w:rPr>
                <w:rFonts w:hint="eastAsia" w:ascii="宋体" w:hAnsi="宋体"/>
                <w:color w:val="auto"/>
                <w:sz w:val="20"/>
                <w:szCs w:val="28"/>
                <w:highlight w:val="none"/>
              </w:rPr>
              <w:t>①</w:t>
            </w:r>
            <w:r>
              <w:rPr>
                <w:rFonts w:hint="eastAsia"/>
                <w:color w:val="auto"/>
                <w:sz w:val="20"/>
                <w:highlight w:val="none"/>
              </w:rPr>
              <w:t>投标人未列入失信被执行人、重大税收违法案件当事人名单、政府采购严重违法失信行为记录名单；</w:t>
            </w:r>
            <w:r>
              <w:rPr>
                <w:rFonts w:hint="eastAsia" w:ascii="宋体" w:hAnsi="宋体"/>
                <w:color w:val="auto"/>
                <w:sz w:val="20"/>
                <w:szCs w:val="28"/>
                <w:highlight w:val="none"/>
              </w:rPr>
              <w:t>②</w:t>
            </w:r>
            <w:r>
              <w:rPr>
                <w:rFonts w:hint="eastAsia"/>
                <w:color w:val="auto"/>
                <w:sz w:val="20"/>
                <w:highlight w:val="none"/>
              </w:rPr>
              <w:t>按第</w:t>
            </w:r>
            <w:r>
              <w:rPr>
                <w:color w:val="auto"/>
                <w:sz w:val="20"/>
                <w:highlight w:val="none"/>
              </w:rPr>
              <w:t>3</w:t>
            </w:r>
            <w:r>
              <w:rPr>
                <w:rFonts w:hint="eastAsia"/>
                <w:color w:val="auto"/>
                <w:sz w:val="20"/>
                <w:highlight w:val="none"/>
              </w:rPr>
              <w:t>章的内容及要求提供书面声明材料。】</w:t>
            </w:r>
          </w:p>
          <w:p>
            <w:pPr>
              <w:tabs>
                <w:tab w:val="left" w:pos="851"/>
              </w:tabs>
              <w:spacing w:line="360" w:lineRule="auto"/>
              <w:rPr>
                <w:color w:val="auto"/>
                <w:sz w:val="20"/>
                <w:highlight w:val="none"/>
              </w:rPr>
            </w:pPr>
            <w:r>
              <w:rPr>
                <w:color w:val="auto"/>
                <w:sz w:val="20"/>
                <w:highlight w:val="none"/>
              </w:rPr>
              <w:t xml:space="preserve">2. </w:t>
            </w:r>
            <w:r>
              <w:rPr>
                <w:rFonts w:hint="eastAsia"/>
                <w:color w:val="auto"/>
                <w:sz w:val="20"/>
                <w:highlight w:val="none"/>
              </w:rPr>
              <w:t>资格审查小组根据</w:t>
            </w:r>
            <w:r>
              <w:rPr>
                <w:color w:val="auto"/>
                <w:sz w:val="20"/>
                <w:highlight w:val="none"/>
              </w:rPr>
              <w:t>“</w:t>
            </w:r>
            <w:r>
              <w:rPr>
                <w:rFonts w:hint="eastAsia"/>
                <w:color w:val="auto"/>
                <w:sz w:val="20"/>
                <w:highlight w:val="none"/>
              </w:rPr>
              <w:t>信用中国</w:t>
            </w:r>
            <w:r>
              <w:rPr>
                <w:color w:val="auto"/>
                <w:sz w:val="20"/>
                <w:highlight w:val="none"/>
              </w:rPr>
              <w:t>”</w:t>
            </w:r>
            <w:r>
              <w:rPr>
                <w:rFonts w:hint="eastAsia"/>
                <w:color w:val="auto"/>
                <w:sz w:val="20"/>
                <w:highlight w:val="none"/>
              </w:rPr>
              <w:t>和</w:t>
            </w:r>
            <w:r>
              <w:rPr>
                <w:color w:val="auto"/>
                <w:sz w:val="20"/>
                <w:highlight w:val="none"/>
              </w:rPr>
              <w:t>“</w:t>
            </w:r>
            <w:r>
              <w:rPr>
                <w:rFonts w:hint="eastAsia"/>
                <w:color w:val="auto"/>
                <w:sz w:val="20"/>
                <w:highlight w:val="none"/>
              </w:rPr>
              <w:t>中国政府采购网</w:t>
            </w:r>
            <w:r>
              <w:rPr>
                <w:color w:val="auto"/>
                <w:sz w:val="20"/>
                <w:highlight w:val="none"/>
              </w:rPr>
              <w:t>”</w:t>
            </w:r>
            <w:r>
              <w:rPr>
                <w:rFonts w:hint="eastAsia"/>
                <w:color w:val="auto"/>
                <w:sz w:val="20"/>
                <w:highlight w:val="none"/>
              </w:rPr>
              <w:t>网站的查询结果，在资格审查期间对投标人在参加政府采购活动前三年内，在经营活动中是否被列入失信被执行人、重大税收违法案件当事人名单、政府采购严重违法失信行为记录名单进行审查。【说明：投标人未列入失信被执行人、重大税收违法案件当事人名单、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未处于被行政部门禁止参与政府采购活动的期限内</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投标人未处于被行政部门禁止参与政府采购活动的期限内。【说明：</w:t>
            </w:r>
            <w:r>
              <w:rPr>
                <w:rFonts w:hint="eastAsia" w:ascii="宋体" w:hAnsi="宋体"/>
                <w:color w:val="auto"/>
                <w:sz w:val="20"/>
                <w:szCs w:val="28"/>
                <w:highlight w:val="none"/>
              </w:rPr>
              <w:t>①</w:t>
            </w:r>
            <w:r>
              <w:rPr>
                <w:rFonts w:hint="eastAsia"/>
                <w:color w:val="auto"/>
                <w:sz w:val="20"/>
                <w:highlight w:val="none"/>
              </w:rPr>
              <w:t>按招标文件第</w:t>
            </w:r>
            <w:r>
              <w:rPr>
                <w:color w:val="auto"/>
                <w:sz w:val="20"/>
                <w:highlight w:val="none"/>
              </w:rPr>
              <w:t>3</w:t>
            </w:r>
            <w:r>
              <w:rPr>
                <w:rFonts w:hint="eastAsia"/>
                <w:color w:val="auto"/>
                <w:sz w:val="20"/>
                <w:highlight w:val="none"/>
              </w:rPr>
              <w:t>章的内容及要求提供书面声明材料</w:t>
            </w:r>
            <w:r>
              <w:rPr>
                <w:rFonts w:hint="eastAsia" w:ascii="宋体" w:hAnsi="宋体"/>
                <w:color w:val="auto"/>
                <w:sz w:val="20"/>
                <w:szCs w:val="28"/>
                <w:highlight w:val="none"/>
              </w:rPr>
              <w:t>；②供应商未处于被行政部门禁止参与政府采购活动的期限内。</w:t>
            </w:r>
            <w:r>
              <w:rPr>
                <w:rFonts w:hint="eastAsia"/>
                <w:color w:val="auto"/>
                <w:sz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行贿犯罪记录</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在行贿犯罪信息查询期限内，投标人及其现任法定代表人、主要负责人没有行贿犯罪记录的书面声明材料。【说明：</w:t>
            </w:r>
            <w:r>
              <w:rPr>
                <w:rFonts w:hint="eastAsia" w:ascii="宋体" w:hAnsi="宋体"/>
                <w:color w:val="auto"/>
                <w:sz w:val="20"/>
                <w:szCs w:val="28"/>
                <w:highlight w:val="none"/>
              </w:rPr>
              <w:t>①</w:t>
            </w:r>
            <w:r>
              <w:rPr>
                <w:rFonts w:hint="eastAsia"/>
                <w:color w:val="auto"/>
                <w:sz w:val="20"/>
                <w:highlight w:val="none"/>
              </w:rPr>
              <w:t>按招标文件第</w:t>
            </w:r>
            <w:r>
              <w:rPr>
                <w:color w:val="auto"/>
                <w:sz w:val="20"/>
                <w:highlight w:val="none"/>
              </w:rPr>
              <w:t>3</w:t>
            </w:r>
            <w:r>
              <w:rPr>
                <w:rFonts w:hint="eastAsia"/>
                <w:color w:val="auto"/>
                <w:sz w:val="20"/>
                <w:highlight w:val="none"/>
              </w:rPr>
              <w:t>章的内容及要求提供书面声明材料，投标文件中不需提供中国裁判文书网（</w:t>
            </w:r>
            <w:r>
              <w:rPr>
                <w:color w:val="auto"/>
                <w:sz w:val="20"/>
                <w:highlight w:val="none"/>
              </w:rPr>
              <w:t>https://wenshu.court.gov.cn</w:t>
            </w:r>
            <w:r>
              <w:rPr>
                <w:rFonts w:hint="eastAsia"/>
                <w:color w:val="auto"/>
                <w:sz w:val="20"/>
                <w:highlight w:val="none"/>
              </w:rPr>
              <w:t>）查询结果的证明材料；</w:t>
            </w:r>
            <w:r>
              <w:rPr>
                <w:rFonts w:hint="eastAsia" w:ascii="宋体" w:hAnsi="宋体"/>
                <w:color w:val="auto"/>
                <w:sz w:val="20"/>
                <w:szCs w:val="28"/>
                <w:highlight w:val="none"/>
              </w:rPr>
              <w:t>②在行贿犯罪信息查询期限内，供应商及其现任法定代表人、主要负责人没有行贿犯罪记录</w:t>
            </w:r>
            <w:r>
              <w:rPr>
                <w:rFonts w:hint="eastAsia"/>
                <w:color w:val="auto"/>
                <w:sz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bottom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单位负责人为同一人或者存在直接控股、管理关系的不同供应商，不得参加同一项目的投标</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与投标人负责人为同一人或者存在直接控股、管理关系的相关供应商的书面声明材料。【说明：①按招标文件第</w:t>
            </w:r>
            <w:r>
              <w:rPr>
                <w:color w:val="auto"/>
                <w:sz w:val="20"/>
                <w:highlight w:val="none"/>
              </w:rPr>
              <w:t>3</w:t>
            </w:r>
            <w:r>
              <w:rPr>
                <w:rFonts w:hint="eastAsia"/>
                <w:color w:val="auto"/>
                <w:sz w:val="20"/>
                <w:highlight w:val="none"/>
              </w:rPr>
              <w:t>章的内容及要求提供书面声明材料；②参加投标的供应商中无与投标人的负责人为同一人或者存在直接控股、管理关系的供应商。】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restart"/>
            <w:tcBorders>
              <w:left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3</w:t>
            </w:r>
          </w:p>
        </w:tc>
        <w:tc>
          <w:tcPr>
            <w:tcW w:w="700" w:type="dxa"/>
            <w:vMerge w:val="restart"/>
            <w:tcBorders>
              <w:left w:val="single" w:color="auto" w:sz="2" w:space="0"/>
              <w:right w:val="single" w:color="auto" w:sz="4" w:space="0"/>
            </w:tcBorders>
            <w:vAlign w:val="center"/>
          </w:tcPr>
          <w:p>
            <w:pPr>
              <w:tabs>
                <w:tab w:val="left" w:pos="851"/>
              </w:tabs>
              <w:spacing w:line="360" w:lineRule="auto"/>
              <w:rPr>
                <w:color w:val="auto"/>
                <w:sz w:val="20"/>
                <w:highlight w:val="none"/>
              </w:rPr>
            </w:pPr>
            <w:r>
              <w:rPr>
                <w:rFonts w:hint="eastAsia"/>
                <w:color w:val="auto"/>
                <w:sz w:val="20"/>
                <w:highlight w:val="none"/>
              </w:rPr>
              <w:t>其他</w:t>
            </w: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具有履行合同所必须的设备和专业技术能力</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采购人对投标人履行合同所必须的设备和专业技术能力无其他特殊要求，投标人具有有效的营业执照或法人证书</w:t>
            </w:r>
            <w:r>
              <w:rPr>
                <w:rFonts w:hint="eastAsia" w:ascii="宋体" w:hAnsi="宋体"/>
                <w:color w:val="auto"/>
                <w:sz w:val="20"/>
                <w:szCs w:val="28"/>
                <w:highlight w:val="none"/>
              </w:rPr>
              <w:t>即可，可不提供其他证明材料</w:t>
            </w:r>
            <w:r>
              <w:rPr>
                <w:rFonts w:hint="eastAsia"/>
                <w:color w:val="auto"/>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法律、行政法规规定的其他条件</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采购人对法律、行政法规规定的其他条件无其他特殊要求，投标人具有有效的营业执照或法人证书</w:t>
            </w:r>
            <w:r>
              <w:rPr>
                <w:rFonts w:hint="eastAsia" w:ascii="宋体" w:hAnsi="宋体"/>
                <w:color w:val="auto"/>
                <w:sz w:val="20"/>
                <w:szCs w:val="28"/>
                <w:highlight w:val="none"/>
              </w:rPr>
              <w:t>即可，可不提供其他证明材料</w:t>
            </w:r>
            <w:r>
              <w:rPr>
                <w:rFonts w:hint="eastAsia"/>
                <w:color w:val="auto"/>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不属于其他国家相关法律法规规定的禁止参加投标的供应商</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1</w:t>
            </w:r>
            <w:r>
              <w:rPr>
                <w:rFonts w:hint="eastAsia"/>
                <w:color w:val="auto"/>
                <w:sz w:val="20"/>
                <w:highlight w:val="none"/>
              </w:rPr>
              <w:t>、根据招标文件的要求不属于禁止参加投标或投标无效的供应商；</w:t>
            </w:r>
          </w:p>
          <w:p>
            <w:pPr>
              <w:tabs>
                <w:tab w:val="left" w:pos="851"/>
              </w:tabs>
              <w:spacing w:line="360" w:lineRule="auto"/>
              <w:rPr>
                <w:color w:val="auto"/>
                <w:sz w:val="20"/>
                <w:highlight w:val="none"/>
              </w:rPr>
            </w:pPr>
            <w:r>
              <w:rPr>
                <w:color w:val="auto"/>
                <w:sz w:val="20"/>
                <w:highlight w:val="none"/>
              </w:rPr>
              <w:t>2</w:t>
            </w:r>
            <w:r>
              <w:rPr>
                <w:rFonts w:hint="eastAsia"/>
                <w:color w:val="auto"/>
                <w:sz w:val="20"/>
                <w:highlight w:val="none"/>
              </w:rPr>
              <w:t>、资格审查小组未发现或者未知晓投标人存在属于国家相关法律法规规定的禁止参加投标或投标无效的供应商。</w:t>
            </w:r>
          </w:p>
          <w:p>
            <w:pPr>
              <w:tabs>
                <w:tab w:val="left" w:pos="851"/>
              </w:tabs>
              <w:spacing w:line="360" w:lineRule="auto"/>
              <w:rPr>
                <w:color w:val="auto"/>
                <w:sz w:val="20"/>
                <w:highlight w:val="none"/>
              </w:rPr>
            </w:pPr>
            <w:r>
              <w:rPr>
                <w:rFonts w:hint="eastAsia"/>
                <w:color w:val="auto"/>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联合体投标</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非联合体投标。【说明：无须提供证明材料，上传空白页即可，不对本项上传的材料作资格审查】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资质要求</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投标保证金</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投标文件解密情况</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ascii="宋体" w:hAnsi="宋体"/>
                <w:color w:val="auto"/>
                <w:sz w:val="20"/>
                <w:szCs w:val="28"/>
                <w:highlight w:val="none"/>
              </w:rPr>
              <w:t>除因断电、断网、系统故障或其他不可抗力等因素，导致系统无法使用外，投标文件已成功解密。</w:t>
            </w:r>
            <w:r>
              <w:rPr>
                <w:rFonts w:hint="eastAsia"/>
                <w:color w:val="auto"/>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投标文件签章</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投标文件加盖有投标人（法定名称）电子签章。【说明：无须提供证明材料，上传空白页即可，不对本项上传的材料作资格审查】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投标文件资格响应</w:t>
            </w:r>
            <w:r>
              <w:rPr>
                <w:color w:val="auto"/>
                <w:sz w:val="20"/>
                <w:highlight w:val="none"/>
              </w:rPr>
              <w:t>文件</w:t>
            </w:r>
            <w:r>
              <w:rPr>
                <w:rFonts w:hint="eastAsia"/>
                <w:color w:val="auto"/>
                <w:sz w:val="20"/>
                <w:highlight w:val="none"/>
              </w:rPr>
              <w:t>组成</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符合招标文件</w:t>
            </w:r>
            <w:r>
              <w:rPr>
                <w:color w:val="auto"/>
                <w:sz w:val="20"/>
                <w:highlight w:val="none"/>
              </w:rPr>
              <w:t>“2.4.6</w:t>
            </w:r>
            <w:r>
              <w:rPr>
                <w:rFonts w:hint="eastAsia"/>
                <w:color w:val="auto"/>
                <w:sz w:val="20"/>
                <w:highlight w:val="none"/>
              </w:rPr>
              <w:t>投标文件的组成</w:t>
            </w:r>
            <w:r>
              <w:rPr>
                <w:color w:val="auto"/>
                <w:sz w:val="20"/>
                <w:highlight w:val="none"/>
              </w:rPr>
              <w:t>”</w:t>
            </w:r>
            <w:r>
              <w:rPr>
                <w:rFonts w:hint="eastAsia"/>
                <w:color w:val="auto"/>
                <w:sz w:val="20"/>
                <w:highlight w:val="none"/>
              </w:rPr>
              <w:t>规定要求。【说明：无须提供证明材料，上传空白页即可，不对本项上传的材料作资格审查】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vMerge w:val="continue"/>
            <w:tcBorders>
              <w:left w:val="single" w:color="auto" w:sz="2" w:space="0"/>
              <w:right w:val="single" w:color="auto" w:sz="2" w:space="0"/>
            </w:tcBorders>
            <w:vAlign w:val="center"/>
          </w:tcPr>
          <w:p>
            <w:pPr>
              <w:tabs>
                <w:tab w:val="left" w:pos="851"/>
              </w:tabs>
              <w:spacing w:line="360" w:lineRule="auto"/>
              <w:rPr>
                <w:color w:val="auto"/>
                <w:sz w:val="20"/>
                <w:highlight w:val="none"/>
              </w:rPr>
            </w:pPr>
          </w:p>
        </w:tc>
        <w:tc>
          <w:tcPr>
            <w:tcW w:w="700" w:type="dxa"/>
            <w:vMerge w:val="continue"/>
            <w:tcBorders>
              <w:left w:val="single" w:color="auto" w:sz="2" w:space="0"/>
              <w:right w:val="single" w:color="auto" w:sz="4" w:space="0"/>
            </w:tcBorders>
            <w:vAlign w:val="center"/>
          </w:tcPr>
          <w:p>
            <w:pPr>
              <w:tabs>
                <w:tab w:val="left" w:pos="851"/>
              </w:tabs>
              <w:spacing w:line="360" w:lineRule="auto"/>
              <w:rPr>
                <w:color w:val="auto"/>
                <w:sz w:val="20"/>
                <w:highlight w:val="none"/>
              </w:rPr>
            </w:pPr>
          </w:p>
        </w:tc>
        <w:tc>
          <w:tcPr>
            <w:tcW w:w="1197" w:type="dxa"/>
            <w:tcBorders>
              <w:top w:val="single" w:color="auto" w:sz="2" w:space="0"/>
              <w:left w:val="single" w:color="auto" w:sz="4"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投标文件资格响应文件的语言</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语言符合招标文件的要求。【说明：无须提供证明材料，上传空白页即可，不对本项上传的材料作资格审查】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4</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具有健全的财务会计制度的证明材料</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20</w:t>
            </w:r>
            <w:r>
              <w:rPr>
                <w:rFonts w:hint="eastAsia"/>
                <w:color w:val="auto"/>
                <w:sz w:val="20"/>
                <w:highlight w:val="none"/>
              </w:rPr>
              <w:t>19或</w:t>
            </w:r>
            <w:r>
              <w:rPr>
                <w:color w:val="auto"/>
                <w:sz w:val="20"/>
                <w:highlight w:val="none"/>
              </w:rPr>
              <w:t>20</w:t>
            </w:r>
            <w:r>
              <w:rPr>
                <w:rFonts w:hint="eastAsia"/>
                <w:color w:val="auto"/>
                <w:sz w:val="20"/>
                <w:highlight w:val="none"/>
              </w:rPr>
              <w:t>20会计年度资产负债表复印件。【说明：投标人成立时间至投标截止时间止不足一年的，提供成立后任意时段的资产负债表复印件。】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5</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缴纳社会保障资金的证明材料</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投标人缴纳</w:t>
            </w:r>
            <w:r>
              <w:rPr>
                <w:color w:val="auto"/>
                <w:sz w:val="20"/>
                <w:highlight w:val="none"/>
              </w:rPr>
              <w:t>20</w:t>
            </w:r>
            <w:r>
              <w:rPr>
                <w:rFonts w:hint="eastAsia"/>
                <w:color w:val="auto"/>
                <w:sz w:val="20"/>
                <w:highlight w:val="none"/>
              </w:rPr>
              <w:t>20或</w:t>
            </w:r>
            <w:r>
              <w:rPr>
                <w:color w:val="auto"/>
                <w:sz w:val="20"/>
                <w:highlight w:val="none"/>
              </w:rPr>
              <w:t>20</w:t>
            </w:r>
            <w:r>
              <w:rPr>
                <w:rFonts w:hint="eastAsia"/>
                <w:color w:val="auto"/>
                <w:sz w:val="20"/>
                <w:highlight w:val="none"/>
              </w:rPr>
              <w:t>21年任意时段的社保的银行电子回单或行政部门出具的社保缴纳证明材料复印件。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color w:val="auto"/>
                <w:sz w:val="20"/>
                <w:highlight w:val="none"/>
              </w:rPr>
              <w:t>6</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缴纳税收的证明材料</w:t>
            </w:r>
          </w:p>
        </w:tc>
        <w:tc>
          <w:tcPr>
            <w:tcW w:w="5939"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color w:val="auto"/>
                <w:sz w:val="20"/>
                <w:highlight w:val="none"/>
              </w:rPr>
            </w:pPr>
            <w:r>
              <w:rPr>
                <w:rFonts w:hint="eastAsia"/>
                <w:color w:val="auto"/>
                <w:sz w:val="20"/>
                <w:highlight w:val="none"/>
              </w:rPr>
              <w:t>投标人缴纳</w:t>
            </w:r>
            <w:r>
              <w:rPr>
                <w:color w:val="auto"/>
                <w:sz w:val="20"/>
                <w:highlight w:val="none"/>
              </w:rPr>
              <w:t>20</w:t>
            </w:r>
            <w:r>
              <w:rPr>
                <w:rFonts w:hint="eastAsia"/>
                <w:color w:val="auto"/>
                <w:sz w:val="20"/>
                <w:highlight w:val="none"/>
              </w:rPr>
              <w:t>20或</w:t>
            </w:r>
            <w:r>
              <w:rPr>
                <w:color w:val="auto"/>
                <w:sz w:val="20"/>
                <w:highlight w:val="none"/>
              </w:rPr>
              <w:t>20</w:t>
            </w:r>
            <w:r>
              <w:rPr>
                <w:rFonts w:hint="eastAsia"/>
                <w:color w:val="auto"/>
                <w:sz w:val="20"/>
                <w:highlight w:val="none"/>
              </w:rPr>
              <w:t>21年任意时段的税收的银行电子回单或者行政部门出具的纳税证明或完税证明的复印件。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8"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color w:val="auto"/>
                <w:sz w:val="20"/>
                <w:highlight w:val="none"/>
              </w:rPr>
            </w:pPr>
            <w:r>
              <w:rPr>
                <w:color w:val="auto"/>
                <w:sz w:val="20"/>
                <w:highlight w:val="none"/>
              </w:rPr>
              <w:t>7</w:t>
            </w:r>
          </w:p>
        </w:tc>
        <w:tc>
          <w:tcPr>
            <w:tcW w:w="1897" w:type="dxa"/>
            <w:gridSpan w:val="2"/>
            <w:tcBorders>
              <w:top w:val="single" w:color="auto" w:sz="2" w:space="0"/>
              <w:left w:val="single" w:color="auto" w:sz="2" w:space="0"/>
              <w:bottom w:val="single" w:color="auto" w:sz="2" w:space="0"/>
              <w:right w:val="single" w:color="auto" w:sz="2" w:space="0"/>
            </w:tcBorders>
            <w:vAlign w:val="center"/>
          </w:tcPr>
          <w:p>
            <w:pPr>
              <w:spacing w:line="360" w:lineRule="auto"/>
              <w:rPr>
                <w:color w:val="auto"/>
                <w:sz w:val="20"/>
                <w:highlight w:val="none"/>
              </w:rPr>
            </w:pPr>
            <w:r>
              <w:rPr>
                <w:rFonts w:hint="eastAsia" w:ascii="宋体" w:hAnsi="宋体"/>
                <w:color w:val="auto"/>
                <w:sz w:val="20"/>
                <w:szCs w:val="28"/>
                <w:highlight w:val="none"/>
              </w:rPr>
              <w:t>本项目为专门面向中小企业采购项目，供应商提供的服务全部由符合政策要求的中小企业承接，监狱企业、残疾人福利性单位视同小型、微型企业</w:t>
            </w:r>
          </w:p>
        </w:tc>
        <w:tc>
          <w:tcPr>
            <w:tcW w:w="5939" w:type="dxa"/>
            <w:tcBorders>
              <w:top w:val="single" w:color="auto" w:sz="2" w:space="0"/>
              <w:left w:val="single" w:color="auto" w:sz="2" w:space="0"/>
              <w:bottom w:val="single" w:color="auto" w:sz="2" w:space="0"/>
              <w:right w:val="single" w:color="auto" w:sz="2" w:space="0"/>
            </w:tcBorders>
            <w:vAlign w:val="center"/>
          </w:tcPr>
          <w:p>
            <w:pPr>
              <w:spacing w:line="360" w:lineRule="auto"/>
              <w:rPr>
                <w:color w:val="auto"/>
                <w:sz w:val="20"/>
                <w:highlight w:val="none"/>
              </w:rPr>
            </w:pPr>
            <w:r>
              <w:rPr>
                <w:rFonts w:hint="eastAsia" w:ascii="宋体" w:hAnsi="宋体"/>
                <w:color w:val="auto"/>
                <w:sz w:val="20"/>
                <w:szCs w:val="28"/>
                <w:highlight w:val="none"/>
              </w:rPr>
              <w:t>中小企业声明函或残疾人福利性单位声明函或投标人属于监狱企业的证明文件复印件【说明：（1）投标人属于中小企业的应提供中小企业声明函，投标人属于残疾人福利性单位的应提供残疾人福利性单位声明函，投标人属于监狱企业的应提供省级以上监狱管理局、戒毒管理局（含新疆生产建设兵团）出具的投标人属于监狱企业的证明文件复印件；（2）投标人提供的服务全部由其所属行业的中型企业、小型企业或微型企业承接；（3）残疾人福利性单位、监狱企业视同为小型微型企业。】。</w:t>
            </w:r>
          </w:p>
        </w:tc>
      </w:tr>
    </w:tbl>
    <w:p>
      <w:pPr>
        <w:tabs>
          <w:tab w:val="left" w:pos="851"/>
        </w:tabs>
        <w:spacing w:line="360" w:lineRule="auto"/>
        <w:ind w:firstLine="560" w:firstLineChars="200"/>
        <w:rPr>
          <w:rFonts w:ascii="宋体" w:hAnsi="宋体"/>
          <w:color w:val="auto"/>
          <w:sz w:val="28"/>
          <w:szCs w:val="28"/>
          <w:highlight w:val="none"/>
        </w:rPr>
      </w:pPr>
      <w:r>
        <w:rPr>
          <w:rFonts w:hint="eastAsia" w:ascii="宋体" w:hAnsi="宋体"/>
          <w:color w:val="auto"/>
          <w:sz w:val="28"/>
          <w:szCs w:val="28"/>
          <w:highlight w:val="none"/>
        </w:rPr>
        <w:t>注：一、以上每一项结论均为“通过”的，则投标人的投标文件通过资格性审查；如有其中任意一项结论为“不通过”的，则投标人的投标文件按无效投标文件处理。如果资格审查小组认为投标人有任意一项不通过的，应在资格性审查报告中载明不通过的具体原因。</w:t>
      </w:r>
    </w:p>
    <w:p>
      <w:p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二、“信用中国”和“中国政府采购网”网站查询结果，将以纸质截图或将截图保存至电子介质的形式留存。</w:t>
      </w:r>
    </w:p>
    <w:p>
      <w:pPr>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三、投标人的投标文件资格性审查时被判定为无效的，高新区采购中心将通知投标人（以电话方式）。投标人如对资格审查结论有异议的，应及时向高新区采购中心反馈意见。高新区采购中心将及时告知资格审查小组。（说明：无论投标人是否收到通知或提供反馈意见，均不影响资格审查和评标工作，且高新区采购中心对此将不承担任何的责任。投标人对资格审查结论有异议的，其反馈意见仅限于资格审查小组对资格审查结论的正确性进行复核，避免出现审查错误。）</w:t>
      </w:r>
    </w:p>
    <w:p>
      <w:pPr>
        <w:ind w:firstLine="565" w:firstLineChars="202"/>
        <w:rPr>
          <w:color w:val="auto"/>
          <w:highlight w:val="none"/>
        </w:rPr>
      </w:pPr>
      <w:r>
        <w:rPr>
          <w:rFonts w:hint="eastAsia" w:ascii="宋体" w:hAnsi="宋体"/>
          <w:color w:val="auto"/>
          <w:sz w:val="28"/>
          <w:szCs w:val="28"/>
          <w:highlight w:val="none"/>
        </w:rPr>
        <w:t>四、通过资格性审查的供应商＜3名，采购失败。</w:t>
      </w:r>
    </w:p>
    <w:p>
      <w:pPr>
        <w:pStyle w:val="18"/>
        <w:rPr>
          <w:color w:val="auto"/>
          <w:highlight w:val="none"/>
        </w:rPr>
      </w:pPr>
    </w:p>
    <w:p>
      <w:pPr>
        <w:rPr>
          <w:color w:val="auto"/>
          <w:highlight w:val="none"/>
        </w:rPr>
      </w:pPr>
      <w:bookmarkStart w:id="269" w:name="_Toc12401"/>
      <w:bookmarkStart w:id="270" w:name="_Toc18121"/>
      <w:bookmarkStart w:id="271" w:name="_Toc16118"/>
      <w:bookmarkStart w:id="272" w:name="_Toc29184"/>
      <w:bookmarkStart w:id="273" w:name="_Toc11596"/>
      <w:r>
        <w:rPr>
          <w:rFonts w:hint="eastAsia"/>
          <w:color w:val="auto"/>
          <w:highlight w:val="none"/>
        </w:rPr>
        <w:br w:type="page"/>
      </w:r>
    </w:p>
    <w:p>
      <w:pPr>
        <w:pStyle w:val="3"/>
        <w:numPr>
          <w:ilvl w:val="0"/>
          <w:numId w:val="4"/>
        </w:numPr>
        <w:spacing w:before="0" w:after="0" w:line="360" w:lineRule="auto"/>
        <w:ind w:left="142" w:firstLine="0"/>
        <w:rPr>
          <w:color w:val="auto"/>
          <w:highlight w:val="none"/>
        </w:rPr>
      </w:pPr>
      <w:r>
        <w:rPr>
          <w:rFonts w:hint="eastAsia"/>
          <w:color w:val="auto"/>
          <w:highlight w:val="none"/>
        </w:rPr>
        <w:t>评标办法</w:t>
      </w:r>
      <w:bookmarkEnd w:id="269"/>
      <w:bookmarkEnd w:id="270"/>
      <w:bookmarkEnd w:id="271"/>
      <w:bookmarkEnd w:id="272"/>
      <w:bookmarkEnd w:id="273"/>
      <w:bookmarkStart w:id="274" w:name="_Toc183582280"/>
      <w:bookmarkStart w:id="275" w:name="_Toc217446097"/>
      <w:bookmarkStart w:id="276" w:name="_Toc183682415"/>
      <w:bookmarkStart w:id="277" w:name="_Toc208849007"/>
    </w:p>
    <w:p>
      <w:pPr>
        <w:pStyle w:val="4"/>
        <w:numPr>
          <w:ilvl w:val="1"/>
          <w:numId w:val="4"/>
        </w:numPr>
        <w:spacing w:before="0" w:after="0" w:line="560" w:lineRule="exact"/>
        <w:ind w:left="2269" w:hanging="2269"/>
        <w:rPr>
          <w:color w:val="auto"/>
          <w:highlight w:val="none"/>
        </w:rPr>
      </w:pPr>
      <w:bookmarkStart w:id="278" w:name="_Toc10788"/>
      <w:bookmarkStart w:id="279" w:name="_Toc12005"/>
      <w:bookmarkStart w:id="280" w:name="_Toc30790"/>
      <w:bookmarkStart w:id="281" w:name="_Toc13609"/>
      <w:bookmarkStart w:id="282" w:name="_Toc315871642"/>
      <w:bookmarkStart w:id="283" w:name="_Toc316292248"/>
      <w:bookmarkStart w:id="284" w:name="_Toc15264"/>
      <w:r>
        <w:rPr>
          <w:rFonts w:hint="eastAsia"/>
          <w:color w:val="auto"/>
          <w:highlight w:val="none"/>
        </w:rPr>
        <w:t>总则</w:t>
      </w:r>
      <w:bookmarkEnd w:id="274"/>
      <w:bookmarkEnd w:id="275"/>
      <w:bookmarkEnd w:id="276"/>
      <w:bookmarkEnd w:id="277"/>
      <w:bookmarkEnd w:id="278"/>
      <w:bookmarkEnd w:id="279"/>
      <w:bookmarkEnd w:id="280"/>
      <w:bookmarkEnd w:id="281"/>
      <w:bookmarkEnd w:id="282"/>
      <w:bookmarkEnd w:id="283"/>
      <w:bookmarkEnd w:id="284"/>
    </w:p>
    <w:p>
      <w:pPr>
        <w:numPr>
          <w:ilvl w:val="0"/>
          <w:numId w:val="50"/>
        </w:numPr>
        <w:tabs>
          <w:tab w:val="left" w:pos="1134"/>
        </w:tabs>
        <w:spacing w:after="200" w:line="560" w:lineRule="exact"/>
        <w:ind w:left="0" w:firstLine="565" w:firstLineChars="202"/>
        <w:jc w:val="left"/>
        <w:rPr>
          <w:rFonts w:ascii="宋体" w:hAnsi="宋体"/>
          <w:color w:val="auto"/>
          <w:sz w:val="28"/>
          <w:szCs w:val="28"/>
          <w:highlight w:val="none"/>
        </w:rPr>
      </w:pPr>
      <w:r>
        <w:rPr>
          <w:rFonts w:hint="eastAsia" w:ascii="宋体" w:hAnsi="宋体"/>
          <w:color w:val="auto"/>
          <w:sz w:val="28"/>
          <w:szCs w:val="28"/>
          <w:highlight w:val="none"/>
        </w:rPr>
        <w:t>根据《中华人民共和国政府采购法》、《中华人民共和国政府采购法实施条例》和《政府采购货物和服务招标投标管理办法》等法律规章，结合采购项目特点制定本评标办法。</w:t>
      </w:r>
    </w:p>
    <w:p>
      <w:pPr>
        <w:numPr>
          <w:ilvl w:val="0"/>
          <w:numId w:val="50"/>
        </w:numPr>
        <w:tabs>
          <w:tab w:val="left" w:pos="1134"/>
        </w:tabs>
        <w:spacing w:after="200" w:line="560" w:lineRule="exact"/>
        <w:ind w:left="0" w:firstLine="565" w:firstLineChars="202"/>
        <w:jc w:val="left"/>
        <w:rPr>
          <w:rFonts w:ascii="宋体" w:hAnsi="宋体"/>
          <w:color w:val="auto"/>
          <w:sz w:val="28"/>
          <w:szCs w:val="28"/>
          <w:highlight w:val="none"/>
        </w:rPr>
      </w:pPr>
      <w:r>
        <w:rPr>
          <w:rFonts w:hint="eastAsia" w:ascii="宋体" w:hAnsi="宋体"/>
          <w:color w:val="auto"/>
          <w:sz w:val="28"/>
          <w:szCs w:val="28"/>
          <w:highlight w:val="none"/>
        </w:rPr>
        <w:t>评标工作由高新区采购中心负责组织，具体评标事务由采购人或高新区采购中心依法组建的评标委员会负责。评标委员会由采购人代表和评审专家组成。</w:t>
      </w:r>
    </w:p>
    <w:p>
      <w:pPr>
        <w:numPr>
          <w:ilvl w:val="0"/>
          <w:numId w:val="50"/>
        </w:numPr>
        <w:tabs>
          <w:tab w:val="left" w:pos="1134"/>
        </w:tabs>
        <w:spacing w:after="200" w:line="560" w:lineRule="exact"/>
        <w:ind w:left="0" w:firstLine="565" w:firstLineChars="202"/>
        <w:jc w:val="left"/>
        <w:rPr>
          <w:rFonts w:ascii="宋体" w:hAnsi="宋体"/>
          <w:color w:val="auto"/>
          <w:sz w:val="28"/>
          <w:szCs w:val="28"/>
          <w:highlight w:val="none"/>
        </w:rPr>
      </w:pPr>
      <w:r>
        <w:rPr>
          <w:rFonts w:hint="eastAsia" w:ascii="宋体" w:hAnsi="宋体"/>
          <w:color w:val="auto"/>
          <w:sz w:val="28"/>
          <w:szCs w:val="28"/>
          <w:highlight w:val="none"/>
        </w:rPr>
        <w:t>评标工作应遵循公平、公正、科学及择优的原则，并以相同的评标程序和标准对待所有的投标人。</w:t>
      </w:r>
    </w:p>
    <w:p>
      <w:pPr>
        <w:numPr>
          <w:ilvl w:val="0"/>
          <w:numId w:val="50"/>
        </w:numPr>
        <w:tabs>
          <w:tab w:val="left" w:pos="1134"/>
        </w:tabs>
        <w:spacing w:after="200" w:line="560" w:lineRule="exact"/>
        <w:ind w:left="0" w:firstLine="565" w:firstLineChars="202"/>
        <w:jc w:val="left"/>
        <w:rPr>
          <w:rFonts w:ascii="宋体" w:hAnsi="宋体"/>
          <w:color w:val="auto"/>
          <w:sz w:val="28"/>
          <w:szCs w:val="28"/>
          <w:highlight w:val="none"/>
        </w:rPr>
      </w:pPr>
      <w:r>
        <w:rPr>
          <w:rFonts w:hint="eastAsia" w:ascii="宋体" w:hAnsi="宋体"/>
          <w:color w:val="auto"/>
          <w:sz w:val="28"/>
          <w:szCs w:val="28"/>
          <w:highlight w:val="none"/>
        </w:rPr>
        <w:t>评标委员会按照招标文件规定的评标程序、评标方法和标准进行独立评审，并独立履行下列职责：</w:t>
      </w:r>
    </w:p>
    <w:p>
      <w:pPr>
        <w:numPr>
          <w:ilvl w:val="1"/>
          <w:numId w:val="51"/>
        </w:numPr>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熟悉和理解招标文件；</w:t>
      </w:r>
    </w:p>
    <w:p>
      <w:pPr>
        <w:numPr>
          <w:ilvl w:val="1"/>
          <w:numId w:val="51"/>
        </w:numPr>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审查、评价投标文件是否符合招标文件的商务、技术等实质性要求；</w:t>
      </w:r>
    </w:p>
    <w:p>
      <w:pPr>
        <w:numPr>
          <w:ilvl w:val="1"/>
          <w:numId w:val="51"/>
        </w:numPr>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对投标文件进行比较和评价；</w:t>
      </w:r>
    </w:p>
    <w:p>
      <w:pPr>
        <w:numPr>
          <w:ilvl w:val="1"/>
          <w:numId w:val="51"/>
        </w:numPr>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根据需要要求采购人对招标文件作出解释；根据需要要求投标人对投标文件有关事项作出解释或者澄清；</w:t>
      </w:r>
    </w:p>
    <w:p>
      <w:pPr>
        <w:numPr>
          <w:ilvl w:val="1"/>
          <w:numId w:val="51"/>
        </w:numPr>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确定中标候选人名单，以及根据采购人委托直接确定中标人；</w:t>
      </w:r>
    </w:p>
    <w:p>
      <w:pPr>
        <w:numPr>
          <w:ilvl w:val="1"/>
          <w:numId w:val="51"/>
        </w:numPr>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起草评标报告并进行签署；</w:t>
      </w:r>
    </w:p>
    <w:p>
      <w:pPr>
        <w:numPr>
          <w:ilvl w:val="1"/>
          <w:numId w:val="51"/>
        </w:numPr>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向采购人、高新区采购中心或者财政、监察等有关部门报告或举报非法干预评标工作的行为；</w:t>
      </w:r>
    </w:p>
    <w:p>
      <w:pPr>
        <w:numPr>
          <w:ilvl w:val="1"/>
          <w:numId w:val="51"/>
        </w:numPr>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向采购人、</w:t>
      </w:r>
      <w:r>
        <w:rPr>
          <w:rFonts w:hint="eastAsia" w:cs="Arial"/>
          <w:color w:val="auto"/>
          <w:sz w:val="28"/>
          <w:szCs w:val="28"/>
          <w:highlight w:val="none"/>
        </w:rPr>
        <w:t>高新区采购中心</w:t>
      </w:r>
      <w:r>
        <w:rPr>
          <w:rFonts w:hint="eastAsia" w:ascii="宋体" w:hAnsi="宋体"/>
          <w:color w:val="auto"/>
          <w:sz w:val="28"/>
          <w:szCs w:val="28"/>
          <w:highlight w:val="none"/>
        </w:rPr>
        <w:t>或者有关部门报告评标中发现的违法行为。</w:t>
      </w:r>
    </w:p>
    <w:p>
      <w:pPr>
        <w:numPr>
          <w:ilvl w:val="1"/>
          <w:numId w:val="51"/>
        </w:numPr>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法律、法规和规章规定的其他职责。</w:t>
      </w:r>
    </w:p>
    <w:p>
      <w:pPr>
        <w:numPr>
          <w:ilvl w:val="0"/>
          <w:numId w:val="50"/>
        </w:numPr>
        <w:tabs>
          <w:tab w:val="left" w:pos="1134"/>
        </w:tabs>
        <w:spacing w:after="200" w:line="560" w:lineRule="exact"/>
        <w:ind w:left="0" w:firstLine="565" w:firstLineChars="202"/>
        <w:rPr>
          <w:rFonts w:ascii="宋体" w:hAnsi="宋体"/>
          <w:color w:val="auto"/>
          <w:sz w:val="28"/>
          <w:szCs w:val="28"/>
          <w:highlight w:val="none"/>
        </w:rPr>
      </w:pPr>
      <w:r>
        <w:rPr>
          <w:rFonts w:hint="eastAsia" w:ascii="宋体" w:hAnsi="宋体"/>
          <w:color w:val="auto"/>
          <w:sz w:val="28"/>
          <w:szCs w:val="28"/>
          <w:highlight w:val="none"/>
        </w:rPr>
        <w:t>评标过程独立、保密。投标人非法干预评标过程的行为将导致其投标文件作为无效处理。</w:t>
      </w:r>
    </w:p>
    <w:p>
      <w:pPr>
        <w:numPr>
          <w:ilvl w:val="0"/>
          <w:numId w:val="50"/>
        </w:numPr>
        <w:tabs>
          <w:tab w:val="left" w:pos="1134"/>
        </w:tabs>
        <w:spacing w:after="200" w:line="560" w:lineRule="exact"/>
        <w:ind w:left="0" w:firstLine="565" w:firstLineChars="202"/>
        <w:rPr>
          <w:rFonts w:ascii="宋体" w:hAnsi="宋体"/>
          <w:color w:val="auto"/>
          <w:sz w:val="28"/>
          <w:szCs w:val="28"/>
          <w:highlight w:val="none"/>
        </w:rPr>
      </w:pPr>
      <w:r>
        <w:rPr>
          <w:rFonts w:hint="eastAsia" w:ascii="宋体" w:hAnsi="宋体"/>
          <w:color w:val="auto"/>
          <w:sz w:val="28"/>
          <w:szCs w:val="28"/>
          <w:highlight w:val="none"/>
        </w:rPr>
        <w:t>评标委员会决定投标文件的响应性依据投标文件本身的内容，而不寻求外部的证据，招标文件有明确约定的除外。</w:t>
      </w:r>
    </w:p>
    <w:p>
      <w:pPr>
        <w:tabs>
          <w:tab w:val="left" w:pos="1134"/>
        </w:tabs>
        <w:spacing w:line="56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七、评标委员会发现招标文件表述不明确或需要说明的事项，可提请采购人和高新区采购中心书面解释说明。</w:t>
      </w:r>
    </w:p>
    <w:p>
      <w:pPr>
        <w:pStyle w:val="4"/>
        <w:numPr>
          <w:ilvl w:val="1"/>
          <w:numId w:val="4"/>
        </w:numPr>
        <w:spacing w:before="0" w:after="0" w:line="560" w:lineRule="exact"/>
        <w:ind w:left="2269" w:hanging="2269"/>
        <w:rPr>
          <w:color w:val="auto"/>
          <w:highlight w:val="none"/>
        </w:rPr>
      </w:pPr>
      <w:bookmarkStart w:id="285" w:name="_Toc3818"/>
      <w:bookmarkStart w:id="286" w:name="_Toc28274"/>
      <w:bookmarkStart w:id="287" w:name="_Toc22385"/>
      <w:bookmarkStart w:id="288" w:name="_Toc7423"/>
      <w:bookmarkStart w:id="289" w:name="_Toc29481"/>
      <w:bookmarkStart w:id="290" w:name="_Toc316292250"/>
      <w:bookmarkStart w:id="291" w:name="_Toc217446098"/>
      <w:bookmarkStart w:id="292" w:name="_Toc315871644"/>
      <w:r>
        <w:rPr>
          <w:rFonts w:hint="eastAsia"/>
          <w:color w:val="auto"/>
          <w:highlight w:val="none"/>
        </w:rPr>
        <w:t>评标方法</w:t>
      </w:r>
      <w:bookmarkEnd w:id="285"/>
      <w:bookmarkEnd w:id="286"/>
      <w:bookmarkEnd w:id="287"/>
      <w:bookmarkEnd w:id="288"/>
      <w:bookmarkEnd w:id="289"/>
    </w:p>
    <w:p>
      <w:pPr>
        <w:spacing w:line="560" w:lineRule="exact"/>
        <w:rPr>
          <w:color w:val="auto"/>
          <w:highlight w:val="none"/>
        </w:rPr>
      </w:pPr>
      <w:r>
        <w:rPr>
          <w:rFonts w:hint="eastAsia" w:ascii="宋体" w:hAnsi="宋体"/>
          <w:color w:val="auto"/>
          <w:sz w:val="28"/>
          <w:szCs w:val="28"/>
          <w:highlight w:val="none"/>
        </w:rPr>
        <w:t xml:space="preserve">  综合评分法。</w:t>
      </w:r>
    </w:p>
    <w:p>
      <w:pPr>
        <w:pStyle w:val="4"/>
        <w:numPr>
          <w:ilvl w:val="1"/>
          <w:numId w:val="4"/>
        </w:numPr>
        <w:spacing w:before="0" w:after="0" w:line="560" w:lineRule="exact"/>
        <w:ind w:left="2269" w:hanging="2269"/>
        <w:rPr>
          <w:color w:val="auto"/>
          <w:highlight w:val="none"/>
        </w:rPr>
      </w:pPr>
      <w:bookmarkStart w:id="293" w:name="_Toc10678"/>
      <w:bookmarkStart w:id="294" w:name="_Toc28055"/>
      <w:bookmarkStart w:id="295" w:name="_Toc30741"/>
      <w:bookmarkStart w:id="296" w:name="_Toc3207"/>
      <w:bookmarkStart w:id="297" w:name="_Toc6803"/>
      <w:r>
        <w:rPr>
          <w:rFonts w:hint="eastAsia"/>
          <w:color w:val="auto"/>
          <w:highlight w:val="none"/>
        </w:rPr>
        <w:t>评标程序</w:t>
      </w:r>
      <w:bookmarkEnd w:id="290"/>
      <w:bookmarkEnd w:id="291"/>
      <w:bookmarkEnd w:id="292"/>
      <w:bookmarkEnd w:id="293"/>
      <w:bookmarkEnd w:id="294"/>
      <w:bookmarkEnd w:id="295"/>
      <w:bookmarkEnd w:id="296"/>
      <w:bookmarkEnd w:id="297"/>
    </w:p>
    <w:p>
      <w:pPr>
        <w:pStyle w:val="5"/>
        <w:numPr>
          <w:ilvl w:val="2"/>
          <w:numId w:val="4"/>
        </w:numPr>
        <w:spacing w:after="200" w:line="560" w:lineRule="exact"/>
        <w:ind w:left="0" w:firstLine="0"/>
        <w:rPr>
          <w:color w:val="auto"/>
          <w:highlight w:val="none"/>
        </w:rPr>
      </w:pPr>
      <w:bookmarkStart w:id="298" w:name="_Toc316475650"/>
      <w:bookmarkEnd w:id="298"/>
      <w:bookmarkStart w:id="299" w:name="_Toc217446099"/>
      <w:r>
        <w:rPr>
          <w:rFonts w:hint="eastAsia"/>
          <w:color w:val="auto"/>
          <w:highlight w:val="none"/>
        </w:rPr>
        <w:t>符合性审查</w:t>
      </w:r>
    </w:p>
    <w:p>
      <w:pPr>
        <w:tabs>
          <w:tab w:val="left" w:pos="851"/>
        </w:tabs>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符合性审查由评标委员会依据招标文件的规定，从投标文件的有效性、完整性和对招标文件的响应程度进行审查，以确定是否对招标文件的实质性要求作出响应。在投标文件符合性审查过程中，如果出现评标委员会成员意见不一致的情况，按照少数服从多数的原则确定，但不得违背政府采购基本原则和招标文件规定。</w:t>
      </w:r>
    </w:p>
    <w:p>
      <w:pPr>
        <w:tabs>
          <w:tab w:val="left" w:pos="851"/>
        </w:tabs>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符合性审查标准见下表（按以下顺序审查）：</w:t>
      </w:r>
    </w:p>
    <w:tbl>
      <w:tblPr>
        <w:tblStyle w:val="44"/>
        <w:tblW w:w="8827" w:type="dxa"/>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1806"/>
        <w:gridCol w:w="62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b/>
                <w:color w:val="auto"/>
                <w:sz w:val="24"/>
                <w:szCs w:val="28"/>
                <w:highlight w:val="none"/>
              </w:rPr>
            </w:pPr>
            <w:r>
              <w:rPr>
                <w:rFonts w:hint="eastAsia" w:ascii="宋体" w:hAnsi="宋体"/>
                <w:b/>
                <w:color w:val="auto"/>
                <w:sz w:val="24"/>
                <w:szCs w:val="28"/>
                <w:highlight w:val="none"/>
              </w:rPr>
              <w:t>序号</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b/>
                <w:color w:val="auto"/>
                <w:sz w:val="24"/>
                <w:szCs w:val="28"/>
                <w:highlight w:val="none"/>
              </w:rPr>
            </w:pPr>
            <w:r>
              <w:rPr>
                <w:rFonts w:hint="eastAsia" w:ascii="宋体" w:hAnsi="宋体"/>
                <w:b/>
                <w:color w:val="auto"/>
                <w:sz w:val="24"/>
                <w:szCs w:val="28"/>
                <w:highlight w:val="none"/>
              </w:rPr>
              <w:t>符合性审查项</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ind w:firstLine="487" w:firstLineChars="202"/>
              <w:rPr>
                <w:rFonts w:ascii="宋体" w:hAnsi="宋体"/>
                <w:color w:val="auto"/>
                <w:sz w:val="24"/>
                <w:szCs w:val="28"/>
                <w:highlight w:val="none"/>
              </w:rPr>
            </w:pPr>
            <w:r>
              <w:rPr>
                <w:rFonts w:hint="eastAsia" w:ascii="宋体" w:hAnsi="宋体"/>
                <w:b/>
                <w:color w:val="auto"/>
                <w:sz w:val="24"/>
                <w:szCs w:val="28"/>
                <w:highlight w:val="none"/>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hint="eastAsia" w:ascii="宋体" w:hAnsi="宋体"/>
                <w:color w:val="auto"/>
                <w:sz w:val="24"/>
                <w:szCs w:val="28"/>
                <w:highlight w:val="none"/>
              </w:rPr>
              <w:t>1</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投标文件商务技术</w:t>
            </w:r>
            <w:r>
              <w:rPr>
                <w:rFonts w:ascii="宋体" w:hAnsi="宋体"/>
                <w:color w:val="auto"/>
                <w:sz w:val="24"/>
                <w:szCs w:val="28"/>
                <w:highlight w:val="none"/>
              </w:rPr>
              <w:t>响应文件</w:t>
            </w:r>
            <w:r>
              <w:rPr>
                <w:rFonts w:hint="eastAsia" w:ascii="宋体" w:hAnsi="宋体"/>
                <w:color w:val="auto"/>
                <w:sz w:val="24"/>
                <w:szCs w:val="28"/>
                <w:highlight w:val="none"/>
              </w:rPr>
              <w:t>及</w:t>
            </w:r>
            <w:r>
              <w:rPr>
                <w:rFonts w:ascii="宋体" w:hAnsi="宋体"/>
                <w:color w:val="auto"/>
                <w:sz w:val="24"/>
                <w:szCs w:val="28"/>
                <w:highlight w:val="none"/>
              </w:rPr>
              <w:t>报价要求响应文件</w:t>
            </w:r>
            <w:r>
              <w:rPr>
                <w:rFonts w:hint="eastAsia" w:ascii="宋体" w:hAnsi="宋体"/>
                <w:color w:val="auto"/>
                <w:sz w:val="24"/>
                <w:szCs w:val="28"/>
                <w:highlight w:val="none"/>
              </w:rPr>
              <w:t>组成</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符合招标文件“2.4.6投标文件的组成”规定要求。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hint="eastAsia" w:ascii="宋体" w:hAnsi="宋体"/>
                <w:color w:val="auto"/>
                <w:sz w:val="24"/>
                <w:szCs w:val="28"/>
                <w:highlight w:val="none"/>
              </w:rPr>
              <w:t xml:space="preserve">2 </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投标文件签章投标文件加盖有投标人（法定名称）电子签章。</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均按招标文件要求签章。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hint="eastAsia" w:ascii="宋体" w:hAnsi="宋体"/>
                <w:color w:val="auto"/>
                <w:sz w:val="24"/>
                <w:szCs w:val="28"/>
                <w:highlight w:val="none"/>
              </w:rPr>
              <w:t>3</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投标文件商务技术</w:t>
            </w:r>
            <w:r>
              <w:rPr>
                <w:rFonts w:ascii="宋体" w:hAnsi="宋体"/>
                <w:color w:val="auto"/>
                <w:sz w:val="24"/>
                <w:szCs w:val="28"/>
                <w:highlight w:val="none"/>
              </w:rPr>
              <w:t>响应文件</w:t>
            </w:r>
            <w:r>
              <w:rPr>
                <w:rFonts w:hint="eastAsia" w:ascii="宋体" w:hAnsi="宋体"/>
                <w:color w:val="auto"/>
                <w:sz w:val="24"/>
                <w:szCs w:val="28"/>
                <w:highlight w:val="none"/>
              </w:rPr>
              <w:t>的计量单位、语言、报价货币、投标有效期</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计量单位、语言、报价货币、投标有效期均符合招标文件的要求。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hint="eastAsia" w:ascii="宋体" w:hAnsi="宋体"/>
                <w:color w:val="auto"/>
                <w:sz w:val="24"/>
                <w:szCs w:val="28"/>
                <w:highlight w:val="none"/>
              </w:rPr>
              <w:t>4</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报价</w:t>
            </w:r>
            <w:r>
              <w:rPr>
                <w:rFonts w:ascii="宋体" w:hAnsi="宋体"/>
                <w:color w:val="auto"/>
                <w:sz w:val="24"/>
                <w:szCs w:val="28"/>
                <w:highlight w:val="none"/>
              </w:rPr>
              <w:t>要求响应文件</w:t>
            </w:r>
            <w:r>
              <w:rPr>
                <w:rFonts w:hint="eastAsia" w:ascii="宋体" w:hAnsi="宋体"/>
                <w:color w:val="auto"/>
                <w:sz w:val="24"/>
                <w:szCs w:val="28"/>
                <w:highlight w:val="none"/>
              </w:rPr>
              <w:t>的</w:t>
            </w:r>
            <w:r>
              <w:rPr>
                <w:rFonts w:ascii="宋体" w:hAnsi="宋体"/>
                <w:color w:val="auto"/>
                <w:sz w:val="24"/>
                <w:szCs w:val="28"/>
                <w:highlight w:val="none"/>
              </w:rPr>
              <w:t>计量单位、语言、报价货币</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计量单位、语言、报价货币均符合招标文件的要求。【说明：无须提供证明材料，上传空白页即可，不对本项上传的材料作符合性审查】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ascii="宋体" w:hAnsi="宋体"/>
                <w:color w:val="auto"/>
                <w:sz w:val="24"/>
                <w:szCs w:val="28"/>
                <w:highlight w:val="none"/>
              </w:rPr>
              <w:t>5</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投标报价</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开标记录、投标文件【注：（1）投标报价唯一（说明：投标报价出现下列情况的，按以下原则处理，并以修正后的价格作为投标人的投标报价：①投标文件中的大写金额和小写金额不一致的，以大写金额为准，但大写金额出现文字错误，导致金额无法判断的除外；</w:t>
            </w:r>
            <w:r>
              <w:rPr>
                <w:rFonts w:hint="eastAsia" w:ascii="宋体" w:hAnsi="宋体" w:cs="宋体"/>
                <w:color w:val="auto"/>
                <w:sz w:val="24"/>
                <w:szCs w:val="28"/>
                <w:highlight w:val="none"/>
              </w:rPr>
              <w:t>②</w:t>
            </w:r>
            <w:r>
              <w:rPr>
                <w:rFonts w:hint="eastAsia" w:ascii="宋体" w:hAnsi="宋体"/>
                <w:color w:val="auto"/>
                <w:sz w:val="24"/>
                <w:szCs w:val="28"/>
                <w:highlight w:val="none"/>
              </w:rPr>
              <w:t>单价金额小数点或者百分比有明显错位的，以总价为准，并修改单价；</w:t>
            </w:r>
            <w:r>
              <w:rPr>
                <w:rFonts w:hint="eastAsia" w:ascii="宋体" w:hAnsi="宋体" w:cs="宋体"/>
                <w:color w:val="auto"/>
                <w:sz w:val="24"/>
                <w:szCs w:val="28"/>
                <w:highlight w:val="none"/>
              </w:rPr>
              <w:t>③</w:t>
            </w:r>
            <w:r>
              <w:rPr>
                <w:rFonts w:hint="eastAsia" w:ascii="宋体" w:hAnsi="宋体"/>
                <w:color w:val="auto"/>
                <w:sz w:val="24"/>
                <w:szCs w:val="28"/>
                <w:highlight w:val="none"/>
              </w:rPr>
              <w:t>总价金额与按单价汇总金额不一致的，以单价金额计算结果为准；同时出现两种以上不一致的，按照前款规定的顺序修正。修正后的投标报价经投标人以书面形式通过政府采购云平台进行确认，并加盖投标人（法定名称）电子签章，投标人逾时确认的，其投标无效。（2）未超过招标文件规定的最高限价；（3）投标报价应包含本次招标要求的所有货物及服务的费用；（4）在评标过程中，评标委员会认为投标人投标报价明显低于其他通过符合性审查投标人的投标报价，有可能影响产品质量或者不能诚信履约的，评标委员会应当要求其在合理的时间内提供书面说明，必要时提交相关证明材料。（说明：①书面说明、相关证明材料（如涉及）加盖投标人（法定名称）章（电子签章），在评标委员会要求的时间内通过政府采购云平台进行递交；②投标人提供了书面说明、相关证明材料（如涉及），且能证明其投标报价合理性）。（</w:t>
            </w:r>
            <w:r>
              <w:rPr>
                <w:rFonts w:ascii="宋体" w:hAnsi="宋体"/>
                <w:color w:val="auto"/>
                <w:sz w:val="24"/>
                <w:szCs w:val="28"/>
                <w:highlight w:val="none"/>
              </w:rPr>
              <w:t>5）如因断电、断网、系统故障或其他不可抗力等因素，导致系统无法使用的，由投标人按评标委员会的要求进行澄清或者说明</w:t>
            </w:r>
            <w:r>
              <w:rPr>
                <w:rFonts w:hint="eastAsia" w:ascii="宋体" w:hAnsi="宋体"/>
                <w:color w:val="auto"/>
                <w:sz w:val="24"/>
                <w:szCs w:val="28"/>
                <w:highlight w:val="none"/>
              </w:rPr>
              <w:t>。（6）无须提供证明材料，上传空白页即可，不对本项上传的材料作符合性审查。】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ascii="宋体" w:hAnsi="宋体"/>
                <w:color w:val="auto"/>
                <w:sz w:val="24"/>
                <w:szCs w:val="28"/>
                <w:highlight w:val="none"/>
              </w:rPr>
              <w:t>6</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第4章打★号的服务、商务和其他要求</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投标文件均实质性响应招标文件中加★号的服务、商务和其他要求。【说明：无须提供证明材料，上传空白页即可，不对本项上传的材料作符合性审查】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ascii="宋体" w:hAnsi="宋体"/>
                <w:color w:val="auto"/>
                <w:sz w:val="24"/>
                <w:szCs w:val="28"/>
                <w:highlight w:val="none"/>
              </w:rPr>
              <w:t>7</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进口产品</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招标文件中未载明“允许采购进口产品”的产品，投标产品为国产产品。【说明：无须提供证明材料，上传空白页即可，不对本项上传的材料作符合性审查】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ascii="宋体" w:hAnsi="宋体"/>
                <w:color w:val="auto"/>
                <w:sz w:val="24"/>
                <w:szCs w:val="28"/>
                <w:highlight w:val="none"/>
              </w:rPr>
              <w:t>8</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不属于禁止参加投标或投标无效的供应商</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（1）根据招标文件的要求不属于禁止参加投标或投标无效的供应商；</w:t>
            </w:r>
          </w:p>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（2）评标委员会未发现或者未知晓投标人存在属于国家相关法律法规规定的禁止参加投标或投标无效的供应商。</w:t>
            </w:r>
          </w:p>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【说明：无须提供证明材料，上传空白页即可，不对本项上传的材料作符合性审查】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ascii="宋体" w:hAnsi="宋体"/>
                <w:color w:val="auto"/>
                <w:sz w:val="24"/>
                <w:szCs w:val="28"/>
                <w:highlight w:val="none"/>
              </w:rPr>
              <w:t>9</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法定代表人身份证复印件或护照复印件</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身份证复印件或护照复印件【注：法定代表人身份证复印件（身份证两面均应复印，在有效期内）或护照复印件（法定代表人为外籍人士的，按此提供）。】。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0"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jc w:val="center"/>
              <w:rPr>
                <w:rFonts w:ascii="宋体" w:hAnsi="宋体"/>
                <w:color w:val="auto"/>
                <w:sz w:val="24"/>
                <w:szCs w:val="28"/>
                <w:highlight w:val="none"/>
              </w:rPr>
            </w:pPr>
            <w:r>
              <w:rPr>
                <w:rFonts w:ascii="宋体" w:hAnsi="宋体"/>
                <w:color w:val="auto"/>
                <w:sz w:val="24"/>
                <w:szCs w:val="28"/>
                <w:highlight w:val="none"/>
              </w:rPr>
              <w:t>10</w:t>
            </w:r>
          </w:p>
        </w:tc>
        <w:tc>
          <w:tcPr>
            <w:tcW w:w="1806"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ascii="宋体" w:hAnsi="宋体"/>
                <w:color w:val="auto"/>
                <w:sz w:val="24"/>
                <w:szCs w:val="28"/>
                <w:highlight w:val="none"/>
              </w:rPr>
              <w:t>除资格性审查要求的证明材料外，招标文件要求提供的其他证明材料</w:t>
            </w:r>
          </w:p>
        </w:tc>
        <w:tc>
          <w:tcPr>
            <w:tcW w:w="6241" w:type="dxa"/>
            <w:tcBorders>
              <w:top w:val="single" w:color="auto" w:sz="2" w:space="0"/>
              <w:left w:val="single" w:color="auto" w:sz="2" w:space="0"/>
              <w:bottom w:val="single" w:color="auto" w:sz="2" w:space="0"/>
              <w:right w:val="single" w:color="auto" w:sz="2" w:space="0"/>
            </w:tcBorders>
            <w:vAlign w:val="center"/>
          </w:tcPr>
          <w:p>
            <w:pPr>
              <w:tabs>
                <w:tab w:val="left" w:pos="851"/>
              </w:tabs>
              <w:spacing w:line="360" w:lineRule="auto"/>
              <w:rPr>
                <w:rFonts w:ascii="宋体" w:hAnsi="宋体"/>
                <w:color w:val="auto"/>
                <w:sz w:val="24"/>
                <w:szCs w:val="28"/>
                <w:highlight w:val="none"/>
              </w:rPr>
            </w:pPr>
            <w:r>
              <w:rPr>
                <w:rFonts w:hint="eastAsia" w:cs="仿宋_GB2312" w:asciiTheme="minorEastAsia" w:hAnsiTheme="minorEastAsia" w:eastAsiaTheme="minorEastAsia"/>
                <w:color w:val="auto"/>
                <w:sz w:val="24"/>
                <w:szCs w:val="24"/>
                <w:highlight w:val="none"/>
              </w:rPr>
              <w:t>承诺函【说明：①按3.3.</w:t>
            </w:r>
            <w:r>
              <w:rPr>
                <w:rFonts w:hint="eastAsia" w:cs="仿宋_GB2312" w:asciiTheme="minorEastAsia" w:hAnsiTheme="minorEastAsia" w:eastAsiaTheme="minorEastAsia"/>
                <w:color w:val="auto"/>
                <w:sz w:val="24"/>
                <w:szCs w:val="24"/>
                <w:highlight w:val="none"/>
                <w:lang w:val="en-US" w:eastAsia="zh-CN"/>
              </w:rPr>
              <w:t>5</w:t>
            </w:r>
            <w:r>
              <w:rPr>
                <w:rFonts w:hint="eastAsia" w:cs="仿宋_GB2312" w:asciiTheme="minorEastAsia" w:hAnsiTheme="minorEastAsia" w:eastAsiaTheme="minorEastAsia"/>
                <w:color w:val="auto"/>
                <w:sz w:val="24"/>
                <w:szCs w:val="24"/>
                <w:highlight w:val="none"/>
              </w:rPr>
              <w:t>承诺函的格式及要求提供承诺函；②承诺的内容满足招标文件的要求。】。</w:t>
            </w:r>
          </w:p>
        </w:tc>
      </w:tr>
    </w:tbl>
    <w:p>
      <w:pPr>
        <w:tabs>
          <w:tab w:val="left" w:pos="851"/>
        </w:tabs>
        <w:spacing w:line="56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一、以上每一项结论均为“通过”的，则投标人的投标文件通过符合性审查；如有任意一项结论为“不通过”的，则投标人的投标文件按无效投标文件处理。如果评标委员会认为投标人有任意一项不通过的，应在符合性审查报告中载明不通过的具体原因。</w:t>
      </w:r>
    </w:p>
    <w:p>
      <w:pPr>
        <w:tabs>
          <w:tab w:val="left" w:pos="851"/>
        </w:tabs>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二、投标人的投标文件符合性审查时被判定为无效投标文件的，高新区采购中心将通知投标人（以电话方式）。投标人如对评审结论有异议的，应及时向高新区采购中心反馈意见。高新区采购中心在评审结束前将收到的反馈意见及时告知评标委员会。（说明：无论投标人是否收到通知或提供反馈意见，均不影响评标委员会的评标工作，且高新区采购中心对此将不承担任何的责任。投标人对评审结论有异议的，其反馈意见仅限于评标委员会对评审结论的正确性进行复核，避免出现评审错误。）</w:t>
      </w:r>
    </w:p>
    <w:p>
      <w:pPr>
        <w:tabs>
          <w:tab w:val="left" w:pos="851"/>
        </w:tabs>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三、通过符合性审查的供应商＜3名，本项目采购失败。</w:t>
      </w:r>
    </w:p>
    <w:p>
      <w:pPr>
        <w:pStyle w:val="5"/>
        <w:numPr>
          <w:ilvl w:val="2"/>
          <w:numId w:val="4"/>
        </w:numPr>
        <w:spacing w:after="200" w:line="560" w:lineRule="exact"/>
        <w:ind w:left="0" w:firstLine="0"/>
        <w:rPr>
          <w:color w:val="auto"/>
          <w:highlight w:val="none"/>
        </w:rPr>
      </w:pPr>
      <w:r>
        <w:rPr>
          <w:rFonts w:hint="eastAsia"/>
          <w:color w:val="auto"/>
          <w:highlight w:val="none"/>
        </w:rPr>
        <w:t>解释、澄清有关问题</w:t>
      </w:r>
    </w:p>
    <w:p>
      <w:pPr>
        <w:numPr>
          <w:ilvl w:val="0"/>
          <w:numId w:val="52"/>
        </w:numPr>
        <w:tabs>
          <w:tab w:val="left" w:pos="1134"/>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评标过程中，评标委员会认为招标文件有关事项表述不明确或需要说明的，可以提请高新区采购中心书面解释。高新区采购中心的解释不得改变招标文件的原义或者影响公平、公正，解释事项如果涉及投标人权益的以有利于投标人的原则进行解释。</w:t>
      </w:r>
    </w:p>
    <w:p>
      <w:pPr>
        <w:numPr>
          <w:ilvl w:val="0"/>
          <w:numId w:val="52"/>
        </w:numPr>
        <w:tabs>
          <w:tab w:val="left" w:pos="1134"/>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对投标文件中含义不明确、同类问题表述不一致或者有明显文字和计算错误的内容，评标委员会应当要求投标人作出必要的澄清、说明或补正，并给予投标人必要的反馈时间。投标人应当按评标委员会的要求进行澄清、说明或者补正。投标人的澄清、说明或者补正不得超出投标文件的范围或者改变投标文件的实质性内容。澄清不影响投标文件的效力，有效的澄清材料，是投标文件的组成部分。</w:t>
      </w:r>
    </w:p>
    <w:p>
      <w:pPr>
        <w:numPr>
          <w:ilvl w:val="0"/>
          <w:numId w:val="52"/>
        </w:numPr>
        <w:tabs>
          <w:tab w:val="left" w:pos="1134"/>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澄清应当不超出投标文件的范围、不实质性改变投标文件的内容、不影响投标人的公平竞争、不导致投标文件从不响应招标文件变为响应招标文件的条件。下列内容不得澄清：</w:t>
      </w:r>
    </w:p>
    <w:p>
      <w:pPr>
        <w:pStyle w:val="160"/>
        <w:numPr>
          <w:ilvl w:val="0"/>
          <w:numId w:val="53"/>
        </w:numPr>
        <w:tabs>
          <w:tab w:val="left" w:pos="1260"/>
        </w:tabs>
        <w:spacing w:after="200" w:line="560" w:lineRule="exact"/>
        <w:ind w:left="0" w:firstLine="525" w:firstLineChars="0"/>
        <w:rPr>
          <w:rFonts w:ascii="宋体" w:hAnsi="宋体"/>
          <w:color w:val="auto"/>
          <w:sz w:val="28"/>
          <w:szCs w:val="28"/>
          <w:highlight w:val="none"/>
        </w:rPr>
      </w:pPr>
      <w:r>
        <w:rPr>
          <w:rFonts w:hint="eastAsia" w:ascii="宋体" w:hAnsi="宋体"/>
          <w:color w:val="auto"/>
          <w:sz w:val="28"/>
          <w:szCs w:val="28"/>
          <w:highlight w:val="none"/>
        </w:rPr>
        <w:t>投标人投标文件中不响应招标文件规定的技术参数指标和商务应答；</w:t>
      </w:r>
    </w:p>
    <w:p>
      <w:pPr>
        <w:pStyle w:val="160"/>
        <w:numPr>
          <w:ilvl w:val="0"/>
          <w:numId w:val="53"/>
        </w:numPr>
        <w:tabs>
          <w:tab w:val="left" w:pos="1260"/>
        </w:tabs>
        <w:spacing w:after="200" w:line="560" w:lineRule="exact"/>
        <w:ind w:left="0" w:firstLine="525" w:firstLineChars="0"/>
        <w:rPr>
          <w:rFonts w:ascii="宋体" w:hAnsi="宋体"/>
          <w:color w:val="auto"/>
          <w:sz w:val="28"/>
          <w:szCs w:val="28"/>
          <w:highlight w:val="none"/>
        </w:rPr>
      </w:pPr>
      <w:r>
        <w:rPr>
          <w:rFonts w:hint="eastAsia" w:ascii="宋体" w:hAnsi="宋体"/>
          <w:color w:val="auto"/>
          <w:sz w:val="28"/>
          <w:szCs w:val="28"/>
          <w:highlight w:val="none"/>
        </w:rPr>
        <w:t>投标人投标文件中未提供的证明其是否符合招标文件资格性、符合性规定要求的相关材料。</w:t>
      </w:r>
    </w:p>
    <w:p>
      <w:pPr>
        <w:pStyle w:val="160"/>
        <w:numPr>
          <w:ilvl w:val="0"/>
          <w:numId w:val="53"/>
        </w:numPr>
        <w:tabs>
          <w:tab w:val="left" w:pos="1260"/>
        </w:tabs>
        <w:spacing w:after="200" w:line="560" w:lineRule="exact"/>
        <w:ind w:left="0" w:firstLine="525" w:firstLineChars="0"/>
        <w:rPr>
          <w:rFonts w:ascii="宋体" w:hAnsi="宋体"/>
          <w:color w:val="auto"/>
          <w:sz w:val="28"/>
          <w:szCs w:val="28"/>
          <w:highlight w:val="none"/>
        </w:rPr>
      </w:pPr>
      <w:r>
        <w:rPr>
          <w:rFonts w:hint="eastAsia" w:ascii="宋体" w:hAnsi="宋体"/>
          <w:color w:val="auto"/>
          <w:sz w:val="28"/>
          <w:szCs w:val="28"/>
          <w:highlight w:val="none"/>
        </w:rPr>
        <w:t>投标人投标文件中的材料因印刷、影印等不清晰而难以辨认的。</w:t>
      </w:r>
    </w:p>
    <w:p>
      <w:pPr>
        <w:numPr>
          <w:ilvl w:val="0"/>
          <w:numId w:val="52"/>
        </w:numPr>
        <w:tabs>
          <w:tab w:val="left" w:pos="1134"/>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投标文件报价出现下列情况的，不需要投标人澄清，按以下原则处理：</w:t>
      </w:r>
    </w:p>
    <w:p>
      <w:pPr>
        <w:pStyle w:val="160"/>
        <w:numPr>
          <w:ilvl w:val="0"/>
          <w:numId w:val="54"/>
        </w:numPr>
        <w:tabs>
          <w:tab w:val="left" w:pos="1050"/>
        </w:tabs>
        <w:spacing w:after="200" w:line="560" w:lineRule="exact"/>
        <w:ind w:left="0" w:firstLine="525" w:firstLineChars="0"/>
        <w:rPr>
          <w:rFonts w:ascii="宋体" w:hAnsi="宋体"/>
          <w:color w:val="auto"/>
          <w:sz w:val="28"/>
          <w:szCs w:val="28"/>
          <w:highlight w:val="none"/>
        </w:rPr>
      </w:pPr>
      <w:r>
        <w:rPr>
          <w:rFonts w:hint="eastAsia" w:ascii="宋体" w:hAnsi="宋体"/>
          <w:color w:val="auto"/>
          <w:sz w:val="28"/>
          <w:szCs w:val="28"/>
          <w:highlight w:val="none"/>
        </w:rPr>
        <w:t>大写金额和小写金额不一致的，以大写金额为准，但大写金额出现文字错误，导致金额无法判断的除外；</w:t>
      </w:r>
    </w:p>
    <w:p>
      <w:pPr>
        <w:pStyle w:val="160"/>
        <w:numPr>
          <w:ilvl w:val="0"/>
          <w:numId w:val="54"/>
        </w:numPr>
        <w:tabs>
          <w:tab w:val="left" w:pos="1050"/>
        </w:tabs>
        <w:spacing w:after="200" w:line="560" w:lineRule="exact"/>
        <w:ind w:left="0" w:firstLine="525" w:firstLineChars="0"/>
        <w:rPr>
          <w:rFonts w:ascii="宋体" w:hAnsi="宋体"/>
          <w:color w:val="auto"/>
          <w:sz w:val="28"/>
          <w:szCs w:val="28"/>
          <w:highlight w:val="none"/>
        </w:rPr>
      </w:pPr>
      <w:r>
        <w:rPr>
          <w:rFonts w:hint="eastAsia" w:ascii="宋体" w:hAnsi="宋体"/>
          <w:color w:val="auto"/>
          <w:sz w:val="28"/>
          <w:szCs w:val="28"/>
          <w:highlight w:val="none"/>
        </w:rPr>
        <w:t>单价金额小数点或者百分比有明显错位的，以总价为准，并修改单价；</w:t>
      </w:r>
    </w:p>
    <w:p>
      <w:pPr>
        <w:pStyle w:val="160"/>
        <w:numPr>
          <w:ilvl w:val="0"/>
          <w:numId w:val="54"/>
        </w:numPr>
        <w:tabs>
          <w:tab w:val="left" w:pos="1050"/>
        </w:tabs>
        <w:spacing w:after="200" w:line="560" w:lineRule="exact"/>
        <w:ind w:left="0" w:firstLine="525" w:firstLineChars="0"/>
        <w:rPr>
          <w:rFonts w:ascii="宋体" w:hAnsi="宋体"/>
          <w:color w:val="auto"/>
          <w:sz w:val="28"/>
          <w:szCs w:val="28"/>
          <w:highlight w:val="none"/>
        </w:rPr>
      </w:pPr>
      <w:r>
        <w:rPr>
          <w:rFonts w:hint="eastAsia" w:ascii="宋体" w:hAnsi="宋体"/>
          <w:color w:val="auto"/>
          <w:sz w:val="28"/>
          <w:szCs w:val="28"/>
          <w:highlight w:val="none"/>
        </w:rPr>
        <w:t>总价金额与按单价汇总金额不一致的，以单价金额计算结果为准。</w:t>
      </w:r>
    </w:p>
    <w:p>
      <w:pPr>
        <w:spacing w:line="560" w:lineRule="exact"/>
        <w:ind w:firstLine="560"/>
        <w:rPr>
          <w:color w:val="auto"/>
          <w:sz w:val="28"/>
          <w:szCs w:val="28"/>
          <w:highlight w:val="none"/>
        </w:rPr>
      </w:pPr>
      <w:r>
        <w:rPr>
          <w:rFonts w:hint="eastAsia"/>
          <w:color w:val="auto"/>
          <w:sz w:val="28"/>
          <w:szCs w:val="28"/>
          <w:highlight w:val="none"/>
        </w:rPr>
        <w:t>同时出现两种以上不一致的，按照前款规定的顺序修正。修正后的报价经投标人确认后产生约束力，投标人不确认的，其投标无效。</w:t>
      </w:r>
    </w:p>
    <w:p>
      <w:pPr>
        <w:spacing w:line="560" w:lineRule="exact"/>
        <w:ind w:firstLine="560" w:firstLineChars="200"/>
        <w:rPr>
          <w:color w:val="auto"/>
          <w:sz w:val="28"/>
          <w:szCs w:val="28"/>
          <w:highlight w:val="none"/>
        </w:rPr>
      </w:pPr>
      <w:r>
        <w:rPr>
          <w:rFonts w:hint="eastAsia"/>
          <w:color w:val="auto"/>
          <w:sz w:val="28"/>
          <w:szCs w:val="28"/>
          <w:highlight w:val="none"/>
        </w:rPr>
        <w:t>五、对不同语言文本投标文件的解释发生异议的，以中文文本为准。</w:t>
      </w:r>
    </w:p>
    <w:p>
      <w:pPr>
        <w:tabs>
          <w:tab w:val="left" w:pos="720"/>
        </w:tabs>
        <w:spacing w:line="560" w:lineRule="exact"/>
        <w:ind w:firstLine="560" w:firstLineChars="200"/>
        <w:rPr>
          <w:color w:val="auto"/>
          <w:sz w:val="28"/>
          <w:szCs w:val="28"/>
          <w:highlight w:val="none"/>
        </w:rPr>
      </w:pPr>
      <w:r>
        <w:rPr>
          <w:rFonts w:hint="eastAsia"/>
          <w:color w:val="auto"/>
          <w:sz w:val="28"/>
          <w:szCs w:val="28"/>
          <w:highlight w:val="none"/>
        </w:rPr>
        <w:t>六、评标结束之前，投标人应随时关注系统提示，及时通过“政府采购云平台”在线响应评标委员会发出的澄清、说明或补正要求，签章并确认提交成功。逾时回复将不能提交，视为投标人自行放弃，其损失由投标人承担。</w:t>
      </w:r>
    </w:p>
    <w:p>
      <w:pPr>
        <w:tabs>
          <w:tab w:val="left" w:pos="851"/>
        </w:tabs>
        <w:spacing w:line="560" w:lineRule="exact"/>
        <w:ind w:firstLine="551" w:firstLineChars="196"/>
        <w:rPr>
          <w:rFonts w:ascii="宋体" w:hAnsi="宋体"/>
          <w:b/>
          <w:color w:val="auto"/>
          <w:sz w:val="28"/>
          <w:szCs w:val="28"/>
          <w:highlight w:val="none"/>
        </w:rPr>
      </w:pPr>
      <w:r>
        <w:rPr>
          <w:rFonts w:hint="eastAsia" w:ascii="宋体" w:hAnsi="宋体"/>
          <w:b/>
          <w:color w:val="auto"/>
          <w:sz w:val="28"/>
          <w:szCs w:val="28"/>
          <w:highlight w:val="none"/>
        </w:rPr>
        <w:t>评标委员会应当积极履行澄清、说明或者更正的职责，不得滥用权力。</w:t>
      </w:r>
    </w:p>
    <w:p>
      <w:pPr>
        <w:pStyle w:val="5"/>
        <w:numPr>
          <w:ilvl w:val="2"/>
          <w:numId w:val="4"/>
        </w:numPr>
        <w:spacing w:after="200" w:line="560" w:lineRule="exact"/>
        <w:ind w:left="851"/>
        <w:rPr>
          <w:color w:val="auto"/>
          <w:highlight w:val="none"/>
        </w:rPr>
      </w:pPr>
      <w:bookmarkStart w:id="300" w:name="_Toc315871650"/>
      <w:bookmarkEnd w:id="300"/>
      <w:bookmarkStart w:id="301" w:name="_Toc315871652"/>
      <w:bookmarkEnd w:id="301"/>
      <w:bookmarkStart w:id="302" w:name="_Toc315871649"/>
      <w:bookmarkEnd w:id="302"/>
      <w:bookmarkStart w:id="303" w:name="_Toc315871651"/>
      <w:bookmarkEnd w:id="303"/>
      <w:bookmarkStart w:id="304" w:name="_Toc315871647"/>
      <w:bookmarkStart w:id="305" w:name="_Toc316292253"/>
      <w:bookmarkStart w:id="306" w:name="_Toc315871653"/>
      <w:bookmarkStart w:id="307" w:name="_Toc316292255"/>
      <w:r>
        <w:rPr>
          <w:rFonts w:hint="eastAsia"/>
          <w:color w:val="auto"/>
          <w:highlight w:val="none"/>
        </w:rPr>
        <w:t>比较与评价</w:t>
      </w:r>
      <w:bookmarkEnd w:id="304"/>
      <w:bookmarkEnd w:id="305"/>
    </w:p>
    <w:p>
      <w:pPr>
        <w:tabs>
          <w:tab w:val="left" w:pos="851"/>
        </w:tabs>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按招标文件中规定的评标细则及标准，对符合性检查合格的投标文件进行商务和服务评估，综合比较与评价。</w:t>
      </w:r>
    </w:p>
    <w:p>
      <w:pPr>
        <w:pStyle w:val="5"/>
        <w:numPr>
          <w:ilvl w:val="2"/>
          <w:numId w:val="4"/>
        </w:numPr>
        <w:spacing w:after="200" w:line="560" w:lineRule="exact"/>
        <w:ind w:left="0" w:firstLine="0"/>
        <w:rPr>
          <w:color w:val="auto"/>
          <w:highlight w:val="none"/>
        </w:rPr>
      </w:pPr>
      <w:r>
        <w:rPr>
          <w:rFonts w:hint="eastAsia"/>
          <w:color w:val="auto"/>
          <w:highlight w:val="none"/>
        </w:rPr>
        <w:t>复核</w:t>
      </w:r>
    </w:p>
    <w:p>
      <w:pPr>
        <w:tabs>
          <w:tab w:val="left" w:pos="851"/>
        </w:tabs>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评分汇总结束后，评标委员会应当进行复核，特别要对拟推荐为中标候选供应商的、报价最低的、投标文件被认定为无效的进行重点复核。</w:t>
      </w:r>
    </w:p>
    <w:p>
      <w:pPr>
        <w:tabs>
          <w:tab w:val="left" w:pos="851"/>
        </w:tabs>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评标结果汇总完成后，评标委员会拟出具评审报告前，</w:t>
      </w:r>
      <w:r>
        <w:rPr>
          <w:rFonts w:hint="eastAsia" w:cs="Arial"/>
          <w:color w:val="auto"/>
          <w:sz w:val="28"/>
          <w:szCs w:val="28"/>
          <w:highlight w:val="none"/>
        </w:rPr>
        <w:t>高新区采购中心</w:t>
      </w:r>
      <w:r>
        <w:rPr>
          <w:rFonts w:hint="eastAsia" w:ascii="宋体" w:hAnsi="宋体"/>
          <w:color w:val="auto"/>
          <w:sz w:val="28"/>
          <w:szCs w:val="28"/>
          <w:highlight w:val="none"/>
        </w:rPr>
        <w:t>应当组织2名以上的工作人员，在采购现场监督人员的监督之下，依据有关的法律制度和采购文件对评审结果进行复核，出具复核报告。</w:t>
      </w:r>
    </w:p>
    <w:p>
      <w:pPr>
        <w:tabs>
          <w:tab w:val="left" w:pos="851"/>
        </w:tabs>
        <w:spacing w:line="56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评标结果汇总完成后，除下列情形外，任何人不得修改评标结果：</w:t>
      </w:r>
    </w:p>
    <w:p>
      <w:pPr>
        <w:pStyle w:val="88"/>
        <w:numPr>
          <w:ilvl w:val="0"/>
          <w:numId w:val="55"/>
        </w:numPr>
        <w:tabs>
          <w:tab w:val="left" w:pos="851"/>
          <w:tab w:val="left" w:pos="1276"/>
        </w:tabs>
        <w:spacing w:after="200" w:line="560" w:lineRule="exact"/>
        <w:ind w:left="0" w:firstLine="424" w:firstLineChars="0"/>
        <w:rPr>
          <w:rFonts w:ascii="宋体" w:hAnsi="宋体"/>
          <w:color w:val="auto"/>
          <w:sz w:val="28"/>
          <w:szCs w:val="28"/>
          <w:highlight w:val="none"/>
        </w:rPr>
      </w:pPr>
      <w:r>
        <w:rPr>
          <w:rFonts w:hint="eastAsia" w:ascii="宋体" w:hAnsi="宋体"/>
          <w:color w:val="auto"/>
          <w:sz w:val="28"/>
          <w:szCs w:val="28"/>
          <w:highlight w:val="none"/>
        </w:rPr>
        <w:t>分值汇总计算错误的；</w:t>
      </w:r>
    </w:p>
    <w:p>
      <w:pPr>
        <w:pStyle w:val="88"/>
        <w:numPr>
          <w:ilvl w:val="0"/>
          <w:numId w:val="55"/>
        </w:numPr>
        <w:tabs>
          <w:tab w:val="left" w:pos="851"/>
          <w:tab w:val="left" w:pos="1276"/>
        </w:tabs>
        <w:spacing w:after="200" w:line="560" w:lineRule="exact"/>
        <w:ind w:left="0" w:firstLine="424" w:firstLineChars="0"/>
        <w:rPr>
          <w:rFonts w:ascii="宋体" w:hAnsi="宋体"/>
          <w:color w:val="auto"/>
          <w:sz w:val="28"/>
          <w:szCs w:val="28"/>
          <w:highlight w:val="none"/>
        </w:rPr>
      </w:pPr>
      <w:r>
        <w:rPr>
          <w:rFonts w:hint="eastAsia" w:ascii="宋体" w:hAnsi="宋体"/>
          <w:color w:val="auto"/>
          <w:sz w:val="28"/>
          <w:szCs w:val="28"/>
          <w:highlight w:val="none"/>
        </w:rPr>
        <w:t>分项评分超出评分标准范围的；</w:t>
      </w:r>
    </w:p>
    <w:p>
      <w:pPr>
        <w:pStyle w:val="88"/>
        <w:numPr>
          <w:ilvl w:val="0"/>
          <w:numId w:val="55"/>
        </w:numPr>
        <w:tabs>
          <w:tab w:val="left" w:pos="851"/>
          <w:tab w:val="left" w:pos="1276"/>
          <w:tab w:val="left" w:pos="1418"/>
        </w:tabs>
        <w:spacing w:after="200" w:line="560" w:lineRule="exact"/>
        <w:ind w:left="0" w:firstLine="424" w:firstLineChars="0"/>
        <w:rPr>
          <w:rFonts w:ascii="宋体" w:hAnsi="宋体"/>
          <w:color w:val="auto"/>
          <w:sz w:val="28"/>
          <w:szCs w:val="28"/>
          <w:highlight w:val="none"/>
        </w:rPr>
      </w:pPr>
      <w:r>
        <w:rPr>
          <w:rFonts w:hint="eastAsia" w:ascii="宋体" w:hAnsi="宋体"/>
          <w:color w:val="auto"/>
          <w:sz w:val="28"/>
          <w:szCs w:val="28"/>
          <w:highlight w:val="none"/>
        </w:rPr>
        <w:t>评标委员会成员对客观评审因素评分不一致的；</w:t>
      </w:r>
    </w:p>
    <w:p>
      <w:pPr>
        <w:pStyle w:val="88"/>
        <w:numPr>
          <w:ilvl w:val="0"/>
          <w:numId w:val="55"/>
        </w:numPr>
        <w:tabs>
          <w:tab w:val="left" w:pos="851"/>
          <w:tab w:val="left" w:pos="1276"/>
        </w:tabs>
        <w:spacing w:after="200" w:line="560" w:lineRule="exact"/>
        <w:ind w:left="0" w:firstLine="426" w:firstLineChars="0"/>
        <w:rPr>
          <w:rFonts w:ascii="宋体" w:hAnsi="宋体"/>
          <w:color w:val="auto"/>
          <w:sz w:val="28"/>
          <w:szCs w:val="28"/>
          <w:highlight w:val="none"/>
        </w:rPr>
      </w:pPr>
      <w:r>
        <w:rPr>
          <w:rFonts w:hint="eastAsia" w:ascii="宋体" w:hAnsi="宋体"/>
          <w:color w:val="auto"/>
          <w:sz w:val="28"/>
          <w:szCs w:val="28"/>
          <w:highlight w:val="none"/>
        </w:rPr>
        <w:t>经评标委员会认定评分畸高、畸低的。</w:t>
      </w:r>
    </w:p>
    <w:p>
      <w:pPr>
        <w:tabs>
          <w:tab w:val="left" w:pos="851"/>
        </w:tabs>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评标报告签署前，经复核发现存在以上情形之一的，评标委员会应当当场修改评标结果，并在评标报告中记载；评标报告签署后，采购人或者集中机构发现存在以上情形之一的，应当组织原评标委员会进行重新评审，重新评审改变评标结果的，书面报告本级财政部门。</w:t>
      </w:r>
    </w:p>
    <w:p>
      <w:pPr>
        <w:pStyle w:val="5"/>
        <w:numPr>
          <w:ilvl w:val="2"/>
          <w:numId w:val="4"/>
        </w:numPr>
        <w:spacing w:after="200" w:line="560" w:lineRule="exact"/>
        <w:ind w:left="0" w:firstLine="0"/>
        <w:rPr>
          <w:color w:val="auto"/>
          <w:highlight w:val="none"/>
        </w:rPr>
      </w:pPr>
      <w:r>
        <w:rPr>
          <w:rFonts w:hint="eastAsia"/>
          <w:color w:val="auto"/>
          <w:highlight w:val="none"/>
        </w:rPr>
        <w:t>确定中标候选人名单</w:t>
      </w:r>
    </w:p>
    <w:p>
      <w:pPr>
        <w:tabs>
          <w:tab w:val="left" w:pos="851"/>
        </w:tabs>
        <w:spacing w:line="560" w:lineRule="exact"/>
        <w:ind w:firstLine="565" w:firstLineChars="202"/>
        <w:rPr>
          <w:rFonts w:ascii="宋体" w:hAnsi="宋体"/>
          <w:color w:val="auto"/>
          <w:sz w:val="28"/>
          <w:szCs w:val="28"/>
          <w:highlight w:val="none"/>
        </w:rPr>
      </w:pPr>
      <w:r>
        <w:rPr>
          <w:rFonts w:hint="eastAsia" w:ascii="宋体" w:hAnsi="宋体"/>
          <w:color w:val="auto"/>
          <w:sz w:val="28"/>
          <w:szCs w:val="28"/>
          <w:highlight w:val="none"/>
        </w:rPr>
        <w:t>按投标人综合得分从高到低进行排序，确定1至3名中标候选人。综合得分相同的，按投标报价由低到高顺序排列，得分且投标报价相同的并列。</w:t>
      </w:r>
      <w:r>
        <w:rPr>
          <w:rFonts w:hint="eastAsia" w:ascii="Helvetica" w:hAnsi="Helvetica" w:cs="Helvetica"/>
          <w:color w:val="auto"/>
          <w:kern w:val="0"/>
          <w:sz w:val="28"/>
          <w:szCs w:val="28"/>
          <w:highlight w:val="none"/>
        </w:rPr>
        <w:t>投标文件满足招标文件全部实质性要求，且按照评审因素的量化指标评审得分最高的投标人为排名第一的中标候选人。</w:t>
      </w:r>
    </w:p>
    <w:p>
      <w:pPr>
        <w:pStyle w:val="5"/>
        <w:numPr>
          <w:ilvl w:val="2"/>
          <w:numId w:val="4"/>
        </w:numPr>
        <w:spacing w:after="200" w:line="560" w:lineRule="exact"/>
        <w:ind w:left="0" w:firstLine="0"/>
        <w:rPr>
          <w:color w:val="auto"/>
          <w:highlight w:val="none"/>
        </w:rPr>
      </w:pPr>
      <w:r>
        <w:rPr>
          <w:rFonts w:hint="eastAsia"/>
          <w:color w:val="auto"/>
          <w:highlight w:val="none"/>
        </w:rPr>
        <w:t>编写评标报告</w:t>
      </w:r>
      <w:bookmarkEnd w:id="306"/>
      <w:bookmarkEnd w:id="307"/>
    </w:p>
    <w:p>
      <w:pPr>
        <w:spacing w:line="56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评标报告是评标委员会根据全体评标成员签字的原始评标记录和评标结果编写的报告，其主要内容包括：</w:t>
      </w:r>
    </w:p>
    <w:p>
      <w:pPr>
        <w:numPr>
          <w:ilvl w:val="0"/>
          <w:numId w:val="56"/>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招标公告刊登的媒体名称、开标日期和地点；</w:t>
      </w:r>
    </w:p>
    <w:p>
      <w:pPr>
        <w:numPr>
          <w:ilvl w:val="0"/>
          <w:numId w:val="56"/>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投标人名单和评标委员会成员名单；</w:t>
      </w:r>
    </w:p>
    <w:p>
      <w:pPr>
        <w:numPr>
          <w:ilvl w:val="0"/>
          <w:numId w:val="56"/>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评标方法和标准；</w:t>
      </w:r>
    </w:p>
    <w:p>
      <w:pPr>
        <w:numPr>
          <w:ilvl w:val="0"/>
          <w:numId w:val="56"/>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开标记录和评标情况及说明，包括投标无效投标人名单及原因；</w:t>
      </w:r>
    </w:p>
    <w:p>
      <w:pPr>
        <w:numPr>
          <w:ilvl w:val="0"/>
          <w:numId w:val="56"/>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评标结果，确定的中标候选人名单或者经采购人委托直接确定的中标人；</w:t>
      </w:r>
    </w:p>
    <w:p>
      <w:pPr>
        <w:numPr>
          <w:ilvl w:val="0"/>
          <w:numId w:val="56"/>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 xml:space="preserve">其他需要说明的情况，包括评标过程中投标人根据评标委员会要求进行的澄清、说明或者补正，评标委员会成员的更换等； </w:t>
      </w:r>
    </w:p>
    <w:p>
      <w:pPr>
        <w:numPr>
          <w:ilvl w:val="0"/>
          <w:numId w:val="56"/>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报价最高的投标人为中标候选人的，评标委员会应当对其报价的合理性予以特别说明。</w:t>
      </w:r>
    </w:p>
    <w:p>
      <w:pPr>
        <w:tabs>
          <w:tab w:val="left" w:pos="1155"/>
        </w:tabs>
        <w:spacing w:line="560" w:lineRule="exact"/>
        <w:ind w:firstLine="523" w:firstLineChars="187"/>
        <w:rPr>
          <w:rFonts w:ascii="宋体" w:hAnsi="宋体"/>
          <w:color w:val="auto"/>
          <w:sz w:val="28"/>
          <w:szCs w:val="28"/>
          <w:highlight w:val="none"/>
        </w:rPr>
      </w:pPr>
      <w:r>
        <w:rPr>
          <w:rFonts w:hint="eastAsia" w:ascii="宋体" w:hAnsi="宋体"/>
          <w:color w:val="auto"/>
          <w:sz w:val="28"/>
          <w:szCs w:val="28"/>
          <w:highlight w:val="none"/>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pStyle w:val="4"/>
        <w:numPr>
          <w:ilvl w:val="1"/>
          <w:numId w:val="4"/>
        </w:numPr>
        <w:spacing w:line="560" w:lineRule="exact"/>
        <w:ind w:left="2269" w:hanging="2269"/>
        <w:rPr>
          <w:color w:val="auto"/>
          <w:highlight w:val="none"/>
        </w:rPr>
      </w:pPr>
      <w:bookmarkStart w:id="308" w:name="_Toc27797"/>
      <w:bookmarkStart w:id="309" w:name="_Toc7609"/>
      <w:bookmarkStart w:id="310" w:name="_Toc479753445"/>
      <w:bookmarkStart w:id="311" w:name="_Toc30340"/>
      <w:bookmarkStart w:id="312" w:name="_Toc11482"/>
      <w:bookmarkStart w:id="313" w:name="_Toc18759"/>
      <w:bookmarkStart w:id="314" w:name="_Toc315871654"/>
      <w:bookmarkStart w:id="315" w:name="_Toc217446103"/>
      <w:bookmarkStart w:id="316" w:name="_Toc316292256"/>
      <w:r>
        <w:rPr>
          <w:rFonts w:hint="eastAsia"/>
          <w:color w:val="auto"/>
          <w:highlight w:val="none"/>
        </w:rPr>
        <w:t>评标争议处理规则</w:t>
      </w:r>
      <w:bookmarkEnd w:id="308"/>
      <w:bookmarkEnd w:id="309"/>
      <w:bookmarkEnd w:id="310"/>
      <w:bookmarkEnd w:id="311"/>
      <w:bookmarkEnd w:id="312"/>
      <w:bookmarkEnd w:id="313"/>
    </w:p>
    <w:p>
      <w:pPr>
        <w:tabs>
          <w:tab w:val="left" w:pos="1155"/>
        </w:tabs>
        <w:spacing w:line="560" w:lineRule="exact"/>
        <w:ind w:firstLine="523" w:firstLineChars="187"/>
        <w:rPr>
          <w:rFonts w:ascii="宋体" w:hAnsi="宋体"/>
          <w:color w:val="auto"/>
          <w:sz w:val="28"/>
          <w:szCs w:val="28"/>
          <w:highlight w:val="none"/>
        </w:rPr>
      </w:pPr>
      <w:r>
        <w:rPr>
          <w:rFonts w:hint="eastAsia" w:ascii="宋体" w:hAnsi="宋体"/>
          <w:color w:val="auto"/>
          <w:sz w:val="28"/>
          <w:szCs w:val="28"/>
          <w:highlight w:val="none"/>
        </w:rPr>
        <w:t>评标委员会在评审过程中，对于符合性审查、对投标人文件做无效投标处理及其他需要共同认定的事项存在争议的，应当以少数服从多数的原则做出结论，但不得违背法律法规和招标文件规定。</w:t>
      </w:r>
      <w:r>
        <w:rPr>
          <w:rFonts w:hint="eastAsia" w:cs="Arial"/>
          <w:color w:val="auto"/>
          <w:sz w:val="28"/>
          <w:szCs w:val="28"/>
          <w:highlight w:val="none"/>
        </w:rPr>
        <w:t>持不同意见的评标委员会成员应当在评标报告上签署不同意见及理由，否则视为同意评标报告。</w:t>
      </w:r>
      <w:r>
        <w:rPr>
          <w:rFonts w:hint="eastAsia" w:ascii="宋体" w:hAnsi="宋体"/>
          <w:color w:val="auto"/>
          <w:sz w:val="28"/>
          <w:szCs w:val="28"/>
          <w:highlight w:val="none"/>
        </w:rPr>
        <w:t>持不同意见的评标委员会成员认为认定过程和结果不符合法律法规或者招标文件规定的，应当及时向采购人或</w:t>
      </w:r>
      <w:r>
        <w:rPr>
          <w:rFonts w:hint="eastAsia" w:cs="Arial"/>
          <w:color w:val="auto"/>
          <w:sz w:val="28"/>
          <w:szCs w:val="28"/>
          <w:highlight w:val="none"/>
        </w:rPr>
        <w:t>高新区采购中心</w:t>
      </w:r>
      <w:r>
        <w:rPr>
          <w:rFonts w:hint="eastAsia" w:ascii="宋体" w:hAnsi="宋体"/>
          <w:color w:val="auto"/>
          <w:sz w:val="28"/>
          <w:szCs w:val="28"/>
          <w:highlight w:val="none"/>
        </w:rPr>
        <w:t>书面反映。采购人或</w:t>
      </w:r>
      <w:r>
        <w:rPr>
          <w:rFonts w:hint="eastAsia" w:cs="Arial"/>
          <w:color w:val="auto"/>
          <w:sz w:val="28"/>
          <w:szCs w:val="28"/>
          <w:highlight w:val="none"/>
        </w:rPr>
        <w:t>高新区采购中心</w:t>
      </w:r>
      <w:r>
        <w:rPr>
          <w:rFonts w:hint="eastAsia" w:ascii="宋体" w:hAnsi="宋体"/>
          <w:color w:val="auto"/>
          <w:sz w:val="28"/>
          <w:szCs w:val="28"/>
          <w:highlight w:val="none"/>
        </w:rPr>
        <w:t>收到书面反映后，应当书面报告采购项目同级财政部门依法处理。</w:t>
      </w:r>
    </w:p>
    <w:p>
      <w:pPr>
        <w:pStyle w:val="4"/>
        <w:numPr>
          <w:ilvl w:val="1"/>
          <w:numId w:val="4"/>
        </w:numPr>
        <w:spacing w:before="0" w:after="0" w:line="560" w:lineRule="exact"/>
        <w:ind w:left="2269" w:hanging="2269"/>
        <w:rPr>
          <w:color w:val="auto"/>
          <w:highlight w:val="none"/>
        </w:rPr>
      </w:pPr>
      <w:bookmarkStart w:id="317" w:name="_Toc18642"/>
      <w:bookmarkStart w:id="318" w:name="_Toc6600"/>
      <w:bookmarkStart w:id="319" w:name="_Toc23552"/>
      <w:bookmarkStart w:id="320" w:name="_Toc2818"/>
      <w:bookmarkStart w:id="321" w:name="_Toc25222"/>
      <w:r>
        <w:rPr>
          <w:rFonts w:hint="eastAsia"/>
          <w:color w:val="auto"/>
          <w:highlight w:val="none"/>
        </w:rPr>
        <w:t>评标细则及标准</w:t>
      </w:r>
      <w:bookmarkEnd w:id="314"/>
      <w:bookmarkEnd w:id="315"/>
      <w:bookmarkEnd w:id="316"/>
      <w:bookmarkEnd w:id="317"/>
      <w:bookmarkEnd w:id="318"/>
      <w:bookmarkEnd w:id="319"/>
      <w:bookmarkEnd w:id="320"/>
      <w:bookmarkEnd w:id="321"/>
    </w:p>
    <w:p>
      <w:pPr>
        <w:numPr>
          <w:ilvl w:val="0"/>
          <w:numId w:val="57"/>
        </w:numPr>
        <w:tabs>
          <w:tab w:val="left" w:pos="1155"/>
        </w:tabs>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评标委员会只对通过初审的投标文件，根据招标文件的要求采用相同的评标程序、评分办法及标准进行评价和比较。</w:t>
      </w:r>
    </w:p>
    <w:p>
      <w:pPr>
        <w:numPr>
          <w:ilvl w:val="0"/>
          <w:numId w:val="57"/>
        </w:numPr>
        <w:tabs>
          <w:tab w:val="left" w:pos="1155"/>
        </w:tabs>
        <w:spacing w:after="200" w:line="560" w:lineRule="exact"/>
        <w:ind w:left="0" w:firstLine="567"/>
        <w:rPr>
          <w:rFonts w:ascii="宋体" w:hAnsi="宋体"/>
          <w:color w:val="auto"/>
          <w:sz w:val="28"/>
          <w:szCs w:val="28"/>
          <w:highlight w:val="none"/>
        </w:rPr>
      </w:pPr>
      <w:r>
        <w:rPr>
          <w:rFonts w:hint="eastAsia" w:ascii="宋体" w:hAnsi="宋体"/>
          <w:color w:val="auto"/>
          <w:sz w:val="28"/>
          <w:szCs w:val="28"/>
          <w:highlight w:val="none"/>
        </w:rPr>
        <w:t>本次综合评分的因素是：价格、服务、商务等。</w:t>
      </w:r>
    </w:p>
    <w:p>
      <w:pPr>
        <w:numPr>
          <w:ilvl w:val="0"/>
          <w:numId w:val="57"/>
        </w:numPr>
        <w:tabs>
          <w:tab w:val="left" w:pos="1155"/>
        </w:tabs>
        <w:spacing w:after="200" w:line="560" w:lineRule="exact"/>
        <w:ind w:left="0" w:firstLine="525"/>
        <w:rPr>
          <w:rFonts w:ascii="宋体" w:hAnsi="宋体"/>
          <w:color w:val="auto"/>
          <w:sz w:val="28"/>
          <w:szCs w:val="28"/>
          <w:highlight w:val="none"/>
        </w:rPr>
      </w:pPr>
      <w:bookmarkStart w:id="322" w:name="_Toc310176995"/>
      <w:bookmarkStart w:id="323" w:name="_Toc217102344"/>
      <w:bookmarkStart w:id="324" w:name="_Toc218498587"/>
      <w:r>
        <w:rPr>
          <w:rFonts w:hint="eastAsia" w:ascii="宋体" w:hAnsi="宋体"/>
          <w:color w:val="auto"/>
          <w:sz w:val="28"/>
          <w:szCs w:val="28"/>
          <w:highlight w:val="none"/>
        </w:rPr>
        <w:t>评标委员会成员应依据招标文件规定的评分标准和方法独立打分。</w:t>
      </w:r>
    </w:p>
    <w:p>
      <w:pPr>
        <w:pStyle w:val="5"/>
        <w:numPr>
          <w:ilvl w:val="2"/>
          <w:numId w:val="4"/>
        </w:numPr>
        <w:spacing w:after="200" w:line="560" w:lineRule="exact"/>
        <w:ind w:left="0" w:firstLine="0"/>
        <w:rPr>
          <w:color w:val="auto"/>
          <w:highlight w:val="none"/>
        </w:rPr>
      </w:pPr>
      <w:r>
        <w:rPr>
          <w:rFonts w:hint="eastAsia"/>
          <w:color w:val="auto"/>
          <w:highlight w:val="none"/>
        </w:rPr>
        <w:t>评分办法</w:t>
      </w:r>
      <w:bookmarkEnd w:id="322"/>
      <w:bookmarkEnd w:id="323"/>
      <w:bookmarkEnd w:id="324"/>
    </w:p>
    <w:p>
      <w:pPr>
        <w:spacing w:line="560" w:lineRule="exact"/>
        <w:ind w:firstLine="630" w:firstLineChars="225"/>
        <w:rPr>
          <w:rFonts w:ascii="宋体" w:hAnsi="宋体"/>
          <w:color w:val="auto"/>
          <w:sz w:val="28"/>
          <w:szCs w:val="28"/>
          <w:highlight w:val="none"/>
        </w:rPr>
      </w:pPr>
      <w:r>
        <w:rPr>
          <w:rFonts w:hint="eastAsia" w:ascii="宋体" w:hAnsi="宋体"/>
          <w:color w:val="auto"/>
          <w:sz w:val="28"/>
          <w:szCs w:val="28"/>
          <w:highlight w:val="none"/>
        </w:rPr>
        <w:t xml:space="preserve">本次评标采用综合评分法，由评标委员会各成员独立对通过初审（资格检查和符合性检查）的投标人的投标文件进行评审和打分，    </w:t>
      </w:r>
    </w:p>
    <w:p>
      <w:pPr>
        <w:spacing w:line="560" w:lineRule="exact"/>
        <w:ind w:firstLine="630" w:firstLineChars="225"/>
        <w:rPr>
          <w:rFonts w:ascii="宋体" w:hAnsi="宋体"/>
          <w:color w:val="auto"/>
          <w:sz w:val="28"/>
          <w:szCs w:val="28"/>
          <w:highlight w:val="none"/>
        </w:rPr>
      </w:pPr>
      <w:r>
        <w:rPr>
          <w:rFonts w:hint="eastAsia" w:ascii="宋体" w:hAnsi="宋体"/>
          <w:color w:val="auto"/>
          <w:sz w:val="28"/>
          <w:szCs w:val="28"/>
          <w:highlight w:val="none"/>
        </w:rPr>
        <w:t>评标得分＝（A</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）/n</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 n</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+（C</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＋C</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＋……＋C</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 n</w:t>
      </w:r>
      <w:r>
        <w:rPr>
          <w:rFonts w:hint="eastAsia" w:ascii="宋体" w:hAnsi="宋体"/>
          <w:color w:val="auto"/>
          <w:sz w:val="28"/>
          <w:szCs w:val="28"/>
          <w:highlight w:val="none"/>
          <w:vertAlign w:val="subscript"/>
        </w:rPr>
        <w:t>3</w:t>
      </w:r>
    </w:p>
    <w:p>
      <w:pPr>
        <w:widowControl/>
        <w:spacing w:line="56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……A</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分别为每个</w:t>
      </w:r>
      <w:r>
        <w:rPr>
          <w:rFonts w:hint="eastAsia" w:ascii="宋体" w:hAnsi="宋体" w:cs="宋体"/>
          <w:color w:val="auto"/>
          <w:kern w:val="0"/>
          <w:sz w:val="28"/>
          <w:szCs w:val="28"/>
          <w:highlight w:val="none"/>
        </w:rPr>
        <w:t>经济类</w:t>
      </w:r>
      <w:r>
        <w:rPr>
          <w:rFonts w:hint="eastAsia" w:ascii="宋体" w:hAnsi="宋体"/>
          <w:color w:val="auto"/>
          <w:sz w:val="28"/>
          <w:szCs w:val="28"/>
          <w:highlight w:val="none"/>
        </w:rPr>
        <w:t>评委的打分，n</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为</w:t>
      </w:r>
      <w:r>
        <w:rPr>
          <w:rFonts w:hint="eastAsia" w:ascii="宋体" w:hAnsi="宋体" w:cs="宋体"/>
          <w:color w:val="auto"/>
          <w:kern w:val="0"/>
          <w:sz w:val="28"/>
          <w:szCs w:val="28"/>
          <w:highlight w:val="none"/>
        </w:rPr>
        <w:t>经济类</w:t>
      </w:r>
      <w:r>
        <w:rPr>
          <w:rFonts w:hint="eastAsia" w:ascii="宋体" w:hAnsi="宋体"/>
          <w:color w:val="auto"/>
          <w:sz w:val="28"/>
          <w:szCs w:val="28"/>
          <w:highlight w:val="none"/>
        </w:rPr>
        <w:t>评委人数；B</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＋……B</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 xml:space="preserve"> 分别为每个技术类评委（含采购人代表）的打分，n</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为</w:t>
      </w:r>
      <w:r>
        <w:rPr>
          <w:rFonts w:hint="eastAsia" w:ascii="宋体" w:hAnsi="宋体" w:cs="宋体"/>
          <w:color w:val="auto"/>
          <w:kern w:val="0"/>
          <w:sz w:val="28"/>
          <w:szCs w:val="28"/>
          <w:highlight w:val="none"/>
        </w:rPr>
        <w:t>技术类</w:t>
      </w:r>
      <w:r>
        <w:rPr>
          <w:rFonts w:hint="eastAsia" w:ascii="宋体" w:hAnsi="宋体"/>
          <w:color w:val="auto"/>
          <w:sz w:val="28"/>
          <w:szCs w:val="28"/>
          <w:highlight w:val="none"/>
        </w:rPr>
        <w:t>评委（含采购人代表）人数；C</w:t>
      </w:r>
      <w:r>
        <w:rPr>
          <w:rFonts w:hint="eastAsia" w:ascii="宋体" w:hAnsi="宋体"/>
          <w:color w:val="auto"/>
          <w:sz w:val="28"/>
          <w:szCs w:val="28"/>
          <w:highlight w:val="none"/>
          <w:vertAlign w:val="subscript"/>
        </w:rPr>
        <w:t>1</w:t>
      </w:r>
      <w:r>
        <w:rPr>
          <w:rFonts w:hint="eastAsia" w:ascii="宋体" w:hAnsi="宋体"/>
          <w:color w:val="auto"/>
          <w:sz w:val="28"/>
          <w:szCs w:val="28"/>
          <w:highlight w:val="none"/>
        </w:rPr>
        <w:t>、C</w:t>
      </w:r>
      <w:r>
        <w:rPr>
          <w:rFonts w:hint="eastAsia" w:ascii="宋体" w:hAnsi="宋体"/>
          <w:color w:val="auto"/>
          <w:sz w:val="28"/>
          <w:szCs w:val="28"/>
          <w:highlight w:val="none"/>
          <w:vertAlign w:val="subscript"/>
        </w:rPr>
        <w:t>2</w:t>
      </w:r>
      <w:r>
        <w:rPr>
          <w:rFonts w:hint="eastAsia" w:ascii="宋体" w:hAnsi="宋体"/>
          <w:color w:val="auto"/>
          <w:sz w:val="28"/>
          <w:szCs w:val="28"/>
          <w:highlight w:val="none"/>
        </w:rPr>
        <w:t>……C</w:t>
      </w:r>
      <w:r>
        <w:rPr>
          <w:rFonts w:hint="eastAsia" w:ascii="宋体" w:hAnsi="宋体"/>
          <w:color w:val="auto"/>
          <w:sz w:val="28"/>
          <w:szCs w:val="28"/>
          <w:highlight w:val="none"/>
          <w:vertAlign w:val="subscript"/>
        </w:rPr>
        <w:t>n</w:t>
      </w:r>
      <w:r>
        <w:rPr>
          <w:rFonts w:hint="eastAsia" w:ascii="宋体" w:hAnsi="宋体"/>
          <w:color w:val="auto"/>
          <w:sz w:val="28"/>
          <w:szCs w:val="28"/>
          <w:highlight w:val="none"/>
        </w:rPr>
        <w:t xml:space="preserve"> 分别为评审委员会每个成员的打分，n</w:t>
      </w:r>
      <w:r>
        <w:rPr>
          <w:rFonts w:hint="eastAsia" w:ascii="宋体" w:hAnsi="宋体"/>
          <w:color w:val="auto"/>
          <w:sz w:val="28"/>
          <w:szCs w:val="28"/>
          <w:highlight w:val="none"/>
          <w:vertAlign w:val="subscript"/>
        </w:rPr>
        <w:t>3</w:t>
      </w:r>
      <w:r>
        <w:rPr>
          <w:rFonts w:hint="eastAsia" w:ascii="宋体" w:hAnsi="宋体"/>
          <w:color w:val="auto"/>
          <w:sz w:val="28"/>
          <w:szCs w:val="28"/>
          <w:highlight w:val="none"/>
        </w:rPr>
        <w:t>为评委人数。</w:t>
      </w:r>
    </w:p>
    <w:p>
      <w:pPr>
        <w:pStyle w:val="5"/>
        <w:numPr>
          <w:ilvl w:val="2"/>
          <w:numId w:val="4"/>
        </w:numPr>
        <w:spacing w:after="200"/>
        <w:ind w:left="0" w:firstLine="0"/>
        <w:rPr>
          <w:color w:val="auto"/>
          <w:highlight w:val="none"/>
        </w:rPr>
      </w:pPr>
      <w:r>
        <w:rPr>
          <w:rFonts w:hint="eastAsia"/>
          <w:color w:val="auto"/>
          <w:highlight w:val="none"/>
        </w:rPr>
        <w:t>评分标准</w:t>
      </w:r>
    </w:p>
    <w:tbl>
      <w:tblPr>
        <w:tblStyle w:val="4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6"/>
        <w:gridCol w:w="948"/>
        <w:gridCol w:w="5675"/>
        <w:gridCol w:w="10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806" w:type="dxa"/>
            <w:tcBorders>
              <w:top w:val="single" w:color="auto" w:sz="2" w:space="0"/>
              <w:left w:val="single" w:color="auto" w:sz="2" w:space="0"/>
              <w:bottom w:val="single" w:color="auto" w:sz="2" w:space="0"/>
              <w:right w:val="single" w:color="auto" w:sz="2" w:space="0"/>
            </w:tcBorders>
            <w:vAlign w:val="center"/>
          </w:tcPr>
          <w:p>
            <w:pPr>
              <w:spacing w:after="200" w:line="360" w:lineRule="exact"/>
              <w:rPr>
                <w:rFonts w:ascii="宋体" w:hAnsi="宋体" w:cs="宋体"/>
                <w:b/>
                <w:color w:val="auto"/>
                <w:sz w:val="24"/>
                <w:szCs w:val="24"/>
                <w:highlight w:val="none"/>
              </w:rPr>
            </w:pPr>
            <w:r>
              <w:rPr>
                <w:rFonts w:hint="eastAsia" w:ascii="宋体" w:hAnsi="宋体" w:cs="宋体"/>
                <w:b/>
                <w:color w:val="auto"/>
                <w:sz w:val="24"/>
                <w:szCs w:val="24"/>
                <w:highlight w:val="none"/>
              </w:rPr>
              <w:t>评委类别</w:t>
            </w:r>
          </w:p>
        </w:tc>
        <w:tc>
          <w:tcPr>
            <w:tcW w:w="948" w:type="dxa"/>
            <w:tcBorders>
              <w:top w:val="single" w:color="auto" w:sz="2" w:space="0"/>
              <w:left w:val="single" w:color="auto" w:sz="2" w:space="0"/>
              <w:bottom w:val="single" w:color="auto" w:sz="2" w:space="0"/>
              <w:right w:val="single" w:color="auto" w:sz="2" w:space="0"/>
            </w:tcBorders>
            <w:vAlign w:val="center"/>
          </w:tcPr>
          <w:p>
            <w:pPr>
              <w:spacing w:line="360" w:lineRule="exact"/>
              <w:jc w:val="center"/>
              <w:rPr>
                <w:rFonts w:ascii="宋体" w:hAnsi="宋体" w:cs="宋体"/>
                <w:b/>
                <w:color w:val="auto"/>
                <w:sz w:val="24"/>
                <w:szCs w:val="24"/>
                <w:highlight w:val="none"/>
              </w:rPr>
            </w:pPr>
            <w:r>
              <w:rPr>
                <w:rFonts w:hint="eastAsia" w:ascii="宋体" w:hAnsi="宋体" w:cs="宋体"/>
                <w:b/>
                <w:color w:val="auto"/>
                <w:sz w:val="24"/>
                <w:szCs w:val="24"/>
                <w:highlight w:val="none"/>
              </w:rPr>
              <w:t>评审</w:t>
            </w:r>
          </w:p>
          <w:p>
            <w:pPr>
              <w:spacing w:after="200" w:line="360" w:lineRule="exact"/>
              <w:jc w:val="center"/>
              <w:rPr>
                <w:rFonts w:ascii="宋体" w:hAnsi="宋体" w:cs="宋体"/>
                <w:b/>
                <w:color w:val="auto"/>
                <w:sz w:val="24"/>
                <w:szCs w:val="24"/>
                <w:highlight w:val="none"/>
              </w:rPr>
            </w:pPr>
            <w:r>
              <w:rPr>
                <w:rFonts w:hint="eastAsia" w:ascii="宋体" w:hAnsi="宋体" w:cs="宋体"/>
                <w:b/>
                <w:color w:val="auto"/>
                <w:sz w:val="24"/>
                <w:szCs w:val="24"/>
                <w:highlight w:val="none"/>
              </w:rPr>
              <w:t>项目</w:t>
            </w:r>
          </w:p>
        </w:tc>
        <w:tc>
          <w:tcPr>
            <w:tcW w:w="5675" w:type="dxa"/>
            <w:tcBorders>
              <w:top w:val="single" w:color="auto" w:sz="2" w:space="0"/>
              <w:left w:val="single" w:color="auto" w:sz="2" w:space="0"/>
              <w:bottom w:val="single" w:color="auto" w:sz="2" w:space="0"/>
              <w:right w:val="single" w:color="auto" w:sz="2" w:space="0"/>
            </w:tcBorders>
            <w:vAlign w:val="center"/>
          </w:tcPr>
          <w:p>
            <w:pPr>
              <w:spacing w:after="200" w:line="360" w:lineRule="exact"/>
              <w:jc w:val="center"/>
              <w:rPr>
                <w:rFonts w:ascii="宋体" w:hAnsi="宋体" w:cs="宋体"/>
                <w:b/>
                <w:color w:val="auto"/>
                <w:sz w:val="24"/>
                <w:szCs w:val="24"/>
                <w:highlight w:val="none"/>
              </w:rPr>
            </w:pPr>
            <w:r>
              <w:rPr>
                <w:rFonts w:hint="eastAsia" w:ascii="宋体" w:hAnsi="宋体" w:cs="宋体"/>
                <w:b/>
                <w:color w:val="auto"/>
                <w:sz w:val="24"/>
                <w:szCs w:val="24"/>
                <w:highlight w:val="none"/>
              </w:rPr>
              <w:t>评分标准</w:t>
            </w:r>
          </w:p>
        </w:tc>
        <w:tc>
          <w:tcPr>
            <w:tcW w:w="1093" w:type="dxa"/>
            <w:tcBorders>
              <w:top w:val="single" w:color="auto" w:sz="2" w:space="0"/>
              <w:left w:val="single" w:color="auto" w:sz="2" w:space="0"/>
              <w:bottom w:val="single" w:color="auto" w:sz="2" w:space="0"/>
              <w:right w:val="single" w:color="auto" w:sz="2" w:space="0"/>
            </w:tcBorders>
            <w:vAlign w:val="center"/>
          </w:tcPr>
          <w:p>
            <w:pPr>
              <w:spacing w:after="200" w:line="360" w:lineRule="exact"/>
              <w:jc w:val="center"/>
              <w:rPr>
                <w:rFonts w:ascii="宋体" w:hAnsi="宋体" w:cs="宋体"/>
                <w:b/>
                <w:color w:val="auto"/>
                <w:sz w:val="24"/>
                <w:szCs w:val="24"/>
                <w:highlight w:val="none"/>
              </w:rPr>
            </w:pPr>
            <w:r>
              <w:rPr>
                <w:rFonts w:hint="eastAsia" w:ascii="宋体" w:hAnsi="宋体" w:cs="宋体"/>
                <w:b/>
                <w:color w:val="auto"/>
                <w:sz w:val="24"/>
                <w:szCs w:val="24"/>
                <w:highlight w:val="none"/>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1" w:hRule="atLeast"/>
        </w:trPr>
        <w:tc>
          <w:tcPr>
            <w:tcW w:w="806" w:type="dxa"/>
            <w:tcBorders>
              <w:top w:val="single" w:color="auto" w:sz="2" w:space="0"/>
              <w:left w:val="single" w:color="auto" w:sz="2" w:space="0"/>
              <w:bottom w:val="single" w:color="auto" w:sz="2" w:space="0"/>
              <w:right w:val="single" w:color="auto" w:sz="2" w:space="0"/>
            </w:tcBorders>
            <w:vAlign w:val="center"/>
          </w:tcPr>
          <w:p>
            <w:pPr>
              <w:spacing w:after="200" w:line="360" w:lineRule="exact"/>
              <w:rPr>
                <w:rFonts w:ascii="宋体" w:hAnsi="宋体" w:cs="宋体"/>
                <w:b/>
                <w:color w:val="auto"/>
                <w:sz w:val="24"/>
                <w:szCs w:val="24"/>
                <w:highlight w:val="none"/>
              </w:rPr>
            </w:pPr>
            <w:r>
              <w:rPr>
                <w:rFonts w:hint="eastAsia" w:ascii="宋体" w:hAnsi="宋体" w:cs="宋体"/>
                <w:b/>
                <w:color w:val="auto"/>
                <w:sz w:val="24"/>
                <w:szCs w:val="24"/>
                <w:highlight w:val="none"/>
              </w:rPr>
              <w:t>评审委员会成员</w:t>
            </w:r>
          </w:p>
        </w:tc>
        <w:tc>
          <w:tcPr>
            <w:tcW w:w="948" w:type="dxa"/>
            <w:tcBorders>
              <w:top w:val="single" w:color="auto" w:sz="2" w:space="0"/>
              <w:left w:val="single" w:color="auto" w:sz="2" w:space="0"/>
              <w:bottom w:val="single" w:color="auto" w:sz="2" w:space="0"/>
              <w:right w:val="single" w:color="auto" w:sz="2" w:space="0"/>
            </w:tcBorders>
            <w:vAlign w:val="center"/>
          </w:tcPr>
          <w:p>
            <w:pPr>
              <w:spacing w:after="200" w:line="360" w:lineRule="exact"/>
              <w:jc w:val="center"/>
              <w:rPr>
                <w:rFonts w:ascii="宋体" w:hAnsi="宋体" w:cs="宋体"/>
                <w:b/>
                <w:color w:val="auto"/>
                <w:sz w:val="24"/>
                <w:szCs w:val="24"/>
                <w:highlight w:val="none"/>
              </w:rPr>
            </w:pPr>
            <w:r>
              <w:rPr>
                <w:rFonts w:hint="eastAsia" w:ascii="宋体" w:hAnsi="宋体" w:cs="宋体"/>
                <w:b/>
                <w:color w:val="auto"/>
                <w:sz w:val="24"/>
                <w:szCs w:val="24"/>
                <w:highlight w:val="none"/>
              </w:rPr>
              <w:t>投标报价得分</w:t>
            </w:r>
          </w:p>
        </w:tc>
        <w:tc>
          <w:tcPr>
            <w:tcW w:w="5675" w:type="dxa"/>
            <w:tcBorders>
              <w:top w:val="single" w:color="auto" w:sz="2" w:space="0"/>
              <w:left w:val="single" w:color="auto" w:sz="2" w:space="0"/>
              <w:bottom w:val="single" w:color="auto" w:sz="2" w:space="0"/>
              <w:right w:val="single" w:color="auto" w:sz="2" w:space="0"/>
            </w:tcBorders>
            <w:vAlign w:val="center"/>
          </w:tcPr>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1、经评标委员会评审，通过资格审查和符合性审查，且投标报价最低的投标人的投标报价作为评标基准价。</w:t>
            </w:r>
          </w:p>
          <w:p>
            <w:pPr>
              <w:spacing w:after="200" w:line="360" w:lineRule="exact"/>
              <w:rPr>
                <w:rFonts w:ascii="宋体" w:hAnsi="宋体" w:cs="宋体"/>
                <w:color w:val="auto"/>
                <w:sz w:val="24"/>
                <w:szCs w:val="24"/>
                <w:highlight w:val="none"/>
              </w:rPr>
            </w:pPr>
            <w:r>
              <w:rPr>
                <w:rFonts w:hint="eastAsia" w:ascii="宋体" w:hAnsi="宋体" w:cs="宋体"/>
                <w:color w:val="auto"/>
                <w:sz w:val="24"/>
                <w:szCs w:val="24"/>
                <w:highlight w:val="none"/>
              </w:rPr>
              <w:t>2、投标报价得分=(评标基准价／投标报价)×10。</w:t>
            </w:r>
          </w:p>
        </w:tc>
        <w:tc>
          <w:tcPr>
            <w:tcW w:w="1093" w:type="dxa"/>
            <w:tcBorders>
              <w:top w:val="single" w:color="auto" w:sz="2" w:space="0"/>
              <w:left w:val="single" w:color="auto" w:sz="2" w:space="0"/>
              <w:bottom w:val="single" w:color="auto" w:sz="2" w:space="0"/>
              <w:right w:val="single" w:color="auto" w:sz="2" w:space="0"/>
            </w:tcBorders>
            <w:vAlign w:val="center"/>
          </w:tcPr>
          <w:p>
            <w:pPr>
              <w:spacing w:after="200" w:line="360" w:lineRule="exact"/>
              <w:jc w:val="center"/>
              <w:rPr>
                <w:rFonts w:ascii="宋体" w:hAnsi="宋体" w:cs="宋体"/>
                <w:color w:val="auto"/>
                <w:sz w:val="24"/>
                <w:szCs w:val="24"/>
                <w:highlight w:val="none"/>
              </w:rPr>
            </w:pPr>
            <w:r>
              <w:rPr>
                <w:rFonts w:hint="eastAsia" w:ascii="宋体" w:hAnsi="宋体" w:cs="宋体"/>
                <w:color w:val="auto"/>
                <w:sz w:val="24"/>
                <w:szCs w:val="24"/>
                <w:highlight w:val="none"/>
              </w:rPr>
              <w:t>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5" w:hRule="atLeast"/>
        </w:trPr>
        <w:tc>
          <w:tcPr>
            <w:tcW w:w="806" w:type="dxa"/>
            <w:tcBorders>
              <w:top w:val="single" w:color="auto" w:sz="2" w:space="0"/>
              <w:left w:val="single" w:color="auto" w:sz="2" w:space="0"/>
              <w:bottom w:val="single" w:color="auto" w:sz="4" w:space="0"/>
              <w:right w:val="single" w:color="auto" w:sz="2" w:space="0"/>
            </w:tcBorders>
            <w:vAlign w:val="center"/>
          </w:tcPr>
          <w:p>
            <w:pPr>
              <w:spacing w:after="200" w:line="360" w:lineRule="exact"/>
              <w:rPr>
                <w:rFonts w:ascii="宋体" w:hAnsi="宋体" w:cs="宋体"/>
                <w:b/>
                <w:color w:val="auto"/>
                <w:sz w:val="24"/>
                <w:szCs w:val="24"/>
                <w:highlight w:val="none"/>
              </w:rPr>
            </w:pPr>
            <w:r>
              <w:rPr>
                <w:rFonts w:hint="eastAsia" w:ascii="宋体" w:hAnsi="宋体" w:cs="宋体"/>
                <w:b/>
                <w:color w:val="auto"/>
                <w:sz w:val="24"/>
                <w:szCs w:val="24"/>
                <w:highlight w:val="none"/>
              </w:rPr>
              <w:t>评审委员会成员</w:t>
            </w:r>
          </w:p>
        </w:tc>
        <w:tc>
          <w:tcPr>
            <w:tcW w:w="948" w:type="dxa"/>
            <w:tcBorders>
              <w:top w:val="single" w:color="auto" w:sz="2" w:space="0"/>
              <w:left w:val="single" w:color="auto" w:sz="2" w:space="0"/>
              <w:bottom w:val="single" w:color="auto" w:sz="2" w:space="0"/>
              <w:right w:val="single" w:color="auto" w:sz="2" w:space="0"/>
            </w:tcBorders>
            <w:vAlign w:val="center"/>
          </w:tcPr>
          <w:p>
            <w:pPr>
              <w:spacing w:after="200" w:line="360" w:lineRule="exact"/>
              <w:jc w:val="center"/>
              <w:rPr>
                <w:rFonts w:ascii="宋体" w:hAnsi="宋体" w:cs="宋体"/>
                <w:b/>
                <w:bCs/>
                <w:color w:val="auto"/>
                <w:sz w:val="24"/>
                <w:szCs w:val="24"/>
                <w:highlight w:val="none"/>
              </w:rPr>
            </w:pPr>
            <w:r>
              <w:rPr>
                <w:rFonts w:hint="eastAsia" w:ascii="宋体" w:hAnsi="宋体" w:cs="宋体"/>
                <w:b/>
                <w:bCs/>
                <w:color w:val="auto"/>
                <w:sz w:val="24"/>
                <w:szCs w:val="24"/>
                <w:highlight w:val="none"/>
              </w:rPr>
              <w:t>履约能力</w:t>
            </w:r>
          </w:p>
        </w:tc>
        <w:tc>
          <w:tcPr>
            <w:tcW w:w="5675" w:type="dxa"/>
            <w:tcBorders>
              <w:top w:val="single" w:color="auto" w:sz="2" w:space="0"/>
              <w:left w:val="single" w:color="auto" w:sz="2" w:space="0"/>
              <w:bottom w:val="single" w:color="auto" w:sz="2" w:space="0"/>
              <w:right w:val="single" w:color="auto" w:sz="2" w:space="0"/>
            </w:tcBorders>
            <w:vAlign w:val="center"/>
          </w:tcPr>
          <w:p>
            <w:pPr>
              <w:spacing w:after="200" w:line="360" w:lineRule="exact"/>
              <w:rPr>
                <w:rFonts w:ascii="宋体" w:hAnsi="宋体" w:cs="宋体"/>
                <w:color w:val="auto"/>
                <w:sz w:val="24"/>
                <w:szCs w:val="24"/>
                <w:highlight w:val="none"/>
              </w:rPr>
            </w:pPr>
            <w:r>
              <w:rPr>
                <w:rFonts w:hint="eastAsia" w:ascii="宋体" w:hAnsi="宋体" w:cs="宋体"/>
                <w:color w:val="auto"/>
                <w:sz w:val="24"/>
                <w:szCs w:val="24"/>
                <w:highlight w:val="none"/>
              </w:rPr>
              <w:t>1.投标人2018年1月1日（含1日）以后，每具有1个非住宅物业管理服务项目业绩（内容包含会务服务或秩序维护服务或房屋及公共设施设备维护管理或相同语意内容）的，得3分，最多得15分。</w:t>
            </w:r>
          </w:p>
          <w:p>
            <w:pPr>
              <w:spacing w:after="200" w:line="360" w:lineRule="exact"/>
              <w:rPr>
                <w:rFonts w:ascii="宋体" w:hAnsi="宋体" w:cs="宋体"/>
                <w:color w:val="auto"/>
                <w:sz w:val="24"/>
                <w:szCs w:val="24"/>
                <w:highlight w:val="none"/>
              </w:rPr>
            </w:pPr>
            <w:r>
              <w:rPr>
                <w:rFonts w:hint="eastAsia" w:ascii="宋体" w:hAnsi="宋体" w:cs="宋体"/>
                <w:color w:val="auto"/>
                <w:sz w:val="24"/>
                <w:szCs w:val="24"/>
                <w:highlight w:val="none"/>
              </w:rPr>
              <w:t>说明：（1）服务内容以合同上所描述的内容为准，提供合同复印件及合同资金支付凭证（如为分期付款的，至少提供1次支付凭证）；（2）同一业主的多个合同，按一个业绩计算；3、以合同签订时间为准。</w:t>
            </w:r>
          </w:p>
          <w:p>
            <w:pPr>
              <w:spacing w:after="200" w:line="360" w:lineRule="exact"/>
              <w:rPr>
                <w:rFonts w:ascii="宋体" w:hAnsi="宋体" w:cs="宋体"/>
                <w:color w:val="auto"/>
                <w:sz w:val="24"/>
                <w:szCs w:val="24"/>
                <w:highlight w:val="none"/>
              </w:rPr>
            </w:pPr>
            <w:r>
              <w:rPr>
                <w:rFonts w:hint="eastAsia" w:ascii="宋体" w:hAnsi="宋体" w:cs="宋体"/>
                <w:color w:val="auto"/>
                <w:sz w:val="24"/>
                <w:szCs w:val="24"/>
                <w:highlight w:val="none"/>
              </w:rPr>
              <w:t>2.投标人具有有效的质量管理体系认证证书的得1分。</w:t>
            </w:r>
          </w:p>
          <w:p>
            <w:pPr>
              <w:spacing w:after="200" w:line="360" w:lineRule="exact"/>
              <w:rPr>
                <w:rFonts w:ascii="宋体" w:hAnsi="宋体" w:cs="宋体"/>
                <w:color w:val="auto"/>
                <w:sz w:val="24"/>
                <w:szCs w:val="24"/>
                <w:highlight w:val="none"/>
              </w:rPr>
            </w:pPr>
            <w:r>
              <w:rPr>
                <w:rFonts w:hint="eastAsia" w:ascii="宋体" w:hAnsi="宋体" w:cs="宋体"/>
                <w:color w:val="auto"/>
                <w:sz w:val="24"/>
                <w:szCs w:val="24"/>
                <w:highlight w:val="none"/>
              </w:rPr>
              <w:t>3.投标人具有有效的环境管理体系认证证书的得1分。</w:t>
            </w:r>
          </w:p>
          <w:p>
            <w:pPr>
              <w:spacing w:after="200" w:line="360" w:lineRule="exact"/>
              <w:rPr>
                <w:rFonts w:ascii="宋体" w:hAnsi="宋体" w:cs="宋体"/>
                <w:color w:val="auto"/>
                <w:sz w:val="24"/>
                <w:szCs w:val="24"/>
                <w:highlight w:val="none"/>
              </w:rPr>
            </w:pPr>
            <w:r>
              <w:rPr>
                <w:rFonts w:hint="eastAsia" w:ascii="宋体" w:hAnsi="宋体" w:cs="宋体"/>
                <w:color w:val="auto"/>
                <w:sz w:val="24"/>
                <w:szCs w:val="24"/>
                <w:highlight w:val="none"/>
              </w:rPr>
              <w:t>4.投标人具有有效的职业健康安全管理体系认证证书的得1分。</w:t>
            </w:r>
          </w:p>
          <w:p>
            <w:pPr>
              <w:spacing w:after="200" w:line="360" w:lineRule="exact"/>
              <w:rPr>
                <w:rFonts w:ascii="宋体" w:hAnsi="宋体" w:cs="宋体"/>
                <w:color w:val="auto"/>
                <w:sz w:val="24"/>
                <w:szCs w:val="24"/>
                <w:highlight w:val="none"/>
              </w:rPr>
            </w:pPr>
            <w:r>
              <w:rPr>
                <w:rFonts w:hint="eastAsia" w:ascii="宋体" w:hAnsi="宋体" w:cs="宋体"/>
                <w:color w:val="auto"/>
                <w:sz w:val="24"/>
                <w:szCs w:val="24"/>
                <w:highlight w:val="none"/>
              </w:rPr>
              <w:t>说明：提供上述第2、3、4条证书复印件。</w:t>
            </w:r>
          </w:p>
          <w:p>
            <w:pPr>
              <w:numPr>
                <w:ilvl w:val="0"/>
                <w:numId w:val="58"/>
              </w:numPr>
              <w:spacing w:after="200" w:line="360" w:lineRule="exact"/>
              <w:rPr>
                <w:rFonts w:ascii="宋体" w:hAnsi="宋体" w:cs="宋体"/>
                <w:color w:val="auto"/>
                <w:sz w:val="24"/>
                <w:szCs w:val="24"/>
                <w:highlight w:val="none"/>
              </w:rPr>
            </w:pPr>
            <w:r>
              <w:rPr>
                <w:rFonts w:hint="eastAsia" w:ascii="宋体" w:hAnsi="宋体" w:cs="宋体"/>
                <w:color w:val="auto"/>
                <w:sz w:val="24"/>
                <w:szCs w:val="24"/>
                <w:highlight w:val="none"/>
              </w:rPr>
              <w:t>投标人提供项目业主单位出具的综合评价书面证明：每提供 1个2018年以来业主单位出具的书面综合评价为满意、优秀或相同语义内容的证明得1分，最多得5分。</w:t>
            </w:r>
          </w:p>
          <w:p>
            <w:pPr>
              <w:spacing w:after="200" w:line="360" w:lineRule="exact"/>
              <w:rPr>
                <w:rFonts w:ascii="宋体" w:hAnsi="宋体" w:cs="宋体"/>
                <w:color w:val="auto"/>
                <w:sz w:val="24"/>
                <w:szCs w:val="24"/>
                <w:highlight w:val="none"/>
              </w:rPr>
            </w:pPr>
            <w:r>
              <w:rPr>
                <w:rFonts w:hint="eastAsia" w:ascii="宋体" w:hAnsi="宋体" w:cs="宋体"/>
                <w:color w:val="auto"/>
                <w:sz w:val="24"/>
                <w:szCs w:val="24"/>
                <w:highlight w:val="none"/>
              </w:rPr>
              <w:t>（说明：1、提供评价项目合同复印件；2、提供业主单位出具的综合评价书面证明复印件；3、同一业主只计算一次加分。）</w:t>
            </w:r>
          </w:p>
        </w:tc>
        <w:tc>
          <w:tcPr>
            <w:tcW w:w="1093" w:type="dxa"/>
            <w:tcBorders>
              <w:top w:val="single" w:color="auto" w:sz="2" w:space="0"/>
              <w:left w:val="single" w:color="auto" w:sz="2" w:space="0"/>
              <w:bottom w:val="single" w:color="auto" w:sz="2" w:space="0"/>
              <w:right w:val="single" w:color="auto" w:sz="2" w:space="0"/>
            </w:tcBorders>
            <w:vAlign w:val="center"/>
          </w:tcPr>
          <w:p>
            <w:pPr>
              <w:spacing w:after="200" w:line="360" w:lineRule="exact"/>
              <w:jc w:val="center"/>
              <w:rPr>
                <w:rFonts w:ascii="宋体" w:hAnsi="宋体" w:cs="宋体"/>
                <w:color w:val="auto"/>
                <w:sz w:val="24"/>
                <w:szCs w:val="24"/>
                <w:highlight w:val="none"/>
              </w:rPr>
            </w:pPr>
            <w:r>
              <w:rPr>
                <w:rFonts w:hint="eastAsia" w:ascii="宋体" w:hAnsi="宋体" w:cs="宋体"/>
                <w:color w:val="auto"/>
                <w:sz w:val="24"/>
                <w:szCs w:val="24"/>
                <w:highlight w:val="none"/>
              </w:rPr>
              <w:t>23分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Borders>
              <w:top w:val="single" w:color="auto" w:sz="4" w:space="0"/>
              <w:left w:val="single" w:color="auto" w:sz="2" w:space="0"/>
              <w:bottom w:val="single" w:color="auto" w:sz="4" w:space="0"/>
              <w:right w:val="single" w:color="auto" w:sz="2" w:space="0"/>
            </w:tcBorders>
            <w:vAlign w:val="center"/>
          </w:tcPr>
          <w:p>
            <w:pPr>
              <w:spacing w:after="200" w:line="360" w:lineRule="exact"/>
              <w:rPr>
                <w:rFonts w:ascii="宋体" w:hAnsi="宋体" w:cs="宋体"/>
                <w:b/>
                <w:color w:val="auto"/>
                <w:sz w:val="24"/>
                <w:szCs w:val="24"/>
                <w:highlight w:val="none"/>
              </w:rPr>
            </w:pPr>
            <w:r>
              <w:rPr>
                <w:rFonts w:hint="eastAsia" w:ascii="宋体" w:hAnsi="宋体" w:cs="宋体"/>
                <w:b/>
                <w:color w:val="auto"/>
                <w:sz w:val="24"/>
                <w:szCs w:val="24"/>
                <w:highlight w:val="none"/>
              </w:rPr>
              <w:t>评审委员会成员</w:t>
            </w:r>
          </w:p>
        </w:tc>
        <w:tc>
          <w:tcPr>
            <w:tcW w:w="948" w:type="dxa"/>
            <w:tcBorders>
              <w:top w:val="single" w:color="auto" w:sz="2" w:space="0"/>
              <w:left w:val="single" w:color="auto" w:sz="2" w:space="0"/>
              <w:bottom w:val="single" w:color="auto" w:sz="2" w:space="0"/>
              <w:right w:val="single" w:color="auto" w:sz="2" w:space="0"/>
            </w:tcBorders>
            <w:vAlign w:val="center"/>
          </w:tcPr>
          <w:p>
            <w:pPr>
              <w:spacing w:after="200" w:line="360" w:lineRule="exact"/>
              <w:ind w:right="42" w:rightChars="20"/>
              <w:jc w:val="center"/>
              <w:rPr>
                <w:rFonts w:ascii="宋体" w:hAnsi="宋体" w:cs="宋体"/>
                <w:b/>
                <w:bCs/>
                <w:color w:val="auto"/>
                <w:sz w:val="24"/>
                <w:szCs w:val="24"/>
                <w:highlight w:val="none"/>
              </w:rPr>
            </w:pPr>
            <w:r>
              <w:rPr>
                <w:rFonts w:hint="eastAsia" w:ascii="宋体" w:hAnsi="宋体" w:cs="宋体"/>
                <w:b/>
                <w:bCs/>
                <w:color w:val="auto"/>
                <w:sz w:val="24"/>
                <w:szCs w:val="24"/>
                <w:highlight w:val="none"/>
              </w:rPr>
              <w:t>人员配置</w:t>
            </w:r>
          </w:p>
        </w:tc>
        <w:tc>
          <w:tcPr>
            <w:tcW w:w="5675" w:type="dxa"/>
            <w:tcBorders>
              <w:top w:val="single" w:color="auto" w:sz="2" w:space="0"/>
              <w:left w:val="single" w:color="auto" w:sz="2" w:space="0"/>
              <w:bottom w:val="single" w:color="auto" w:sz="2" w:space="0"/>
              <w:right w:val="single" w:color="auto" w:sz="2" w:space="0"/>
            </w:tcBorders>
            <w:vAlign w:val="center"/>
          </w:tcPr>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1、拟派本项目项目经理（两人）均具有本科及以上学历得5分，且均有不少于8年物业管理相关工作经验加5分；本项最多得10分。</w:t>
            </w:r>
          </w:p>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2、拟派本项目的维修工人员中每有1人具有电工资格证证书的，得1分，本项最多得2分。</w:t>
            </w:r>
          </w:p>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3、拟为本项目人员中每有1人持有效的建（构）筑物消防员证书或消防设施操作员证书得1分，最多得3分。</w:t>
            </w:r>
          </w:p>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4、拟派驻本项目保安队长具有大专及以上学历，且同时具有退伍军人证的得2分；本项最多得4分。</w:t>
            </w:r>
          </w:p>
          <w:p>
            <w:pPr>
              <w:numPr>
                <w:ilvl w:val="0"/>
                <w:numId w:val="59"/>
              </w:num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拟派驻本项目的绿化工每有1人具备</w:t>
            </w:r>
            <w:r>
              <w:rPr>
                <w:rFonts w:hint="eastAsia" w:ascii="宋体" w:hAnsi="宋体" w:cs="宋体"/>
                <w:color w:val="auto"/>
                <w:sz w:val="24"/>
                <w:szCs w:val="24"/>
                <w:highlight w:val="none"/>
                <w:lang w:eastAsia="zh-CN"/>
              </w:rPr>
              <w:t>园林绿化类</w:t>
            </w:r>
            <w:r>
              <w:rPr>
                <w:rFonts w:hint="eastAsia" w:ascii="宋体" w:hAnsi="宋体" w:cs="宋体"/>
                <w:color w:val="auto"/>
                <w:sz w:val="24"/>
                <w:szCs w:val="24"/>
                <w:highlight w:val="none"/>
              </w:rPr>
              <w:t>中级及以上职称得1分，本项目最多得2分。</w:t>
            </w:r>
          </w:p>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（说明：提供以上第1、2、3、4、5条要求的有效的相关证书复印件及以上人员需提供社保证明或其他劳动关系证明材料，物业管理相关工作经验需供应商出具证明材料复印件）</w:t>
            </w:r>
          </w:p>
        </w:tc>
        <w:tc>
          <w:tcPr>
            <w:tcW w:w="1093" w:type="dxa"/>
            <w:tcBorders>
              <w:top w:val="single" w:color="auto" w:sz="2" w:space="0"/>
              <w:left w:val="single" w:color="auto" w:sz="2" w:space="0"/>
              <w:bottom w:val="single" w:color="auto" w:sz="2" w:space="0"/>
              <w:right w:val="single" w:color="auto" w:sz="2" w:space="0"/>
            </w:tcBorders>
            <w:vAlign w:val="center"/>
          </w:tcPr>
          <w:p>
            <w:pPr>
              <w:spacing w:after="200" w:line="360" w:lineRule="exact"/>
              <w:jc w:val="center"/>
              <w:rPr>
                <w:rFonts w:ascii="宋体" w:hAnsi="宋体" w:cs="宋体"/>
                <w:color w:val="auto"/>
                <w:sz w:val="24"/>
                <w:szCs w:val="24"/>
                <w:highlight w:val="none"/>
              </w:rPr>
            </w:pPr>
            <w:r>
              <w:rPr>
                <w:rFonts w:hint="eastAsia" w:ascii="宋体" w:hAnsi="宋体" w:cs="宋体"/>
                <w:color w:val="auto"/>
                <w:sz w:val="24"/>
                <w:szCs w:val="24"/>
                <w:highlight w:val="none"/>
              </w:rPr>
              <w:t>21分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Borders>
              <w:top w:val="single" w:color="auto" w:sz="4" w:space="0"/>
              <w:left w:val="single" w:color="auto" w:sz="2" w:space="0"/>
              <w:bottom w:val="single" w:color="auto" w:sz="4" w:space="0"/>
              <w:right w:val="single" w:color="auto" w:sz="2" w:space="0"/>
            </w:tcBorders>
            <w:vAlign w:val="center"/>
          </w:tcPr>
          <w:p>
            <w:pPr>
              <w:spacing w:after="200" w:line="360" w:lineRule="exact"/>
              <w:rPr>
                <w:rFonts w:ascii="宋体" w:hAnsi="宋体" w:cs="宋体"/>
                <w:b/>
                <w:color w:val="auto"/>
                <w:sz w:val="24"/>
                <w:szCs w:val="24"/>
                <w:highlight w:val="none"/>
              </w:rPr>
            </w:pPr>
            <w:r>
              <w:rPr>
                <w:rFonts w:hint="eastAsia" w:ascii="宋体" w:hAnsi="宋体" w:cs="宋体"/>
                <w:b/>
                <w:color w:val="auto"/>
                <w:sz w:val="24"/>
                <w:szCs w:val="24"/>
                <w:highlight w:val="none"/>
              </w:rPr>
              <w:t>技术类评委</w:t>
            </w:r>
          </w:p>
        </w:tc>
        <w:tc>
          <w:tcPr>
            <w:tcW w:w="948" w:type="dxa"/>
            <w:tcBorders>
              <w:top w:val="single" w:color="auto" w:sz="2" w:space="0"/>
              <w:left w:val="single" w:color="auto" w:sz="2" w:space="0"/>
              <w:bottom w:val="single" w:color="auto" w:sz="2" w:space="0"/>
              <w:right w:val="single" w:color="auto" w:sz="2" w:space="0"/>
            </w:tcBorders>
            <w:vAlign w:val="center"/>
          </w:tcPr>
          <w:p>
            <w:pPr>
              <w:widowControl/>
              <w:tabs>
                <w:tab w:val="left" w:pos="0"/>
              </w:tabs>
              <w:spacing w:line="360" w:lineRule="exact"/>
              <w:jc w:val="center"/>
              <w:rPr>
                <w:rFonts w:ascii="宋体" w:hAnsi="宋体" w:cs="宋体"/>
                <w:b/>
                <w:bCs/>
                <w:color w:val="auto"/>
                <w:sz w:val="24"/>
                <w:szCs w:val="24"/>
                <w:highlight w:val="none"/>
              </w:rPr>
            </w:pPr>
            <w:r>
              <w:rPr>
                <w:rFonts w:hint="eastAsia" w:ascii="宋体" w:hAnsi="宋体" w:cs="宋体"/>
                <w:b/>
                <w:bCs/>
                <w:color w:val="auto"/>
                <w:sz w:val="24"/>
                <w:szCs w:val="24"/>
                <w:highlight w:val="none"/>
              </w:rPr>
              <w:t>定位及目标</w:t>
            </w:r>
            <w:r>
              <w:rPr>
                <w:rFonts w:hint="eastAsia" w:ascii="宋体" w:hAnsi="宋体" w:cs="宋体"/>
                <w:color w:val="auto"/>
                <w:sz w:val="24"/>
                <w:szCs w:val="24"/>
                <w:highlight w:val="none"/>
              </w:rPr>
              <w:t>方案</w:t>
            </w:r>
          </w:p>
        </w:tc>
        <w:tc>
          <w:tcPr>
            <w:tcW w:w="5675" w:type="dxa"/>
            <w:tcBorders>
              <w:top w:val="single" w:color="auto" w:sz="2" w:space="0"/>
              <w:left w:val="single" w:color="auto" w:sz="2" w:space="0"/>
              <w:bottom w:val="single" w:color="auto" w:sz="2" w:space="0"/>
              <w:right w:val="single" w:color="auto" w:sz="2" w:space="0"/>
            </w:tcBorders>
            <w:vAlign w:val="center"/>
          </w:tcPr>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投标人提供</w:t>
            </w:r>
            <w:r>
              <w:rPr>
                <w:rFonts w:hint="eastAsia" w:ascii="宋体" w:hAnsi="宋体" w:cs="宋体"/>
                <w:b/>
                <w:bCs/>
                <w:color w:val="auto"/>
                <w:sz w:val="24"/>
                <w:szCs w:val="24"/>
                <w:highlight w:val="none"/>
              </w:rPr>
              <w:t>定位及目标</w:t>
            </w:r>
            <w:r>
              <w:rPr>
                <w:rFonts w:hint="eastAsia" w:ascii="宋体" w:hAnsi="宋体" w:cs="宋体"/>
                <w:color w:val="auto"/>
                <w:sz w:val="24"/>
                <w:szCs w:val="24"/>
                <w:highlight w:val="none"/>
              </w:rPr>
              <w:t>方案的，方案内容包含“物业管理理念”且符合采购需求的，得2分；包含“执行步骤”且符合采购需求的，得2分；包含“重难点分析”且符合采购需求的，得2分；包含“量化服务指标”且符合采购需求的，得2分。</w:t>
            </w:r>
          </w:p>
          <w:p>
            <w:pPr>
              <w:pStyle w:val="4"/>
              <w:numPr>
                <w:ilvl w:val="1"/>
                <w:numId w:val="0"/>
              </w:numPr>
              <w:spacing w:line="360" w:lineRule="exact"/>
              <w:rPr>
                <w:color w:val="auto"/>
                <w:kern w:val="0"/>
                <w:sz w:val="24"/>
                <w:szCs w:val="24"/>
                <w:highlight w:val="none"/>
              </w:rPr>
            </w:pPr>
            <w:r>
              <w:rPr>
                <w:rFonts w:hint="eastAsia"/>
                <w:b w:val="0"/>
                <w:bCs w:val="0"/>
                <w:color w:val="auto"/>
                <w:sz w:val="24"/>
                <w:szCs w:val="24"/>
                <w:highlight w:val="none"/>
              </w:rPr>
              <w:t>（说明：1、提供</w:t>
            </w:r>
            <w:r>
              <w:rPr>
                <w:rFonts w:hint="eastAsia"/>
                <w:color w:val="auto"/>
                <w:sz w:val="24"/>
                <w:szCs w:val="24"/>
                <w:highlight w:val="none"/>
              </w:rPr>
              <w:t>定位及目标方案</w:t>
            </w:r>
            <w:r>
              <w:rPr>
                <w:rFonts w:hint="eastAsia"/>
                <w:b w:val="0"/>
                <w:bCs w:val="0"/>
                <w:color w:val="auto"/>
                <w:sz w:val="24"/>
                <w:szCs w:val="24"/>
                <w:highlight w:val="none"/>
              </w:rPr>
              <w:t>。2、本评分项不符合采购需求是指存在不适用项目实际情况、凭空编造、逻辑漏洞、原理错误情形。）</w:t>
            </w:r>
          </w:p>
        </w:tc>
        <w:tc>
          <w:tcPr>
            <w:tcW w:w="1093" w:type="dxa"/>
            <w:tcBorders>
              <w:top w:val="single" w:color="auto" w:sz="2" w:space="0"/>
              <w:left w:val="single" w:color="auto" w:sz="2" w:space="0"/>
              <w:bottom w:val="single" w:color="auto" w:sz="2" w:space="0"/>
              <w:right w:val="single" w:color="auto" w:sz="2" w:space="0"/>
            </w:tcBorders>
            <w:vAlign w:val="center"/>
          </w:tcPr>
          <w:p>
            <w:pPr>
              <w:tabs>
                <w:tab w:val="left" w:pos="0"/>
              </w:tabs>
              <w:snapToGrid w:val="0"/>
              <w:spacing w:line="360" w:lineRule="exact"/>
              <w:ind w:firstLine="28"/>
              <w:jc w:val="center"/>
              <w:textAlignment w:val="baseline"/>
              <w:rPr>
                <w:rFonts w:ascii="宋体" w:hAnsi="宋体" w:cs="宋体"/>
                <w:color w:val="auto"/>
                <w:sz w:val="24"/>
                <w:szCs w:val="24"/>
                <w:highlight w:val="none"/>
              </w:rPr>
            </w:pPr>
            <w:r>
              <w:rPr>
                <w:rFonts w:hint="eastAsia" w:ascii="宋体" w:hAnsi="宋体" w:cs="宋体"/>
                <w:color w:val="auto"/>
                <w:sz w:val="24"/>
                <w:szCs w:val="24"/>
                <w:highlight w:val="none"/>
              </w:rPr>
              <w:t>8分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Borders>
              <w:top w:val="single" w:color="auto" w:sz="4" w:space="0"/>
              <w:left w:val="single" w:color="auto" w:sz="2" w:space="0"/>
              <w:bottom w:val="single" w:color="auto" w:sz="4" w:space="0"/>
              <w:right w:val="single" w:color="auto" w:sz="2" w:space="0"/>
            </w:tcBorders>
            <w:vAlign w:val="center"/>
          </w:tcPr>
          <w:p>
            <w:pPr>
              <w:spacing w:after="200" w:line="360" w:lineRule="exact"/>
              <w:rPr>
                <w:rFonts w:ascii="宋体" w:hAnsi="宋体" w:cs="宋体"/>
                <w:b/>
                <w:color w:val="auto"/>
                <w:sz w:val="24"/>
                <w:szCs w:val="24"/>
                <w:highlight w:val="none"/>
              </w:rPr>
            </w:pPr>
            <w:r>
              <w:rPr>
                <w:rFonts w:hint="eastAsia" w:ascii="宋体" w:hAnsi="宋体" w:cs="宋体"/>
                <w:b/>
                <w:color w:val="auto"/>
                <w:sz w:val="24"/>
                <w:szCs w:val="24"/>
                <w:highlight w:val="none"/>
              </w:rPr>
              <w:t>技术类评委</w:t>
            </w:r>
          </w:p>
        </w:tc>
        <w:tc>
          <w:tcPr>
            <w:tcW w:w="948" w:type="dxa"/>
            <w:tcBorders>
              <w:top w:val="single" w:color="auto" w:sz="2" w:space="0"/>
              <w:left w:val="single" w:color="auto" w:sz="2" w:space="0"/>
              <w:bottom w:val="single" w:color="auto" w:sz="4" w:space="0"/>
              <w:right w:val="single" w:color="auto" w:sz="2" w:space="0"/>
            </w:tcBorders>
            <w:vAlign w:val="center"/>
          </w:tcPr>
          <w:p>
            <w:pPr>
              <w:widowControl/>
              <w:tabs>
                <w:tab w:val="left" w:pos="0"/>
              </w:tabs>
              <w:spacing w:line="360" w:lineRule="exact"/>
              <w:jc w:val="center"/>
              <w:rPr>
                <w:rFonts w:ascii="宋体" w:hAnsi="宋体" w:cs="宋体"/>
                <w:b/>
                <w:bCs/>
                <w:color w:val="auto"/>
                <w:sz w:val="24"/>
                <w:szCs w:val="24"/>
                <w:highlight w:val="none"/>
              </w:rPr>
            </w:pPr>
            <w:r>
              <w:rPr>
                <w:rFonts w:hint="eastAsia" w:ascii="宋体" w:hAnsi="宋体" w:cs="宋体"/>
                <w:b/>
                <w:bCs/>
                <w:color w:val="auto"/>
                <w:sz w:val="24"/>
                <w:szCs w:val="24"/>
                <w:highlight w:val="none"/>
              </w:rPr>
              <w:t>项目管理机构运作方法及管理制度</w:t>
            </w:r>
          </w:p>
        </w:tc>
        <w:tc>
          <w:tcPr>
            <w:tcW w:w="5675" w:type="dxa"/>
            <w:tcBorders>
              <w:top w:val="single" w:color="auto" w:sz="2" w:space="0"/>
              <w:left w:val="single" w:color="auto" w:sz="2" w:space="0"/>
              <w:bottom w:val="single" w:color="auto" w:sz="2" w:space="0"/>
              <w:right w:val="single" w:color="auto" w:sz="2" w:space="0"/>
            </w:tcBorders>
            <w:vAlign w:val="center"/>
          </w:tcPr>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投标人提供</w:t>
            </w:r>
            <w:r>
              <w:rPr>
                <w:rFonts w:hint="eastAsia" w:ascii="宋体" w:hAnsi="宋体" w:cs="宋体"/>
                <w:b/>
                <w:bCs/>
                <w:color w:val="auto"/>
                <w:sz w:val="24"/>
                <w:szCs w:val="24"/>
                <w:highlight w:val="none"/>
              </w:rPr>
              <w:t>项目管理机构运作方法及管理制度</w:t>
            </w:r>
            <w:r>
              <w:rPr>
                <w:rFonts w:hint="eastAsia" w:ascii="宋体" w:hAnsi="宋体" w:cs="宋体"/>
                <w:color w:val="auto"/>
                <w:sz w:val="24"/>
                <w:szCs w:val="24"/>
                <w:highlight w:val="none"/>
              </w:rPr>
              <w:t>的，方案内容包含“项目管理机构设置”且符合采购需求的，得2分；包含“工作职能运行图”且符合采购需求的，得2分；包含“内部管理职责分工描述”且符合采购需求的，得2分；包含“管理制度描述”且符合采购需求的，得2分；包含“员工培训及管理描述”且符合采购需求的，得2分。</w:t>
            </w:r>
          </w:p>
          <w:p>
            <w:pPr>
              <w:pStyle w:val="4"/>
              <w:numPr>
                <w:ilvl w:val="1"/>
                <w:numId w:val="0"/>
              </w:numPr>
              <w:spacing w:line="360" w:lineRule="exact"/>
              <w:rPr>
                <w:color w:val="auto"/>
                <w:sz w:val="24"/>
                <w:szCs w:val="24"/>
                <w:highlight w:val="none"/>
              </w:rPr>
            </w:pPr>
            <w:r>
              <w:rPr>
                <w:rFonts w:hint="eastAsia"/>
                <w:b w:val="0"/>
                <w:bCs w:val="0"/>
                <w:color w:val="auto"/>
                <w:sz w:val="24"/>
                <w:szCs w:val="24"/>
                <w:highlight w:val="none"/>
              </w:rPr>
              <w:t>（说明：1、提供</w:t>
            </w:r>
            <w:r>
              <w:rPr>
                <w:rFonts w:hint="eastAsia"/>
                <w:color w:val="auto"/>
                <w:sz w:val="24"/>
                <w:szCs w:val="24"/>
                <w:highlight w:val="none"/>
              </w:rPr>
              <w:t>项目管理机构运作方法及管理制度</w:t>
            </w:r>
            <w:r>
              <w:rPr>
                <w:rFonts w:hint="eastAsia"/>
                <w:b w:val="0"/>
                <w:bCs w:val="0"/>
                <w:color w:val="auto"/>
                <w:sz w:val="24"/>
                <w:szCs w:val="24"/>
                <w:highlight w:val="none"/>
              </w:rPr>
              <w:t>。2、本评分项不符合采购需求是指存在不适用项目实际情况、凭空编造、逻辑漏洞、原理错误情形。）</w:t>
            </w:r>
          </w:p>
        </w:tc>
        <w:tc>
          <w:tcPr>
            <w:tcW w:w="1093" w:type="dxa"/>
            <w:tcBorders>
              <w:top w:val="single" w:color="auto" w:sz="2" w:space="0"/>
              <w:left w:val="single" w:color="auto" w:sz="2" w:space="0"/>
              <w:bottom w:val="single" w:color="auto" w:sz="2" w:space="0"/>
              <w:right w:val="single" w:color="auto" w:sz="2" w:space="0"/>
            </w:tcBorders>
            <w:vAlign w:val="center"/>
          </w:tcPr>
          <w:p>
            <w:pPr>
              <w:tabs>
                <w:tab w:val="left" w:pos="0"/>
              </w:tabs>
              <w:snapToGrid w:val="0"/>
              <w:spacing w:line="360" w:lineRule="exact"/>
              <w:ind w:firstLine="28"/>
              <w:jc w:val="center"/>
              <w:textAlignment w:val="baseline"/>
              <w:rPr>
                <w:rFonts w:ascii="宋体" w:hAnsi="宋体" w:cs="宋体"/>
                <w:color w:val="auto"/>
                <w:sz w:val="24"/>
                <w:szCs w:val="24"/>
                <w:highlight w:val="none"/>
              </w:rPr>
            </w:pPr>
            <w:r>
              <w:rPr>
                <w:rFonts w:hint="eastAsia" w:ascii="宋体" w:hAnsi="宋体" w:cs="宋体"/>
                <w:color w:val="auto"/>
                <w:sz w:val="24"/>
                <w:szCs w:val="24"/>
                <w:highlight w:val="none"/>
              </w:rPr>
              <w:t>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Borders>
              <w:top w:val="single" w:color="auto" w:sz="4" w:space="0"/>
              <w:left w:val="single" w:color="auto" w:sz="2" w:space="0"/>
              <w:bottom w:val="single" w:color="auto" w:sz="4" w:space="0"/>
              <w:right w:val="single" w:color="auto" w:sz="2" w:space="0"/>
            </w:tcBorders>
            <w:vAlign w:val="center"/>
          </w:tcPr>
          <w:p>
            <w:pPr>
              <w:spacing w:after="200" w:line="360" w:lineRule="exact"/>
              <w:rPr>
                <w:rFonts w:ascii="宋体" w:hAnsi="宋体" w:cs="宋体"/>
                <w:b/>
                <w:color w:val="auto"/>
                <w:sz w:val="24"/>
                <w:szCs w:val="24"/>
                <w:highlight w:val="none"/>
              </w:rPr>
            </w:pPr>
            <w:r>
              <w:rPr>
                <w:rFonts w:hint="eastAsia" w:ascii="宋体" w:hAnsi="宋体" w:cs="宋体"/>
                <w:b/>
                <w:color w:val="auto"/>
                <w:sz w:val="24"/>
                <w:szCs w:val="24"/>
                <w:highlight w:val="none"/>
              </w:rPr>
              <w:t>技术类评委</w:t>
            </w:r>
          </w:p>
        </w:tc>
        <w:tc>
          <w:tcPr>
            <w:tcW w:w="948" w:type="dxa"/>
            <w:tcBorders>
              <w:top w:val="single" w:color="auto" w:sz="4" w:space="0"/>
              <w:left w:val="single" w:color="auto" w:sz="2" w:space="0"/>
              <w:bottom w:val="single" w:color="auto" w:sz="4" w:space="0"/>
              <w:right w:val="single" w:color="auto" w:sz="2" w:space="0"/>
            </w:tcBorders>
            <w:vAlign w:val="center"/>
          </w:tcPr>
          <w:p>
            <w:pPr>
              <w:widowControl/>
              <w:tabs>
                <w:tab w:val="left" w:pos="0"/>
              </w:tabs>
              <w:spacing w:line="360" w:lineRule="exact"/>
              <w:jc w:val="center"/>
              <w:rPr>
                <w:rFonts w:ascii="宋体" w:hAnsi="宋体" w:cs="宋体"/>
                <w:b/>
                <w:bCs/>
                <w:color w:val="auto"/>
                <w:sz w:val="24"/>
                <w:szCs w:val="24"/>
                <w:highlight w:val="none"/>
              </w:rPr>
            </w:pPr>
            <w:r>
              <w:rPr>
                <w:rFonts w:hint="eastAsia" w:ascii="宋体" w:hAnsi="宋体" w:cs="宋体"/>
                <w:b/>
                <w:bCs/>
                <w:color w:val="auto"/>
                <w:sz w:val="24"/>
                <w:szCs w:val="24"/>
                <w:highlight w:val="none"/>
              </w:rPr>
              <w:t>校园安全管理服务方案</w:t>
            </w:r>
          </w:p>
        </w:tc>
        <w:tc>
          <w:tcPr>
            <w:tcW w:w="5675" w:type="dxa"/>
            <w:tcBorders>
              <w:top w:val="single" w:color="auto" w:sz="2" w:space="0"/>
              <w:left w:val="single" w:color="auto" w:sz="2" w:space="0"/>
              <w:bottom w:val="single" w:color="auto" w:sz="2" w:space="0"/>
              <w:right w:val="single" w:color="auto" w:sz="2" w:space="0"/>
            </w:tcBorders>
            <w:vAlign w:val="center"/>
          </w:tcPr>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投标人提供</w:t>
            </w:r>
            <w:r>
              <w:rPr>
                <w:rFonts w:hint="eastAsia" w:ascii="宋体" w:hAnsi="宋体" w:cs="宋体"/>
                <w:b/>
                <w:bCs/>
                <w:color w:val="auto"/>
                <w:sz w:val="24"/>
                <w:szCs w:val="24"/>
                <w:highlight w:val="none"/>
              </w:rPr>
              <w:t>校园安全管理服务方案</w:t>
            </w:r>
            <w:r>
              <w:rPr>
                <w:rFonts w:hint="eastAsia" w:ascii="宋体" w:hAnsi="宋体" w:cs="宋体"/>
                <w:color w:val="auto"/>
                <w:sz w:val="24"/>
                <w:szCs w:val="24"/>
                <w:highlight w:val="none"/>
              </w:rPr>
              <w:t>的，方案内容包含“人员配置”且符合采购需求的，得2分；包含“岗位职责”且符合采购需求的，得2分；包含“工作制度”且符合采购需求的，得2分；包含“管理考评标准”且符合采购需求的，得2分。</w:t>
            </w:r>
          </w:p>
          <w:p>
            <w:pPr>
              <w:pStyle w:val="4"/>
              <w:numPr>
                <w:ilvl w:val="1"/>
                <w:numId w:val="0"/>
              </w:numPr>
              <w:spacing w:line="360" w:lineRule="exact"/>
              <w:rPr>
                <w:color w:val="auto"/>
                <w:sz w:val="24"/>
                <w:szCs w:val="24"/>
                <w:highlight w:val="none"/>
              </w:rPr>
            </w:pPr>
            <w:r>
              <w:rPr>
                <w:rFonts w:hint="eastAsia"/>
                <w:b w:val="0"/>
                <w:bCs w:val="0"/>
                <w:color w:val="auto"/>
                <w:sz w:val="24"/>
                <w:szCs w:val="24"/>
                <w:highlight w:val="none"/>
              </w:rPr>
              <w:t>（说明：1、提供</w:t>
            </w:r>
            <w:r>
              <w:rPr>
                <w:rFonts w:hint="eastAsia"/>
                <w:color w:val="auto"/>
                <w:sz w:val="24"/>
                <w:szCs w:val="24"/>
                <w:highlight w:val="none"/>
              </w:rPr>
              <w:t>校园安全管理服务方案</w:t>
            </w:r>
            <w:r>
              <w:rPr>
                <w:rFonts w:hint="eastAsia"/>
                <w:b w:val="0"/>
                <w:bCs w:val="0"/>
                <w:color w:val="auto"/>
                <w:sz w:val="24"/>
                <w:szCs w:val="24"/>
                <w:highlight w:val="none"/>
              </w:rPr>
              <w:t>。2、本评分项不符合采购需求是指存在不适用项目实际情况、凭空编造、逻辑漏洞、原理错误情形。）</w:t>
            </w:r>
          </w:p>
        </w:tc>
        <w:tc>
          <w:tcPr>
            <w:tcW w:w="1093" w:type="dxa"/>
            <w:tcBorders>
              <w:top w:val="single" w:color="auto" w:sz="2" w:space="0"/>
              <w:left w:val="single" w:color="auto" w:sz="2" w:space="0"/>
              <w:bottom w:val="single" w:color="auto" w:sz="2" w:space="0"/>
              <w:right w:val="single" w:color="auto" w:sz="2" w:space="0"/>
            </w:tcBorders>
            <w:vAlign w:val="center"/>
          </w:tcPr>
          <w:p>
            <w:pPr>
              <w:tabs>
                <w:tab w:val="left" w:pos="0"/>
              </w:tabs>
              <w:snapToGrid w:val="0"/>
              <w:spacing w:line="360" w:lineRule="exact"/>
              <w:ind w:firstLine="28"/>
              <w:jc w:val="center"/>
              <w:textAlignment w:val="baseline"/>
              <w:rPr>
                <w:rFonts w:ascii="宋体" w:hAnsi="宋体" w:cs="宋体"/>
                <w:color w:val="auto"/>
                <w:sz w:val="24"/>
                <w:szCs w:val="24"/>
                <w:highlight w:val="none"/>
              </w:rPr>
            </w:pPr>
            <w:r>
              <w:rPr>
                <w:rFonts w:hint="eastAsia" w:ascii="宋体" w:hAnsi="宋体" w:cs="宋体"/>
                <w:color w:val="auto"/>
                <w:sz w:val="24"/>
                <w:szCs w:val="24"/>
                <w:highlight w:val="none"/>
              </w:rPr>
              <w:t>8分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Borders>
              <w:top w:val="single" w:color="auto" w:sz="4" w:space="0"/>
              <w:left w:val="single" w:color="auto" w:sz="4" w:space="0"/>
              <w:bottom w:val="single" w:color="auto" w:sz="4" w:space="0"/>
              <w:right w:val="single" w:color="auto" w:sz="4" w:space="0"/>
            </w:tcBorders>
          </w:tcPr>
          <w:p>
            <w:pPr>
              <w:spacing w:after="200" w:line="360" w:lineRule="exact"/>
              <w:rPr>
                <w:rFonts w:ascii="宋体" w:hAnsi="宋体" w:cs="宋体"/>
                <w:b/>
                <w:color w:val="auto"/>
                <w:sz w:val="24"/>
                <w:szCs w:val="24"/>
                <w:highlight w:val="none"/>
              </w:rPr>
            </w:pPr>
            <w:r>
              <w:rPr>
                <w:rFonts w:hint="eastAsia" w:ascii="宋体" w:hAnsi="宋体" w:cs="宋体"/>
                <w:b/>
                <w:color w:val="auto"/>
                <w:sz w:val="24"/>
                <w:szCs w:val="24"/>
                <w:highlight w:val="none"/>
              </w:rPr>
              <w:t>技术类评委</w:t>
            </w:r>
          </w:p>
        </w:tc>
        <w:tc>
          <w:tcPr>
            <w:tcW w:w="948" w:type="dxa"/>
            <w:tcBorders>
              <w:top w:val="single" w:color="auto" w:sz="4" w:space="0"/>
              <w:left w:val="single" w:color="auto" w:sz="4" w:space="0"/>
              <w:bottom w:val="single" w:color="auto" w:sz="4" w:space="0"/>
              <w:right w:val="single" w:color="auto" w:sz="4" w:space="0"/>
            </w:tcBorders>
            <w:vAlign w:val="center"/>
          </w:tcPr>
          <w:p>
            <w:pPr>
              <w:widowControl/>
              <w:tabs>
                <w:tab w:val="left" w:pos="0"/>
              </w:tabs>
              <w:spacing w:line="360" w:lineRule="exact"/>
              <w:jc w:val="center"/>
              <w:rPr>
                <w:rFonts w:ascii="宋体" w:hAnsi="宋体" w:cs="宋体"/>
                <w:b/>
                <w:bCs/>
                <w:color w:val="auto"/>
                <w:sz w:val="24"/>
                <w:szCs w:val="24"/>
                <w:highlight w:val="none"/>
              </w:rPr>
            </w:pPr>
            <w:r>
              <w:rPr>
                <w:rFonts w:hint="eastAsia" w:ascii="宋体" w:hAnsi="宋体" w:cs="宋体"/>
                <w:b/>
                <w:bCs/>
                <w:color w:val="auto"/>
                <w:sz w:val="24"/>
                <w:szCs w:val="24"/>
                <w:highlight w:val="none"/>
              </w:rPr>
              <w:t>设施、设备的运行管理方案</w:t>
            </w:r>
          </w:p>
        </w:tc>
        <w:tc>
          <w:tcPr>
            <w:tcW w:w="5675"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投标人提供</w:t>
            </w:r>
            <w:r>
              <w:rPr>
                <w:rFonts w:hint="eastAsia" w:ascii="宋体" w:hAnsi="宋体" w:cs="宋体"/>
                <w:b/>
                <w:bCs/>
                <w:color w:val="auto"/>
                <w:sz w:val="24"/>
                <w:szCs w:val="24"/>
                <w:highlight w:val="none"/>
              </w:rPr>
              <w:t>设施、设备的运行管理方案</w:t>
            </w:r>
            <w:r>
              <w:rPr>
                <w:rFonts w:hint="eastAsia" w:ascii="宋体" w:hAnsi="宋体" w:cs="宋体"/>
                <w:color w:val="auto"/>
                <w:sz w:val="24"/>
                <w:szCs w:val="24"/>
                <w:highlight w:val="none"/>
              </w:rPr>
              <w:t>的，方案内容包含“人员配置”且符合采购需求的，得2分；包含“岗位职责”且符合采购需求的，得2分；包含“工作制度”且符合采购需求的，得2分；包含“管理考评标准”且符合采购需求的，得2分。</w:t>
            </w:r>
          </w:p>
          <w:p>
            <w:pPr>
              <w:pStyle w:val="4"/>
              <w:numPr>
                <w:ilvl w:val="1"/>
                <w:numId w:val="0"/>
              </w:numPr>
              <w:spacing w:line="360" w:lineRule="exact"/>
              <w:rPr>
                <w:color w:val="auto"/>
                <w:sz w:val="24"/>
                <w:szCs w:val="24"/>
                <w:highlight w:val="none"/>
              </w:rPr>
            </w:pPr>
            <w:r>
              <w:rPr>
                <w:rFonts w:hint="eastAsia"/>
                <w:b w:val="0"/>
                <w:bCs w:val="0"/>
                <w:color w:val="auto"/>
                <w:sz w:val="24"/>
                <w:szCs w:val="24"/>
                <w:highlight w:val="none"/>
              </w:rPr>
              <w:t>（说明：1、提供</w:t>
            </w:r>
            <w:r>
              <w:rPr>
                <w:rFonts w:hint="eastAsia"/>
                <w:color w:val="auto"/>
                <w:sz w:val="24"/>
                <w:szCs w:val="24"/>
                <w:highlight w:val="none"/>
              </w:rPr>
              <w:t>设施、设备的运行管理方案</w:t>
            </w:r>
            <w:r>
              <w:rPr>
                <w:rFonts w:hint="eastAsia"/>
                <w:b w:val="0"/>
                <w:bCs w:val="0"/>
                <w:color w:val="auto"/>
                <w:sz w:val="24"/>
                <w:szCs w:val="24"/>
                <w:highlight w:val="none"/>
              </w:rPr>
              <w:t>。2、本评分项不符合采购需求是指存在不适用项目实际情况、凭空编造、逻辑漏洞、原理错误情形。）</w:t>
            </w:r>
          </w:p>
        </w:tc>
        <w:tc>
          <w:tcPr>
            <w:tcW w:w="1093" w:type="dxa"/>
            <w:tcBorders>
              <w:top w:val="single" w:color="auto" w:sz="4" w:space="0"/>
              <w:left w:val="single" w:color="auto" w:sz="4" w:space="0"/>
              <w:bottom w:val="single" w:color="auto" w:sz="4" w:space="0"/>
              <w:right w:val="single" w:color="auto" w:sz="4" w:space="0"/>
            </w:tcBorders>
            <w:vAlign w:val="center"/>
          </w:tcPr>
          <w:p>
            <w:pPr>
              <w:tabs>
                <w:tab w:val="left" w:pos="0"/>
              </w:tabs>
              <w:snapToGrid w:val="0"/>
              <w:spacing w:line="360" w:lineRule="exact"/>
              <w:ind w:firstLine="28"/>
              <w:jc w:val="center"/>
              <w:textAlignment w:val="baseline"/>
              <w:rPr>
                <w:rFonts w:ascii="宋体" w:hAnsi="宋体" w:cs="宋体"/>
                <w:color w:val="auto"/>
                <w:sz w:val="24"/>
                <w:szCs w:val="24"/>
                <w:highlight w:val="none"/>
              </w:rPr>
            </w:pPr>
            <w:r>
              <w:rPr>
                <w:rFonts w:hint="eastAsia" w:ascii="宋体" w:hAnsi="宋体" w:cs="宋体"/>
                <w:color w:val="auto"/>
                <w:sz w:val="24"/>
                <w:szCs w:val="24"/>
                <w:highlight w:val="none"/>
              </w:rPr>
              <w:t>8分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Borders>
              <w:top w:val="single" w:color="auto" w:sz="4" w:space="0"/>
              <w:left w:val="single" w:color="auto" w:sz="4" w:space="0"/>
              <w:bottom w:val="single" w:color="auto" w:sz="4" w:space="0"/>
              <w:right w:val="single" w:color="auto" w:sz="4" w:space="0"/>
            </w:tcBorders>
          </w:tcPr>
          <w:p>
            <w:pPr>
              <w:spacing w:after="200" w:line="360" w:lineRule="exact"/>
              <w:rPr>
                <w:rFonts w:ascii="宋体" w:hAnsi="宋体" w:cs="宋体"/>
                <w:b/>
                <w:color w:val="auto"/>
                <w:sz w:val="24"/>
                <w:szCs w:val="24"/>
                <w:highlight w:val="none"/>
              </w:rPr>
            </w:pPr>
            <w:r>
              <w:rPr>
                <w:rFonts w:hint="eastAsia" w:ascii="宋体" w:hAnsi="宋体" w:cs="宋体"/>
                <w:b/>
                <w:color w:val="auto"/>
                <w:sz w:val="24"/>
                <w:szCs w:val="24"/>
                <w:highlight w:val="none"/>
              </w:rPr>
              <w:t>技术类评委</w:t>
            </w:r>
          </w:p>
        </w:tc>
        <w:tc>
          <w:tcPr>
            <w:tcW w:w="948" w:type="dxa"/>
            <w:tcBorders>
              <w:top w:val="single" w:color="auto" w:sz="4" w:space="0"/>
              <w:left w:val="single" w:color="auto" w:sz="4" w:space="0"/>
              <w:bottom w:val="single" w:color="auto" w:sz="4" w:space="0"/>
              <w:right w:val="single" w:color="auto" w:sz="4" w:space="0"/>
            </w:tcBorders>
            <w:vAlign w:val="center"/>
          </w:tcPr>
          <w:p>
            <w:pPr>
              <w:widowControl/>
              <w:tabs>
                <w:tab w:val="left" w:pos="0"/>
              </w:tabs>
              <w:spacing w:line="360" w:lineRule="exact"/>
              <w:jc w:val="center"/>
              <w:rPr>
                <w:rFonts w:ascii="宋体" w:hAnsi="宋体" w:cs="宋体"/>
                <w:color w:val="auto"/>
                <w:sz w:val="24"/>
                <w:szCs w:val="24"/>
                <w:highlight w:val="none"/>
              </w:rPr>
            </w:pPr>
            <w:r>
              <w:rPr>
                <w:rFonts w:hint="eastAsia" w:ascii="宋体" w:hAnsi="宋体" w:cs="宋体"/>
                <w:color w:val="auto"/>
                <w:sz w:val="24"/>
                <w:szCs w:val="24"/>
                <w:highlight w:val="none"/>
              </w:rPr>
              <w:t>应急处置方案</w:t>
            </w:r>
          </w:p>
        </w:tc>
        <w:tc>
          <w:tcPr>
            <w:tcW w:w="5675" w:type="dxa"/>
            <w:tcBorders>
              <w:top w:val="single" w:color="auto" w:sz="4" w:space="0"/>
              <w:left w:val="single" w:color="auto" w:sz="4" w:space="0"/>
              <w:bottom w:val="single" w:color="auto" w:sz="4" w:space="0"/>
              <w:right w:val="single" w:color="auto" w:sz="4" w:space="0"/>
            </w:tcBorders>
            <w:vAlign w:val="center"/>
          </w:tcPr>
          <w:p>
            <w:pPr>
              <w:spacing w:line="360" w:lineRule="exact"/>
              <w:rPr>
                <w:rFonts w:ascii="宋体" w:hAnsi="宋体" w:cs="宋体"/>
                <w:color w:val="auto"/>
                <w:sz w:val="24"/>
                <w:szCs w:val="24"/>
                <w:highlight w:val="none"/>
              </w:rPr>
            </w:pPr>
            <w:r>
              <w:rPr>
                <w:rFonts w:hint="eastAsia" w:ascii="宋体" w:hAnsi="宋体" w:cs="宋体"/>
                <w:color w:val="auto"/>
                <w:sz w:val="24"/>
                <w:szCs w:val="24"/>
                <w:highlight w:val="none"/>
              </w:rPr>
              <w:t>投标人提供应急处置方案的，方案内容包含“火灾应急处理”且符合采购需求的，得2分；包含“水电气系统应急处理”且符合采购需求的，得2分；包含“设施设备系统应急处理”且符合采购需求的，得2分；包含“雨污管网系统应急处理”且符合采购需求的，得2分；包含“电梯应急处理”且符合采购需求的，得2分；包含“安全等故障事故应急处理”且符合采购需求的，得2分。</w:t>
            </w:r>
          </w:p>
          <w:p>
            <w:pPr>
              <w:pStyle w:val="4"/>
              <w:numPr>
                <w:ilvl w:val="1"/>
                <w:numId w:val="0"/>
              </w:numPr>
              <w:spacing w:line="360" w:lineRule="exact"/>
              <w:rPr>
                <w:color w:val="auto"/>
                <w:sz w:val="24"/>
                <w:szCs w:val="24"/>
                <w:highlight w:val="none"/>
              </w:rPr>
            </w:pPr>
            <w:r>
              <w:rPr>
                <w:rFonts w:hint="eastAsia"/>
                <w:b w:val="0"/>
                <w:bCs w:val="0"/>
                <w:color w:val="auto"/>
                <w:sz w:val="24"/>
                <w:szCs w:val="24"/>
                <w:highlight w:val="none"/>
              </w:rPr>
              <w:t>（说明：1、提供应急处置方案。2、本评分项不符合采购需求是指存在不适用项目实际情况、凭空编造、逻辑漏洞、原理错误情形。）</w:t>
            </w:r>
          </w:p>
        </w:tc>
        <w:tc>
          <w:tcPr>
            <w:tcW w:w="1093" w:type="dxa"/>
            <w:tcBorders>
              <w:top w:val="single" w:color="auto" w:sz="4" w:space="0"/>
              <w:left w:val="single" w:color="auto" w:sz="4" w:space="0"/>
              <w:bottom w:val="single" w:color="auto" w:sz="4" w:space="0"/>
              <w:right w:val="single" w:color="auto" w:sz="4" w:space="0"/>
            </w:tcBorders>
            <w:vAlign w:val="center"/>
          </w:tcPr>
          <w:p>
            <w:pPr>
              <w:tabs>
                <w:tab w:val="left" w:pos="0"/>
              </w:tabs>
              <w:snapToGrid w:val="0"/>
              <w:spacing w:line="360" w:lineRule="exact"/>
              <w:ind w:firstLine="28"/>
              <w:jc w:val="center"/>
              <w:textAlignment w:val="baseline"/>
              <w:rPr>
                <w:rFonts w:ascii="宋体" w:hAnsi="宋体" w:cs="宋体"/>
                <w:color w:val="auto"/>
                <w:sz w:val="24"/>
                <w:szCs w:val="24"/>
                <w:highlight w:val="none"/>
              </w:rPr>
            </w:pPr>
            <w:r>
              <w:rPr>
                <w:rFonts w:hint="eastAsia" w:ascii="宋体" w:hAnsi="宋体" w:cs="宋体"/>
                <w:color w:val="auto"/>
                <w:sz w:val="24"/>
                <w:szCs w:val="24"/>
                <w:highlight w:val="none"/>
              </w:rPr>
              <w:t>12分</w:t>
            </w:r>
          </w:p>
        </w:tc>
      </w:tr>
    </w:tbl>
    <w:p>
      <w:pPr>
        <w:spacing w:line="560" w:lineRule="exact"/>
        <w:ind w:firstLine="560" w:firstLineChars="200"/>
        <w:rPr>
          <w:rFonts w:ascii="宋体" w:hAnsi="宋体"/>
          <w:color w:val="auto"/>
          <w:sz w:val="28"/>
          <w:highlight w:val="none"/>
        </w:rPr>
      </w:pPr>
      <w:r>
        <w:rPr>
          <w:rFonts w:hint="eastAsia" w:ascii="宋体" w:hAnsi="宋体"/>
          <w:color w:val="auto"/>
          <w:sz w:val="28"/>
          <w:highlight w:val="none"/>
        </w:rPr>
        <w:t>说明：</w:t>
      </w:r>
    </w:p>
    <w:p>
      <w:pPr>
        <w:spacing w:line="560" w:lineRule="exact"/>
        <w:ind w:firstLine="560" w:firstLineChars="200"/>
        <w:rPr>
          <w:rFonts w:ascii="宋体" w:hAnsi="宋体"/>
          <w:color w:val="auto"/>
          <w:sz w:val="28"/>
          <w:highlight w:val="none"/>
        </w:rPr>
      </w:pPr>
      <w:r>
        <w:rPr>
          <w:rFonts w:hint="eastAsia" w:ascii="宋体" w:hAnsi="宋体"/>
          <w:color w:val="auto"/>
          <w:sz w:val="28"/>
          <w:highlight w:val="none"/>
        </w:rPr>
        <w:t>1、评分的取值按四舍五入法，保留小数点后两位；</w:t>
      </w:r>
    </w:p>
    <w:p>
      <w:pPr>
        <w:spacing w:line="560" w:lineRule="exact"/>
        <w:ind w:firstLine="560" w:firstLineChars="200"/>
        <w:rPr>
          <w:rFonts w:ascii="宋体" w:hAnsi="宋体"/>
          <w:color w:val="auto"/>
          <w:sz w:val="28"/>
          <w:highlight w:val="none"/>
        </w:rPr>
      </w:pPr>
      <w:r>
        <w:rPr>
          <w:rFonts w:hint="eastAsia" w:ascii="宋体" w:hAnsi="宋体"/>
          <w:color w:val="auto"/>
          <w:sz w:val="28"/>
          <w:highlight w:val="none"/>
        </w:rPr>
        <w:t>2、评分标准中要求提供复印件的证明材料须清晰可辨。</w:t>
      </w:r>
    </w:p>
    <w:p>
      <w:pPr>
        <w:pStyle w:val="4"/>
        <w:numPr>
          <w:ilvl w:val="1"/>
          <w:numId w:val="4"/>
        </w:numPr>
        <w:spacing w:before="0" w:after="0" w:line="560" w:lineRule="exact"/>
        <w:ind w:left="2269" w:hanging="2127"/>
        <w:rPr>
          <w:color w:val="auto"/>
          <w:highlight w:val="none"/>
        </w:rPr>
      </w:pPr>
      <w:bookmarkStart w:id="325" w:name="_Toc315871725"/>
      <w:bookmarkEnd w:id="325"/>
      <w:bookmarkStart w:id="326" w:name="_Toc320624265"/>
      <w:bookmarkEnd w:id="326"/>
      <w:bookmarkStart w:id="327" w:name="_Toc318206701"/>
      <w:bookmarkEnd w:id="327"/>
      <w:bookmarkStart w:id="328" w:name="_Toc315871657"/>
      <w:bookmarkEnd w:id="328"/>
      <w:bookmarkStart w:id="329" w:name="_Toc315871658"/>
      <w:bookmarkEnd w:id="329"/>
      <w:bookmarkStart w:id="330" w:name="_Toc320624275"/>
      <w:bookmarkEnd w:id="330"/>
      <w:bookmarkStart w:id="331" w:name="_Toc320624290"/>
      <w:bookmarkEnd w:id="331"/>
      <w:bookmarkStart w:id="332" w:name="_Toc320624255"/>
      <w:bookmarkEnd w:id="332"/>
      <w:bookmarkStart w:id="333" w:name="_Toc315871656"/>
      <w:bookmarkEnd w:id="333"/>
      <w:bookmarkStart w:id="334" w:name="_Toc320624280"/>
      <w:bookmarkEnd w:id="334"/>
      <w:bookmarkStart w:id="335" w:name="_Toc320624240"/>
      <w:bookmarkEnd w:id="335"/>
      <w:bookmarkStart w:id="336" w:name="_Toc320624285"/>
      <w:bookmarkEnd w:id="336"/>
      <w:bookmarkStart w:id="337" w:name="_Toc320624295"/>
      <w:bookmarkEnd w:id="337"/>
      <w:bookmarkStart w:id="338" w:name="_Toc320624260"/>
      <w:bookmarkEnd w:id="338"/>
      <w:bookmarkStart w:id="339" w:name="_Toc23841"/>
      <w:bookmarkStart w:id="340" w:name="_Toc315871726"/>
      <w:bookmarkStart w:id="341" w:name="_Toc31203"/>
      <w:bookmarkStart w:id="342" w:name="_Toc316292258"/>
      <w:bookmarkStart w:id="343" w:name="_Toc19565"/>
      <w:bookmarkStart w:id="344" w:name="_Toc18803"/>
      <w:bookmarkStart w:id="345" w:name="_Toc15076"/>
      <w:bookmarkStart w:id="346" w:name="_Toc217446060"/>
      <w:r>
        <w:rPr>
          <w:rFonts w:hint="eastAsia"/>
          <w:color w:val="auto"/>
          <w:highlight w:val="none"/>
        </w:rPr>
        <w:t>废标</w:t>
      </w:r>
      <w:bookmarkEnd w:id="339"/>
      <w:bookmarkEnd w:id="340"/>
      <w:bookmarkEnd w:id="341"/>
      <w:bookmarkEnd w:id="342"/>
      <w:bookmarkEnd w:id="343"/>
      <w:bookmarkEnd w:id="344"/>
      <w:bookmarkEnd w:id="345"/>
    </w:p>
    <w:p>
      <w:pPr>
        <w:spacing w:line="56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本次政府采购活动中，出现下列情形之一的，予以废标：</w:t>
      </w:r>
    </w:p>
    <w:p>
      <w:pPr>
        <w:numPr>
          <w:ilvl w:val="0"/>
          <w:numId w:val="60"/>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符合专业条件的投标人或者对招标文件作实质响应的投标人不足三家的；</w:t>
      </w:r>
    </w:p>
    <w:p>
      <w:pPr>
        <w:numPr>
          <w:ilvl w:val="0"/>
          <w:numId w:val="60"/>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出现影响采购公正的违法、违规行为的；</w:t>
      </w:r>
    </w:p>
    <w:p>
      <w:pPr>
        <w:numPr>
          <w:ilvl w:val="0"/>
          <w:numId w:val="60"/>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投标人的报价均超过了采购预算，采购人不能支付的；</w:t>
      </w:r>
    </w:p>
    <w:p>
      <w:pPr>
        <w:numPr>
          <w:ilvl w:val="0"/>
          <w:numId w:val="60"/>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因重大变故，采购任务取消的；</w:t>
      </w:r>
    </w:p>
    <w:p>
      <w:pPr>
        <w:numPr>
          <w:ilvl w:val="0"/>
          <w:numId w:val="60"/>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废标后，高新区采购中心将在“四川政府采购网”和“成都市公共资源交易服务中心”网站上公告。</w:t>
      </w:r>
    </w:p>
    <w:p>
      <w:pPr>
        <w:pStyle w:val="4"/>
        <w:numPr>
          <w:ilvl w:val="1"/>
          <w:numId w:val="4"/>
        </w:numPr>
        <w:spacing w:before="0" w:after="0" w:line="560" w:lineRule="exact"/>
        <w:ind w:left="2269" w:hanging="2127"/>
        <w:rPr>
          <w:color w:val="auto"/>
          <w:highlight w:val="none"/>
        </w:rPr>
      </w:pPr>
      <w:bookmarkStart w:id="347" w:name="_Toc14777"/>
      <w:bookmarkStart w:id="348" w:name="_Toc19880"/>
      <w:bookmarkStart w:id="349" w:name="_Toc316292259"/>
      <w:bookmarkStart w:id="350" w:name="_Toc27932"/>
      <w:bookmarkStart w:id="351" w:name="_Toc315871727"/>
      <w:bookmarkStart w:id="352" w:name="_Toc3782"/>
      <w:bookmarkStart w:id="353" w:name="_Toc8992"/>
      <w:r>
        <w:rPr>
          <w:rFonts w:hint="eastAsia"/>
          <w:color w:val="auto"/>
          <w:highlight w:val="none"/>
        </w:rPr>
        <w:t>定标</w:t>
      </w:r>
      <w:bookmarkEnd w:id="346"/>
      <w:bookmarkEnd w:id="347"/>
      <w:bookmarkEnd w:id="348"/>
      <w:bookmarkEnd w:id="349"/>
      <w:bookmarkEnd w:id="350"/>
      <w:bookmarkEnd w:id="351"/>
      <w:bookmarkEnd w:id="352"/>
      <w:bookmarkEnd w:id="353"/>
      <w:bookmarkStart w:id="354" w:name="_Toc217446061"/>
    </w:p>
    <w:p>
      <w:pPr>
        <w:pStyle w:val="5"/>
        <w:numPr>
          <w:ilvl w:val="2"/>
          <w:numId w:val="4"/>
        </w:numPr>
        <w:spacing w:after="200" w:line="560" w:lineRule="exact"/>
        <w:ind w:left="0" w:firstLine="0"/>
        <w:rPr>
          <w:color w:val="auto"/>
          <w:highlight w:val="none"/>
        </w:rPr>
      </w:pPr>
      <w:bookmarkStart w:id="355" w:name="_Toc316292260"/>
      <w:bookmarkStart w:id="356" w:name="_Toc315871728"/>
      <w:r>
        <w:rPr>
          <w:rFonts w:hint="eastAsia"/>
          <w:color w:val="auto"/>
          <w:highlight w:val="none"/>
        </w:rPr>
        <w:t>定标原则</w:t>
      </w:r>
      <w:bookmarkEnd w:id="354"/>
      <w:bookmarkEnd w:id="355"/>
      <w:bookmarkEnd w:id="356"/>
    </w:p>
    <w:p>
      <w:pPr>
        <w:spacing w:line="560" w:lineRule="exact"/>
        <w:ind w:firstLine="560" w:firstLineChars="200"/>
        <w:rPr>
          <w:rFonts w:ascii="宋体" w:hAnsi="宋体"/>
          <w:color w:val="auto"/>
          <w:sz w:val="28"/>
          <w:szCs w:val="28"/>
          <w:highlight w:val="none"/>
        </w:rPr>
      </w:pPr>
      <w:bookmarkStart w:id="357" w:name="_Toc316292261"/>
      <w:bookmarkStart w:id="358" w:name="_Toc315871729"/>
      <w:bookmarkStart w:id="359" w:name="_Toc217446062"/>
      <w:r>
        <w:rPr>
          <w:rFonts w:hint="eastAsia" w:ascii="宋体" w:hAnsi="宋体"/>
          <w:color w:val="auto"/>
          <w:sz w:val="28"/>
          <w:szCs w:val="28"/>
          <w:highlight w:val="none"/>
        </w:rPr>
        <w:t>本项目根据评标委员会确定的中标候选人名单，采购人按顺序确定1名中标人。中标候选供应商并列的，</w:t>
      </w:r>
      <w:r>
        <w:rPr>
          <w:rFonts w:hint="eastAsia" w:ascii="宋体"/>
          <w:color w:val="auto"/>
          <w:sz w:val="28"/>
          <w:szCs w:val="28"/>
          <w:highlight w:val="none"/>
        </w:rPr>
        <w:t>由采购人采取随机抽取的方式确定中标人</w:t>
      </w:r>
      <w:r>
        <w:rPr>
          <w:rFonts w:hint="eastAsia" w:ascii="宋体" w:hAnsi="宋体"/>
          <w:color w:val="auto"/>
          <w:sz w:val="28"/>
          <w:szCs w:val="28"/>
          <w:highlight w:val="none"/>
        </w:rPr>
        <w:t>。</w:t>
      </w:r>
    </w:p>
    <w:p>
      <w:pPr>
        <w:spacing w:line="560" w:lineRule="exact"/>
        <w:ind w:firstLine="560" w:firstLineChars="200"/>
        <w:rPr>
          <w:rFonts w:ascii="宋体" w:hAnsi="宋体"/>
          <w:color w:val="auto"/>
          <w:sz w:val="28"/>
          <w:szCs w:val="28"/>
          <w:highlight w:val="none"/>
        </w:rPr>
      </w:pPr>
      <w:r>
        <w:rPr>
          <w:rFonts w:hint="eastAsia" w:cs="Helvetica" w:asciiTheme="minorEastAsia" w:hAnsiTheme="minorEastAsia" w:eastAsiaTheme="minorEastAsia"/>
          <w:color w:val="auto"/>
          <w:kern w:val="0"/>
          <w:sz w:val="28"/>
          <w:szCs w:val="28"/>
          <w:highlight w:val="none"/>
        </w:rPr>
        <w:t>采购人在收到评标报告</w:t>
      </w:r>
      <w:r>
        <w:rPr>
          <w:rFonts w:hint="eastAsia" w:cs="宋体" w:asciiTheme="minorEastAsia" w:hAnsiTheme="minorEastAsia" w:eastAsiaTheme="minorEastAsia"/>
          <w:color w:val="auto"/>
          <w:kern w:val="0"/>
          <w:sz w:val="28"/>
          <w:szCs w:val="28"/>
          <w:highlight w:val="none"/>
        </w:rPr>
        <w:t>3</w:t>
      </w:r>
      <w:r>
        <w:rPr>
          <w:rFonts w:hint="eastAsia" w:cs="Helvetica" w:asciiTheme="minorEastAsia" w:hAnsiTheme="minorEastAsia" w:eastAsiaTheme="minorEastAsia"/>
          <w:color w:val="auto"/>
          <w:kern w:val="0"/>
          <w:sz w:val="28"/>
          <w:szCs w:val="28"/>
          <w:highlight w:val="none"/>
        </w:rPr>
        <w:t>个工作日内未按评标报告推荐的中标候选人顺序确定中标人，又不能说明合法理由的，视同按评标报告推荐的顺序确定排名第一的中标候选人为中标人。</w:t>
      </w:r>
    </w:p>
    <w:p>
      <w:pPr>
        <w:pStyle w:val="5"/>
        <w:numPr>
          <w:ilvl w:val="2"/>
          <w:numId w:val="4"/>
        </w:numPr>
        <w:spacing w:after="200" w:line="560" w:lineRule="exact"/>
        <w:ind w:left="0" w:firstLine="0"/>
        <w:rPr>
          <w:color w:val="auto"/>
          <w:highlight w:val="none"/>
        </w:rPr>
      </w:pPr>
      <w:r>
        <w:rPr>
          <w:rFonts w:hint="eastAsia"/>
          <w:color w:val="auto"/>
          <w:highlight w:val="none"/>
        </w:rPr>
        <w:t>定标程序</w:t>
      </w:r>
      <w:bookmarkEnd w:id="357"/>
      <w:bookmarkEnd w:id="358"/>
      <w:bookmarkEnd w:id="359"/>
    </w:p>
    <w:bookmarkEnd w:id="299"/>
    <w:p>
      <w:pPr>
        <w:spacing w:line="560" w:lineRule="exact"/>
        <w:ind w:firstLine="560" w:firstLineChars="200"/>
        <w:rPr>
          <w:rFonts w:ascii="宋体" w:hAnsi="宋体"/>
          <w:color w:val="auto"/>
          <w:kern w:val="0"/>
          <w:sz w:val="28"/>
          <w:szCs w:val="28"/>
          <w:highlight w:val="none"/>
        </w:rPr>
      </w:pPr>
      <w:bookmarkStart w:id="360" w:name="_Toc316292262"/>
      <w:bookmarkStart w:id="361" w:name="_Toc315871730"/>
      <w:r>
        <w:rPr>
          <w:rFonts w:hint="eastAsia" w:ascii="宋体" w:hAnsi="宋体"/>
          <w:color w:val="auto"/>
          <w:kern w:val="0"/>
          <w:sz w:val="28"/>
          <w:szCs w:val="28"/>
          <w:highlight w:val="none"/>
        </w:rPr>
        <w:t>一、评审委员会将评审情况写出书面报告。</w:t>
      </w:r>
    </w:p>
    <w:p>
      <w:pPr>
        <w:spacing w:line="560" w:lineRule="exact"/>
        <w:ind w:firstLine="560" w:firstLineChars="200"/>
        <w:rPr>
          <w:rFonts w:ascii="宋体" w:hAnsi="宋体"/>
          <w:color w:val="auto"/>
          <w:kern w:val="0"/>
          <w:sz w:val="28"/>
          <w:szCs w:val="28"/>
          <w:highlight w:val="none"/>
        </w:rPr>
      </w:pPr>
      <w:r>
        <w:rPr>
          <w:rFonts w:hint="eastAsia" w:ascii="宋体" w:hAnsi="宋体"/>
          <w:color w:val="auto"/>
          <w:kern w:val="0"/>
          <w:sz w:val="28"/>
          <w:szCs w:val="28"/>
          <w:highlight w:val="none"/>
        </w:rPr>
        <w:t>二、高新区采购中心在评审结束之日起2个工作日内将评审报告送采购人。</w:t>
      </w:r>
    </w:p>
    <w:p>
      <w:pPr>
        <w:pStyle w:val="18"/>
        <w:spacing w:line="560" w:lineRule="exact"/>
        <w:ind w:firstLine="560" w:firstLineChars="200"/>
        <w:rPr>
          <w:rFonts w:ascii="宋体" w:hAnsi="宋体"/>
          <w:color w:val="auto"/>
          <w:sz w:val="28"/>
          <w:szCs w:val="28"/>
          <w:highlight w:val="none"/>
        </w:rPr>
      </w:pPr>
      <w:r>
        <w:rPr>
          <w:rFonts w:hint="eastAsia" w:ascii="宋体" w:hAnsi="宋体"/>
          <w:color w:val="auto"/>
          <w:sz w:val="28"/>
          <w:szCs w:val="28"/>
          <w:highlight w:val="none"/>
        </w:rPr>
        <w:t>三、采购人在收到评审报告后3个工作日内，按照评审报告中推荐的中标（成交）候选人顺序确定中标（成交）人。如果中标（成交）候选人及其现任法定代表人、主要负责人存在行贿犯罪记录，采购人将不确定其为中标（成交）人。采购人在确认成交供应商前，应到中国裁判文书网（https://wenshu.court.gov.cn）查询成交候选供应商及其现任法定代表人、主要负责人是否存在行贿犯罪记录。</w:t>
      </w:r>
    </w:p>
    <w:p>
      <w:pPr>
        <w:spacing w:line="560" w:lineRule="exact"/>
        <w:ind w:firstLine="560" w:firstLineChars="200"/>
        <w:jc w:val="left"/>
        <w:rPr>
          <w:rFonts w:ascii="宋体" w:hAnsi="宋体"/>
          <w:color w:val="auto"/>
          <w:kern w:val="0"/>
          <w:sz w:val="28"/>
          <w:szCs w:val="28"/>
          <w:highlight w:val="none"/>
        </w:rPr>
      </w:pPr>
      <w:r>
        <w:rPr>
          <w:rFonts w:hint="eastAsia" w:ascii="宋体" w:hAnsi="宋体"/>
          <w:color w:val="auto"/>
          <w:kern w:val="0"/>
          <w:sz w:val="28"/>
          <w:szCs w:val="28"/>
          <w:highlight w:val="none"/>
        </w:rPr>
        <w:t>四、根据采购人确定的中标（成交）人，高新区采购中心在“四川政府采购网”和“成都市公共资源交易服务中心”网站上发布中标（成交）公告，同时向中标（成交）人发出中标（成交）通知书。</w:t>
      </w:r>
    </w:p>
    <w:p>
      <w:pPr>
        <w:tabs>
          <w:tab w:val="left" w:pos="1155"/>
        </w:tabs>
        <w:spacing w:line="560" w:lineRule="exact"/>
        <w:ind w:firstLine="565" w:firstLineChars="202"/>
        <w:rPr>
          <w:rFonts w:ascii="宋体" w:hAnsi="宋体"/>
          <w:color w:val="auto"/>
          <w:kern w:val="0"/>
          <w:sz w:val="28"/>
          <w:szCs w:val="28"/>
          <w:highlight w:val="none"/>
        </w:rPr>
      </w:pPr>
      <w:r>
        <w:rPr>
          <w:rFonts w:hint="eastAsia" w:ascii="宋体" w:hAnsi="宋体"/>
          <w:color w:val="auto"/>
          <w:kern w:val="0"/>
          <w:sz w:val="28"/>
          <w:szCs w:val="28"/>
          <w:highlight w:val="none"/>
        </w:rPr>
        <w:t>五、采购人、高新区采购中心不解释中标（成交）或未中标（成交）原因，不退回投标文件和其他投标资料。</w:t>
      </w:r>
    </w:p>
    <w:p>
      <w:pPr>
        <w:pStyle w:val="4"/>
        <w:numPr>
          <w:ilvl w:val="1"/>
          <w:numId w:val="4"/>
        </w:numPr>
        <w:spacing w:before="0" w:after="0" w:line="560" w:lineRule="exact"/>
        <w:ind w:left="2269" w:hanging="2269"/>
        <w:rPr>
          <w:color w:val="auto"/>
          <w:highlight w:val="none"/>
        </w:rPr>
      </w:pPr>
      <w:bookmarkStart w:id="362" w:name="_Toc24014"/>
      <w:bookmarkStart w:id="363" w:name="_Toc20789"/>
      <w:bookmarkStart w:id="364" w:name="_Toc31963"/>
      <w:bookmarkStart w:id="365" w:name="_Toc1482"/>
      <w:bookmarkStart w:id="366" w:name="_Toc6845"/>
      <w:r>
        <w:rPr>
          <w:rFonts w:hint="eastAsia"/>
          <w:color w:val="auto"/>
          <w:highlight w:val="none"/>
        </w:rPr>
        <w:t>评标专家在政府采购活动中承担以下义务</w:t>
      </w:r>
      <w:bookmarkEnd w:id="360"/>
      <w:bookmarkEnd w:id="361"/>
      <w:bookmarkEnd w:id="362"/>
      <w:bookmarkEnd w:id="363"/>
      <w:bookmarkEnd w:id="364"/>
      <w:bookmarkEnd w:id="365"/>
      <w:bookmarkEnd w:id="366"/>
    </w:p>
    <w:p>
      <w:pPr>
        <w:numPr>
          <w:ilvl w:val="0"/>
          <w:numId w:val="61"/>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遵纪守法，客观、公正、廉洁地履行职责。</w:t>
      </w:r>
    </w:p>
    <w:p>
      <w:pPr>
        <w:numPr>
          <w:ilvl w:val="0"/>
          <w:numId w:val="61"/>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按照政府采购法律法规和采购文件的规定要求对投标人的资格条件和投标人提供的产品价格、技术、服务等方面严格进行独立评审，提供科学合理、公平公正的评审意见，参与起草评审报告，并予签字确认。</w:t>
      </w:r>
    </w:p>
    <w:p>
      <w:pPr>
        <w:numPr>
          <w:ilvl w:val="0"/>
          <w:numId w:val="61"/>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保守秘密。不得泄漏投标人的投标文件及知悉的商业秘密，不得向投标人透露评审情况。</w:t>
      </w:r>
    </w:p>
    <w:p>
      <w:pPr>
        <w:numPr>
          <w:ilvl w:val="0"/>
          <w:numId w:val="61"/>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发现投标人在政府采购活动中有不正当竞争或恶意串通等违规行为，及时向政府采购评审工作的组织者或财政部门报告并加以制止。</w:t>
      </w:r>
    </w:p>
    <w:p>
      <w:pPr>
        <w:numPr>
          <w:ilvl w:val="0"/>
          <w:numId w:val="61"/>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发现采购人、高新区采购中心及其工作人员在政府采购活动中有干预评审、发表倾向性和歧视性言论、受贿或者接受投标人的其他好处及其他违法违规行为，及时向财政部门报告。</w:t>
      </w:r>
    </w:p>
    <w:p>
      <w:pPr>
        <w:numPr>
          <w:ilvl w:val="0"/>
          <w:numId w:val="61"/>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解答有关方面对政府采购评审工作中有关问题的询问，配合采购人或者高新区采购中心答复投标人的询问、质疑，配合财政部门的投诉处理工作等事宜。</w:t>
      </w:r>
    </w:p>
    <w:p>
      <w:pPr>
        <w:numPr>
          <w:ilvl w:val="0"/>
          <w:numId w:val="61"/>
        </w:numPr>
        <w:tabs>
          <w:tab w:val="left" w:pos="1155"/>
        </w:tabs>
        <w:spacing w:after="200" w:line="560" w:lineRule="exact"/>
        <w:ind w:left="0" w:firstLine="525"/>
        <w:rPr>
          <w:rFonts w:ascii="宋体" w:hAnsi="宋体"/>
          <w:color w:val="auto"/>
          <w:sz w:val="28"/>
          <w:szCs w:val="28"/>
          <w:highlight w:val="none"/>
        </w:rPr>
      </w:pPr>
      <w:r>
        <w:rPr>
          <w:rFonts w:hint="eastAsia" w:ascii="宋体" w:hAnsi="宋体"/>
          <w:color w:val="auto"/>
          <w:sz w:val="28"/>
          <w:szCs w:val="28"/>
          <w:highlight w:val="none"/>
        </w:rPr>
        <w:t>法律、法规和规章规定的其他义务。</w:t>
      </w:r>
    </w:p>
    <w:p>
      <w:pPr>
        <w:pStyle w:val="4"/>
        <w:numPr>
          <w:ilvl w:val="1"/>
          <w:numId w:val="4"/>
        </w:numPr>
        <w:spacing w:before="0" w:after="0" w:line="560" w:lineRule="exact"/>
        <w:ind w:left="2269" w:hanging="2269"/>
        <w:rPr>
          <w:color w:val="auto"/>
          <w:highlight w:val="none"/>
        </w:rPr>
      </w:pPr>
      <w:bookmarkStart w:id="367" w:name="_Toc9396"/>
      <w:bookmarkStart w:id="368" w:name="_Toc3861"/>
      <w:bookmarkStart w:id="369" w:name="_Toc7637"/>
      <w:bookmarkStart w:id="370" w:name="_Toc1103"/>
      <w:bookmarkStart w:id="371" w:name="_Toc31664"/>
      <w:r>
        <w:rPr>
          <w:rFonts w:hint="eastAsia"/>
          <w:color w:val="auto"/>
          <w:highlight w:val="none"/>
        </w:rPr>
        <w:t>评标委员会及其成员不得有下列行为：</w:t>
      </w:r>
      <w:bookmarkEnd w:id="367"/>
      <w:bookmarkEnd w:id="368"/>
      <w:bookmarkEnd w:id="369"/>
      <w:bookmarkEnd w:id="370"/>
      <w:bookmarkEnd w:id="371"/>
    </w:p>
    <w:p>
      <w:pPr>
        <w:tabs>
          <w:tab w:val="left" w:pos="1418"/>
        </w:tabs>
        <w:spacing w:line="560" w:lineRule="exact"/>
        <w:ind w:firstLine="560" w:firstLineChars="200"/>
        <w:rPr>
          <w:color w:val="auto"/>
          <w:sz w:val="28"/>
          <w:szCs w:val="28"/>
          <w:highlight w:val="none"/>
        </w:rPr>
      </w:pPr>
      <w:r>
        <w:rPr>
          <w:rFonts w:hint="eastAsia"/>
          <w:color w:val="auto"/>
          <w:sz w:val="28"/>
          <w:szCs w:val="28"/>
          <w:highlight w:val="none"/>
        </w:rPr>
        <w:t>一、确定参与评标至评标结束前私自接触投标人；</w:t>
      </w:r>
    </w:p>
    <w:p>
      <w:pPr>
        <w:tabs>
          <w:tab w:val="left" w:pos="1418"/>
        </w:tabs>
        <w:spacing w:line="560" w:lineRule="exact"/>
        <w:ind w:firstLine="560" w:firstLineChars="200"/>
        <w:rPr>
          <w:color w:val="auto"/>
          <w:sz w:val="28"/>
          <w:szCs w:val="28"/>
          <w:highlight w:val="none"/>
        </w:rPr>
      </w:pPr>
      <w:r>
        <w:rPr>
          <w:rFonts w:hint="eastAsia"/>
          <w:color w:val="auto"/>
          <w:sz w:val="28"/>
          <w:szCs w:val="28"/>
          <w:highlight w:val="none"/>
        </w:rPr>
        <w:t>二、接受投标人提出的与投标文件不一致的澄清或者说明，除招标文件明确可以澄清的除外；</w:t>
      </w:r>
    </w:p>
    <w:p>
      <w:pPr>
        <w:tabs>
          <w:tab w:val="left" w:pos="1418"/>
        </w:tabs>
        <w:spacing w:line="560" w:lineRule="exact"/>
        <w:ind w:firstLine="560" w:firstLineChars="200"/>
        <w:rPr>
          <w:color w:val="auto"/>
          <w:sz w:val="28"/>
          <w:szCs w:val="28"/>
          <w:highlight w:val="none"/>
        </w:rPr>
      </w:pPr>
      <w:r>
        <w:rPr>
          <w:rFonts w:hint="eastAsia"/>
          <w:color w:val="auto"/>
          <w:sz w:val="28"/>
          <w:szCs w:val="28"/>
          <w:highlight w:val="none"/>
        </w:rPr>
        <w:t>三、违反评标纪律发表倾向性意见或者征询采购人的倾向性意见；</w:t>
      </w:r>
    </w:p>
    <w:p>
      <w:pPr>
        <w:tabs>
          <w:tab w:val="left" w:pos="1418"/>
        </w:tabs>
        <w:spacing w:line="560" w:lineRule="exact"/>
        <w:ind w:firstLine="560" w:firstLineChars="200"/>
        <w:rPr>
          <w:color w:val="auto"/>
          <w:sz w:val="28"/>
          <w:szCs w:val="28"/>
          <w:highlight w:val="none"/>
        </w:rPr>
      </w:pPr>
      <w:r>
        <w:rPr>
          <w:rFonts w:hint="eastAsia"/>
          <w:color w:val="auto"/>
          <w:sz w:val="28"/>
          <w:szCs w:val="28"/>
          <w:highlight w:val="none"/>
        </w:rPr>
        <w:t>四、对需要专业判断的主观评审因素协商评分；</w:t>
      </w:r>
    </w:p>
    <w:p>
      <w:pPr>
        <w:tabs>
          <w:tab w:val="left" w:pos="1418"/>
        </w:tabs>
        <w:spacing w:line="560" w:lineRule="exact"/>
        <w:ind w:firstLine="560" w:firstLineChars="200"/>
        <w:rPr>
          <w:color w:val="auto"/>
          <w:sz w:val="28"/>
          <w:szCs w:val="28"/>
          <w:highlight w:val="none"/>
        </w:rPr>
      </w:pPr>
      <w:r>
        <w:rPr>
          <w:rFonts w:hint="eastAsia"/>
          <w:color w:val="auto"/>
          <w:sz w:val="28"/>
          <w:szCs w:val="28"/>
          <w:highlight w:val="none"/>
        </w:rPr>
        <w:t>五、在评标过程中擅离职守，影响评标程序正常进行的；</w:t>
      </w:r>
    </w:p>
    <w:p>
      <w:pPr>
        <w:tabs>
          <w:tab w:val="left" w:pos="1276"/>
          <w:tab w:val="left" w:pos="1418"/>
        </w:tabs>
        <w:spacing w:line="560" w:lineRule="exact"/>
        <w:ind w:firstLine="560" w:firstLineChars="200"/>
        <w:rPr>
          <w:color w:val="auto"/>
          <w:sz w:val="28"/>
          <w:szCs w:val="28"/>
          <w:highlight w:val="none"/>
        </w:rPr>
      </w:pPr>
      <w:r>
        <w:rPr>
          <w:rFonts w:hint="eastAsia"/>
          <w:color w:val="auto"/>
          <w:sz w:val="28"/>
          <w:szCs w:val="28"/>
          <w:highlight w:val="none"/>
        </w:rPr>
        <w:t>六、记录、复制或者带走任何评标资料；</w:t>
      </w:r>
    </w:p>
    <w:p>
      <w:pPr>
        <w:tabs>
          <w:tab w:val="left" w:pos="993"/>
          <w:tab w:val="left" w:pos="1276"/>
          <w:tab w:val="left" w:pos="1418"/>
        </w:tabs>
        <w:spacing w:line="560" w:lineRule="exact"/>
        <w:ind w:firstLine="560" w:firstLineChars="200"/>
        <w:rPr>
          <w:color w:val="auto"/>
          <w:sz w:val="28"/>
          <w:szCs w:val="28"/>
          <w:highlight w:val="none"/>
        </w:rPr>
      </w:pPr>
      <w:r>
        <w:rPr>
          <w:rFonts w:hint="eastAsia"/>
          <w:color w:val="auto"/>
          <w:sz w:val="28"/>
          <w:szCs w:val="28"/>
          <w:highlight w:val="none"/>
        </w:rPr>
        <w:t>七、其他不遵守评标纪律的行为。</w:t>
      </w:r>
    </w:p>
    <w:p>
      <w:pPr>
        <w:tabs>
          <w:tab w:val="left" w:pos="1155"/>
        </w:tabs>
        <w:spacing w:line="560" w:lineRule="exact"/>
        <w:ind w:left="142" w:firstLine="565" w:firstLineChars="202"/>
        <w:rPr>
          <w:color w:val="auto"/>
          <w:sz w:val="28"/>
          <w:szCs w:val="28"/>
          <w:highlight w:val="none"/>
        </w:rPr>
      </w:pPr>
      <w:r>
        <w:rPr>
          <w:rFonts w:hint="eastAsia"/>
          <w:color w:val="auto"/>
          <w:sz w:val="28"/>
          <w:szCs w:val="28"/>
          <w:highlight w:val="none"/>
        </w:rPr>
        <w:t>评标委员会成员有前款第一至五项行为之一的，其评审意见无效，并不得获取评审劳务报酬和报销异地评审差旅费。</w:t>
      </w:r>
    </w:p>
    <w:p>
      <w:pPr>
        <w:pStyle w:val="4"/>
        <w:numPr>
          <w:ilvl w:val="1"/>
          <w:numId w:val="4"/>
        </w:numPr>
        <w:spacing w:before="0" w:after="0" w:line="560" w:lineRule="exact"/>
        <w:ind w:left="2269" w:hanging="2127"/>
        <w:rPr>
          <w:color w:val="auto"/>
          <w:highlight w:val="none"/>
        </w:rPr>
      </w:pPr>
      <w:bookmarkStart w:id="372" w:name="_Toc5931"/>
      <w:bookmarkStart w:id="373" w:name="_Toc22920"/>
      <w:bookmarkStart w:id="374" w:name="_Toc494464930"/>
      <w:bookmarkStart w:id="375" w:name="_Toc6837"/>
      <w:bookmarkStart w:id="376" w:name="_Toc16147"/>
      <w:bookmarkStart w:id="377" w:name="_Toc15267"/>
      <w:r>
        <w:rPr>
          <w:rFonts w:hint="eastAsia"/>
          <w:color w:val="auto"/>
          <w:highlight w:val="none"/>
        </w:rPr>
        <w:t>评审专家在政府采购活动中应当遵守以下工作纪律</w:t>
      </w:r>
      <w:bookmarkEnd w:id="372"/>
      <w:bookmarkEnd w:id="373"/>
      <w:bookmarkEnd w:id="374"/>
      <w:bookmarkEnd w:id="375"/>
      <w:bookmarkEnd w:id="376"/>
      <w:bookmarkEnd w:id="377"/>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遵行《政府采购法》第十二条和《政府采购法实施条例》第九条及政府采购相关法律法规关于回避的规定。</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应邀按时参加评审和咨询活动，遵守评标区管理规定。</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进入评标区之前应将所有的通信设备存入公资交易中心指定的存放处。评标专家不得以任何方式将通信设备带入评标区，否则将被取消其当次项目的评标资格。遇特殊情况不能出席或途中遇阻不能按时参加评审或咨询的，应及时告知财政部门或者采购人或者</w:t>
      </w:r>
      <w:r>
        <w:rPr>
          <w:rFonts w:hint="eastAsia" w:cs="Arial"/>
          <w:color w:val="auto"/>
          <w:sz w:val="28"/>
          <w:szCs w:val="28"/>
          <w:highlight w:val="none"/>
        </w:rPr>
        <w:t>高新区采购中心</w:t>
      </w:r>
      <w:r>
        <w:rPr>
          <w:rFonts w:hint="eastAsia" w:ascii="宋体" w:hAnsi="宋体"/>
          <w:color w:val="auto"/>
          <w:sz w:val="28"/>
          <w:szCs w:val="28"/>
          <w:highlight w:val="none"/>
        </w:rPr>
        <w:t>，不得私自转托他人。</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不得参加与自己有利害关系的政府采购项目的评审活动。对与自己有利害关系的评审项目，如受到邀请，应主动提出回避。财政部门、采购人或</w:t>
      </w:r>
      <w:r>
        <w:rPr>
          <w:rFonts w:hint="eastAsia" w:cs="Arial"/>
          <w:color w:val="auto"/>
          <w:sz w:val="28"/>
          <w:szCs w:val="28"/>
          <w:highlight w:val="none"/>
        </w:rPr>
        <w:t>高新区采购中心</w:t>
      </w:r>
      <w:r>
        <w:rPr>
          <w:rFonts w:hint="eastAsia" w:ascii="宋体" w:hAnsi="宋体"/>
          <w:color w:val="auto"/>
          <w:sz w:val="28"/>
          <w:szCs w:val="28"/>
          <w:highlight w:val="none"/>
        </w:rPr>
        <w:t>也可要求该评审专家回避。</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评审过程中关闭通讯设备，不得与外界联系。因发生不可预见情况，确实需要与外界联系的，应告知评标区值守人员，使用评标区内由公资交易中心提供的通信设备，在监督人员监督之下办理。</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评审过程中，不得发表影响评审公正的倾向性、歧视性言论；不得征询或者接受采购人的倾向性意见；不得修改或细化招标文件确定的评标程序、评标方法、评标因素和评标标准；不得接受投标人主动提出的澄清和解释；不得协商评分；不得以任何明示或暗示的方式要求参加该采购项目的投标人以澄清、说明或补正为借口，表达与其原投标文件原意不同的新意见；不得以采购文件没有规定的方法和标准作为评审的依据；不得违反规定的评审格式评分和撰写评审意见；不得拒绝对自己的评审意见签字确认。</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在评标过程中和评标结束后，不得记录、复制或带走任何评标资料，除因规定的义务外，不得向外界透露评标内容。</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服从评标现场</w:t>
      </w:r>
      <w:r>
        <w:rPr>
          <w:rFonts w:hint="eastAsia" w:cs="Arial"/>
          <w:color w:val="auto"/>
          <w:sz w:val="28"/>
          <w:szCs w:val="28"/>
          <w:highlight w:val="none"/>
        </w:rPr>
        <w:t>高新区采购中心</w:t>
      </w:r>
      <w:r>
        <w:rPr>
          <w:rFonts w:hint="eastAsia" w:ascii="宋体" w:hAnsi="宋体"/>
          <w:color w:val="auto"/>
          <w:sz w:val="28"/>
          <w:szCs w:val="28"/>
          <w:highlight w:val="none"/>
        </w:rPr>
        <w:t>的现场秩序管理，接受评标现场监督人员的合法监督。</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遵守有关廉洁自律规定，不得私下接触投标人，不得收受投标人及有关业务单位和个人的财物或好处，不得接受采购组织单位的请托。</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在咨询工作中，严格执行国家产业政策和产品标准，认真听取咨询方的合理要求，提出科学合理的、无倾向性和歧视性的咨询方案，并对所提出的意见和建议承担个人责任。</w:t>
      </w:r>
    </w:p>
    <w:p>
      <w:pPr>
        <w:numPr>
          <w:ilvl w:val="0"/>
          <w:numId w:val="62"/>
        </w:numPr>
        <w:tabs>
          <w:tab w:val="left" w:pos="1155"/>
        </w:tabs>
        <w:spacing w:after="200" w:line="560" w:lineRule="exact"/>
        <w:ind w:left="0" w:firstLine="527"/>
        <w:rPr>
          <w:rFonts w:ascii="宋体" w:hAnsi="宋体"/>
          <w:color w:val="auto"/>
          <w:sz w:val="28"/>
          <w:szCs w:val="28"/>
          <w:highlight w:val="none"/>
        </w:rPr>
      </w:pPr>
      <w:r>
        <w:rPr>
          <w:rFonts w:hint="eastAsia" w:ascii="宋体" w:hAnsi="宋体"/>
          <w:color w:val="auto"/>
          <w:sz w:val="28"/>
          <w:szCs w:val="28"/>
          <w:highlight w:val="none"/>
        </w:rPr>
        <w:t>有关部门（机构）制定的其他评审工作纪律。</w:t>
      </w:r>
      <w:bookmarkEnd w:id="0"/>
      <w:bookmarkEnd w:id="1"/>
      <w:bookmarkEnd w:id="2"/>
      <w:bookmarkEnd w:id="3"/>
      <w:bookmarkStart w:id="378" w:name="_Toc19415"/>
      <w:r>
        <w:rPr>
          <w:color w:val="auto"/>
          <w:highlight w:val="none"/>
        </w:rPr>
        <w:br w:type="page"/>
      </w:r>
    </w:p>
    <w:p>
      <w:pPr>
        <w:pStyle w:val="3"/>
        <w:numPr>
          <w:ilvl w:val="0"/>
          <w:numId w:val="4"/>
        </w:numPr>
        <w:spacing w:before="0" w:after="0" w:line="360" w:lineRule="auto"/>
        <w:rPr>
          <w:color w:val="auto"/>
          <w:sz w:val="24"/>
          <w:highlight w:val="none"/>
        </w:rPr>
      </w:pPr>
      <w:bookmarkStart w:id="379" w:name="_Toc20535"/>
      <w:bookmarkStart w:id="380" w:name="_Toc1640"/>
      <w:bookmarkStart w:id="381" w:name="_Toc20362"/>
      <w:bookmarkStart w:id="382" w:name="_Toc27722"/>
      <w:r>
        <w:rPr>
          <w:rFonts w:hint="eastAsia"/>
          <w:color w:val="auto"/>
          <w:highlight w:val="none"/>
        </w:rPr>
        <w:t>拟签订合同文本</w:t>
      </w:r>
      <w:bookmarkEnd w:id="378"/>
      <w:bookmarkEnd w:id="379"/>
      <w:bookmarkEnd w:id="380"/>
      <w:bookmarkEnd w:id="381"/>
      <w:bookmarkEnd w:id="382"/>
    </w:p>
    <w:p>
      <w:pPr>
        <w:spacing w:line="400" w:lineRule="exact"/>
        <w:jc w:val="center"/>
        <w:rPr>
          <w:b/>
          <w:color w:val="auto"/>
          <w:sz w:val="32"/>
          <w:highlight w:val="none"/>
        </w:rPr>
      </w:pPr>
      <w:bookmarkStart w:id="383" w:name="_Toc316475676"/>
      <w:bookmarkEnd w:id="383"/>
      <w:bookmarkStart w:id="384" w:name="_Toc316475761"/>
      <w:bookmarkEnd w:id="384"/>
      <w:bookmarkStart w:id="385" w:name="_Toc316475756"/>
      <w:bookmarkEnd w:id="385"/>
      <w:bookmarkStart w:id="386" w:name="_Toc316475673"/>
      <w:bookmarkEnd w:id="386"/>
      <w:bookmarkStart w:id="387" w:name="_Toc316475664"/>
      <w:bookmarkEnd w:id="387"/>
      <w:bookmarkStart w:id="388" w:name="_Toc316475668"/>
      <w:bookmarkEnd w:id="388"/>
      <w:bookmarkStart w:id="389" w:name="_Toc316475672"/>
      <w:bookmarkEnd w:id="389"/>
      <w:bookmarkStart w:id="390" w:name="_Toc316475757"/>
      <w:bookmarkEnd w:id="390"/>
      <w:bookmarkStart w:id="391" w:name="_Toc316475752"/>
      <w:bookmarkEnd w:id="391"/>
      <w:bookmarkStart w:id="392" w:name="_Toc316475671"/>
      <w:bookmarkEnd w:id="392"/>
      <w:bookmarkStart w:id="393" w:name="_Toc316475753"/>
      <w:bookmarkEnd w:id="393"/>
      <w:bookmarkStart w:id="394" w:name="_Toc316475754"/>
      <w:bookmarkEnd w:id="394"/>
      <w:bookmarkStart w:id="395" w:name="_Toc316475670"/>
      <w:bookmarkEnd w:id="395"/>
      <w:bookmarkStart w:id="396" w:name="_Toc316475667"/>
      <w:bookmarkEnd w:id="396"/>
      <w:bookmarkStart w:id="397" w:name="_Toc316475674"/>
      <w:bookmarkEnd w:id="397"/>
      <w:bookmarkStart w:id="398" w:name="_Toc316475677"/>
      <w:bookmarkEnd w:id="398"/>
      <w:bookmarkStart w:id="399" w:name="_Toc316475760"/>
      <w:bookmarkEnd w:id="399"/>
      <w:bookmarkStart w:id="400" w:name="_Toc316475669"/>
      <w:bookmarkEnd w:id="400"/>
      <w:bookmarkStart w:id="401" w:name="_Toc316475759"/>
      <w:bookmarkEnd w:id="401"/>
      <w:bookmarkStart w:id="402" w:name="_Toc316475751"/>
      <w:bookmarkEnd w:id="402"/>
      <w:bookmarkStart w:id="403" w:name="_Toc316475764"/>
      <w:bookmarkEnd w:id="403"/>
      <w:bookmarkStart w:id="404" w:name="_Toc316475758"/>
      <w:bookmarkEnd w:id="404"/>
      <w:bookmarkStart w:id="405" w:name="_Toc316475675"/>
      <w:bookmarkEnd w:id="405"/>
      <w:bookmarkStart w:id="406" w:name="_Toc316475763"/>
      <w:bookmarkEnd w:id="406"/>
      <w:bookmarkStart w:id="407" w:name="_Toc316475762"/>
      <w:bookmarkEnd w:id="407"/>
      <w:bookmarkStart w:id="408" w:name="_Toc316475666"/>
      <w:bookmarkEnd w:id="408"/>
      <w:bookmarkStart w:id="409" w:name="_Toc316475665"/>
      <w:bookmarkEnd w:id="409"/>
      <w:bookmarkStart w:id="410" w:name="_Toc316475755"/>
      <w:bookmarkEnd w:id="410"/>
      <w:bookmarkStart w:id="411" w:name="_Toc3546"/>
      <w:bookmarkStart w:id="412" w:name="_Toc11710"/>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政府采购合同编号：XXXX。</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签订地点：XXXX。</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签订时间：XXXX年XX月XX日。</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采购人（甲方）：成都高新区芳草小学</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统一社会信用代码：</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法定代表人：</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地址：                       联系电话：</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供应商（乙方）：</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统一社会信用代码：</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法定代表人：</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地址：                       联系电话：</w:t>
      </w:r>
    </w:p>
    <w:p>
      <w:pPr>
        <w:tabs>
          <w:tab w:val="left" w:pos="644"/>
        </w:tabs>
        <w:adjustRightInd w:val="0"/>
        <w:snapToGrid w:val="0"/>
        <w:spacing w:line="360" w:lineRule="auto"/>
        <w:rPr>
          <w:rFonts w:asciiTheme="minorEastAsia" w:hAnsiTheme="minorEastAsia" w:eastAsiaTheme="minorEastAsia" w:cstheme="minorEastAsia"/>
          <w:color w:val="auto"/>
          <w:sz w:val="32"/>
          <w:szCs w:val="32"/>
          <w:highlight w:val="none"/>
        </w:rPr>
      </w:pP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根据《中华人民共和国政府采购法》、《中华人民共和国民法典》及成都高新区芳草小学物业管理服务采购项目（</w:t>
      </w:r>
      <w:r>
        <w:rPr>
          <w:rFonts w:hint="eastAsia" w:asciiTheme="minorEastAsia" w:hAnsiTheme="minorEastAsia" w:eastAsiaTheme="minorEastAsia" w:cstheme="minorEastAsia"/>
          <w:color w:val="auto"/>
          <w:sz w:val="32"/>
          <w:szCs w:val="32"/>
          <w:highlight w:val="none"/>
          <w:lang w:eastAsia="zh-CN"/>
        </w:rPr>
        <w:t>成都高新技术产业开发区政采（2021）A0045号</w:t>
      </w:r>
      <w:r>
        <w:rPr>
          <w:rFonts w:hint="eastAsia" w:asciiTheme="minorEastAsia" w:hAnsiTheme="minorEastAsia" w:eastAsiaTheme="minorEastAsia" w:cstheme="minorEastAsia"/>
          <w:color w:val="auto"/>
          <w:sz w:val="32"/>
          <w:szCs w:val="32"/>
          <w:highlight w:val="none"/>
        </w:rPr>
        <w:t>）的《招标文件》、乙方的《投标文件》及《中标通知书》，甲、乙双方严格按照投标文件签订本合同。详细技术说明及其他有关合同项目的特定信息由合同附件予以说明，合同附件及本项目的招标文件、投标文件、《中标通知书》等均为本合同不可分割的部分。双方同意共同遵守如下条款：</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一、项目基本情况</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二、合同期限</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p>
    <w:p>
      <w:pPr>
        <w:tabs>
          <w:tab w:val="left" w:pos="644"/>
        </w:tabs>
        <w:adjustRightInd w:val="0"/>
        <w:snapToGrid w:val="0"/>
        <w:spacing w:line="360" w:lineRule="auto"/>
        <w:ind w:firstLine="640" w:firstLineChars="200"/>
        <w:rPr>
          <w:rFonts w:ascii="宋体" w:hAnsi="宋体"/>
          <w:color w:val="auto"/>
          <w:sz w:val="28"/>
          <w:szCs w:val="28"/>
          <w:highlight w:val="none"/>
        </w:rPr>
      </w:pPr>
      <w:r>
        <w:rPr>
          <w:rFonts w:hint="eastAsia" w:asciiTheme="minorEastAsia" w:hAnsiTheme="minorEastAsia" w:eastAsiaTheme="minorEastAsia" w:cstheme="minorEastAsia"/>
          <w:color w:val="auto"/>
          <w:sz w:val="32"/>
          <w:szCs w:val="32"/>
          <w:highlight w:val="none"/>
        </w:rPr>
        <w:t>三、服务内容及质量标准</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四、第一年服务合同时间</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服务时间：从年 月 日 至年 月 日止。合同到期后自动终止，经甲方考核合格后续签下一年合同。</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五、服务费用及支付方式</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乙方指定收款银行账号信息如下：</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户  名：</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开户行：</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账  号：</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乙方保证上述账户信息的真实性、准确性，因账户信息错误导致乙方无法收款或迟延收款的，甲方不承担责任。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六、甲方的权利和义务</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1、 甲方有权对合同约定范围内乙方的服务行为进行监督和检查，拥有监管权。有权定期检查乙方提供服务的质量。对不符合合同约定的部分有权提出整改意见，并要求乙方限期整改。若经甲方要求仍不整改或整改仍达不到甲方要求的，甲方有权单方解除本合同并要求乙方承担违约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2、甲方不干涉乙方的日常管理，包括但不限于人员配置、管理机制等。</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3、甲方有权依据考评办法对乙方提供的服务进行定期考核。当考核结果未达到标准时，有权依据考评办法约定的数额扣除相应的服务费。</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4、根据本合同约定，按时向乙方支付服务费用。</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5、国家法律、法规所规定由甲方承担的其他责任。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七、乙方的权利和义务</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1、对本合同约定的委托服务范围内的项目享有管理权及服务义务。</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2、根据本合同的约定向甲方收取相关服务费。</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3、及时向甲方通告本项目服务范围内有关服务的重大事项，并及时配合甲方处理投诉。</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4、乙方应与物业相关工作人员建立劳动关系并签订劳动合同。并按劳动合同约定及时支付其员工工资，为其购买社会保险。因其指派的物业人员产生的任何争议由乙方自行处理，与甲方无关。乙方服务人员在本合同有效期间发生的疾病、意外等情况，与甲方无关。</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5、接受项目行业管理部门及政府有关部门的指导，接受甲方的监督。</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6、乙方及其工作人员应维护甲方形象，不得与家长产生纠纷，不得造谣影响甲方声誉，不得作出任何有损甲方形象的行为。</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7、乙方及其工作人员对因履行服务而知悉的甲方所有信息负有保密义务，未经甲方书面允许，不得向任何第三方泄露、透露。此保密约定一直有效，不因本合同的解除或终止而失效。</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8、国家法律、法规所规定由乙方承担的其他责任。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八、违约责任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1、甲乙双方必须遵守本合同并执行合同中的各项规定，保证本合同的正常履行。</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2、如因乙方工作人员在履行职务过程中的的疏忽、失职、过错等故意或者过失原因给甲方造成损失或侵害，包括但不限于甲方本身的财产损失、由此而导致的甲方对任何第三方的法律责任等，乙方对此均应承担全部的赔偿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3、因甲方原因逾期支付合同款的，除应及时付合同款外，应向乙方支付欠款总额万分之一/天的违约金；逾期付款超过30天的，乙方有权终止合同。</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4、甲方支付的违约金不足以弥补乙方损失的，还应按乙方损失尚未弥补的部分，支付赔偿金给乙方。</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5、签订合同后乙方不履行合同或不完全履行合同或单方面终止合同的，乙方承担违约责任。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6、乙方违约时应承担合同总金额20%违约金。给甲方造成的损失超过违约金的，乙方还应对超过部分予以赔偿，并依法承担相应的法律责任。</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九、解决合同纠纷的方式</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1、在执行本合同中发生的或与本合同有关的争端，双方应通过友好协商解决，经协商在10天内不能达成协议时，应提交成都仲裁委员会仲裁。</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2、仲裁裁决应为最终决定，并对双方具有约束力。</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 xml:space="preserve">3、除另有裁决外，仲裁费应由败诉方负担。 </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4、在仲裁期间，除正在进行仲裁部分外，合同其他部分继续执行。</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十、合同生效及其他</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1、合同经双方法定代表人或授权委托代理人（提交授权委托书）签字并加盖单位公章后生效。</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2、合同执行中涉及采购资金和采购内容修改或补充的，须经政府采购监管部门审批，并签书面补充协议报政府采购监督管理部门备案，方可作为主合同不可分割的一部分。</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3、本合同一式份，自双方签章之日起起效。甲方份，乙方份，政府采购代理机构份，同级财政部门备案份，具有同等法律效力。</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十一、附件</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1、项目招标文件</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2、项目投标文件</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3、中标通知书</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4、其他</w:t>
      </w:r>
    </w:p>
    <w:p>
      <w:pPr>
        <w:tabs>
          <w:tab w:val="left" w:pos="644"/>
        </w:tabs>
        <w:adjustRightInd w:val="0"/>
        <w:snapToGrid w:val="0"/>
        <w:spacing w:line="360" w:lineRule="auto"/>
        <w:ind w:firstLine="640" w:firstLineChars="200"/>
        <w:rPr>
          <w:rFonts w:asciiTheme="minorEastAsia" w:hAnsiTheme="minorEastAsia" w:eastAsiaTheme="minorEastAsia" w:cstheme="minorEastAsia"/>
          <w:color w:val="auto"/>
          <w:sz w:val="32"/>
          <w:szCs w:val="32"/>
          <w:highlight w:val="none"/>
        </w:rPr>
      </w:pPr>
      <w:r>
        <w:rPr>
          <w:rFonts w:hint="eastAsia" w:asciiTheme="minorEastAsia" w:hAnsiTheme="minorEastAsia" w:eastAsiaTheme="minorEastAsia" w:cstheme="minorEastAsia"/>
          <w:color w:val="auto"/>
          <w:sz w:val="32"/>
          <w:szCs w:val="32"/>
          <w:highlight w:val="none"/>
        </w:rPr>
        <w:t>5、《物业服务考核表》</w:t>
      </w:r>
    </w:p>
    <w:p>
      <w:pPr>
        <w:rPr>
          <w:rFonts w:asciiTheme="minorEastAsia" w:hAnsiTheme="minorEastAsia" w:eastAsiaTheme="minorEastAsia" w:cstheme="minorEastAsia"/>
          <w:color w:val="auto"/>
          <w:spacing w:val="-1"/>
          <w:sz w:val="24"/>
          <w:szCs w:val="24"/>
          <w:highlight w:val="none"/>
        </w:rPr>
      </w:pPr>
      <w:r>
        <w:rPr>
          <w:rFonts w:hint="eastAsia" w:asciiTheme="minorEastAsia" w:hAnsiTheme="minorEastAsia" w:eastAsiaTheme="minorEastAsia" w:cstheme="minorEastAsia"/>
          <w:color w:val="auto"/>
          <w:spacing w:val="-1"/>
          <w:sz w:val="24"/>
          <w:szCs w:val="24"/>
          <w:highlight w:val="none"/>
        </w:rPr>
        <w:br w:type="page"/>
      </w:r>
    </w:p>
    <w:p>
      <w:pPr>
        <w:pStyle w:val="215"/>
        <w:widowControl w:val="0"/>
        <w:autoSpaceDE w:val="0"/>
        <w:autoSpaceDN w:val="0"/>
        <w:spacing w:before="0" w:after="0" w:line="500" w:lineRule="exact"/>
        <w:ind w:firstLine="476" w:firstLineChars="200"/>
        <w:rPr>
          <w:rFonts w:asciiTheme="minorEastAsia" w:hAnsiTheme="minorEastAsia" w:eastAsiaTheme="minorEastAsia" w:cstheme="minorEastAsia"/>
          <w:color w:val="auto"/>
          <w:spacing w:val="-1"/>
          <w:sz w:val="24"/>
          <w:szCs w:val="24"/>
          <w:highlight w:val="none"/>
          <w:lang w:eastAsia="zh-CN"/>
        </w:rPr>
      </w:pPr>
      <w:r>
        <w:rPr>
          <w:rFonts w:hint="eastAsia" w:asciiTheme="minorEastAsia" w:hAnsiTheme="minorEastAsia" w:eastAsiaTheme="minorEastAsia" w:cstheme="minorEastAsia"/>
          <w:color w:val="auto"/>
          <w:spacing w:val="-1"/>
          <w:sz w:val="24"/>
          <w:szCs w:val="24"/>
          <w:highlight w:val="none"/>
          <w:lang w:eastAsia="zh-CN"/>
        </w:rPr>
        <w:t xml:space="preserve"> </w:t>
      </w:r>
    </w:p>
    <w:tbl>
      <w:tblPr>
        <w:tblStyle w:val="44"/>
        <w:tblW w:w="9962" w:type="dxa"/>
        <w:jc w:val="center"/>
        <w:tblLayout w:type="fixed"/>
        <w:tblCellMar>
          <w:top w:w="0" w:type="dxa"/>
          <w:left w:w="108" w:type="dxa"/>
          <w:bottom w:w="0" w:type="dxa"/>
          <w:right w:w="108" w:type="dxa"/>
        </w:tblCellMar>
      </w:tblPr>
      <w:tblGrid>
        <w:gridCol w:w="4981"/>
        <w:gridCol w:w="4981"/>
      </w:tblGrid>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甲方：   (盖章)</w:t>
            </w:r>
          </w:p>
        </w:tc>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乙方：   (盖章)</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法定代表人(授权代表)：</w:t>
            </w:r>
          </w:p>
        </w:tc>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法定代表人(授权代表)：</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地址：</w:t>
            </w:r>
          </w:p>
        </w:tc>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地址：</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开户银行：</w:t>
            </w:r>
          </w:p>
        </w:tc>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开户银行：</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账号：</w:t>
            </w:r>
          </w:p>
        </w:tc>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账号：</w:t>
            </w:r>
          </w:p>
        </w:tc>
      </w:tr>
      <w:tr>
        <w:tblPrEx>
          <w:tblCellMar>
            <w:top w:w="0" w:type="dxa"/>
            <w:left w:w="108" w:type="dxa"/>
            <w:bottom w:w="0" w:type="dxa"/>
            <w:right w:w="108" w:type="dxa"/>
          </w:tblCellMar>
        </w:tblPrEx>
        <w:trPr>
          <w:trHeight w:val="718" w:hRule="atLeast"/>
          <w:jc w:val="center"/>
        </w:trPr>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 xml:space="preserve">电话： </w:t>
            </w:r>
          </w:p>
        </w:tc>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 xml:space="preserve">电话： </w:t>
            </w:r>
          </w:p>
        </w:tc>
      </w:tr>
      <w:tr>
        <w:tblPrEx>
          <w:tblCellMar>
            <w:top w:w="0" w:type="dxa"/>
            <w:left w:w="108" w:type="dxa"/>
            <w:bottom w:w="0" w:type="dxa"/>
            <w:right w:w="108" w:type="dxa"/>
          </w:tblCellMar>
        </w:tblPrEx>
        <w:trPr>
          <w:trHeight w:val="724" w:hRule="atLeast"/>
          <w:jc w:val="center"/>
        </w:trPr>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传真：</w:t>
            </w:r>
          </w:p>
        </w:tc>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传真：</w:t>
            </w:r>
          </w:p>
        </w:tc>
      </w:tr>
      <w:tr>
        <w:tblPrEx>
          <w:tblCellMar>
            <w:top w:w="0" w:type="dxa"/>
            <w:left w:w="108" w:type="dxa"/>
            <w:bottom w:w="0" w:type="dxa"/>
            <w:right w:w="108" w:type="dxa"/>
          </w:tblCellMar>
        </w:tblPrEx>
        <w:trPr>
          <w:trHeight w:val="724" w:hRule="atLeast"/>
          <w:jc w:val="center"/>
        </w:trPr>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签约日期：XX年XX月XX日</w:t>
            </w:r>
          </w:p>
        </w:tc>
        <w:tc>
          <w:tcPr>
            <w:tcW w:w="4981" w:type="dxa"/>
            <w:tcBorders>
              <w:top w:val="nil"/>
              <w:left w:val="nil"/>
              <w:bottom w:val="nil"/>
              <w:right w:val="nil"/>
            </w:tcBorders>
            <w:vAlign w:val="center"/>
          </w:tcPr>
          <w:p>
            <w:pPr>
              <w:pStyle w:val="240"/>
              <w:ind w:firstLine="48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签约日期：XX年XX月XX日</w:t>
            </w:r>
          </w:p>
        </w:tc>
      </w:tr>
    </w:tbl>
    <w:p>
      <w:pPr>
        <w:pStyle w:val="18"/>
        <w:ind w:firstLine="565" w:firstLineChars="202"/>
        <w:rPr>
          <w:rFonts w:ascii="宋体" w:hAnsi="宋体"/>
          <w:color w:val="auto"/>
          <w:sz w:val="28"/>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p>
      <w:pPr>
        <w:pStyle w:val="18"/>
        <w:rPr>
          <w:color w:val="auto"/>
          <w:highlight w:val="none"/>
        </w:rPr>
      </w:pPr>
    </w:p>
    <w:bookmarkEnd w:id="411"/>
    <w:bookmarkEnd w:id="412"/>
    <w:p>
      <w:pPr>
        <w:spacing w:line="360" w:lineRule="auto"/>
        <w:rPr>
          <w:rFonts w:ascii="宋体" w:hAnsi="宋体" w:cs="宋体"/>
          <w:color w:val="auto"/>
          <w:sz w:val="28"/>
          <w:szCs w:val="28"/>
          <w:highlight w:val="none"/>
        </w:rPr>
      </w:pPr>
      <w:r>
        <w:rPr>
          <w:rFonts w:hint="eastAsia" w:ascii="宋体" w:hAnsi="宋体" w:cs="宋体"/>
          <w:b/>
          <w:color w:val="auto"/>
          <w:sz w:val="28"/>
          <w:szCs w:val="28"/>
          <w:highlight w:val="none"/>
        </w:rPr>
        <w:t>附件：</w:t>
      </w:r>
      <w:r>
        <w:rPr>
          <w:rFonts w:hint="eastAsia" w:ascii="宋体" w:hAnsi="宋体" w:cs="宋体"/>
          <w:color w:val="auto"/>
          <w:sz w:val="28"/>
          <w:szCs w:val="28"/>
          <w:highlight w:val="none"/>
        </w:rPr>
        <w:drawing>
          <wp:inline distT="0" distB="0" distL="114300" distR="114300">
            <wp:extent cx="5617845" cy="7938770"/>
            <wp:effectExtent l="0" t="0" r="1905" b="508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6"/>
                    <a:stretch>
                      <a:fillRect/>
                    </a:stretch>
                  </pic:blipFill>
                  <pic:spPr>
                    <a:xfrm>
                      <a:off x="0" y="0"/>
                      <a:ext cx="5617845" cy="7938770"/>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34380" cy="8244840"/>
            <wp:effectExtent l="0" t="0" r="13970" b="381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7"/>
                    <a:stretch>
                      <a:fillRect/>
                    </a:stretch>
                  </pic:blipFill>
                  <pic:spPr>
                    <a:xfrm>
                      <a:off x="0" y="0"/>
                      <a:ext cx="5834380" cy="8244840"/>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43270" cy="8259445"/>
            <wp:effectExtent l="0" t="0" r="5080" b="825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8"/>
                    <a:stretch>
                      <a:fillRect/>
                    </a:stretch>
                  </pic:blipFill>
                  <pic:spPr>
                    <a:xfrm>
                      <a:off x="0" y="0"/>
                      <a:ext cx="5843270" cy="8259445"/>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797550" cy="8192770"/>
            <wp:effectExtent l="0" t="0" r="12700" b="1778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9"/>
                    <a:stretch>
                      <a:fillRect/>
                    </a:stretch>
                  </pic:blipFill>
                  <pic:spPr>
                    <a:xfrm>
                      <a:off x="0" y="0"/>
                      <a:ext cx="5797550" cy="8192770"/>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748655" cy="8125460"/>
            <wp:effectExtent l="0" t="0" r="4445" b="889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0"/>
                    <a:stretch>
                      <a:fillRect/>
                    </a:stretch>
                  </pic:blipFill>
                  <pic:spPr>
                    <a:xfrm>
                      <a:off x="0" y="0"/>
                      <a:ext cx="5748655" cy="8125460"/>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786755" cy="8185150"/>
            <wp:effectExtent l="0" t="0" r="4445" b="6350"/>
            <wp:docPr id="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
                    <pic:cNvPicPr>
                      <a:picLocks noChangeAspect="1"/>
                    </pic:cNvPicPr>
                  </pic:nvPicPr>
                  <pic:blipFill>
                    <a:blip r:embed="rId11"/>
                    <a:stretch>
                      <a:fillRect/>
                    </a:stretch>
                  </pic:blipFill>
                  <pic:spPr>
                    <a:xfrm>
                      <a:off x="0" y="0"/>
                      <a:ext cx="5786755" cy="8185150"/>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01360" cy="8199755"/>
            <wp:effectExtent l="0" t="0" r="8890" b="1079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12"/>
                    <a:stretch>
                      <a:fillRect/>
                    </a:stretch>
                  </pic:blipFill>
                  <pic:spPr>
                    <a:xfrm>
                      <a:off x="0" y="0"/>
                      <a:ext cx="5801360" cy="8199755"/>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69940" cy="8289290"/>
            <wp:effectExtent l="0" t="0" r="16510" b="1651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13"/>
                    <a:stretch>
                      <a:fillRect/>
                    </a:stretch>
                  </pic:blipFill>
                  <pic:spPr>
                    <a:xfrm>
                      <a:off x="0" y="0"/>
                      <a:ext cx="5869940" cy="8289290"/>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66130" cy="8289290"/>
            <wp:effectExtent l="0" t="0" r="1270" b="1651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14"/>
                    <a:stretch>
                      <a:fillRect/>
                    </a:stretch>
                  </pic:blipFill>
                  <pic:spPr>
                    <a:xfrm>
                      <a:off x="0" y="0"/>
                      <a:ext cx="5866130" cy="8289290"/>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08345" cy="8214995"/>
            <wp:effectExtent l="0" t="0" r="1905" b="14605"/>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15"/>
                    <a:stretch>
                      <a:fillRect/>
                    </a:stretch>
                  </pic:blipFill>
                  <pic:spPr>
                    <a:xfrm>
                      <a:off x="0" y="0"/>
                      <a:ext cx="5808345" cy="8214995"/>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66130" cy="8289290"/>
            <wp:effectExtent l="0" t="0" r="1270" b="16510"/>
            <wp:docPr id="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pic:cNvPicPr>
                      <a:picLocks noChangeAspect="1"/>
                    </pic:cNvPicPr>
                  </pic:nvPicPr>
                  <pic:blipFill>
                    <a:blip r:embed="rId16"/>
                    <a:stretch>
                      <a:fillRect/>
                    </a:stretch>
                  </pic:blipFill>
                  <pic:spPr>
                    <a:xfrm>
                      <a:off x="0" y="0"/>
                      <a:ext cx="5866130" cy="8289290"/>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59145" cy="8282305"/>
            <wp:effectExtent l="0" t="0" r="8255" b="4445"/>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17"/>
                    <a:stretch>
                      <a:fillRect/>
                    </a:stretch>
                  </pic:blipFill>
                  <pic:spPr>
                    <a:xfrm>
                      <a:off x="0" y="0"/>
                      <a:ext cx="5859145" cy="8282305"/>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55335" cy="8282305"/>
            <wp:effectExtent l="0" t="0" r="12065" b="4445"/>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18"/>
                    <a:stretch>
                      <a:fillRect/>
                    </a:stretch>
                  </pic:blipFill>
                  <pic:spPr>
                    <a:xfrm>
                      <a:off x="0" y="0"/>
                      <a:ext cx="5855335" cy="8282305"/>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66130" cy="8289290"/>
            <wp:effectExtent l="0" t="0" r="1270" b="16510"/>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19"/>
                    <a:stretch>
                      <a:fillRect/>
                    </a:stretch>
                  </pic:blipFill>
                  <pic:spPr>
                    <a:xfrm>
                      <a:off x="0" y="0"/>
                      <a:ext cx="5866130" cy="8289290"/>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50255" cy="8267065"/>
            <wp:effectExtent l="0" t="0" r="17145" b="635"/>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20"/>
                    <a:stretch>
                      <a:fillRect/>
                    </a:stretch>
                  </pic:blipFill>
                  <pic:spPr>
                    <a:xfrm>
                      <a:off x="0" y="0"/>
                      <a:ext cx="5850255" cy="8267065"/>
                    </a:xfrm>
                    <a:prstGeom prst="rect">
                      <a:avLst/>
                    </a:prstGeom>
                    <a:noFill/>
                    <a:ln>
                      <a:noFill/>
                    </a:ln>
                  </pic:spPr>
                </pic:pic>
              </a:graphicData>
            </a:graphic>
          </wp:inline>
        </w:drawing>
      </w:r>
    </w:p>
    <w:p>
      <w:pPr>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934710" cy="8380730"/>
            <wp:effectExtent l="0" t="0" r="8890" b="127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21"/>
                    <a:stretch>
                      <a:fillRect/>
                    </a:stretch>
                  </pic:blipFill>
                  <pic:spPr>
                    <a:xfrm>
                      <a:off x="0" y="0"/>
                      <a:ext cx="5934710" cy="8380730"/>
                    </a:xfrm>
                    <a:prstGeom prst="rect">
                      <a:avLst/>
                    </a:prstGeom>
                    <a:noFill/>
                    <a:ln>
                      <a:noFill/>
                    </a:ln>
                  </pic:spPr>
                </pic:pic>
              </a:graphicData>
            </a:graphic>
          </wp:inline>
        </w:drawing>
      </w:r>
    </w:p>
    <w:p>
      <w:pPr>
        <w:pStyle w:val="18"/>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934710" cy="8380730"/>
            <wp:effectExtent l="0" t="0" r="8890" b="1270"/>
            <wp:docPr id="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pic:cNvPicPr>
                      <a:picLocks noChangeAspect="1"/>
                    </pic:cNvPicPr>
                  </pic:nvPicPr>
                  <pic:blipFill>
                    <a:blip r:embed="rId22"/>
                    <a:stretch>
                      <a:fillRect/>
                    </a:stretch>
                  </pic:blipFill>
                  <pic:spPr>
                    <a:xfrm>
                      <a:off x="0" y="0"/>
                      <a:ext cx="5934710" cy="8380730"/>
                    </a:xfrm>
                    <a:prstGeom prst="rect">
                      <a:avLst/>
                    </a:prstGeom>
                    <a:noFill/>
                    <a:ln>
                      <a:noFill/>
                    </a:ln>
                  </pic:spPr>
                </pic:pic>
              </a:graphicData>
            </a:graphic>
          </wp:inline>
        </w:drawing>
      </w:r>
    </w:p>
    <w:p>
      <w:pPr>
        <w:pStyle w:val="18"/>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934710" cy="8380730"/>
            <wp:effectExtent l="0" t="0" r="8890" b="1270"/>
            <wp:docPr id="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8"/>
                    <pic:cNvPicPr>
                      <a:picLocks noChangeAspect="1"/>
                    </pic:cNvPicPr>
                  </pic:nvPicPr>
                  <pic:blipFill>
                    <a:blip r:embed="rId23"/>
                    <a:stretch>
                      <a:fillRect/>
                    </a:stretch>
                  </pic:blipFill>
                  <pic:spPr>
                    <a:xfrm>
                      <a:off x="0" y="0"/>
                      <a:ext cx="5934710" cy="8380730"/>
                    </a:xfrm>
                    <a:prstGeom prst="rect">
                      <a:avLst/>
                    </a:prstGeom>
                    <a:noFill/>
                    <a:ln>
                      <a:noFill/>
                    </a:ln>
                  </pic:spPr>
                </pic:pic>
              </a:graphicData>
            </a:graphic>
          </wp:inline>
        </w:drawing>
      </w:r>
    </w:p>
    <w:p>
      <w:pPr>
        <w:pStyle w:val="18"/>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934710" cy="8380730"/>
            <wp:effectExtent l="0" t="0" r="8890" b="1270"/>
            <wp:docPr id="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9"/>
                    <pic:cNvPicPr>
                      <a:picLocks noChangeAspect="1"/>
                    </pic:cNvPicPr>
                  </pic:nvPicPr>
                  <pic:blipFill>
                    <a:blip r:embed="rId24"/>
                    <a:stretch>
                      <a:fillRect/>
                    </a:stretch>
                  </pic:blipFill>
                  <pic:spPr>
                    <a:xfrm>
                      <a:off x="0" y="0"/>
                      <a:ext cx="5934710" cy="8380730"/>
                    </a:xfrm>
                    <a:prstGeom prst="rect">
                      <a:avLst/>
                    </a:prstGeom>
                    <a:noFill/>
                    <a:ln>
                      <a:noFill/>
                    </a:ln>
                  </pic:spPr>
                </pic:pic>
              </a:graphicData>
            </a:graphic>
          </wp:inline>
        </w:drawing>
      </w:r>
    </w:p>
    <w:p>
      <w:pPr>
        <w:pStyle w:val="18"/>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934710" cy="8380730"/>
            <wp:effectExtent l="0" t="0" r="8890" b="1270"/>
            <wp:docPr id="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0"/>
                    <pic:cNvPicPr>
                      <a:picLocks noChangeAspect="1"/>
                    </pic:cNvPicPr>
                  </pic:nvPicPr>
                  <pic:blipFill>
                    <a:blip r:embed="rId25"/>
                    <a:stretch>
                      <a:fillRect/>
                    </a:stretch>
                  </pic:blipFill>
                  <pic:spPr>
                    <a:xfrm>
                      <a:off x="0" y="0"/>
                      <a:ext cx="5934710" cy="8380730"/>
                    </a:xfrm>
                    <a:prstGeom prst="rect">
                      <a:avLst/>
                    </a:prstGeom>
                    <a:noFill/>
                    <a:ln>
                      <a:noFill/>
                    </a:ln>
                  </pic:spPr>
                </pic:pic>
              </a:graphicData>
            </a:graphic>
          </wp:inline>
        </w:drawing>
      </w:r>
    </w:p>
    <w:p>
      <w:pPr>
        <w:pStyle w:val="18"/>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5845810" cy="8255000"/>
            <wp:effectExtent l="0" t="0" r="2540" b="12700"/>
            <wp:docPr id="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1"/>
                    <pic:cNvPicPr>
                      <a:picLocks noChangeAspect="1"/>
                    </pic:cNvPicPr>
                  </pic:nvPicPr>
                  <pic:blipFill>
                    <a:blip r:embed="rId26"/>
                    <a:stretch>
                      <a:fillRect/>
                    </a:stretch>
                  </pic:blipFill>
                  <pic:spPr>
                    <a:xfrm>
                      <a:off x="0" y="0"/>
                      <a:ext cx="5845810" cy="8255000"/>
                    </a:xfrm>
                    <a:prstGeom prst="rect">
                      <a:avLst/>
                    </a:prstGeom>
                    <a:noFill/>
                    <a:ln>
                      <a:noFill/>
                    </a:ln>
                  </pic:spPr>
                </pic:pic>
              </a:graphicData>
            </a:graphic>
          </wp:inline>
        </w:drawing>
      </w:r>
    </w:p>
    <w:p>
      <w:pPr>
        <w:pStyle w:val="18"/>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br w:type="page"/>
      </w:r>
      <w:r>
        <w:rPr>
          <w:rFonts w:hint="eastAsia" w:ascii="宋体" w:hAnsi="宋体" w:cs="宋体"/>
          <w:color w:val="auto"/>
          <w:sz w:val="28"/>
          <w:szCs w:val="28"/>
          <w:highlight w:val="none"/>
        </w:rPr>
        <w:drawing>
          <wp:inline distT="0" distB="0" distL="114300" distR="114300">
            <wp:extent cx="4857750" cy="6553200"/>
            <wp:effectExtent l="0" t="0" r="0" b="0"/>
            <wp:docPr id="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2"/>
                    <pic:cNvPicPr>
                      <a:picLocks noChangeAspect="1"/>
                    </pic:cNvPicPr>
                  </pic:nvPicPr>
                  <pic:blipFill>
                    <a:blip r:embed="rId27"/>
                    <a:stretch>
                      <a:fillRect/>
                    </a:stretch>
                  </pic:blipFill>
                  <pic:spPr>
                    <a:xfrm>
                      <a:off x="0" y="0"/>
                      <a:ext cx="4857750" cy="6553200"/>
                    </a:xfrm>
                    <a:prstGeom prst="rect">
                      <a:avLst/>
                    </a:prstGeom>
                    <a:noFill/>
                    <a:ln>
                      <a:noFill/>
                    </a:ln>
                  </pic:spPr>
                </pic:pic>
              </a:graphicData>
            </a:graphic>
          </wp:inline>
        </w:drawing>
      </w:r>
    </w:p>
    <w:p>
      <w:pPr>
        <w:pStyle w:val="18"/>
        <w:spacing w:line="360" w:lineRule="auto"/>
        <w:rPr>
          <w:rFonts w:ascii="宋体" w:hAnsi="宋体" w:cs="宋体"/>
          <w:color w:val="auto"/>
          <w:sz w:val="28"/>
          <w:szCs w:val="28"/>
          <w:highlight w:val="none"/>
        </w:rPr>
      </w:pPr>
      <w:r>
        <w:rPr>
          <w:rFonts w:hint="eastAsia" w:ascii="宋体" w:hAnsi="宋体" w:cs="宋体"/>
          <w:color w:val="auto"/>
          <w:sz w:val="28"/>
          <w:szCs w:val="28"/>
          <w:highlight w:val="none"/>
        </w:rPr>
        <w:drawing>
          <wp:inline distT="0" distB="0" distL="114300" distR="114300">
            <wp:extent cx="4848225" cy="6534150"/>
            <wp:effectExtent l="0" t="0" r="9525" b="0"/>
            <wp:docPr id="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3"/>
                    <pic:cNvPicPr>
                      <a:picLocks noChangeAspect="1"/>
                    </pic:cNvPicPr>
                  </pic:nvPicPr>
                  <pic:blipFill>
                    <a:blip r:embed="rId28"/>
                    <a:stretch>
                      <a:fillRect/>
                    </a:stretch>
                  </pic:blipFill>
                  <pic:spPr>
                    <a:xfrm>
                      <a:off x="0" y="0"/>
                      <a:ext cx="4848225" cy="6534150"/>
                    </a:xfrm>
                    <a:prstGeom prst="rect">
                      <a:avLst/>
                    </a:prstGeom>
                    <a:noFill/>
                    <a:ln>
                      <a:noFill/>
                    </a:ln>
                  </pic:spPr>
                </pic:pic>
              </a:graphicData>
            </a:graphic>
          </wp:inline>
        </w:drawing>
      </w:r>
    </w:p>
    <w:p>
      <w:pPr>
        <w:pStyle w:val="18"/>
        <w:spacing w:line="360" w:lineRule="auto"/>
        <w:rPr>
          <w:rFonts w:ascii="宋体" w:hAnsi="宋体" w:cs="宋体"/>
          <w:color w:val="auto"/>
          <w:sz w:val="28"/>
          <w:szCs w:val="28"/>
          <w:highlight w:val="none"/>
        </w:rPr>
      </w:pPr>
    </w:p>
    <w:p>
      <w:pPr>
        <w:pStyle w:val="18"/>
        <w:rPr>
          <w:color w:val="auto"/>
          <w:highlight w:val="none"/>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Arial Narrow">
    <w:altName w:val="Arial"/>
    <w:panose1 w:val="020B0606020202030204"/>
    <w:charset w:val="00"/>
    <w:family w:val="swiss"/>
    <w:pitch w:val="default"/>
    <w:sig w:usb0="00000000" w:usb1="00000000" w:usb2="00000000" w:usb3="00000000" w:csb0="0000009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华文中宋">
    <w:altName w:val="宋体"/>
    <w:panose1 w:val="02010600040101010101"/>
    <w:charset w:val="86"/>
    <w:family w:val="auto"/>
    <w:pitch w:val="default"/>
    <w:sig w:usb0="00000000" w:usb1="00000000" w:usb2="00000010" w:usb3="00000000" w:csb0="000400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Times New (W1)">
    <w:altName w:val="Segoe Print"/>
    <w:panose1 w:val="00000000000000000000"/>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Arial (W1)">
    <w:altName w:val="Arial"/>
    <w:panose1 w:val="00000000000000000000"/>
    <w:charset w:val="00"/>
    <w:family w:val="swiss"/>
    <w:pitch w:val="default"/>
    <w:sig w:usb0="00000000" w:usb1="00000000" w:usb2="00000008" w:usb3="00000000" w:csb0="000001FF" w:csb1="00000000"/>
  </w:font>
  <w:font w:name="隶书">
    <w:altName w:val="微软雅黑"/>
    <w:panose1 w:val="02010509060101010101"/>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Helvetica">
    <w:altName w:val="Arial"/>
    <w:panose1 w:val="020B0604020202020204"/>
    <w:charset w:val="00"/>
    <w:family w:val="swiss"/>
    <w:pitch w:val="default"/>
    <w:sig w:usb0="00000000" w:usb1="00000000" w:usb2="00000000" w:usb3="00000000" w:csb0="2000019F" w:csb1="4F010000"/>
  </w:font>
  <w:font w:name="方正仿宋">
    <w:altName w:val="仿宋"/>
    <w:panose1 w:val="00000000000000000000"/>
    <w:charset w:val="86"/>
    <w:family w:val="script"/>
    <w:pitch w:val="default"/>
    <w:sig w:usb0="00000000" w:usb1="0000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8"/>
      <w:ind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89</w:t>
                          </w:r>
                          <w:r>
                            <w:rPr>
                              <w:rFonts w:hint="eastAsia"/>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OxXU/0tAgAAVwQAAA4AAAAAAAAAAQAgAAAAHwEAAGRycy9lMm9Eb2MueG1sUEsFBgAAAAAG&#10;AAYAWQEAAL4FAAAAAA==&#10;">
              <v:fill on="f" focussize="0,0"/>
              <v:stroke on="f" weight="0.5pt"/>
              <v:imagedata o:title=""/>
              <o:lock v:ext="edit" aspectratio="f"/>
              <v:textbox inset="0mm,0mm,0mm,0mm" style="mso-fit-shape-to-text:t;">
                <w:txbxContent>
                  <w:p>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89</w:t>
                    </w:r>
                    <w:r>
                      <w:rPr>
                        <w:rFonts w:hint="eastAsia"/>
                        <w:sz w:val="18"/>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Bdr>
        <w:bottom w:val="none" w:color="auto" w:sz="0" w:space="1"/>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B7C949"/>
    <w:multiLevelType w:val="singleLevel"/>
    <w:tmpl w:val="8FB7C949"/>
    <w:lvl w:ilvl="0" w:tentative="0">
      <w:start w:val="5"/>
      <w:numFmt w:val="decimal"/>
      <w:suff w:val="nothing"/>
      <w:lvlText w:val="%1、"/>
      <w:lvlJc w:val="left"/>
    </w:lvl>
  </w:abstractNum>
  <w:abstractNum w:abstractNumId="1">
    <w:nsid w:val="9306299D"/>
    <w:multiLevelType w:val="singleLevel"/>
    <w:tmpl w:val="9306299D"/>
    <w:lvl w:ilvl="0" w:tentative="0">
      <w:start w:val="1"/>
      <w:numFmt w:val="decimal"/>
      <w:lvlText w:val="(%1)"/>
      <w:lvlJc w:val="left"/>
      <w:pPr>
        <w:ind w:left="425" w:hanging="425"/>
      </w:pPr>
      <w:rPr>
        <w:rFonts w:hint="default"/>
      </w:rPr>
    </w:lvl>
  </w:abstractNum>
  <w:abstractNum w:abstractNumId="2">
    <w:nsid w:val="9852847B"/>
    <w:multiLevelType w:val="singleLevel"/>
    <w:tmpl w:val="9852847B"/>
    <w:lvl w:ilvl="0" w:tentative="0">
      <w:start w:val="1"/>
      <w:numFmt w:val="decimal"/>
      <w:lvlText w:val="(%1)"/>
      <w:lvlJc w:val="left"/>
      <w:pPr>
        <w:ind w:left="425" w:hanging="425"/>
      </w:pPr>
      <w:rPr>
        <w:rFonts w:hint="default"/>
      </w:rPr>
    </w:lvl>
  </w:abstractNum>
  <w:abstractNum w:abstractNumId="3">
    <w:nsid w:val="9990A501"/>
    <w:multiLevelType w:val="singleLevel"/>
    <w:tmpl w:val="9990A501"/>
    <w:lvl w:ilvl="0" w:tentative="0">
      <w:start w:val="1"/>
      <w:numFmt w:val="chineseCounting"/>
      <w:suff w:val="nothing"/>
      <w:lvlText w:val="（%1）"/>
      <w:lvlJc w:val="left"/>
      <w:rPr>
        <w:rFonts w:hint="eastAsia"/>
      </w:rPr>
    </w:lvl>
  </w:abstractNum>
  <w:abstractNum w:abstractNumId="4">
    <w:nsid w:val="A0AD8266"/>
    <w:multiLevelType w:val="singleLevel"/>
    <w:tmpl w:val="A0AD8266"/>
    <w:lvl w:ilvl="0" w:tentative="0">
      <w:start w:val="1"/>
      <w:numFmt w:val="chineseCounting"/>
      <w:suff w:val="nothing"/>
      <w:lvlText w:val="%1、"/>
      <w:lvlJc w:val="left"/>
      <w:pPr>
        <w:ind w:left="0" w:firstLine="420"/>
      </w:pPr>
      <w:rPr>
        <w:rFonts w:hint="eastAsia"/>
      </w:rPr>
    </w:lvl>
  </w:abstractNum>
  <w:abstractNum w:abstractNumId="5">
    <w:nsid w:val="C7BECC69"/>
    <w:multiLevelType w:val="singleLevel"/>
    <w:tmpl w:val="C7BECC69"/>
    <w:lvl w:ilvl="0" w:tentative="0">
      <w:start w:val="1"/>
      <w:numFmt w:val="chineseCounting"/>
      <w:suff w:val="nothing"/>
      <w:lvlText w:val="%1、"/>
      <w:lvlJc w:val="left"/>
      <w:pPr>
        <w:ind w:left="0" w:firstLine="420"/>
      </w:pPr>
      <w:rPr>
        <w:rFonts w:hint="eastAsia"/>
      </w:rPr>
    </w:lvl>
  </w:abstractNum>
  <w:abstractNum w:abstractNumId="6">
    <w:nsid w:val="D0E36DE6"/>
    <w:multiLevelType w:val="singleLevel"/>
    <w:tmpl w:val="D0E36DE6"/>
    <w:lvl w:ilvl="0" w:tentative="0">
      <w:start w:val="1"/>
      <w:numFmt w:val="chineseCounting"/>
      <w:suff w:val="nothing"/>
      <w:lvlText w:val="（%1）"/>
      <w:lvlJc w:val="left"/>
      <w:pPr>
        <w:ind w:left="0" w:firstLine="420"/>
      </w:pPr>
      <w:rPr>
        <w:rFonts w:hint="eastAsia"/>
      </w:rPr>
    </w:lvl>
  </w:abstractNum>
  <w:abstractNum w:abstractNumId="7">
    <w:nsid w:val="00000009"/>
    <w:multiLevelType w:val="multilevel"/>
    <w:tmpl w:val="00000009"/>
    <w:lvl w:ilvl="0" w:tentative="0">
      <w:start w:val="1"/>
      <w:numFmt w:val="chineseCountingThousand"/>
      <w:lvlText w:val="%1、"/>
      <w:lvlJc w:val="left"/>
      <w:pPr>
        <w:ind w:left="1271" w:hanging="420"/>
      </w:pPr>
    </w:lvl>
    <w:lvl w:ilvl="1" w:tentative="0">
      <w:start w:val="1"/>
      <w:numFmt w:val="japaneseCounting"/>
      <w:lvlText w:val="（%2）"/>
      <w:lvlJc w:val="left"/>
      <w:pPr>
        <w:ind w:left="1830" w:hanging="885"/>
      </w:pPr>
      <w:rPr>
        <w:lang w:val="en-US"/>
      </w:rPr>
    </w:lvl>
    <w:lvl w:ilvl="2" w:tentative="0">
      <w:start w:val="1"/>
      <w:numFmt w:val="lowerRoman"/>
      <w:lvlText w:val="%3."/>
      <w:lvlJc w:val="right"/>
      <w:pPr>
        <w:ind w:left="1785" w:hanging="420"/>
      </w:pPr>
    </w:lvl>
    <w:lvl w:ilvl="3" w:tentative="0">
      <w:start w:val="1"/>
      <w:numFmt w:val="decimal"/>
      <w:lvlText w:val="%4."/>
      <w:lvlJc w:val="left"/>
      <w:pPr>
        <w:ind w:left="2205" w:hanging="420"/>
      </w:pPr>
    </w:lvl>
    <w:lvl w:ilvl="4" w:tentative="0">
      <w:start w:val="1"/>
      <w:numFmt w:val="lowerLetter"/>
      <w:lvlText w:val="%5)"/>
      <w:lvlJc w:val="left"/>
      <w:pPr>
        <w:ind w:left="2625" w:hanging="420"/>
      </w:pPr>
    </w:lvl>
    <w:lvl w:ilvl="5" w:tentative="0">
      <w:start w:val="1"/>
      <w:numFmt w:val="lowerRoman"/>
      <w:lvlText w:val="%6."/>
      <w:lvlJc w:val="right"/>
      <w:pPr>
        <w:ind w:left="3045" w:hanging="420"/>
      </w:pPr>
    </w:lvl>
    <w:lvl w:ilvl="6" w:tentative="0">
      <w:start w:val="1"/>
      <w:numFmt w:val="decimal"/>
      <w:lvlText w:val="%7."/>
      <w:lvlJc w:val="left"/>
      <w:pPr>
        <w:ind w:left="3465" w:hanging="420"/>
      </w:pPr>
    </w:lvl>
    <w:lvl w:ilvl="7" w:tentative="0">
      <w:start w:val="1"/>
      <w:numFmt w:val="lowerLetter"/>
      <w:lvlText w:val="%8)"/>
      <w:lvlJc w:val="left"/>
      <w:pPr>
        <w:ind w:left="3885" w:hanging="420"/>
      </w:pPr>
    </w:lvl>
    <w:lvl w:ilvl="8" w:tentative="0">
      <w:start w:val="1"/>
      <w:numFmt w:val="lowerRoman"/>
      <w:lvlText w:val="%9."/>
      <w:lvlJc w:val="right"/>
      <w:pPr>
        <w:ind w:left="4305" w:hanging="420"/>
      </w:pPr>
    </w:lvl>
  </w:abstractNum>
  <w:abstractNum w:abstractNumId="8">
    <w:nsid w:val="00000012"/>
    <w:multiLevelType w:val="multilevel"/>
    <w:tmpl w:val="00000012"/>
    <w:lvl w:ilvl="0" w:tentative="0">
      <w:start w:val="1"/>
      <w:numFmt w:val="chineseCountingThousand"/>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9">
    <w:nsid w:val="00000013"/>
    <w:multiLevelType w:val="multilevel"/>
    <w:tmpl w:val="00000013"/>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00000015"/>
    <w:multiLevelType w:val="multilevel"/>
    <w:tmpl w:val="00000015"/>
    <w:lvl w:ilvl="0" w:tentative="0">
      <w:start w:val="1"/>
      <w:numFmt w:val="chineseCountingThousand"/>
      <w:lvlText w:val="%1、"/>
      <w:lvlJc w:val="left"/>
      <w:pPr>
        <w:ind w:left="1271"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0000016"/>
    <w:multiLevelType w:val="multilevel"/>
    <w:tmpl w:val="00000016"/>
    <w:lvl w:ilvl="0" w:tentative="0">
      <w:start w:val="1"/>
      <w:numFmt w:val="decimal"/>
      <w:lvlText w:val="%1."/>
      <w:lvlJc w:val="left"/>
      <w:pPr>
        <w:tabs>
          <w:tab w:val="left" w:pos="704"/>
        </w:tabs>
        <w:ind w:left="704" w:hanging="420"/>
      </w:pPr>
    </w:lvl>
    <w:lvl w:ilvl="1" w:tentative="0">
      <w:start w:val="1"/>
      <w:numFmt w:val="lowerLetter"/>
      <w:pStyle w:val="96"/>
      <w:lvlText w:val="%2)"/>
      <w:lvlJc w:val="left"/>
      <w:pPr>
        <w:tabs>
          <w:tab w:val="left" w:pos="1124"/>
        </w:tabs>
        <w:ind w:left="1124" w:hanging="420"/>
      </w:pPr>
    </w:lvl>
    <w:lvl w:ilvl="2" w:tentative="0">
      <w:start w:val="1"/>
      <w:numFmt w:val="lowerRoman"/>
      <w:lvlText w:val="%3."/>
      <w:lvlJc w:val="right"/>
      <w:pPr>
        <w:tabs>
          <w:tab w:val="left" w:pos="1544"/>
        </w:tabs>
        <w:ind w:left="1544" w:hanging="420"/>
      </w:pPr>
    </w:lvl>
    <w:lvl w:ilvl="3" w:tentative="0">
      <w:start w:val="1"/>
      <w:numFmt w:val="decimal"/>
      <w:lvlText w:val="%4."/>
      <w:lvlJc w:val="left"/>
      <w:pPr>
        <w:tabs>
          <w:tab w:val="left" w:pos="1964"/>
        </w:tabs>
        <w:ind w:left="1964" w:hanging="420"/>
      </w:pPr>
    </w:lvl>
    <w:lvl w:ilvl="4" w:tentative="0">
      <w:start w:val="1"/>
      <w:numFmt w:val="lowerLetter"/>
      <w:lvlText w:val="%5)"/>
      <w:lvlJc w:val="left"/>
      <w:pPr>
        <w:tabs>
          <w:tab w:val="left" w:pos="2384"/>
        </w:tabs>
        <w:ind w:left="2384" w:hanging="420"/>
      </w:pPr>
    </w:lvl>
    <w:lvl w:ilvl="5" w:tentative="0">
      <w:start w:val="1"/>
      <w:numFmt w:val="lowerRoman"/>
      <w:lvlText w:val="%6."/>
      <w:lvlJc w:val="right"/>
      <w:pPr>
        <w:tabs>
          <w:tab w:val="left" w:pos="2804"/>
        </w:tabs>
        <w:ind w:left="2804" w:hanging="420"/>
      </w:pPr>
    </w:lvl>
    <w:lvl w:ilvl="6" w:tentative="0">
      <w:start w:val="1"/>
      <w:numFmt w:val="decimal"/>
      <w:lvlText w:val="%7."/>
      <w:lvlJc w:val="left"/>
      <w:pPr>
        <w:tabs>
          <w:tab w:val="left" w:pos="3224"/>
        </w:tabs>
        <w:ind w:left="3224" w:hanging="420"/>
      </w:pPr>
    </w:lvl>
    <w:lvl w:ilvl="7" w:tentative="0">
      <w:start w:val="1"/>
      <w:numFmt w:val="lowerLetter"/>
      <w:lvlText w:val="%8)"/>
      <w:lvlJc w:val="left"/>
      <w:pPr>
        <w:tabs>
          <w:tab w:val="left" w:pos="3644"/>
        </w:tabs>
        <w:ind w:left="3644" w:hanging="420"/>
      </w:pPr>
    </w:lvl>
    <w:lvl w:ilvl="8" w:tentative="0">
      <w:start w:val="1"/>
      <w:numFmt w:val="lowerRoman"/>
      <w:lvlText w:val="%9."/>
      <w:lvlJc w:val="right"/>
      <w:pPr>
        <w:tabs>
          <w:tab w:val="left" w:pos="4064"/>
        </w:tabs>
        <w:ind w:left="4064" w:hanging="420"/>
      </w:pPr>
    </w:lvl>
  </w:abstractNum>
  <w:abstractNum w:abstractNumId="12">
    <w:nsid w:val="00000018"/>
    <w:multiLevelType w:val="multilevel"/>
    <w:tmpl w:val="00000018"/>
    <w:lvl w:ilvl="0" w:tentative="0">
      <w:start w:val="1"/>
      <w:numFmt w:val="chineseCountingThousand"/>
      <w:lvlText w:val="%1、"/>
      <w:lvlJc w:val="left"/>
      <w:pPr>
        <w:ind w:left="966" w:hanging="420"/>
      </w:p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13">
    <w:nsid w:val="0000001F"/>
    <w:multiLevelType w:val="multilevel"/>
    <w:tmpl w:val="0000001F"/>
    <w:lvl w:ilvl="0" w:tentative="0">
      <w:start w:val="1"/>
      <w:numFmt w:val="chineseCountingThousand"/>
      <w:lvlText w:val="%1、"/>
      <w:lvlJc w:val="left"/>
      <w:pPr>
        <w:ind w:left="980" w:hanging="420"/>
      </w:pPr>
    </w:lvl>
    <w:lvl w:ilvl="1" w:tentative="0">
      <w:start w:val="1"/>
      <w:numFmt w:val="decimal"/>
      <w:lvlText w:val="（%2）"/>
      <w:lvlJc w:val="left"/>
      <w:pPr>
        <w:ind w:left="1700" w:hanging="7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4">
    <w:nsid w:val="00000021"/>
    <w:multiLevelType w:val="multilevel"/>
    <w:tmpl w:val="00000021"/>
    <w:lvl w:ilvl="0" w:tentative="0">
      <w:start w:val="1"/>
      <w:numFmt w:val="chineseCountingThousand"/>
      <w:lvlText w:val="(%1)"/>
      <w:lvlJc w:val="left"/>
      <w:pPr>
        <w:ind w:left="980" w:hanging="420"/>
      </w:pPr>
    </w:lvl>
    <w:lvl w:ilvl="1" w:tentative="0">
      <w:start w:val="1"/>
      <w:numFmt w:val="chineseCountingThousand"/>
      <w:lvlText w:val="(%2)"/>
      <w:lvlJc w:val="left"/>
      <w:pPr>
        <w:ind w:left="42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5">
    <w:nsid w:val="00000022"/>
    <w:multiLevelType w:val="multilevel"/>
    <w:tmpl w:val="00000022"/>
    <w:lvl w:ilvl="0" w:tentative="0">
      <w:start w:val="1"/>
      <w:numFmt w:val="decimal"/>
      <w:lvlText w:val="第%1章"/>
      <w:lvlJc w:val="left"/>
      <w:pPr>
        <w:tabs>
          <w:tab w:val="left" w:pos="2630"/>
        </w:tabs>
        <w:ind w:left="2630" w:hanging="425"/>
      </w:pPr>
      <w:rPr>
        <w:rFonts w:hint="eastAsia" w:ascii="宋体" w:hAnsi="宋体" w:eastAsia="宋体"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tentative="0">
      <w:start w:val="1"/>
      <w:numFmt w:val="decimal"/>
      <w:suff w:val="space"/>
      <w:lvlText w:val="%1.%2."/>
      <w:lvlJc w:val="left"/>
      <w:pPr>
        <w:ind w:left="4538" w:hanging="567"/>
      </w:pPr>
      <w:rPr>
        <w:rFonts w:hint="default" w:ascii="Times New Roman" w:hAnsi="Times New Roman" w:eastAsia="宋体" w:cs="Times New Roman"/>
        <w:b/>
        <w:i w:val="0"/>
        <w:sz w:val="28"/>
        <w:szCs w:val="28"/>
      </w:rPr>
    </w:lvl>
    <w:lvl w:ilvl="2" w:tentative="0">
      <w:start w:val="1"/>
      <w:numFmt w:val="decimal"/>
      <w:lvlText w:val="%1.%2.%3."/>
      <w:lvlJc w:val="left"/>
      <w:pPr>
        <w:tabs>
          <w:tab w:val="left" w:pos="709"/>
        </w:tabs>
        <w:ind w:left="709" w:hanging="709"/>
      </w:pPr>
      <w:rPr>
        <w:rFonts w:hint="default" w:ascii="Times New Roman" w:hAnsi="Times New Roman" w:cs="Times New Roman"/>
      </w:rPr>
    </w:lvl>
    <w:lvl w:ilvl="3" w:tentative="0">
      <w:start w:val="1"/>
      <w:numFmt w:val="decimal"/>
      <w:lvlText w:val="%1.%2.%3.%4."/>
      <w:lvlJc w:val="left"/>
      <w:pPr>
        <w:tabs>
          <w:tab w:val="left" w:pos="1779"/>
        </w:tabs>
        <w:ind w:left="1779" w:hanging="851"/>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4" w:tentative="0">
      <w:start w:val="1"/>
      <w:numFmt w:val="decimal"/>
      <w:pStyle w:val="7"/>
      <w:lvlText w:val="%1.%2.%3.%4.%5."/>
      <w:lvlJc w:val="left"/>
      <w:pPr>
        <w:tabs>
          <w:tab w:val="left" w:pos="1560"/>
        </w:tabs>
        <w:ind w:left="1560" w:hanging="992"/>
      </w:pPr>
      <w:rPr>
        <w:rFonts w:hint="default" w:ascii="Times New Roman" w:hAnsi="Times New Roman" w:eastAsia="宋体" w:cs="Times New Roman"/>
        <w:b/>
        <w:i w:val="0"/>
        <w:sz w:val="28"/>
        <w:szCs w:val="28"/>
      </w:rPr>
    </w:lvl>
    <w:lvl w:ilvl="5" w:tentative="0">
      <w:start w:val="1"/>
      <w:numFmt w:val="decimal"/>
      <w:pStyle w:val="8"/>
      <w:lvlText w:val="%1.%2.%3.%4.%5.%6."/>
      <w:lvlJc w:val="left"/>
      <w:pPr>
        <w:tabs>
          <w:tab w:val="left" w:pos="1702"/>
        </w:tabs>
        <w:ind w:left="1702" w:hanging="1134"/>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6" w:tentative="0">
      <w:start w:val="1"/>
      <w:numFmt w:val="decimal"/>
      <w:lvlText w:val="%1.%2.%3.%4.%5.%6.%7."/>
      <w:lvlJc w:val="left"/>
      <w:pPr>
        <w:tabs>
          <w:tab w:val="left" w:pos="1844"/>
        </w:tabs>
        <w:ind w:left="1844" w:hanging="1276"/>
      </w:pPr>
    </w:lvl>
    <w:lvl w:ilvl="7" w:tentative="0">
      <w:start w:val="1"/>
      <w:numFmt w:val="decimal"/>
      <w:lvlText w:val="%1.%2.%3.%4.%5.%6.%7.%8."/>
      <w:lvlJc w:val="left"/>
      <w:pPr>
        <w:tabs>
          <w:tab w:val="left" w:pos="1986"/>
        </w:tabs>
        <w:ind w:left="1986" w:hanging="1418"/>
      </w:pPr>
    </w:lvl>
    <w:lvl w:ilvl="8" w:tentative="0">
      <w:start w:val="1"/>
      <w:numFmt w:val="decimal"/>
      <w:lvlText w:val="%1.%2.%3.%4.%5.%6.%7.%8.%9."/>
      <w:lvlJc w:val="left"/>
      <w:pPr>
        <w:tabs>
          <w:tab w:val="left" w:pos="2127"/>
        </w:tabs>
        <w:ind w:left="2127" w:hanging="1559"/>
      </w:pPr>
    </w:lvl>
  </w:abstractNum>
  <w:abstractNum w:abstractNumId="16">
    <w:nsid w:val="00000024"/>
    <w:multiLevelType w:val="multilevel"/>
    <w:tmpl w:val="00000024"/>
    <w:lvl w:ilvl="0" w:tentative="0">
      <w:start w:val="1"/>
      <w:numFmt w:val="decimal"/>
      <w:lvlText w:val="%1."/>
      <w:lvlJc w:val="left"/>
      <w:pPr>
        <w:ind w:left="958" w:hanging="420"/>
      </w:pPr>
    </w:lvl>
    <w:lvl w:ilvl="1" w:tentative="0">
      <w:start w:val="1"/>
      <w:numFmt w:val="chineseCountingThousand"/>
      <w:lvlText w:val="%2、"/>
      <w:lvlJc w:val="left"/>
      <w:pPr>
        <w:ind w:left="1413"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7">
    <w:nsid w:val="00000027"/>
    <w:multiLevelType w:val="multilevel"/>
    <w:tmpl w:val="00000027"/>
    <w:lvl w:ilvl="0" w:tentative="0">
      <w:start w:val="1"/>
      <w:numFmt w:val="decimal"/>
      <w:lvlText w:val="%1."/>
      <w:lvlJc w:val="left"/>
      <w:pPr>
        <w:ind w:left="980" w:hanging="420"/>
      </w:pPr>
    </w:lvl>
    <w:lvl w:ilvl="1" w:tentative="0">
      <w:start w:val="1"/>
      <w:numFmt w:val="chineseCountingThousand"/>
      <w:lvlText w:val="%2、"/>
      <w:lvlJc w:val="left"/>
      <w:pPr>
        <w:ind w:left="988" w:hanging="420"/>
      </w:pPr>
      <w:rPr>
        <w:lang w:val="en-US"/>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8">
    <w:nsid w:val="00000029"/>
    <w:multiLevelType w:val="multilevel"/>
    <w:tmpl w:val="00000029"/>
    <w:lvl w:ilvl="0" w:tentative="0">
      <w:start w:val="1"/>
      <w:numFmt w:val="decimal"/>
      <w:lvlText w:val="%1."/>
      <w:lvlJc w:val="left"/>
      <w:pPr>
        <w:ind w:left="562" w:hanging="420"/>
      </w:pPr>
      <w:rPr>
        <w:b w:val="0"/>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9">
    <w:nsid w:val="0000002B"/>
    <w:multiLevelType w:val="multilevel"/>
    <w:tmpl w:val="0000002B"/>
    <w:lvl w:ilvl="0" w:tentative="0">
      <w:start w:val="1"/>
      <w:numFmt w:val="chineseCountingThousand"/>
      <w:lvlText w:val="%1、"/>
      <w:lvlJc w:val="left"/>
      <w:pPr>
        <w:ind w:left="988"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20">
    <w:nsid w:val="0000002E"/>
    <w:multiLevelType w:val="multilevel"/>
    <w:tmpl w:val="0000002E"/>
    <w:lvl w:ilvl="0" w:tentative="0">
      <w:start w:val="1"/>
      <w:numFmt w:val="decimal"/>
      <w:pStyle w:val="3"/>
      <w:lvlText w:val="第%1章"/>
      <w:lvlJc w:val="left"/>
      <w:pPr>
        <w:ind w:left="425" w:hanging="425"/>
      </w:pPr>
      <w:rPr>
        <w:rFonts w:hint="default" w:ascii="Times New Roman" w:hAnsi="Times New Roman" w:eastAsia="宋体" w:cs="Times New Roman"/>
        <w:b/>
        <w:i w:val="0"/>
        <w:sz w:val="32"/>
        <w:szCs w:val="32"/>
      </w:rPr>
    </w:lvl>
    <w:lvl w:ilvl="1" w:tentative="0">
      <w:start w:val="1"/>
      <w:numFmt w:val="decimal"/>
      <w:pStyle w:val="4"/>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5"/>
      <w:suff w:val="space"/>
      <w:lvlText w:val="%1.%2.%3"/>
      <w:lvlJc w:val="left"/>
      <w:pPr>
        <w:ind w:left="2268" w:hanging="567"/>
      </w:pPr>
      <w:rPr>
        <w:rFonts w:hint="default" w:ascii="Times New Roman" w:hAnsi="Times New Roman" w:eastAsia="宋体" w:cs="Times New Roman"/>
        <w:b/>
        <w:i w:val="0"/>
        <w:sz w:val="28"/>
      </w:rPr>
    </w:lvl>
    <w:lvl w:ilvl="3" w:tentative="0">
      <w:start w:val="1"/>
      <w:numFmt w:val="decimal"/>
      <w:pStyle w:val="6"/>
      <w:suff w:val="nothing"/>
      <w:lvlText w:val="%1.%2.%3.%4"/>
      <w:lvlJc w:val="left"/>
      <w:pPr>
        <w:ind w:left="708" w:hanging="708"/>
      </w:pPr>
      <w:rPr>
        <w:rFonts w:hint="default" w:ascii="Times New Roman" w:hAnsi="Times New Roman" w:eastAsia="宋体" w:cs="Times New Roman"/>
        <w:b/>
        <w:i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lvl>
    <w:lvl w:ilvl="6" w:tentative="0">
      <w:start w:val="1"/>
      <w:numFmt w:val="decimal"/>
      <w:lvlText w:val="%1.%2.%3.%4.%5.%6.%7"/>
      <w:lvlJc w:val="left"/>
      <w:pPr>
        <w:ind w:left="3685" w:hanging="1276"/>
      </w:pPr>
    </w:lvl>
    <w:lvl w:ilvl="7" w:tentative="0">
      <w:start w:val="1"/>
      <w:numFmt w:val="decimal"/>
      <w:lvlText w:val="%1.%2.%3.%4.%5.%6.%7.%8"/>
      <w:lvlJc w:val="left"/>
      <w:pPr>
        <w:ind w:left="4252" w:hanging="1418"/>
      </w:pPr>
    </w:lvl>
    <w:lvl w:ilvl="8" w:tentative="0">
      <w:start w:val="1"/>
      <w:numFmt w:val="decimal"/>
      <w:lvlText w:val="%1.%2.%3.%4.%5.%6.%7.%8.%9"/>
      <w:lvlJc w:val="left"/>
      <w:pPr>
        <w:ind w:left="4960" w:hanging="1700"/>
      </w:pPr>
    </w:lvl>
  </w:abstractNum>
  <w:abstractNum w:abstractNumId="21">
    <w:nsid w:val="00000031"/>
    <w:multiLevelType w:val="multilevel"/>
    <w:tmpl w:val="00000031"/>
    <w:lvl w:ilvl="0" w:tentative="0">
      <w:start w:val="1"/>
      <w:numFmt w:val="chineseCountingThousand"/>
      <w:lvlText w:val="%1、"/>
      <w:lvlJc w:val="left"/>
      <w:pPr>
        <w:ind w:left="966"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2">
    <w:nsid w:val="0000003A"/>
    <w:multiLevelType w:val="multilevel"/>
    <w:tmpl w:val="0000003A"/>
    <w:lvl w:ilvl="0" w:tentative="0">
      <w:start w:val="1"/>
      <w:numFmt w:val="chineseCountingThousand"/>
      <w:lvlText w:val="%1、"/>
      <w:lvlJc w:val="left"/>
      <w:pPr>
        <w:ind w:left="1554" w:hanging="420"/>
      </w:pPr>
    </w:lvl>
    <w:lvl w:ilvl="1" w:tentative="0">
      <w:start w:val="1"/>
      <w:numFmt w:val="lowerLetter"/>
      <w:lvlText w:val="%2)"/>
      <w:lvlJc w:val="left"/>
      <w:pPr>
        <w:ind w:left="1974" w:hanging="420"/>
      </w:pPr>
    </w:lvl>
    <w:lvl w:ilvl="2" w:tentative="0">
      <w:start w:val="1"/>
      <w:numFmt w:val="lowerRoman"/>
      <w:lvlText w:val="%3."/>
      <w:lvlJc w:val="right"/>
      <w:pPr>
        <w:ind w:left="2394" w:hanging="420"/>
      </w:pPr>
    </w:lvl>
    <w:lvl w:ilvl="3" w:tentative="0">
      <w:start w:val="1"/>
      <w:numFmt w:val="decimal"/>
      <w:lvlText w:val="%4."/>
      <w:lvlJc w:val="left"/>
      <w:pPr>
        <w:ind w:left="2814" w:hanging="420"/>
      </w:pPr>
    </w:lvl>
    <w:lvl w:ilvl="4" w:tentative="0">
      <w:start w:val="1"/>
      <w:numFmt w:val="lowerLetter"/>
      <w:lvlText w:val="%5)"/>
      <w:lvlJc w:val="left"/>
      <w:pPr>
        <w:ind w:left="3234" w:hanging="420"/>
      </w:pPr>
    </w:lvl>
    <w:lvl w:ilvl="5" w:tentative="0">
      <w:start w:val="1"/>
      <w:numFmt w:val="lowerRoman"/>
      <w:lvlText w:val="%6."/>
      <w:lvlJc w:val="right"/>
      <w:pPr>
        <w:ind w:left="3654" w:hanging="420"/>
      </w:pPr>
    </w:lvl>
    <w:lvl w:ilvl="6" w:tentative="0">
      <w:start w:val="1"/>
      <w:numFmt w:val="decimal"/>
      <w:lvlText w:val="%7."/>
      <w:lvlJc w:val="left"/>
      <w:pPr>
        <w:ind w:left="4074" w:hanging="420"/>
      </w:pPr>
    </w:lvl>
    <w:lvl w:ilvl="7" w:tentative="0">
      <w:start w:val="1"/>
      <w:numFmt w:val="lowerLetter"/>
      <w:lvlText w:val="%8)"/>
      <w:lvlJc w:val="left"/>
      <w:pPr>
        <w:ind w:left="4494" w:hanging="420"/>
      </w:pPr>
    </w:lvl>
    <w:lvl w:ilvl="8" w:tentative="0">
      <w:start w:val="1"/>
      <w:numFmt w:val="lowerRoman"/>
      <w:lvlText w:val="%9."/>
      <w:lvlJc w:val="right"/>
      <w:pPr>
        <w:ind w:left="4914" w:hanging="420"/>
      </w:pPr>
    </w:lvl>
  </w:abstractNum>
  <w:abstractNum w:abstractNumId="23">
    <w:nsid w:val="0000003B"/>
    <w:multiLevelType w:val="multilevel"/>
    <w:tmpl w:val="0000003B"/>
    <w:lvl w:ilvl="0" w:tentative="0">
      <w:start w:val="1"/>
      <w:numFmt w:val="chineseCountingThousand"/>
      <w:lvlText w:val="%1、"/>
      <w:lvlJc w:val="left"/>
      <w:pPr>
        <w:ind w:left="720" w:hanging="720"/>
      </w:pPr>
      <w:rPr>
        <w:strike w:val="0"/>
        <w:dstrike w:val="0"/>
        <w:color w:val="000000"/>
        <w:u w:val="no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4">
    <w:nsid w:val="0000003E"/>
    <w:multiLevelType w:val="multilevel"/>
    <w:tmpl w:val="0000003E"/>
    <w:lvl w:ilvl="0" w:tentative="0">
      <w:start w:val="1"/>
      <w:numFmt w:val="chineseCountingThousand"/>
      <w:suff w:val="nothing"/>
      <w:lvlText w:val="%1、"/>
      <w:lvlJc w:val="left"/>
      <w:pPr>
        <w:ind w:left="1272" w:hanging="420"/>
      </w:pPr>
      <w:rPr>
        <w:b/>
        <w:lang w:val="en-US"/>
      </w:rPr>
    </w:lvl>
    <w:lvl w:ilvl="1" w:tentative="0">
      <w:start w:val="1"/>
      <w:numFmt w:val="decimal"/>
      <w:lvlText w:val="%2、"/>
      <w:lvlJc w:val="left"/>
      <w:pPr>
        <w:ind w:left="1693" w:hanging="1125"/>
      </w:pPr>
    </w:lvl>
    <w:lvl w:ilvl="2" w:tentative="0">
      <w:start w:val="1"/>
      <w:numFmt w:val="lowerRoman"/>
      <w:lvlText w:val="%3."/>
      <w:lvlJc w:val="right"/>
      <w:pPr>
        <w:ind w:left="1971" w:hanging="420"/>
      </w:pPr>
    </w:lvl>
    <w:lvl w:ilvl="3" w:tentative="0">
      <w:start w:val="1"/>
      <w:numFmt w:val="decimal"/>
      <w:lvlText w:val="%4."/>
      <w:lvlJc w:val="left"/>
      <w:pPr>
        <w:ind w:left="2391" w:hanging="420"/>
      </w:pPr>
    </w:lvl>
    <w:lvl w:ilvl="4" w:tentative="0">
      <w:start w:val="1"/>
      <w:numFmt w:val="lowerLetter"/>
      <w:lvlText w:val="%5)"/>
      <w:lvlJc w:val="left"/>
      <w:pPr>
        <w:ind w:left="2811" w:hanging="420"/>
      </w:pPr>
    </w:lvl>
    <w:lvl w:ilvl="5" w:tentative="0">
      <w:start w:val="1"/>
      <w:numFmt w:val="lowerRoman"/>
      <w:lvlText w:val="%6."/>
      <w:lvlJc w:val="right"/>
      <w:pPr>
        <w:ind w:left="3231" w:hanging="420"/>
      </w:pPr>
    </w:lvl>
    <w:lvl w:ilvl="6" w:tentative="0">
      <w:start w:val="1"/>
      <w:numFmt w:val="decimal"/>
      <w:lvlText w:val="%7."/>
      <w:lvlJc w:val="left"/>
      <w:pPr>
        <w:ind w:left="3651" w:hanging="420"/>
      </w:pPr>
    </w:lvl>
    <w:lvl w:ilvl="7" w:tentative="0">
      <w:start w:val="1"/>
      <w:numFmt w:val="lowerLetter"/>
      <w:lvlText w:val="%8)"/>
      <w:lvlJc w:val="left"/>
      <w:pPr>
        <w:ind w:left="4071" w:hanging="420"/>
      </w:pPr>
    </w:lvl>
    <w:lvl w:ilvl="8" w:tentative="0">
      <w:start w:val="1"/>
      <w:numFmt w:val="lowerRoman"/>
      <w:lvlText w:val="%9."/>
      <w:lvlJc w:val="right"/>
      <w:pPr>
        <w:ind w:left="4491" w:hanging="420"/>
      </w:pPr>
    </w:lvl>
  </w:abstractNum>
  <w:abstractNum w:abstractNumId="25">
    <w:nsid w:val="00000041"/>
    <w:multiLevelType w:val="multilevel"/>
    <w:tmpl w:val="00000041"/>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6">
    <w:nsid w:val="00000043"/>
    <w:multiLevelType w:val="multilevel"/>
    <w:tmpl w:val="00000043"/>
    <w:lvl w:ilvl="0" w:tentative="0">
      <w:start w:val="1"/>
      <w:numFmt w:val="chineseCountingThousand"/>
      <w:lvlText w:val="%1、"/>
      <w:lvlJc w:val="left"/>
      <w:pPr>
        <w:ind w:left="1413" w:hanging="420"/>
      </w:pPr>
      <w:rPr>
        <w:sz w:val="28"/>
        <w:szCs w:val="28"/>
      </w:rPr>
    </w:lvl>
    <w:lvl w:ilvl="1" w:tentative="0">
      <w:start w:val="1"/>
      <w:numFmt w:val="decimal"/>
      <w:isLgl/>
      <w:lvlText w:val="%1.%2"/>
      <w:lvlJc w:val="left"/>
      <w:pPr>
        <w:ind w:left="1669" w:hanging="960"/>
      </w:pPr>
    </w:lvl>
    <w:lvl w:ilvl="2" w:tentative="0">
      <w:start w:val="1"/>
      <w:numFmt w:val="decimal"/>
      <w:isLgl/>
      <w:lvlText w:val="%1.%2.%3"/>
      <w:lvlJc w:val="left"/>
      <w:pPr>
        <w:ind w:left="1669" w:hanging="960"/>
      </w:pPr>
    </w:lvl>
    <w:lvl w:ilvl="3" w:tentative="0">
      <w:start w:val="1"/>
      <w:numFmt w:val="decimal"/>
      <w:isLgl/>
      <w:lvlText w:val="%1.%2.%3.%4"/>
      <w:lvlJc w:val="left"/>
      <w:pPr>
        <w:ind w:left="1789" w:hanging="1080"/>
      </w:pPr>
    </w:lvl>
    <w:lvl w:ilvl="4" w:tentative="0">
      <w:start w:val="1"/>
      <w:numFmt w:val="decimal"/>
      <w:isLgl/>
      <w:lvlText w:val="%1.%2.%3.%4.%5"/>
      <w:lvlJc w:val="left"/>
      <w:pPr>
        <w:ind w:left="1789" w:hanging="1080"/>
      </w:pPr>
    </w:lvl>
    <w:lvl w:ilvl="5" w:tentative="0">
      <w:start w:val="1"/>
      <w:numFmt w:val="decimal"/>
      <w:isLgl/>
      <w:lvlText w:val="%1.%2.%3.%4.%5.%6"/>
      <w:lvlJc w:val="left"/>
      <w:pPr>
        <w:ind w:left="2149" w:hanging="1440"/>
      </w:pPr>
    </w:lvl>
    <w:lvl w:ilvl="6" w:tentative="0">
      <w:start w:val="1"/>
      <w:numFmt w:val="decimal"/>
      <w:isLgl/>
      <w:lvlText w:val="%1.%2.%3.%4.%5.%6.%7"/>
      <w:lvlJc w:val="left"/>
      <w:pPr>
        <w:ind w:left="2509" w:hanging="1800"/>
      </w:pPr>
    </w:lvl>
    <w:lvl w:ilvl="7" w:tentative="0">
      <w:start w:val="1"/>
      <w:numFmt w:val="decimal"/>
      <w:isLgl/>
      <w:lvlText w:val="%1.%2.%3.%4.%5.%6.%7.%8"/>
      <w:lvlJc w:val="left"/>
      <w:pPr>
        <w:ind w:left="2509" w:hanging="1800"/>
      </w:pPr>
    </w:lvl>
    <w:lvl w:ilvl="8" w:tentative="0">
      <w:start w:val="1"/>
      <w:numFmt w:val="decimal"/>
      <w:isLgl/>
      <w:lvlText w:val="%1.%2.%3.%4.%5.%6.%7.%8.%9"/>
      <w:lvlJc w:val="left"/>
      <w:pPr>
        <w:ind w:left="2869" w:hanging="2160"/>
      </w:pPr>
    </w:lvl>
  </w:abstractNum>
  <w:abstractNum w:abstractNumId="27">
    <w:nsid w:val="06AF180E"/>
    <w:multiLevelType w:val="multilevel"/>
    <w:tmpl w:val="06AF180E"/>
    <w:lvl w:ilvl="0" w:tentative="0">
      <w:start w:val="1"/>
      <w:numFmt w:val="japaneseCounting"/>
      <w:lvlText w:val="（%1）"/>
      <w:lvlJc w:val="left"/>
      <w:pPr>
        <w:ind w:left="1421" w:hanging="855"/>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8">
    <w:nsid w:val="06C3165F"/>
    <w:multiLevelType w:val="multilevel"/>
    <w:tmpl w:val="06C3165F"/>
    <w:lvl w:ilvl="0" w:tentative="0">
      <w:start w:val="5"/>
      <w:numFmt w:val="japaneseCounting"/>
      <w:lvlText w:val="（%1）"/>
      <w:lvlJc w:val="left"/>
      <w:pPr>
        <w:ind w:left="1179" w:hanging="855"/>
      </w:pPr>
      <w:rPr>
        <w:rFonts w:cs="Helvetica"/>
        <w:color w:val="FF0000"/>
      </w:rPr>
    </w:lvl>
    <w:lvl w:ilvl="1" w:tentative="0">
      <w:start w:val="1"/>
      <w:numFmt w:val="chineseCountingThousand"/>
      <w:lvlText w:val="(%2)"/>
      <w:lvlJc w:val="left"/>
      <w:pPr>
        <w:ind w:left="1164" w:hanging="420"/>
      </w:pPr>
    </w:lvl>
    <w:lvl w:ilvl="2" w:tentative="0">
      <w:start w:val="2"/>
      <w:numFmt w:val="japaneseCounting"/>
      <w:lvlText w:val="（%3）"/>
      <w:lvlJc w:val="left"/>
      <w:pPr>
        <w:ind w:left="2019" w:hanging="855"/>
      </w:pPr>
      <w:rPr>
        <w:lang w:val="en-US"/>
      </w:rPr>
    </w:lvl>
    <w:lvl w:ilvl="3" w:tentative="0">
      <w:start w:val="3"/>
      <w:numFmt w:val="japaneseCounting"/>
      <w:lvlText w:val="%4、"/>
      <w:lvlJc w:val="left"/>
      <w:pPr>
        <w:ind w:left="2304" w:hanging="720"/>
      </w:pPr>
    </w:lvl>
    <w:lvl w:ilvl="4" w:tentative="0">
      <w:start w:val="1"/>
      <w:numFmt w:val="lowerLetter"/>
      <w:lvlText w:val="%5)"/>
      <w:lvlJc w:val="left"/>
      <w:pPr>
        <w:ind w:left="2424" w:hanging="420"/>
      </w:pPr>
    </w:lvl>
    <w:lvl w:ilvl="5" w:tentative="0">
      <w:start w:val="1"/>
      <w:numFmt w:val="lowerRoman"/>
      <w:lvlText w:val="%6."/>
      <w:lvlJc w:val="right"/>
      <w:pPr>
        <w:ind w:left="2844" w:hanging="420"/>
      </w:pPr>
    </w:lvl>
    <w:lvl w:ilvl="6" w:tentative="0">
      <w:start w:val="1"/>
      <w:numFmt w:val="decimal"/>
      <w:lvlText w:val="%7."/>
      <w:lvlJc w:val="left"/>
      <w:pPr>
        <w:ind w:left="3264" w:hanging="420"/>
      </w:pPr>
    </w:lvl>
    <w:lvl w:ilvl="7" w:tentative="0">
      <w:start w:val="1"/>
      <w:numFmt w:val="lowerLetter"/>
      <w:lvlText w:val="%8)"/>
      <w:lvlJc w:val="left"/>
      <w:pPr>
        <w:ind w:left="3684" w:hanging="420"/>
      </w:pPr>
    </w:lvl>
    <w:lvl w:ilvl="8" w:tentative="0">
      <w:start w:val="1"/>
      <w:numFmt w:val="lowerRoman"/>
      <w:lvlText w:val="%9."/>
      <w:lvlJc w:val="right"/>
      <w:pPr>
        <w:ind w:left="4104" w:hanging="420"/>
      </w:pPr>
    </w:lvl>
  </w:abstractNum>
  <w:abstractNum w:abstractNumId="29">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30">
    <w:nsid w:val="144C623B"/>
    <w:multiLevelType w:val="multilevel"/>
    <w:tmpl w:val="144C623B"/>
    <w:lvl w:ilvl="0" w:tentative="0">
      <w:start w:val="1"/>
      <w:numFmt w:val="chineseCountingThousand"/>
      <w:lvlText w:val="%1、"/>
      <w:lvlJc w:val="left"/>
      <w:pPr>
        <w:ind w:left="966" w:hanging="420"/>
      </w:pPr>
      <w:rPr>
        <w:b w:val="0"/>
        <w:sz w:val="28"/>
        <w:szCs w:val="28"/>
      </w:r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1">
    <w:nsid w:val="163F29DE"/>
    <w:multiLevelType w:val="multilevel"/>
    <w:tmpl w:val="163F29DE"/>
    <w:lvl w:ilvl="0" w:tentative="0">
      <w:start w:val="1"/>
      <w:numFmt w:val="chineseCountingThousand"/>
      <w:lvlText w:val="%1、"/>
      <w:lvlJc w:val="left"/>
      <w:pPr>
        <w:ind w:left="1413" w:hanging="420"/>
      </w:pPr>
      <w:rPr>
        <w:rFonts w:ascii="宋体" w:hAnsi="宋体" w:eastAsia="宋体"/>
        <w:sz w:val="28"/>
        <w:szCs w:val="28"/>
      </w:rPr>
    </w:lvl>
    <w:lvl w:ilvl="1" w:tentative="0">
      <w:start w:val="1"/>
      <w:numFmt w:val="lowerLetter"/>
      <w:lvlText w:val="%2)"/>
      <w:lvlJc w:val="left"/>
      <w:pPr>
        <w:ind w:left="1265" w:hanging="420"/>
      </w:pPr>
    </w:lvl>
    <w:lvl w:ilvl="2" w:tentative="0">
      <w:start w:val="1"/>
      <w:numFmt w:val="lowerRoman"/>
      <w:lvlText w:val="%3."/>
      <w:lvlJc w:val="right"/>
      <w:pPr>
        <w:ind w:left="1685" w:hanging="420"/>
      </w:pPr>
    </w:lvl>
    <w:lvl w:ilvl="3" w:tentative="0">
      <w:start w:val="1"/>
      <w:numFmt w:val="decimal"/>
      <w:lvlText w:val="%4."/>
      <w:lvlJc w:val="left"/>
      <w:pPr>
        <w:ind w:left="2105" w:hanging="420"/>
      </w:pPr>
    </w:lvl>
    <w:lvl w:ilvl="4" w:tentative="0">
      <w:start w:val="1"/>
      <w:numFmt w:val="lowerLetter"/>
      <w:lvlText w:val="%5)"/>
      <w:lvlJc w:val="left"/>
      <w:pPr>
        <w:ind w:left="2525" w:hanging="420"/>
      </w:pPr>
    </w:lvl>
    <w:lvl w:ilvl="5" w:tentative="0">
      <w:start w:val="1"/>
      <w:numFmt w:val="lowerRoman"/>
      <w:lvlText w:val="%6."/>
      <w:lvlJc w:val="right"/>
      <w:pPr>
        <w:ind w:left="2945" w:hanging="420"/>
      </w:pPr>
    </w:lvl>
    <w:lvl w:ilvl="6" w:tentative="0">
      <w:start w:val="1"/>
      <w:numFmt w:val="decimal"/>
      <w:lvlText w:val="%7."/>
      <w:lvlJc w:val="left"/>
      <w:pPr>
        <w:ind w:left="3365" w:hanging="420"/>
      </w:pPr>
    </w:lvl>
    <w:lvl w:ilvl="7" w:tentative="0">
      <w:start w:val="1"/>
      <w:numFmt w:val="lowerLetter"/>
      <w:lvlText w:val="%8)"/>
      <w:lvlJc w:val="left"/>
      <w:pPr>
        <w:ind w:left="3785" w:hanging="420"/>
      </w:pPr>
    </w:lvl>
    <w:lvl w:ilvl="8" w:tentative="0">
      <w:start w:val="1"/>
      <w:numFmt w:val="lowerRoman"/>
      <w:lvlText w:val="%9."/>
      <w:lvlJc w:val="right"/>
      <w:pPr>
        <w:ind w:left="4205" w:hanging="420"/>
      </w:pPr>
    </w:lvl>
  </w:abstractNum>
  <w:abstractNum w:abstractNumId="32">
    <w:nsid w:val="1A032D52"/>
    <w:multiLevelType w:val="multilevel"/>
    <w:tmpl w:val="1A032D52"/>
    <w:lvl w:ilvl="0" w:tentative="0">
      <w:start w:val="1"/>
      <w:numFmt w:val="chineseCountingThousand"/>
      <w:lvlText w:val="%1、"/>
      <w:lvlJc w:val="left"/>
      <w:pPr>
        <w:ind w:left="1413" w:hanging="420"/>
      </w:pPr>
    </w:lvl>
    <w:lvl w:ilvl="1" w:tentative="0">
      <w:start w:val="1"/>
      <w:numFmt w:val="lowerLetter"/>
      <w:lvlText w:val="%2)"/>
      <w:lvlJc w:val="left"/>
      <w:pPr>
        <w:tabs>
          <w:tab w:val="left" w:pos="847"/>
        </w:tabs>
        <w:ind w:left="847" w:hanging="420"/>
      </w:pPr>
    </w:lvl>
    <w:lvl w:ilvl="2" w:tentative="0">
      <w:start w:val="1"/>
      <w:numFmt w:val="lowerRoman"/>
      <w:lvlText w:val="%3."/>
      <w:lvlJc w:val="right"/>
      <w:pPr>
        <w:tabs>
          <w:tab w:val="left" w:pos="1267"/>
        </w:tabs>
        <w:ind w:left="1267" w:hanging="420"/>
      </w:pPr>
    </w:lvl>
    <w:lvl w:ilvl="3" w:tentative="0">
      <w:start w:val="1"/>
      <w:numFmt w:val="decimal"/>
      <w:lvlText w:val="%4."/>
      <w:lvlJc w:val="left"/>
      <w:pPr>
        <w:tabs>
          <w:tab w:val="left" w:pos="1687"/>
        </w:tabs>
        <w:ind w:left="1687" w:hanging="420"/>
      </w:pPr>
    </w:lvl>
    <w:lvl w:ilvl="4" w:tentative="0">
      <w:start w:val="1"/>
      <w:numFmt w:val="lowerLetter"/>
      <w:lvlText w:val="%5)"/>
      <w:lvlJc w:val="left"/>
      <w:pPr>
        <w:tabs>
          <w:tab w:val="left" w:pos="2107"/>
        </w:tabs>
        <w:ind w:left="2107" w:hanging="420"/>
      </w:pPr>
    </w:lvl>
    <w:lvl w:ilvl="5" w:tentative="0">
      <w:start w:val="1"/>
      <w:numFmt w:val="lowerRoman"/>
      <w:lvlText w:val="%6."/>
      <w:lvlJc w:val="right"/>
      <w:pPr>
        <w:tabs>
          <w:tab w:val="left" w:pos="2527"/>
        </w:tabs>
        <w:ind w:left="2527" w:hanging="420"/>
      </w:pPr>
    </w:lvl>
    <w:lvl w:ilvl="6" w:tentative="0">
      <w:start w:val="1"/>
      <w:numFmt w:val="decimal"/>
      <w:lvlText w:val="%7."/>
      <w:lvlJc w:val="left"/>
      <w:pPr>
        <w:tabs>
          <w:tab w:val="left" w:pos="2947"/>
        </w:tabs>
        <w:ind w:left="2947" w:hanging="420"/>
      </w:pPr>
    </w:lvl>
    <w:lvl w:ilvl="7" w:tentative="0">
      <w:start w:val="1"/>
      <w:numFmt w:val="lowerLetter"/>
      <w:lvlText w:val="%8)"/>
      <w:lvlJc w:val="left"/>
      <w:pPr>
        <w:tabs>
          <w:tab w:val="left" w:pos="3367"/>
        </w:tabs>
        <w:ind w:left="3367" w:hanging="420"/>
      </w:pPr>
    </w:lvl>
    <w:lvl w:ilvl="8" w:tentative="0">
      <w:start w:val="1"/>
      <w:numFmt w:val="lowerRoman"/>
      <w:lvlText w:val="%9."/>
      <w:lvlJc w:val="right"/>
      <w:pPr>
        <w:tabs>
          <w:tab w:val="left" w:pos="3787"/>
        </w:tabs>
        <w:ind w:left="3787" w:hanging="420"/>
      </w:pPr>
    </w:lvl>
  </w:abstractNum>
  <w:abstractNum w:abstractNumId="33">
    <w:nsid w:val="1F2A386E"/>
    <w:multiLevelType w:val="multilevel"/>
    <w:tmpl w:val="1F2A386E"/>
    <w:lvl w:ilvl="0" w:tentative="0">
      <w:start w:val="1"/>
      <w:numFmt w:val="chineseCountingThousand"/>
      <w:lvlText w:val="%1、"/>
      <w:lvlJc w:val="left"/>
      <w:pPr>
        <w:ind w:left="988"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34">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35">
    <w:nsid w:val="2CD03D81"/>
    <w:multiLevelType w:val="singleLevel"/>
    <w:tmpl w:val="2CD03D81"/>
    <w:lvl w:ilvl="0" w:tentative="0">
      <w:start w:val="1"/>
      <w:numFmt w:val="decimal"/>
      <w:lvlText w:val="(%1)"/>
      <w:lvlJc w:val="left"/>
      <w:pPr>
        <w:ind w:left="425" w:hanging="425"/>
      </w:pPr>
      <w:rPr>
        <w:rFonts w:hint="default"/>
      </w:rPr>
    </w:lvl>
  </w:abstractNum>
  <w:abstractNum w:abstractNumId="36">
    <w:nsid w:val="316418D8"/>
    <w:multiLevelType w:val="multilevel"/>
    <w:tmpl w:val="316418D8"/>
    <w:lvl w:ilvl="0" w:tentative="0">
      <w:start w:val="1"/>
      <w:numFmt w:val="chineseCountingThousand"/>
      <w:lvlText w:val="%1、"/>
      <w:lvlJc w:val="left"/>
      <w:pPr>
        <w:ind w:left="846"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7">
    <w:nsid w:val="32732520"/>
    <w:multiLevelType w:val="multilevel"/>
    <w:tmpl w:val="32732520"/>
    <w:lvl w:ilvl="0" w:tentative="0">
      <w:start w:val="1"/>
      <w:numFmt w:val="chineseCountingThousand"/>
      <w:lvlText w:val="(%1)"/>
      <w:lvlJc w:val="left"/>
      <w:pPr>
        <w:ind w:left="966"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33DD3256"/>
    <w:multiLevelType w:val="singleLevel"/>
    <w:tmpl w:val="33DD3256"/>
    <w:lvl w:ilvl="0" w:tentative="0">
      <w:start w:val="1"/>
      <w:numFmt w:val="decimal"/>
      <w:lvlText w:val="(%1)"/>
      <w:lvlJc w:val="left"/>
      <w:pPr>
        <w:ind w:left="425" w:hanging="425"/>
      </w:pPr>
      <w:rPr>
        <w:rFonts w:hint="default"/>
      </w:rPr>
    </w:lvl>
  </w:abstractNum>
  <w:abstractNum w:abstractNumId="39">
    <w:nsid w:val="3424055C"/>
    <w:multiLevelType w:val="multilevel"/>
    <w:tmpl w:val="3424055C"/>
    <w:lvl w:ilvl="0" w:tentative="0">
      <w:start w:val="1"/>
      <w:numFmt w:val="chineseCountingThousand"/>
      <w:lvlText w:val="%1、"/>
      <w:lvlJc w:val="left"/>
      <w:pPr>
        <w:ind w:left="1413" w:hanging="420"/>
      </w:pPr>
      <w:rPr>
        <w:rFonts w:ascii="宋体" w:hAnsi="宋体" w:eastAsia="宋体"/>
        <w:sz w:val="28"/>
        <w:szCs w:val="28"/>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34D50379"/>
    <w:multiLevelType w:val="multilevel"/>
    <w:tmpl w:val="34D50379"/>
    <w:lvl w:ilvl="0" w:tentative="0">
      <w:start w:val="1"/>
      <w:numFmt w:val="decimal"/>
      <w:lvlText w:val="%1."/>
      <w:lvlJc w:val="left"/>
      <w:pPr>
        <w:ind w:left="840" w:hanging="420"/>
      </w:pPr>
    </w:lvl>
    <w:lvl w:ilvl="1" w:tentative="0">
      <w:start w:val="1"/>
      <w:numFmt w:val="decimal"/>
      <w:lvlText w:val="%2）"/>
      <w:lvlJc w:val="left"/>
      <w:pPr>
        <w:ind w:left="1560" w:hanging="720"/>
      </w:pPr>
      <w:rPr>
        <w:b w:val="0"/>
        <w:color w:val="000000"/>
      </w:rPr>
    </w:lvl>
    <w:lvl w:ilvl="2" w:tentative="0">
      <w:start w:val="1"/>
      <w:numFmt w:val="chineseCountingThousand"/>
      <w:lvlText w:val="%3、"/>
      <w:lvlJc w:val="left"/>
      <w:pPr>
        <w:ind w:left="60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1">
    <w:nsid w:val="36BC04DA"/>
    <w:multiLevelType w:val="multilevel"/>
    <w:tmpl w:val="36BC04DA"/>
    <w:lvl w:ilvl="0" w:tentative="0">
      <w:start w:val="1"/>
      <w:numFmt w:val="japaneseCounting"/>
      <w:lvlText w:val="%1、"/>
      <w:lvlJc w:val="left"/>
      <w:pPr>
        <w:ind w:left="2282"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2">
    <w:nsid w:val="4BD98B36"/>
    <w:multiLevelType w:val="singleLevel"/>
    <w:tmpl w:val="4BD98B36"/>
    <w:lvl w:ilvl="0" w:tentative="0">
      <w:start w:val="5"/>
      <w:numFmt w:val="decimal"/>
      <w:lvlText w:val="%1."/>
      <w:lvlJc w:val="left"/>
      <w:pPr>
        <w:tabs>
          <w:tab w:val="left" w:pos="312"/>
        </w:tabs>
      </w:pPr>
    </w:lvl>
  </w:abstractNum>
  <w:abstractNum w:abstractNumId="43">
    <w:nsid w:val="4C1635C4"/>
    <w:multiLevelType w:val="multilevel"/>
    <w:tmpl w:val="4C1635C4"/>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4">
    <w:nsid w:val="4CC31705"/>
    <w:multiLevelType w:val="multilevel"/>
    <w:tmpl w:val="4CC31705"/>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5">
    <w:nsid w:val="4D3C4E8D"/>
    <w:multiLevelType w:val="multilevel"/>
    <w:tmpl w:val="4D3C4E8D"/>
    <w:lvl w:ilvl="0" w:tentative="0">
      <w:start w:val="1"/>
      <w:numFmt w:val="chineseCountingThousand"/>
      <w:lvlText w:val="(%1)"/>
      <w:lvlJc w:val="left"/>
      <w:pPr>
        <w:tabs>
          <w:tab w:val="left" w:pos="846"/>
        </w:tabs>
        <w:ind w:left="846" w:hanging="420"/>
      </w:pPr>
    </w:lvl>
    <w:lvl w:ilvl="1" w:tentative="0">
      <w:start w:val="1"/>
      <w:numFmt w:val="lowerLetter"/>
      <w:lvlText w:val="%2)"/>
      <w:lvlJc w:val="left"/>
      <w:pPr>
        <w:tabs>
          <w:tab w:val="left" w:pos="1266"/>
        </w:tabs>
        <w:ind w:left="1266" w:hanging="420"/>
      </w:pPr>
    </w:lvl>
    <w:lvl w:ilvl="2" w:tentative="0">
      <w:start w:val="1"/>
      <w:numFmt w:val="lowerRoman"/>
      <w:lvlText w:val="%3."/>
      <w:lvlJc w:val="right"/>
      <w:pPr>
        <w:tabs>
          <w:tab w:val="left" w:pos="1686"/>
        </w:tabs>
        <w:ind w:left="1686" w:hanging="420"/>
      </w:pPr>
    </w:lvl>
    <w:lvl w:ilvl="3" w:tentative="0">
      <w:start w:val="1"/>
      <w:numFmt w:val="decimal"/>
      <w:lvlText w:val="%4."/>
      <w:lvlJc w:val="left"/>
      <w:pPr>
        <w:tabs>
          <w:tab w:val="left" w:pos="2106"/>
        </w:tabs>
        <w:ind w:left="2106" w:hanging="420"/>
      </w:pPr>
    </w:lvl>
    <w:lvl w:ilvl="4" w:tentative="0">
      <w:start w:val="1"/>
      <w:numFmt w:val="lowerLetter"/>
      <w:lvlText w:val="%5)"/>
      <w:lvlJc w:val="left"/>
      <w:pPr>
        <w:tabs>
          <w:tab w:val="left" w:pos="2526"/>
        </w:tabs>
        <w:ind w:left="2526" w:hanging="420"/>
      </w:pPr>
    </w:lvl>
    <w:lvl w:ilvl="5" w:tentative="0">
      <w:start w:val="1"/>
      <w:numFmt w:val="lowerRoman"/>
      <w:lvlText w:val="%6."/>
      <w:lvlJc w:val="right"/>
      <w:pPr>
        <w:tabs>
          <w:tab w:val="left" w:pos="2946"/>
        </w:tabs>
        <w:ind w:left="2946" w:hanging="420"/>
      </w:pPr>
    </w:lvl>
    <w:lvl w:ilvl="6" w:tentative="0">
      <w:start w:val="1"/>
      <w:numFmt w:val="decimal"/>
      <w:lvlText w:val="%7."/>
      <w:lvlJc w:val="left"/>
      <w:pPr>
        <w:tabs>
          <w:tab w:val="left" w:pos="3366"/>
        </w:tabs>
        <w:ind w:left="3366" w:hanging="420"/>
      </w:pPr>
    </w:lvl>
    <w:lvl w:ilvl="7" w:tentative="0">
      <w:start w:val="1"/>
      <w:numFmt w:val="lowerLetter"/>
      <w:lvlText w:val="%8)"/>
      <w:lvlJc w:val="left"/>
      <w:pPr>
        <w:tabs>
          <w:tab w:val="left" w:pos="3786"/>
        </w:tabs>
        <w:ind w:left="3786" w:hanging="420"/>
      </w:pPr>
    </w:lvl>
    <w:lvl w:ilvl="8" w:tentative="0">
      <w:start w:val="1"/>
      <w:numFmt w:val="lowerRoman"/>
      <w:lvlText w:val="%9."/>
      <w:lvlJc w:val="right"/>
      <w:pPr>
        <w:tabs>
          <w:tab w:val="left" w:pos="4206"/>
        </w:tabs>
        <w:ind w:left="4206" w:hanging="420"/>
      </w:pPr>
    </w:lvl>
  </w:abstractNum>
  <w:abstractNum w:abstractNumId="46">
    <w:nsid w:val="51F311B1"/>
    <w:multiLevelType w:val="multilevel"/>
    <w:tmpl w:val="51F311B1"/>
    <w:lvl w:ilvl="0" w:tentative="0">
      <w:start w:val="1"/>
      <w:numFmt w:val="chineseCountingThousand"/>
      <w:lvlText w:val="%1、"/>
      <w:lvlJc w:val="left"/>
      <w:pPr>
        <w:ind w:left="966" w:hanging="420"/>
      </w:p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47">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48">
    <w:nsid w:val="60642B38"/>
    <w:multiLevelType w:val="multilevel"/>
    <w:tmpl w:val="60642B38"/>
    <w:lvl w:ilvl="0" w:tentative="0">
      <w:start w:val="1"/>
      <w:numFmt w:val="chineseCountingThousand"/>
      <w:lvlText w:val="%1、"/>
      <w:lvlJc w:val="left"/>
      <w:pPr>
        <w:ind w:left="840" w:hanging="420"/>
      </w:pPr>
      <w:rPr>
        <w:rFonts w:asciiTheme="minorEastAsia" w:hAnsiTheme="minorEastAsia" w:eastAsiaTheme="minorEastAsia"/>
        <w:b w:val="0"/>
        <w:sz w:val="28"/>
        <w:szCs w:val="28"/>
      </w:r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9">
    <w:nsid w:val="61FA781F"/>
    <w:multiLevelType w:val="multilevel"/>
    <w:tmpl w:val="61FA781F"/>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0">
    <w:nsid w:val="638064AA"/>
    <w:multiLevelType w:val="multilevel"/>
    <w:tmpl w:val="638064AA"/>
    <w:lvl w:ilvl="0" w:tentative="0">
      <w:start w:val="1"/>
      <w:numFmt w:val="japaneseCounting"/>
      <w:lvlText w:val="%1、"/>
      <w:lvlJc w:val="left"/>
      <w:pPr>
        <w:ind w:left="1998"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1">
    <w:nsid w:val="6474289A"/>
    <w:multiLevelType w:val="singleLevel"/>
    <w:tmpl w:val="6474289A"/>
    <w:lvl w:ilvl="0" w:tentative="0">
      <w:start w:val="1"/>
      <w:numFmt w:val="decimal"/>
      <w:lvlText w:val="(%1)"/>
      <w:lvlJc w:val="left"/>
      <w:pPr>
        <w:ind w:left="425" w:hanging="425"/>
      </w:pPr>
      <w:rPr>
        <w:rFonts w:hint="default"/>
      </w:rPr>
    </w:lvl>
  </w:abstractNum>
  <w:abstractNum w:abstractNumId="52">
    <w:nsid w:val="716F767A"/>
    <w:multiLevelType w:val="multilevel"/>
    <w:tmpl w:val="716F767A"/>
    <w:lvl w:ilvl="0" w:tentative="0">
      <w:start w:val="1"/>
      <w:numFmt w:val="chineseCountingThousand"/>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53">
    <w:nsid w:val="75656F13"/>
    <w:multiLevelType w:val="multilevel"/>
    <w:tmpl w:val="75656F13"/>
    <w:lvl w:ilvl="0" w:tentative="0">
      <w:start w:val="1"/>
      <w:numFmt w:val="chineseCountingThousand"/>
      <w:lvlText w:val="(%1)"/>
      <w:lvlJc w:val="left"/>
      <w:pPr>
        <w:tabs>
          <w:tab w:val="left" w:pos="846"/>
        </w:tabs>
        <w:ind w:left="846" w:hanging="420"/>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4">
    <w:nsid w:val="789D00AF"/>
    <w:multiLevelType w:val="multilevel"/>
    <w:tmpl w:val="789D00AF"/>
    <w:lvl w:ilvl="0" w:tentative="0">
      <w:start w:val="1"/>
      <w:numFmt w:val="chineseCountingThousand"/>
      <w:lvlText w:val="(%1)"/>
      <w:lvlJc w:val="left"/>
      <w:pPr>
        <w:ind w:left="972" w:hanging="420"/>
      </w:pPr>
      <w:rPr>
        <w:b w:val="0"/>
      </w:rPr>
    </w:lvl>
    <w:lvl w:ilvl="1" w:tentative="0">
      <w:start w:val="1"/>
      <w:numFmt w:val="lowerLetter"/>
      <w:lvlText w:val="%2)"/>
      <w:lvlJc w:val="left"/>
      <w:pPr>
        <w:ind w:left="1392" w:hanging="420"/>
      </w:pPr>
    </w:lvl>
    <w:lvl w:ilvl="2" w:tentative="0">
      <w:start w:val="1"/>
      <w:numFmt w:val="lowerRoman"/>
      <w:lvlText w:val="%3."/>
      <w:lvlJc w:val="right"/>
      <w:pPr>
        <w:ind w:left="1812" w:hanging="420"/>
      </w:pPr>
    </w:lvl>
    <w:lvl w:ilvl="3" w:tentative="0">
      <w:start w:val="1"/>
      <w:numFmt w:val="decimal"/>
      <w:lvlText w:val="%4."/>
      <w:lvlJc w:val="left"/>
      <w:pPr>
        <w:ind w:left="2232" w:hanging="420"/>
      </w:pPr>
    </w:lvl>
    <w:lvl w:ilvl="4" w:tentative="0">
      <w:start w:val="1"/>
      <w:numFmt w:val="lowerLetter"/>
      <w:lvlText w:val="%5)"/>
      <w:lvlJc w:val="left"/>
      <w:pPr>
        <w:ind w:left="2652" w:hanging="420"/>
      </w:pPr>
    </w:lvl>
    <w:lvl w:ilvl="5" w:tentative="0">
      <w:start w:val="1"/>
      <w:numFmt w:val="lowerRoman"/>
      <w:lvlText w:val="%6."/>
      <w:lvlJc w:val="right"/>
      <w:pPr>
        <w:ind w:left="3072" w:hanging="420"/>
      </w:pPr>
    </w:lvl>
    <w:lvl w:ilvl="6" w:tentative="0">
      <w:start w:val="1"/>
      <w:numFmt w:val="decimal"/>
      <w:lvlText w:val="%7."/>
      <w:lvlJc w:val="left"/>
      <w:pPr>
        <w:ind w:left="3492" w:hanging="420"/>
      </w:pPr>
    </w:lvl>
    <w:lvl w:ilvl="7" w:tentative="0">
      <w:start w:val="1"/>
      <w:numFmt w:val="lowerLetter"/>
      <w:lvlText w:val="%8)"/>
      <w:lvlJc w:val="left"/>
      <w:pPr>
        <w:ind w:left="3912" w:hanging="420"/>
      </w:pPr>
    </w:lvl>
    <w:lvl w:ilvl="8" w:tentative="0">
      <w:start w:val="1"/>
      <w:numFmt w:val="lowerRoman"/>
      <w:lvlText w:val="%9."/>
      <w:lvlJc w:val="right"/>
      <w:pPr>
        <w:ind w:left="4332" w:hanging="420"/>
      </w:pPr>
    </w:lvl>
  </w:abstractNum>
  <w:abstractNum w:abstractNumId="55">
    <w:nsid w:val="78EBD23D"/>
    <w:multiLevelType w:val="singleLevel"/>
    <w:tmpl w:val="78EBD23D"/>
    <w:lvl w:ilvl="0" w:tentative="0">
      <w:start w:val="1"/>
      <w:numFmt w:val="chineseCounting"/>
      <w:suff w:val="nothing"/>
      <w:lvlText w:val="（%1）"/>
      <w:lvlJc w:val="left"/>
      <w:pPr>
        <w:ind w:left="0" w:firstLine="420"/>
      </w:pPr>
      <w:rPr>
        <w:rFonts w:hint="eastAsia"/>
      </w:rPr>
    </w:lvl>
  </w:abstractNum>
  <w:abstractNum w:abstractNumId="56">
    <w:nsid w:val="7A6FB97C"/>
    <w:multiLevelType w:val="singleLevel"/>
    <w:tmpl w:val="7A6FB97C"/>
    <w:lvl w:ilvl="0" w:tentative="0">
      <w:start w:val="1"/>
      <w:numFmt w:val="chineseCounting"/>
      <w:suff w:val="nothing"/>
      <w:lvlText w:val="（%1）"/>
      <w:lvlJc w:val="left"/>
      <w:rPr>
        <w:rFonts w:hint="eastAsia"/>
      </w:rPr>
    </w:lvl>
  </w:abstractNum>
  <w:abstractNum w:abstractNumId="57">
    <w:nsid w:val="7B7FA330"/>
    <w:multiLevelType w:val="singleLevel"/>
    <w:tmpl w:val="7B7FA330"/>
    <w:lvl w:ilvl="0" w:tentative="0">
      <w:start w:val="1"/>
      <w:numFmt w:val="decimal"/>
      <w:lvlText w:val="(%1)"/>
      <w:lvlJc w:val="left"/>
      <w:pPr>
        <w:ind w:left="425" w:hanging="425"/>
      </w:pPr>
      <w:rPr>
        <w:rFonts w:hint="default"/>
      </w:rPr>
    </w:lvl>
  </w:abstractNum>
  <w:abstractNum w:abstractNumId="58">
    <w:nsid w:val="7DBE715B"/>
    <w:multiLevelType w:val="singleLevel"/>
    <w:tmpl w:val="7DBE715B"/>
    <w:lvl w:ilvl="0" w:tentative="0">
      <w:start w:val="1"/>
      <w:numFmt w:val="decimal"/>
      <w:lvlText w:val="(%1)"/>
      <w:lvlJc w:val="left"/>
      <w:pPr>
        <w:ind w:left="425" w:hanging="425"/>
      </w:pPr>
      <w:rPr>
        <w:rFonts w:hint="default"/>
      </w:rPr>
    </w:lvl>
  </w:abstractNum>
  <w:abstractNum w:abstractNumId="59">
    <w:nsid w:val="7F511D7D"/>
    <w:multiLevelType w:val="multilevel"/>
    <w:tmpl w:val="7F511D7D"/>
    <w:lvl w:ilvl="0" w:tentative="0">
      <w:start w:val="1"/>
      <w:numFmt w:val="chineseCountingThousand"/>
      <w:lvlText w:val="%1、"/>
      <w:lvlJc w:val="left"/>
      <w:pPr>
        <w:ind w:left="988" w:hanging="420"/>
      </w:pPr>
      <w:rPr>
        <w:sz w:val="28"/>
        <w:szCs w:val="28"/>
      </w:rPr>
    </w:lvl>
    <w:lvl w:ilvl="1" w:tentative="0">
      <w:start w:val="1"/>
      <w:numFmt w:val="decimal"/>
      <w:isLgl/>
      <w:lvlText w:val="%1.%2"/>
      <w:lvlJc w:val="left"/>
      <w:pPr>
        <w:ind w:left="1528" w:hanging="960"/>
      </w:pPr>
    </w:lvl>
    <w:lvl w:ilvl="2" w:tentative="0">
      <w:start w:val="1"/>
      <w:numFmt w:val="decimal"/>
      <w:isLgl/>
      <w:lvlText w:val="%1.%2.%3"/>
      <w:lvlJc w:val="left"/>
      <w:pPr>
        <w:ind w:left="1528" w:hanging="960"/>
      </w:pPr>
    </w:lvl>
    <w:lvl w:ilvl="3" w:tentative="0">
      <w:start w:val="1"/>
      <w:numFmt w:val="decimal"/>
      <w:isLgl/>
      <w:lvlText w:val="%1.%2.%3.%4"/>
      <w:lvlJc w:val="left"/>
      <w:pPr>
        <w:ind w:left="1648" w:hanging="1080"/>
      </w:pPr>
    </w:lvl>
    <w:lvl w:ilvl="4" w:tentative="0">
      <w:start w:val="1"/>
      <w:numFmt w:val="decimal"/>
      <w:isLgl/>
      <w:lvlText w:val="%1.%2.%3.%4.%5"/>
      <w:lvlJc w:val="left"/>
      <w:pPr>
        <w:ind w:left="1648" w:hanging="1080"/>
      </w:pPr>
    </w:lvl>
    <w:lvl w:ilvl="5" w:tentative="0">
      <w:start w:val="1"/>
      <w:numFmt w:val="decimal"/>
      <w:isLgl/>
      <w:lvlText w:val="%1.%2.%3.%4.%5.%6"/>
      <w:lvlJc w:val="left"/>
      <w:pPr>
        <w:ind w:left="2008" w:hanging="1440"/>
      </w:pPr>
    </w:lvl>
    <w:lvl w:ilvl="6" w:tentative="0">
      <w:start w:val="1"/>
      <w:numFmt w:val="decimal"/>
      <w:isLgl/>
      <w:lvlText w:val="%1.%2.%3.%4.%5.%6.%7"/>
      <w:lvlJc w:val="left"/>
      <w:pPr>
        <w:ind w:left="2368" w:hanging="1800"/>
      </w:pPr>
    </w:lvl>
    <w:lvl w:ilvl="7" w:tentative="0">
      <w:start w:val="1"/>
      <w:numFmt w:val="decimal"/>
      <w:isLgl/>
      <w:lvlText w:val="%1.%2.%3.%4.%5.%6.%7.%8"/>
      <w:lvlJc w:val="left"/>
      <w:pPr>
        <w:ind w:left="2368" w:hanging="1800"/>
      </w:pPr>
    </w:lvl>
    <w:lvl w:ilvl="8" w:tentative="0">
      <w:start w:val="1"/>
      <w:numFmt w:val="decimal"/>
      <w:isLgl/>
      <w:lvlText w:val="%1.%2.%3.%4.%5.%6.%7.%8.%9"/>
      <w:lvlJc w:val="left"/>
      <w:pPr>
        <w:ind w:left="2728" w:hanging="2160"/>
      </w:pPr>
    </w:lvl>
  </w:abstractNum>
  <w:num w:numId="1">
    <w:abstractNumId w:val="20"/>
  </w:num>
  <w:num w:numId="2">
    <w:abstractNumId w:val="15"/>
  </w:num>
  <w:num w:numId="3">
    <w:abstractNumId w:val="11"/>
  </w:num>
  <w:num w:numId="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lvlOverride w:ilvl="0">
      <w:startOverride w:val="5"/>
    </w:lvlOverride>
    <w:lvlOverride w:ilvl="1">
      <w:startOverride w:val="1"/>
    </w:lvlOverride>
    <w:lvlOverride w:ilvl="2">
      <w:startOverride w:val="2"/>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5"/>
  </w:num>
  <w:num w:numId="38">
    <w:abstractNumId w:val="56"/>
  </w:num>
  <w:num w:numId="39">
    <w:abstractNumId w:val="57"/>
  </w:num>
  <w:num w:numId="40">
    <w:abstractNumId w:val="2"/>
  </w:num>
  <w:num w:numId="41">
    <w:abstractNumId w:val="38"/>
  </w:num>
  <w:num w:numId="42">
    <w:abstractNumId w:val="1"/>
  </w:num>
  <w:num w:numId="43">
    <w:abstractNumId w:val="58"/>
  </w:num>
  <w:num w:numId="44">
    <w:abstractNumId w:val="51"/>
  </w:num>
  <w:num w:numId="45">
    <w:abstractNumId w:val="35"/>
  </w:num>
  <w:num w:numId="46">
    <w:abstractNumId w:val="6"/>
  </w:num>
  <w:num w:numId="4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
  </w:num>
  <w:num w:numId="49">
    <w:abstractNumId w:val="5"/>
  </w:num>
  <w:num w:numId="5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2"/>
  </w:num>
  <w:num w:numId="59">
    <w:abstractNumId w:val="0"/>
  </w:num>
  <w:num w:numId="6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KGWebUrl" w:val="https://portal.cdggzy.com/iWebOffice2015/OfficeHandler.ashx?directory=/CgProject/BidFile/File/%e6%88%90%e9%83%bd%e5%b8%82%e6%94%bf%e9%87%87%e6%8b%9b%e3%80%942020%e3%80%95235%e5%8f%b7/"/>
  </w:docVars>
  <w:rsids>
    <w:rsidRoot w:val="0092431B"/>
    <w:rsid w:val="00011E2C"/>
    <w:rsid w:val="00017C65"/>
    <w:rsid w:val="00031675"/>
    <w:rsid w:val="000440AA"/>
    <w:rsid w:val="00046547"/>
    <w:rsid w:val="00064008"/>
    <w:rsid w:val="00070D3F"/>
    <w:rsid w:val="00071BA9"/>
    <w:rsid w:val="00074CCC"/>
    <w:rsid w:val="00075E16"/>
    <w:rsid w:val="0008193D"/>
    <w:rsid w:val="00086C1B"/>
    <w:rsid w:val="000E01D4"/>
    <w:rsid w:val="000E4FBE"/>
    <w:rsid w:val="000F0BF5"/>
    <w:rsid w:val="000F5214"/>
    <w:rsid w:val="00123F07"/>
    <w:rsid w:val="00126227"/>
    <w:rsid w:val="00130037"/>
    <w:rsid w:val="00142C44"/>
    <w:rsid w:val="00147768"/>
    <w:rsid w:val="001500A4"/>
    <w:rsid w:val="0015151D"/>
    <w:rsid w:val="00152E57"/>
    <w:rsid w:val="00153915"/>
    <w:rsid w:val="00171DDA"/>
    <w:rsid w:val="00175DA2"/>
    <w:rsid w:val="001922D3"/>
    <w:rsid w:val="001B34A4"/>
    <w:rsid w:val="001B6DF5"/>
    <w:rsid w:val="001C2698"/>
    <w:rsid w:val="001C4FFA"/>
    <w:rsid w:val="001D392C"/>
    <w:rsid w:val="001D53CF"/>
    <w:rsid w:val="001E13EE"/>
    <w:rsid w:val="001E7B34"/>
    <w:rsid w:val="00214F93"/>
    <w:rsid w:val="00216FB4"/>
    <w:rsid w:val="002303BC"/>
    <w:rsid w:val="002304CC"/>
    <w:rsid w:val="00236C36"/>
    <w:rsid w:val="002441B7"/>
    <w:rsid w:val="0025011B"/>
    <w:rsid w:val="0025205A"/>
    <w:rsid w:val="00257EE4"/>
    <w:rsid w:val="0026015E"/>
    <w:rsid w:val="002647CB"/>
    <w:rsid w:val="00266EFB"/>
    <w:rsid w:val="00285456"/>
    <w:rsid w:val="002933F7"/>
    <w:rsid w:val="002A5802"/>
    <w:rsid w:val="002E7682"/>
    <w:rsid w:val="003074A8"/>
    <w:rsid w:val="00311CB3"/>
    <w:rsid w:val="003123B1"/>
    <w:rsid w:val="00327DC2"/>
    <w:rsid w:val="00337989"/>
    <w:rsid w:val="00354C2E"/>
    <w:rsid w:val="00360954"/>
    <w:rsid w:val="00394287"/>
    <w:rsid w:val="003A0F3D"/>
    <w:rsid w:val="003A29C7"/>
    <w:rsid w:val="003C2861"/>
    <w:rsid w:val="003F007F"/>
    <w:rsid w:val="003F3F72"/>
    <w:rsid w:val="00410F3C"/>
    <w:rsid w:val="0042015A"/>
    <w:rsid w:val="004215D4"/>
    <w:rsid w:val="0042187C"/>
    <w:rsid w:val="0045547F"/>
    <w:rsid w:val="00483906"/>
    <w:rsid w:val="004870EE"/>
    <w:rsid w:val="0048775E"/>
    <w:rsid w:val="00487F0C"/>
    <w:rsid w:val="004A610A"/>
    <w:rsid w:val="004B333E"/>
    <w:rsid w:val="004C1B1A"/>
    <w:rsid w:val="004C3093"/>
    <w:rsid w:val="004D49CB"/>
    <w:rsid w:val="004E1C00"/>
    <w:rsid w:val="004E603E"/>
    <w:rsid w:val="00500F25"/>
    <w:rsid w:val="00506303"/>
    <w:rsid w:val="00527A66"/>
    <w:rsid w:val="00533E2F"/>
    <w:rsid w:val="00545144"/>
    <w:rsid w:val="00546BE5"/>
    <w:rsid w:val="00563198"/>
    <w:rsid w:val="005664FE"/>
    <w:rsid w:val="0057488F"/>
    <w:rsid w:val="005816DE"/>
    <w:rsid w:val="00592A25"/>
    <w:rsid w:val="005E4485"/>
    <w:rsid w:val="00606AFB"/>
    <w:rsid w:val="00610A61"/>
    <w:rsid w:val="006216DE"/>
    <w:rsid w:val="00634D91"/>
    <w:rsid w:val="006408B0"/>
    <w:rsid w:val="0064280E"/>
    <w:rsid w:val="00652875"/>
    <w:rsid w:val="00652F59"/>
    <w:rsid w:val="006623DB"/>
    <w:rsid w:val="006B1930"/>
    <w:rsid w:val="006C2309"/>
    <w:rsid w:val="006C5F57"/>
    <w:rsid w:val="006D0D2A"/>
    <w:rsid w:val="0070048F"/>
    <w:rsid w:val="00702324"/>
    <w:rsid w:val="007069DA"/>
    <w:rsid w:val="0073282C"/>
    <w:rsid w:val="00752731"/>
    <w:rsid w:val="00764541"/>
    <w:rsid w:val="007672B0"/>
    <w:rsid w:val="00794228"/>
    <w:rsid w:val="007C3748"/>
    <w:rsid w:val="007C4260"/>
    <w:rsid w:val="007D62B3"/>
    <w:rsid w:val="007E1B96"/>
    <w:rsid w:val="007F5629"/>
    <w:rsid w:val="007F6DFD"/>
    <w:rsid w:val="00804CED"/>
    <w:rsid w:val="0081056F"/>
    <w:rsid w:val="00824DA8"/>
    <w:rsid w:val="008253BA"/>
    <w:rsid w:val="00826151"/>
    <w:rsid w:val="008410FC"/>
    <w:rsid w:val="0086125A"/>
    <w:rsid w:val="00862CEA"/>
    <w:rsid w:val="00862D3A"/>
    <w:rsid w:val="00873952"/>
    <w:rsid w:val="00876051"/>
    <w:rsid w:val="008907C8"/>
    <w:rsid w:val="00891F19"/>
    <w:rsid w:val="008B6817"/>
    <w:rsid w:val="008E5E8F"/>
    <w:rsid w:val="0092431B"/>
    <w:rsid w:val="00941F87"/>
    <w:rsid w:val="00944068"/>
    <w:rsid w:val="00950315"/>
    <w:rsid w:val="00955F71"/>
    <w:rsid w:val="00963021"/>
    <w:rsid w:val="00966025"/>
    <w:rsid w:val="00970330"/>
    <w:rsid w:val="00976A7C"/>
    <w:rsid w:val="00986312"/>
    <w:rsid w:val="00990F0D"/>
    <w:rsid w:val="009A253C"/>
    <w:rsid w:val="009A6862"/>
    <w:rsid w:val="009E237A"/>
    <w:rsid w:val="00A00871"/>
    <w:rsid w:val="00A03833"/>
    <w:rsid w:val="00A068BA"/>
    <w:rsid w:val="00A0732E"/>
    <w:rsid w:val="00A10608"/>
    <w:rsid w:val="00A254C7"/>
    <w:rsid w:val="00A36BBE"/>
    <w:rsid w:val="00A41BDF"/>
    <w:rsid w:val="00A4727E"/>
    <w:rsid w:val="00A5235E"/>
    <w:rsid w:val="00A531AE"/>
    <w:rsid w:val="00A7160C"/>
    <w:rsid w:val="00A739BA"/>
    <w:rsid w:val="00A85DB8"/>
    <w:rsid w:val="00A93C9B"/>
    <w:rsid w:val="00A94D0A"/>
    <w:rsid w:val="00AA3745"/>
    <w:rsid w:val="00AA62B4"/>
    <w:rsid w:val="00AB7617"/>
    <w:rsid w:val="00AC0E68"/>
    <w:rsid w:val="00AD025E"/>
    <w:rsid w:val="00AD5E60"/>
    <w:rsid w:val="00AF35A3"/>
    <w:rsid w:val="00AF3933"/>
    <w:rsid w:val="00B11843"/>
    <w:rsid w:val="00B2194B"/>
    <w:rsid w:val="00B36D21"/>
    <w:rsid w:val="00B50CEA"/>
    <w:rsid w:val="00B547D5"/>
    <w:rsid w:val="00B61C32"/>
    <w:rsid w:val="00B64E3B"/>
    <w:rsid w:val="00B74664"/>
    <w:rsid w:val="00BC3199"/>
    <w:rsid w:val="00BC59BF"/>
    <w:rsid w:val="00BD6746"/>
    <w:rsid w:val="00BE1211"/>
    <w:rsid w:val="00BF6991"/>
    <w:rsid w:val="00C16572"/>
    <w:rsid w:val="00C33A0C"/>
    <w:rsid w:val="00C5371B"/>
    <w:rsid w:val="00C54D07"/>
    <w:rsid w:val="00C56E01"/>
    <w:rsid w:val="00C62AD4"/>
    <w:rsid w:val="00C675B8"/>
    <w:rsid w:val="00C832DD"/>
    <w:rsid w:val="00CC4074"/>
    <w:rsid w:val="00CD0154"/>
    <w:rsid w:val="00CD0E71"/>
    <w:rsid w:val="00CF56B3"/>
    <w:rsid w:val="00CF56C7"/>
    <w:rsid w:val="00D23C3B"/>
    <w:rsid w:val="00D245DB"/>
    <w:rsid w:val="00D50B2B"/>
    <w:rsid w:val="00D51C67"/>
    <w:rsid w:val="00D623BF"/>
    <w:rsid w:val="00D75130"/>
    <w:rsid w:val="00D8071E"/>
    <w:rsid w:val="00DA547E"/>
    <w:rsid w:val="00DB22F1"/>
    <w:rsid w:val="00DB3253"/>
    <w:rsid w:val="00DD16AF"/>
    <w:rsid w:val="00DD19A0"/>
    <w:rsid w:val="00DE7F5C"/>
    <w:rsid w:val="00E029F6"/>
    <w:rsid w:val="00E17E77"/>
    <w:rsid w:val="00E23EC4"/>
    <w:rsid w:val="00E42AA9"/>
    <w:rsid w:val="00E473C0"/>
    <w:rsid w:val="00E547E7"/>
    <w:rsid w:val="00E5519E"/>
    <w:rsid w:val="00E618FD"/>
    <w:rsid w:val="00E87C88"/>
    <w:rsid w:val="00E922B6"/>
    <w:rsid w:val="00E93BF2"/>
    <w:rsid w:val="00E951E2"/>
    <w:rsid w:val="00EA45D0"/>
    <w:rsid w:val="00EB0B43"/>
    <w:rsid w:val="00EC2293"/>
    <w:rsid w:val="00ED6438"/>
    <w:rsid w:val="00F00D97"/>
    <w:rsid w:val="00F24CB6"/>
    <w:rsid w:val="00F26EBF"/>
    <w:rsid w:val="00F3310E"/>
    <w:rsid w:val="00F525FC"/>
    <w:rsid w:val="00F6728C"/>
    <w:rsid w:val="00F67D54"/>
    <w:rsid w:val="00F72EEB"/>
    <w:rsid w:val="00F765D9"/>
    <w:rsid w:val="00F8165B"/>
    <w:rsid w:val="00F939A1"/>
    <w:rsid w:val="00FA324E"/>
    <w:rsid w:val="00FB4F2E"/>
    <w:rsid w:val="00FD0C41"/>
    <w:rsid w:val="00FE04E4"/>
    <w:rsid w:val="00FE39D8"/>
    <w:rsid w:val="01145CE7"/>
    <w:rsid w:val="02216BF0"/>
    <w:rsid w:val="05897FB0"/>
    <w:rsid w:val="05916BB2"/>
    <w:rsid w:val="06E24F5D"/>
    <w:rsid w:val="07A83934"/>
    <w:rsid w:val="07C44DCB"/>
    <w:rsid w:val="07F46BBB"/>
    <w:rsid w:val="08D65596"/>
    <w:rsid w:val="08E41B1E"/>
    <w:rsid w:val="091540F5"/>
    <w:rsid w:val="0B631435"/>
    <w:rsid w:val="0BF51DAF"/>
    <w:rsid w:val="0BFF1666"/>
    <w:rsid w:val="0C2C386F"/>
    <w:rsid w:val="0C761505"/>
    <w:rsid w:val="0D6B19D2"/>
    <w:rsid w:val="0DED22D4"/>
    <w:rsid w:val="0EC16024"/>
    <w:rsid w:val="0F6C09D0"/>
    <w:rsid w:val="0FB156C1"/>
    <w:rsid w:val="116F5F1F"/>
    <w:rsid w:val="12797ABD"/>
    <w:rsid w:val="12DF5720"/>
    <w:rsid w:val="131A0E97"/>
    <w:rsid w:val="13674E03"/>
    <w:rsid w:val="138C7ABA"/>
    <w:rsid w:val="13EA0797"/>
    <w:rsid w:val="140F46CD"/>
    <w:rsid w:val="142645CF"/>
    <w:rsid w:val="15417BD2"/>
    <w:rsid w:val="15C7694B"/>
    <w:rsid w:val="172A3601"/>
    <w:rsid w:val="175D7DA0"/>
    <w:rsid w:val="17831A08"/>
    <w:rsid w:val="17C21FB3"/>
    <w:rsid w:val="185F2280"/>
    <w:rsid w:val="18735C16"/>
    <w:rsid w:val="197C7D48"/>
    <w:rsid w:val="1A1345CB"/>
    <w:rsid w:val="1ACE3150"/>
    <w:rsid w:val="1B62123E"/>
    <w:rsid w:val="1BEF13C2"/>
    <w:rsid w:val="1C1E76ED"/>
    <w:rsid w:val="1C254D72"/>
    <w:rsid w:val="1EA8045E"/>
    <w:rsid w:val="1EDC4204"/>
    <w:rsid w:val="21D4459B"/>
    <w:rsid w:val="21D460C3"/>
    <w:rsid w:val="222A265E"/>
    <w:rsid w:val="23A1675F"/>
    <w:rsid w:val="2617343F"/>
    <w:rsid w:val="263C2B65"/>
    <w:rsid w:val="264F2B97"/>
    <w:rsid w:val="26914D18"/>
    <w:rsid w:val="27736826"/>
    <w:rsid w:val="27A068FE"/>
    <w:rsid w:val="291B1230"/>
    <w:rsid w:val="29B80A6D"/>
    <w:rsid w:val="29EF1DA2"/>
    <w:rsid w:val="2A105A22"/>
    <w:rsid w:val="2B5B1849"/>
    <w:rsid w:val="2BF97E49"/>
    <w:rsid w:val="2C440E49"/>
    <w:rsid w:val="2C68258F"/>
    <w:rsid w:val="2C701FE1"/>
    <w:rsid w:val="2CEB4F1B"/>
    <w:rsid w:val="2DB47A33"/>
    <w:rsid w:val="2E42646E"/>
    <w:rsid w:val="2E553107"/>
    <w:rsid w:val="2F287AF8"/>
    <w:rsid w:val="2FC03F99"/>
    <w:rsid w:val="2FE1517D"/>
    <w:rsid w:val="30714F23"/>
    <w:rsid w:val="31E6067B"/>
    <w:rsid w:val="32270BD5"/>
    <w:rsid w:val="323D41B3"/>
    <w:rsid w:val="33B245DF"/>
    <w:rsid w:val="341B6867"/>
    <w:rsid w:val="343C6A76"/>
    <w:rsid w:val="34A44A58"/>
    <w:rsid w:val="34AF7360"/>
    <w:rsid w:val="34B23D3D"/>
    <w:rsid w:val="34BD75B1"/>
    <w:rsid w:val="34C354D9"/>
    <w:rsid w:val="356955A4"/>
    <w:rsid w:val="35B8521D"/>
    <w:rsid w:val="37BC104D"/>
    <w:rsid w:val="39EB4614"/>
    <w:rsid w:val="3A211AA9"/>
    <w:rsid w:val="3A3B5832"/>
    <w:rsid w:val="3A45417A"/>
    <w:rsid w:val="3A4C6BD7"/>
    <w:rsid w:val="3B054CC5"/>
    <w:rsid w:val="3B3F7F01"/>
    <w:rsid w:val="3B610D6C"/>
    <w:rsid w:val="3B8D0E5B"/>
    <w:rsid w:val="3BCE756A"/>
    <w:rsid w:val="3BD0350A"/>
    <w:rsid w:val="3C0F2CC8"/>
    <w:rsid w:val="3C765019"/>
    <w:rsid w:val="3CA822D9"/>
    <w:rsid w:val="3CBF6F32"/>
    <w:rsid w:val="3CE97A00"/>
    <w:rsid w:val="3D1829B4"/>
    <w:rsid w:val="3D777DD3"/>
    <w:rsid w:val="3EF878B4"/>
    <w:rsid w:val="40992D94"/>
    <w:rsid w:val="40AA5551"/>
    <w:rsid w:val="411074C5"/>
    <w:rsid w:val="415D356E"/>
    <w:rsid w:val="41DC150C"/>
    <w:rsid w:val="42F67E46"/>
    <w:rsid w:val="43201748"/>
    <w:rsid w:val="44A86FB7"/>
    <w:rsid w:val="451A5BA5"/>
    <w:rsid w:val="456F5813"/>
    <w:rsid w:val="45A20AF6"/>
    <w:rsid w:val="45CE78C0"/>
    <w:rsid w:val="461C76D9"/>
    <w:rsid w:val="471C2018"/>
    <w:rsid w:val="48296547"/>
    <w:rsid w:val="48D97BBA"/>
    <w:rsid w:val="49614BF3"/>
    <w:rsid w:val="49E41526"/>
    <w:rsid w:val="4A644AD5"/>
    <w:rsid w:val="4ACF6248"/>
    <w:rsid w:val="4AE772B4"/>
    <w:rsid w:val="4B0875E0"/>
    <w:rsid w:val="4B214957"/>
    <w:rsid w:val="4BF053CE"/>
    <w:rsid w:val="50D73C74"/>
    <w:rsid w:val="516B5122"/>
    <w:rsid w:val="51B70743"/>
    <w:rsid w:val="51FA1935"/>
    <w:rsid w:val="5224758F"/>
    <w:rsid w:val="522F486C"/>
    <w:rsid w:val="525674A3"/>
    <w:rsid w:val="52817AE8"/>
    <w:rsid w:val="52A32BF7"/>
    <w:rsid w:val="52B13297"/>
    <w:rsid w:val="530C3649"/>
    <w:rsid w:val="533B1250"/>
    <w:rsid w:val="53541D4C"/>
    <w:rsid w:val="536F515B"/>
    <w:rsid w:val="53CD6D6D"/>
    <w:rsid w:val="546F40CF"/>
    <w:rsid w:val="54B868E9"/>
    <w:rsid w:val="55267617"/>
    <w:rsid w:val="55912B55"/>
    <w:rsid w:val="55B70210"/>
    <w:rsid w:val="56063896"/>
    <w:rsid w:val="565304CF"/>
    <w:rsid w:val="57636D4D"/>
    <w:rsid w:val="57A27ACC"/>
    <w:rsid w:val="57A56F53"/>
    <w:rsid w:val="57E005A9"/>
    <w:rsid w:val="586D3135"/>
    <w:rsid w:val="590A7DD1"/>
    <w:rsid w:val="591147EA"/>
    <w:rsid w:val="594C192F"/>
    <w:rsid w:val="59DE7F9F"/>
    <w:rsid w:val="5A11572E"/>
    <w:rsid w:val="5ABD50AB"/>
    <w:rsid w:val="5B1C0697"/>
    <w:rsid w:val="5BA423EB"/>
    <w:rsid w:val="5BD0244C"/>
    <w:rsid w:val="5C191967"/>
    <w:rsid w:val="5C786C09"/>
    <w:rsid w:val="5C8D06AE"/>
    <w:rsid w:val="5C9938EF"/>
    <w:rsid w:val="5D6E7140"/>
    <w:rsid w:val="5D970D91"/>
    <w:rsid w:val="5EF43C8F"/>
    <w:rsid w:val="5F557E1E"/>
    <w:rsid w:val="5FCC74CE"/>
    <w:rsid w:val="605A2EC1"/>
    <w:rsid w:val="609C16AE"/>
    <w:rsid w:val="61737C1D"/>
    <w:rsid w:val="626B5AAF"/>
    <w:rsid w:val="62792F9E"/>
    <w:rsid w:val="628E37C3"/>
    <w:rsid w:val="62F265CD"/>
    <w:rsid w:val="63225172"/>
    <w:rsid w:val="641A6194"/>
    <w:rsid w:val="64760E16"/>
    <w:rsid w:val="64F373D9"/>
    <w:rsid w:val="651D577A"/>
    <w:rsid w:val="65290CFB"/>
    <w:rsid w:val="65565393"/>
    <w:rsid w:val="65BD3DC0"/>
    <w:rsid w:val="66350CEA"/>
    <w:rsid w:val="666D5A66"/>
    <w:rsid w:val="667436B3"/>
    <w:rsid w:val="673E759F"/>
    <w:rsid w:val="674471AE"/>
    <w:rsid w:val="6746648B"/>
    <w:rsid w:val="67662347"/>
    <w:rsid w:val="67771679"/>
    <w:rsid w:val="68E34B04"/>
    <w:rsid w:val="6914209B"/>
    <w:rsid w:val="69A355B4"/>
    <w:rsid w:val="69EF3DED"/>
    <w:rsid w:val="6A0516B5"/>
    <w:rsid w:val="6A273497"/>
    <w:rsid w:val="6ACE60B4"/>
    <w:rsid w:val="6B623015"/>
    <w:rsid w:val="6B832394"/>
    <w:rsid w:val="6CF52B3F"/>
    <w:rsid w:val="6D317311"/>
    <w:rsid w:val="6EDA174C"/>
    <w:rsid w:val="6FF64D2C"/>
    <w:rsid w:val="704216C8"/>
    <w:rsid w:val="71FA204A"/>
    <w:rsid w:val="724F4B71"/>
    <w:rsid w:val="72E419B0"/>
    <w:rsid w:val="73B8772A"/>
    <w:rsid w:val="73CD63AB"/>
    <w:rsid w:val="73E53C05"/>
    <w:rsid w:val="74105A38"/>
    <w:rsid w:val="74737A99"/>
    <w:rsid w:val="76C917AE"/>
    <w:rsid w:val="779C306C"/>
    <w:rsid w:val="79472BF7"/>
    <w:rsid w:val="794C6D80"/>
    <w:rsid w:val="7A63760D"/>
    <w:rsid w:val="7AFB4E50"/>
    <w:rsid w:val="7B720D27"/>
    <w:rsid w:val="7C4E699E"/>
    <w:rsid w:val="7CCD4FF2"/>
    <w:rsid w:val="7CD943EF"/>
    <w:rsid w:val="7D097715"/>
    <w:rsid w:val="7E524912"/>
    <w:rsid w:val="7E7D43F4"/>
    <w:rsid w:val="7EB40E68"/>
    <w:rsid w:val="7F335C76"/>
    <w:rsid w:val="7F5C54F3"/>
    <w:rsid w:val="BD8FE6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99" w:semiHidden="0" w:name="heading 2"/>
    <w:lsdException w:qFormat="1" w:uiPriority="99" w:semiHidden="0" w:name="heading 3"/>
    <w:lsdException w:qFormat="1" w:uiPriority="9"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qFormat="1" w:uiPriority="0" w:semiHidden="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0"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iPriority="0" w:semiHidden="0" w:name="Normal Indent"/>
    <w:lsdException w:qFormat="1" w:uiPriority="0"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qFormat="1" w:uiPriority="0" w:semiHidden="0"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99" w:semiHidden="0" w:name="Date"/>
    <w:lsdException w:qFormat="1" w:uiPriority="0" w:semiHidden="0" w:name="Body Text First Indent"/>
    <w:lsdException w:uiPriority="99" w:name="Body Text First Indent 2"/>
    <w:lsdException w:unhideWhenUsed="0"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0"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semiHidden="0" w:name="Table Web 2"/>
    <w:lsdException w:uiPriority="99" w:semiHidden="0" w:name="Table Web 3"/>
    <w:lsdException w:qFormat="1" w:uiPriority="99" w:semiHidden="0" w:name="Balloon Text"/>
    <w:lsdException w:qFormat="1" w:unhideWhenUsed="0" w:uiPriority="0" w:semiHidden="0" w:name="Table Grid"/>
    <w:lsdException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link w:val="54"/>
    <w:qFormat/>
    <w:uiPriority w:val="99"/>
    <w:pPr>
      <w:keepNext/>
      <w:keepLines/>
      <w:numPr>
        <w:ilvl w:val="0"/>
        <w:numId w:val="1"/>
      </w:numPr>
      <w:spacing w:before="340" w:after="330" w:line="400" w:lineRule="exact"/>
      <w:jc w:val="center"/>
      <w:outlineLvl w:val="0"/>
    </w:pPr>
    <w:rPr>
      <w:rFonts w:ascii="宋体" w:hAnsi="宋体" w:cs="宋体"/>
      <w:b/>
      <w:bCs/>
      <w:spacing w:val="-20"/>
      <w:kern w:val="44"/>
      <w:sz w:val="32"/>
      <w:szCs w:val="32"/>
    </w:rPr>
  </w:style>
  <w:style w:type="paragraph" w:styleId="4">
    <w:name w:val="heading 2"/>
    <w:basedOn w:val="1"/>
    <w:next w:val="1"/>
    <w:link w:val="55"/>
    <w:unhideWhenUsed/>
    <w:qFormat/>
    <w:uiPriority w:val="99"/>
    <w:pPr>
      <w:keepNext/>
      <w:keepLines/>
      <w:numPr>
        <w:ilvl w:val="1"/>
        <w:numId w:val="1"/>
      </w:numPr>
      <w:spacing w:before="260" w:after="260" w:line="360" w:lineRule="auto"/>
      <w:jc w:val="left"/>
      <w:outlineLvl w:val="1"/>
    </w:pPr>
    <w:rPr>
      <w:rFonts w:ascii="宋体" w:hAnsi="宋体" w:cs="宋体"/>
      <w:b/>
      <w:bCs/>
      <w:sz w:val="28"/>
      <w:szCs w:val="28"/>
    </w:rPr>
  </w:style>
  <w:style w:type="paragraph" w:styleId="5">
    <w:name w:val="heading 3"/>
    <w:basedOn w:val="1"/>
    <w:next w:val="1"/>
    <w:link w:val="56"/>
    <w:unhideWhenUsed/>
    <w:qFormat/>
    <w:uiPriority w:val="99"/>
    <w:pPr>
      <w:keepNext/>
      <w:keepLines/>
      <w:numPr>
        <w:ilvl w:val="2"/>
        <w:numId w:val="1"/>
      </w:numPr>
      <w:spacing w:line="360" w:lineRule="auto"/>
      <w:outlineLvl w:val="2"/>
    </w:pPr>
    <w:rPr>
      <w:rFonts w:ascii="宋体" w:hAnsi="宋体" w:cs="宋体"/>
      <w:b/>
      <w:bCs/>
      <w:color w:val="000000"/>
      <w:kern w:val="0"/>
      <w:sz w:val="28"/>
      <w:szCs w:val="28"/>
    </w:rPr>
  </w:style>
  <w:style w:type="paragraph" w:styleId="6">
    <w:name w:val="heading 4"/>
    <w:basedOn w:val="1"/>
    <w:next w:val="1"/>
    <w:link w:val="57"/>
    <w:unhideWhenUsed/>
    <w:qFormat/>
    <w:uiPriority w:val="9"/>
    <w:pPr>
      <w:keepNext/>
      <w:keepLines/>
      <w:numPr>
        <w:ilvl w:val="3"/>
        <w:numId w:val="1"/>
      </w:numPr>
      <w:spacing w:before="120" w:after="120" w:line="360" w:lineRule="auto"/>
      <w:jc w:val="left"/>
      <w:outlineLvl w:val="3"/>
    </w:pPr>
    <w:rPr>
      <w:rFonts w:ascii="Arial" w:hAnsi="Arial"/>
      <w:b/>
      <w:bCs/>
      <w:kern w:val="0"/>
      <w:sz w:val="28"/>
      <w:szCs w:val="28"/>
    </w:rPr>
  </w:style>
  <w:style w:type="paragraph" w:styleId="7">
    <w:name w:val="heading 5"/>
    <w:basedOn w:val="1"/>
    <w:next w:val="1"/>
    <w:link w:val="58"/>
    <w:unhideWhenUsed/>
    <w:qFormat/>
    <w:uiPriority w:val="0"/>
    <w:pPr>
      <w:numPr>
        <w:ilvl w:val="4"/>
        <w:numId w:val="2"/>
      </w:numPr>
      <w:tabs>
        <w:tab w:val="left" w:pos="1134"/>
      </w:tabs>
      <w:spacing w:before="280" w:after="290" w:line="360" w:lineRule="auto"/>
      <w:outlineLvl w:val="4"/>
    </w:pPr>
    <w:rPr>
      <w:b/>
      <w:bCs/>
      <w:kern w:val="0"/>
      <w:sz w:val="28"/>
      <w:szCs w:val="28"/>
    </w:rPr>
  </w:style>
  <w:style w:type="paragraph" w:styleId="8">
    <w:name w:val="heading 6"/>
    <w:basedOn w:val="1"/>
    <w:next w:val="1"/>
    <w:link w:val="59"/>
    <w:unhideWhenUsed/>
    <w:qFormat/>
    <w:uiPriority w:val="0"/>
    <w:pPr>
      <w:keepNext/>
      <w:keepLines/>
      <w:numPr>
        <w:ilvl w:val="5"/>
        <w:numId w:val="2"/>
      </w:numPr>
      <w:spacing w:before="240" w:after="64" w:line="314" w:lineRule="auto"/>
      <w:outlineLvl w:val="5"/>
    </w:pPr>
    <w:rPr>
      <w:rFonts w:ascii="Arial" w:hAnsi="Arial"/>
      <w:b/>
      <w:bCs/>
      <w:kern w:val="0"/>
      <w:sz w:val="28"/>
      <w:szCs w:val="18"/>
    </w:rPr>
  </w:style>
  <w:style w:type="paragraph" w:styleId="9">
    <w:name w:val="heading 7"/>
    <w:basedOn w:val="1"/>
    <w:next w:val="1"/>
    <w:link w:val="60"/>
    <w:unhideWhenUsed/>
    <w:qFormat/>
    <w:uiPriority w:val="0"/>
    <w:pPr>
      <w:keepNext/>
      <w:widowControl/>
      <w:tabs>
        <w:tab w:val="left" w:pos="3600"/>
      </w:tabs>
      <w:spacing w:after="120"/>
      <w:jc w:val="left"/>
      <w:outlineLvl w:val="6"/>
    </w:pPr>
    <w:rPr>
      <w:rFonts w:ascii="Arial Narrow" w:hAnsi="Arial Narrow"/>
      <w:b/>
      <w:bCs/>
      <w:iCs/>
      <w:kern w:val="0"/>
      <w:sz w:val="20"/>
      <w:szCs w:val="24"/>
      <w:lang w:eastAsia="en-US"/>
    </w:rPr>
  </w:style>
  <w:style w:type="paragraph" w:styleId="10">
    <w:name w:val="heading 8"/>
    <w:basedOn w:val="1"/>
    <w:next w:val="1"/>
    <w:link w:val="61"/>
    <w:unhideWhenUsed/>
    <w:qFormat/>
    <w:uiPriority w:val="0"/>
    <w:pPr>
      <w:keepNext/>
      <w:keepLines/>
      <w:spacing w:before="240" w:after="64" w:line="314" w:lineRule="auto"/>
      <w:outlineLvl w:val="7"/>
    </w:pPr>
    <w:rPr>
      <w:rFonts w:ascii="Arial" w:hAnsi="Arial" w:eastAsia="黑体"/>
      <w:kern w:val="0"/>
      <w:sz w:val="24"/>
      <w:szCs w:val="24"/>
    </w:rPr>
  </w:style>
  <w:style w:type="paragraph" w:styleId="11">
    <w:name w:val="heading 9"/>
    <w:basedOn w:val="1"/>
    <w:next w:val="1"/>
    <w:link w:val="62"/>
    <w:unhideWhenUsed/>
    <w:qFormat/>
    <w:uiPriority w:val="0"/>
    <w:pPr>
      <w:keepNext/>
      <w:keepLines/>
      <w:spacing w:before="240" w:after="64" w:line="314" w:lineRule="auto"/>
      <w:outlineLvl w:val="8"/>
    </w:pPr>
    <w:rPr>
      <w:rFonts w:ascii="Arial" w:hAnsi="Arial" w:eastAsia="黑体"/>
      <w:kern w:val="0"/>
      <w:sz w:val="20"/>
      <w:szCs w:val="21"/>
    </w:rPr>
  </w:style>
  <w:style w:type="character" w:default="1" w:styleId="46">
    <w:name w:val="Default Paragraph Font"/>
    <w:semiHidden/>
    <w:unhideWhenUsed/>
    <w:qFormat/>
    <w:uiPriority w:val="1"/>
  </w:style>
  <w:style w:type="table" w:default="1" w:styleId="44">
    <w:name w:val="Normal Table"/>
    <w:semiHidden/>
    <w:unhideWhenUsed/>
    <w:qFormat/>
    <w:uiPriority w:val="99"/>
    <w:tblPr>
      <w:tblCellMar>
        <w:top w:w="0" w:type="dxa"/>
        <w:left w:w="108" w:type="dxa"/>
        <w:bottom w:w="0" w:type="dxa"/>
        <w:right w:w="108" w:type="dxa"/>
      </w:tblCellMar>
    </w:tblPr>
  </w:style>
  <w:style w:type="paragraph" w:customStyle="1" w:styleId="2">
    <w:name w:val="_Style 3"/>
    <w:qFormat/>
    <w:uiPriority w:val="0"/>
    <w:pPr>
      <w:widowControl w:val="0"/>
      <w:jc w:val="both"/>
    </w:pPr>
    <w:rPr>
      <w:rFonts w:ascii="Calibri" w:hAnsi="Calibri" w:eastAsia="宋体" w:cs="Times New Roman"/>
      <w:kern w:val="2"/>
      <w:sz w:val="21"/>
      <w:szCs w:val="22"/>
      <w:lang w:val="en-US" w:eastAsia="zh-CN" w:bidi="ar-SA"/>
    </w:rPr>
  </w:style>
  <w:style w:type="paragraph" w:styleId="12">
    <w:name w:val="toc 7"/>
    <w:basedOn w:val="1"/>
    <w:next w:val="1"/>
    <w:unhideWhenUsed/>
    <w:qFormat/>
    <w:uiPriority w:val="0"/>
    <w:pPr>
      <w:ind w:left="2520" w:leftChars="1200"/>
    </w:pPr>
    <w:rPr>
      <w:rFonts w:ascii="Times New Roman" w:hAnsi="Times New Roman"/>
      <w:szCs w:val="24"/>
    </w:rPr>
  </w:style>
  <w:style w:type="paragraph" w:styleId="13">
    <w:name w:val="Normal Indent"/>
    <w:basedOn w:val="1"/>
    <w:link w:val="67"/>
    <w:unhideWhenUsed/>
    <w:qFormat/>
    <w:uiPriority w:val="0"/>
    <w:pPr>
      <w:spacing w:after="180" w:line="307" w:lineRule="auto"/>
      <w:ind w:firstLine="420"/>
    </w:pPr>
    <w:rPr>
      <w:rFonts w:asciiTheme="minorHAnsi" w:hAnsiTheme="minorHAnsi" w:eastAsiaTheme="minorEastAsia" w:cstheme="minorBidi"/>
    </w:rPr>
  </w:style>
  <w:style w:type="paragraph" w:styleId="14">
    <w:name w:val="caption"/>
    <w:basedOn w:val="1"/>
    <w:next w:val="1"/>
    <w:unhideWhenUsed/>
    <w:qFormat/>
    <w:uiPriority w:val="0"/>
    <w:pPr>
      <w:spacing w:before="152" w:after="160" w:line="360" w:lineRule="auto"/>
    </w:pPr>
    <w:rPr>
      <w:rFonts w:ascii="Arial" w:hAnsi="Arial" w:eastAsia="黑体" w:cs="Arial"/>
      <w:sz w:val="20"/>
      <w:szCs w:val="20"/>
    </w:rPr>
  </w:style>
  <w:style w:type="paragraph" w:styleId="15">
    <w:name w:val="Document Map"/>
    <w:basedOn w:val="1"/>
    <w:link w:val="81"/>
    <w:unhideWhenUsed/>
    <w:qFormat/>
    <w:uiPriority w:val="99"/>
    <w:pPr>
      <w:shd w:val="clear" w:color="auto" w:fill="000080"/>
    </w:pPr>
    <w:rPr>
      <w:rFonts w:ascii="Times New Roman" w:hAnsi="Times New Roman"/>
      <w:kern w:val="0"/>
      <w:sz w:val="18"/>
      <w:szCs w:val="18"/>
    </w:rPr>
  </w:style>
  <w:style w:type="paragraph" w:styleId="16">
    <w:name w:val="annotation text"/>
    <w:basedOn w:val="1"/>
    <w:link w:val="200"/>
    <w:unhideWhenUsed/>
    <w:qFormat/>
    <w:uiPriority w:val="99"/>
    <w:pPr>
      <w:jc w:val="left"/>
    </w:pPr>
  </w:style>
  <w:style w:type="paragraph" w:styleId="17">
    <w:name w:val="Body Text 3"/>
    <w:basedOn w:val="1"/>
    <w:link w:val="78"/>
    <w:unhideWhenUsed/>
    <w:qFormat/>
    <w:uiPriority w:val="0"/>
    <w:pPr>
      <w:jc w:val="center"/>
    </w:pPr>
    <w:rPr>
      <w:rFonts w:ascii="Times New Roman" w:hAnsi="Times New Roman" w:eastAsia="黑体"/>
      <w:sz w:val="44"/>
      <w:szCs w:val="24"/>
    </w:rPr>
  </w:style>
  <w:style w:type="paragraph" w:styleId="18">
    <w:name w:val="Body Text"/>
    <w:basedOn w:val="1"/>
    <w:next w:val="1"/>
    <w:link w:val="187"/>
    <w:unhideWhenUsed/>
    <w:qFormat/>
    <w:uiPriority w:val="0"/>
    <w:pPr>
      <w:spacing w:after="120"/>
    </w:pPr>
    <w:rPr>
      <w:rFonts w:ascii="Times New Roman" w:hAnsi="Times New Roman"/>
      <w:kern w:val="0"/>
      <w:sz w:val="20"/>
      <w:szCs w:val="20"/>
    </w:rPr>
  </w:style>
  <w:style w:type="paragraph" w:styleId="19">
    <w:name w:val="Body Text Indent"/>
    <w:basedOn w:val="1"/>
    <w:link w:val="73"/>
    <w:unhideWhenUsed/>
    <w:qFormat/>
    <w:uiPriority w:val="0"/>
    <w:pPr>
      <w:spacing w:after="120"/>
      <w:ind w:left="420" w:leftChars="200"/>
    </w:pPr>
    <w:rPr>
      <w:rFonts w:ascii="Times New Roman" w:hAnsi="Times New Roman"/>
      <w:kern w:val="0"/>
      <w:sz w:val="20"/>
      <w:szCs w:val="24"/>
    </w:rPr>
  </w:style>
  <w:style w:type="paragraph" w:styleId="20">
    <w:name w:val="Block Text"/>
    <w:basedOn w:val="1"/>
    <w:unhideWhenUsed/>
    <w:qFormat/>
    <w:uiPriority w:val="0"/>
    <w:pPr>
      <w:ind w:left="-540" w:leftChars="-257" w:right="-334" w:rightChars="-159" w:firstLine="540" w:firstLineChars="180"/>
    </w:pPr>
    <w:rPr>
      <w:rFonts w:ascii="Times New Roman" w:hAnsi="Times New Roman"/>
      <w:sz w:val="30"/>
      <w:szCs w:val="24"/>
    </w:rPr>
  </w:style>
  <w:style w:type="paragraph" w:styleId="21">
    <w:name w:val="toc 5"/>
    <w:basedOn w:val="1"/>
    <w:next w:val="1"/>
    <w:unhideWhenUsed/>
    <w:qFormat/>
    <w:uiPriority w:val="0"/>
    <w:pPr>
      <w:ind w:left="1680" w:leftChars="800"/>
    </w:pPr>
    <w:rPr>
      <w:rFonts w:ascii="Times New Roman" w:hAnsi="Times New Roman"/>
      <w:sz w:val="18"/>
      <w:szCs w:val="18"/>
    </w:rPr>
  </w:style>
  <w:style w:type="paragraph" w:styleId="22">
    <w:name w:val="toc 3"/>
    <w:basedOn w:val="1"/>
    <w:next w:val="1"/>
    <w:unhideWhenUsed/>
    <w:qFormat/>
    <w:uiPriority w:val="0"/>
    <w:pPr>
      <w:tabs>
        <w:tab w:val="left" w:pos="709"/>
        <w:tab w:val="left" w:pos="993"/>
        <w:tab w:val="right" w:leader="dot" w:pos="8364"/>
      </w:tabs>
      <w:ind w:left="360"/>
      <w:jc w:val="left"/>
    </w:pPr>
    <w:rPr>
      <w:rFonts w:ascii="Times New Roman" w:hAnsi="Times New Roman" w:eastAsia="楷体_GB2312"/>
      <w:iCs/>
      <w:sz w:val="20"/>
      <w:szCs w:val="20"/>
    </w:rPr>
  </w:style>
  <w:style w:type="paragraph" w:styleId="23">
    <w:name w:val="Plain Text"/>
    <w:basedOn w:val="1"/>
    <w:link w:val="191"/>
    <w:unhideWhenUsed/>
    <w:qFormat/>
    <w:uiPriority w:val="99"/>
    <w:rPr>
      <w:rFonts w:ascii="宋体" w:hAnsi="Courier New"/>
      <w:kern w:val="0"/>
      <w:sz w:val="20"/>
      <w:szCs w:val="18"/>
    </w:rPr>
  </w:style>
  <w:style w:type="paragraph" w:styleId="24">
    <w:name w:val="toc 8"/>
    <w:basedOn w:val="1"/>
    <w:next w:val="1"/>
    <w:unhideWhenUsed/>
    <w:qFormat/>
    <w:uiPriority w:val="0"/>
    <w:pPr>
      <w:ind w:left="2940" w:leftChars="1400"/>
    </w:pPr>
    <w:rPr>
      <w:rFonts w:ascii="Times New Roman" w:hAnsi="Times New Roman"/>
      <w:szCs w:val="24"/>
    </w:rPr>
  </w:style>
  <w:style w:type="paragraph" w:styleId="25">
    <w:name w:val="Date"/>
    <w:basedOn w:val="1"/>
    <w:next w:val="1"/>
    <w:link w:val="75"/>
    <w:unhideWhenUsed/>
    <w:qFormat/>
    <w:uiPriority w:val="99"/>
    <w:pPr>
      <w:ind w:left="100" w:leftChars="2500"/>
    </w:pPr>
    <w:rPr>
      <w:rFonts w:ascii="Times New Roman" w:hAnsi="Times New Roman"/>
      <w:kern w:val="0"/>
      <w:sz w:val="24"/>
      <w:szCs w:val="24"/>
    </w:rPr>
  </w:style>
  <w:style w:type="paragraph" w:styleId="26">
    <w:name w:val="Body Text Indent 2"/>
    <w:basedOn w:val="1"/>
    <w:link w:val="79"/>
    <w:unhideWhenUsed/>
    <w:qFormat/>
    <w:uiPriority w:val="0"/>
    <w:pPr>
      <w:spacing w:after="120" w:line="480" w:lineRule="auto"/>
      <w:ind w:left="420" w:leftChars="200"/>
    </w:pPr>
    <w:rPr>
      <w:rFonts w:ascii="Times New Roman" w:hAnsi="Times New Roman"/>
      <w:kern w:val="0"/>
      <w:sz w:val="20"/>
      <w:szCs w:val="20"/>
    </w:rPr>
  </w:style>
  <w:style w:type="paragraph" w:styleId="27">
    <w:name w:val="Balloon Text"/>
    <w:basedOn w:val="1"/>
    <w:link w:val="84"/>
    <w:unhideWhenUsed/>
    <w:qFormat/>
    <w:uiPriority w:val="99"/>
    <w:rPr>
      <w:rFonts w:ascii="Times New Roman" w:hAnsi="Times New Roman"/>
      <w:kern w:val="0"/>
      <w:sz w:val="18"/>
      <w:szCs w:val="18"/>
    </w:rPr>
  </w:style>
  <w:style w:type="paragraph" w:styleId="28">
    <w:name w:val="footer"/>
    <w:basedOn w:val="1"/>
    <w:link w:val="71"/>
    <w:unhideWhenUsed/>
    <w:qFormat/>
    <w:uiPriority w:val="99"/>
    <w:pPr>
      <w:tabs>
        <w:tab w:val="center" w:pos="4153"/>
        <w:tab w:val="right" w:pos="8306"/>
      </w:tabs>
      <w:snapToGrid w:val="0"/>
      <w:jc w:val="left"/>
    </w:pPr>
    <w:rPr>
      <w:kern w:val="0"/>
      <w:sz w:val="18"/>
      <w:szCs w:val="18"/>
    </w:rPr>
  </w:style>
  <w:style w:type="paragraph" w:styleId="29">
    <w:name w:val="header"/>
    <w:basedOn w:val="1"/>
    <w:link w:val="70"/>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30">
    <w:name w:val="toc 1"/>
    <w:basedOn w:val="1"/>
    <w:next w:val="1"/>
    <w:unhideWhenUsed/>
    <w:qFormat/>
    <w:uiPriority w:val="39"/>
    <w:pPr>
      <w:tabs>
        <w:tab w:val="left" w:pos="709"/>
        <w:tab w:val="right" w:leader="dot" w:pos="8364"/>
      </w:tabs>
      <w:spacing w:before="120" w:after="120"/>
      <w:jc w:val="left"/>
    </w:pPr>
    <w:rPr>
      <w:rFonts w:ascii="华文中宋" w:hAnsi="华文中宋" w:eastAsia="华文中宋"/>
      <w:bCs/>
      <w:caps/>
      <w:sz w:val="20"/>
      <w:szCs w:val="20"/>
    </w:rPr>
  </w:style>
  <w:style w:type="paragraph" w:styleId="31">
    <w:name w:val="toc 4"/>
    <w:basedOn w:val="1"/>
    <w:next w:val="1"/>
    <w:unhideWhenUsed/>
    <w:qFormat/>
    <w:uiPriority w:val="0"/>
    <w:pPr>
      <w:ind w:left="1260" w:leftChars="600"/>
    </w:pPr>
    <w:rPr>
      <w:rFonts w:ascii="Times New Roman" w:hAnsi="Times New Roman"/>
      <w:sz w:val="18"/>
      <w:szCs w:val="18"/>
    </w:rPr>
  </w:style>
  <w:style w:type="paragraph" w:styleId="32">
    <w:name w:val="Subtitle"/>
    <w:basedOn w:val="1"/>
    <w:next w:val="1"/>
    <w:link w:val="74"/>
    <w:qFormat/>
    <w:uiPriority w:val="0"/>
    <w:pPr>
      <w:spacing w:before="240" w:after="60" w:line="312" w:lineRule="auto"/>
      <w:jc w:val="center"/>
      <w:outlineLvl w:val="1"/>
    </w:pPr>
    <w:rPr>
      <w:rFonts w:ascii="Cambria" w:hAnsi="Cambria"/>
      <w:b/>
      <w:bCs/>
      <w:kern w:val="28"/>
      <w:sz w:val="32"/>
      <w:szCs w:val="32"/>
    </w:rPr>
  </w:style>
  <w:style w:type="paragraph" w:styleId="33">
    <w:name w:val="footnote text"/>
    <w:basedOn w:val="1"/>
    <w:link w:val="68"/>
    <w:unhideWhenUsed/>
    <w:qFormat/>
    <w:uiPriority w:val="0"/>
    <w:pPr>
      <w:snapToGrid w:val="0"/>
      <w:jc w:val="left"/>
    </w:pPr>
    <w:rPr>
      <w:sz w:val="18"/>
      <w:szCs w:val="18"/>
    </w:rPr>
  </w:style>
  <w:style w:type="paragraph" w:styleId="34">
    <w:name w:val="toc 6"/>
    <w:basedOn w:val="1"/>
    <w:next w:val="1"/>
    <w:unhideWhenUsed/>
    <w:qFormat/>
    <w:uiPriority w:val="0"/>
    <w:pPr>
      <w:ind w:left="2100" w:leftChars="1000"/>
    </w:pPr>
    <w:rPr>
      <w:rFonts w:ascii="Times New Roman" w:hAnsi="Times New Roman"/>
      <w:szCs w:val="24"/>
    </w:rPr>
  </w:style>
  <w:style w:type="paragraph" w:styleId="35">
    <w:name w:val="Body Text Indent 3"/>
    <w:basedOn w:val="1"/>
    <w:link w:val="80"/>
    <w:unhideWhenUsed/>
    <w:qFormat/>
    <w:uiPriority w:val="0"/>
    <w:pPr>
      <w:spacing w:line="360" w:lineRule="auto"/>
      <w:ind w:left="153" w:leftChars="85" w:firstLine="560" w:firstLineChars="200"/>
    </w:pPr>
    <w:rPr>
      <w:rFonts w:ascii="宋体" w:hAnsi="宋体"/>
      <w:kern w:val="0"/>
      <w:sz w:val="28"/>
      <w:szCs w:val="28"/>
    </w:rPr>
  </w:style>
  <w:style w:type="paragraph" w:styleId="36">
    <w:name w:val="toc 2"/>
    <w:basedOn w:val="1"/>
    <w:next w:val="1"/>
    <w:unhideWhenUsed/>
    <w:qFormat/>
    <w:uiPriority w:val="39"/>
    <w:pPr>
      <w:tabs>
        <w:tab w:val="left" w:pos="620"/>
        <w:tab w:val="right" w:leader="dot" w:pos="8364"/>
      </w:tabs>
      <w:ind w:left="180"/>
      <w:jc w:val="left"/>
    </w:pPr>
    <w:rPr>
      <w:rFonts w:ascii="华文中宋" w:hAnsi="华文中宋" w:eastAsia="华文中宋"/>
      <w:smallCaps/>
      <w:sz w:val="20"/>
      <w:szCs w:val="20"/>
    </w:rPr>
  </w:style>
  <w:style w:type="paragraph" w:styleId="37">
    <w:name w:val="toc 9"/>
    <w:basedOn w:val="1"/>
    <w:next w:val="1"/>
    <w:unhideWhenUsed/>
    <w:qFormat/>
    <w:uiPriority w:val="0"/>
    <w:pPr>
      <w:ind w:left="3360" w:leftChars="1600"/>
    </w:pPr>
    <w:rPr>
      <w:rFonts w:ascii="Times New Roman" w:hAnsi="Times New Roman"/>
      <w:szCs w:val="24"/>
    </w:rPr>
  </w:style>
  <w:style w:type="paragraph" w:styleId="38">
    <w:name w:val="Body Text 2"/>
    <w:basedOn w:val="1"/>
    <w:link w:val="77"/>
    <w:unhideWhenUsed/>
    <w:qFormat/>
    <w:uiPriority w:val="0"/>
    <w:pPr>
      <w:spacing w:after="120" w:line="480" w:lineRule="auto"/>
    </w:pPr>
    <w:rPr>
      <w:rFonts w:ascii="Times New Roman" w:hAnsi="Times New Roman"/>
      <w:kern w:val="0"/>
      <w:sz w:val="18"/>
      <w:szCs w:val="18"/>
    </w:rPr>
  </w:style>
  <w:style w:type="paragraph" w:styleId="39">
    <w:name w:val="HTML Preformatted"/>
    <w:basedOn w:val="1"/>
    <w:link w:val="212"/>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0" w:firstLineChars="200"/>
      <w:jc w:val="left"/>
    </w:pPr>
    <w:rPr>
      <w:rFonts w:ascii="Arial" w:hAnsi="Arial" w:cs="Arial"/>
      <w:kern w:val="0"/>
      <w:sz w:val="24"/>
      <w:szCs w:val="28"/>
    </w:rPr>
  </w:style>
  <w:style w:type="paragraph" w:styleId="40">
    <w:name w:val="Normal (Web)"/>
    <w:basedOn w:val="1"/>
    <w:unhideWhenUsed/>
    <w:qFormat/>
    <w:uiPriority w:val="99"/>
    <w:pPr>
      <w:widowControl/>
      <w:spacing w:before="100" w:beforeAutospacing="1" w:after="100" w:afterAutospacing="1"/>
      <w:jc w:val="left"/>
    </w:pPr>
    <w:rPr>
      <w:rFonts w:ascii="宋体" w:hAnsi="宋体"/>
      <w:color w:val="000000"/>
      <w:kern w:val="0"/>
      <w:sz w:val="24"/>
      <w:szCs w:val="24"/>
    </w:rPr>
  </w:style>
  <w:style w:type="paragraph" w:styleId="41">
    <w:name w:val="index 1"/>
    <w:basedOn w:val="1"/>
    <w:next w:val="1"/>
    <w:unhideWhenUsed/>
    <w:qFormat/>
    <w:uiPriority w:val="0"/>
    <w:pPr>
      <w:ind w:firstLine="560" w:firstLineChars="200"/>
    </w:pPr>
    <w:rPr>
      <w:rFonts w:ascii="宋体" w:hAnsi="宋体" w:cs="宋体"/>
      <w:sz w:val="28"/>
      <w:szCs w:val="28"/>
    </w:rPr>
  </w:style>
  <w:style w:type="paragraph" w:styleId="42">
    <w:name w:val="annotation subject"/>
    <w:basedOn w:val="16"/>
    <w:next w:val="16"/>
    <w:link w:val="83"/>
    <w:unhideWhenUsed/>
    <w:qFormat/>
    <w:uiPriority w:val="99"/>
    <w:rPr>
      <w:b/>
      <w:bCs/>
    </w:rPr>
  </w:style>
  <w:style w:type="paragraph" w:styleId="43">
    <w:name w:val="Body Text First Indent"/>
    <w:basedOn w:val="18"/>
    <w:link w:val="76"/>
    <w:unhideWhenUsed/>
    <w:qFormat/>
    <w:uiPriority w:val="0"/>
    <w:pPr>
      <w:ind w:firstLine="420" w:firstLineChars="100"/>
    </w:pPr>
    <w:rPr>
      <w:sz w:val="18"/>
      <w:szCs w:val="18"/>
    </w:rPr>
  </w:style>
  <w:style w:type="table" w:styleId="45">
    <w:name w:val="Table Grid"/>
    <w:basedOn w:val="4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7">
    <w:name w:val="FollowedHyperlink"/>
    <w:basedOn w:val="46"/>
    <w:unhideWhenUsed/>
    <w:qFormat/>
    <w:uiPriority w:val="99"/>
    <w:rPr>
      <w:color w:val="800080" w:themeColor="followedHyperlink"/>
      <w:u w:val="single"/>
      <w14:textFill>
        <w14:solidFill>
          <w14:schemeClr w14:val="folHlink"/>
        </w14:solidFill>
      </w14:textFill>
    </w:rPr>
  </w:style>
  <w:style w:type="character" w:styleId="48">
    <w:name w:val="Hyperlink"/>
    <w:unhideWhenUsed/>
    <w:qFormat/>
    <w:uiPriority w:val="99"/>
    <w:rPr>
      <w:color w:val="0000FF"/>
      <w:u w:val="single"/>
    </w:rPr>
  </w:style>
  <w:style w:type="character" w:styleId="49">
    <w:name w:val="annotation reference"/>
    <w:unhideWhenUsed/>
    <w:qFormat/>
    <w:uiPriority w:val="99"/>
    <w:rPr>
      <w:sz w:val="21"/>
      <w:szCs w:val="21"/>
    </w:rPr>
  </w:style>
  <w:style w:type="character" w:styleId="50">
    <w:name w:val="footnote reference"/>
    <w:unhideWhenUsed/>
    <w:qFormat/>
    <w:uiPriority w:val="0"/>
    <w:rPr>
      <w:vertAlign w:val="superscript"/>
    </w:rPr>
  </w:style>
  <w:style w:type="paragraph" w:customStyle="1" w:styleId="51">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52">
    <w:name w:val="标题 5（有编号）（绿盟科技）"/>
    <w:basedOn w:val="1"/>
    <w:next w:val="53"/>
    <w:qFormat/>
    <w:uiPriority w:val="99"/>
    <w:pPr>
      <w:keepNext/>
      <w:keepLines/>
      <w:tabs>
        <w:tab w:val="left" w:pos="0"/>
      </w:tabs>
      <w:spacing w:before="280" w:after="156" w:line="376" w:lineRule="auto"/>
      <w:ind w:left="1958" w:hanging="420"/>
      <w:jc w:val="left"/>
      <w:outlineLvl w:val="4"/>
    </w:pPr>
    <w:rPr>
      <w:rFonts w:ascii="Arial" w:hAnsi="Arial" w:eastAsia="黑体"/>
      <w:b/>
      <w:sz w:val="24"/>
      <w:szCs w:val="28"/>
    </w:rPr>
  </w:style>
  <w:style w:type="paragraph" w:customStyle="1" w:styleId="53">
    <w:name w:val="正文（绿盟科技）"/>
    <w:qFormat/>
    <w:uiPriority w:val="99"/>
    <w:pPr>
      <w:spacing w:line="300" w:lineRule="auto"/>
    </w:pPr>
    <w:rPr>
      <w:rFonts w:ascii="Arial" w:hAnsi="Arial" w:eastAsia="宋体" w:cs="黑体"/>
      <w:sz w:val="21"/>
      <w:szCs w:val="21"/>
      <w:lang w:val="en-US" w:eastAsia="zh-CN" w:bidi="ar-SA"/>
    </w:rPr>
  </w:style>
  <w:style w:type="character" w:customStyle="1" w:styleId="54">
    <w:name w:val="标题 1 字符"/>
    <w:basedOn w:val="46"/>
    <w:link w:val="3"/>
    <w:qFormat/>
    <w:uiPriority w:val="99"/>
    <w:rPr>
      <w:rFonts w:ascii="宋体" w:hAnsi="宋体" w:eastAsia="宋体" w:cs="宋体"/>
      <w:b/>
      <w:bCs/>
      <w:spacing w:val="-20"/>
      <w:kern w:val="44"/>
      <w:sz w:val="32"/>
      <w:szCs w:val="32"/>
    </w:rPr>
  </w:style>
  <w:style w:type="character" w:customStyle="1" w:styleId="55">
    <w:name w:val="标题 2 字符"/>
    <w:basedOn w:val="46"/>
    <w:link w:val="4"/>
    <w:qFormat/>
    <w:uiPriority w:val="99"/>
    <w:rPr>
      <w:rFonts w:ascii="宋体" w:hAnsi="宋体" w:eastAsia="宋体" w:cs="宋体"/>
      <w:b/>
      <w:bCs/>
      <w:sz w:val="28"/>
      <w:szCs w:val="28"/>
    </w:rPr>
  </w:style>
  <w:style w:type="character" w:customStyle="1" w:styleId="56">
    <w:name w:val="标题 3 字符"/>
    <w:basedOn w:val="46"/>
    <w:link w:val="5"/>
    <w:qFormat/>
    <w:uiPriority w:val="99"/>
    <w:rPr>
      <w:rFonts w:ascii="宋体" w:hAnsi="宋体" w:eastAsia="宋体" w:cs="宋体"/>
      <w:b/>
      <w:bCs/>
      <w:color w:val="000000"/>
      <w:kern w:val="0"/>
      <w:sz w:val="28"/>
      <w:szCs w:val="28"/>
    </w:rPr>
  </w:style>
  <w:style w:type="character" w:customStyle="1" w:styleId="57">
    <w:name w:val="标题 4 字符"/>
    <w:basedOn w:val="46"/>
    <w:link w:val="6"/>
    <w:qFormat/>
    <w:uiPriority w:val="9"/>
    <w:rPr>
      <w:rFonts w:ascii="Arial" w:hAnsi="Arial" w:eastAsia="宋体" w:cs="Times New Roman"/>
      <w:b/>
      <w:bCs/>
      <w:kern w:val="0"/>
      <w:sz w:val="28"/>
      <w:szCs w:val="28"/>
    </w:rPr>
  </w:style>
  <w:style w:type="character" w:customStyle="1" w:styleId="58">
    <w:name w:val="标题 5 字符"/>
    <w:basedOn w:val="46"/>
    <w:link w:val="7"/>
    <w:qFormat/>
    <w:uiPriority w:val="0"/>
    <w:rPr>
      <w:rFonts w:ascii="Calibri" w:hAnsi="Calibri" w:eastAsia="宋体" w:cs="Times New Roman"/>
      <w:b/>
      <w:bCs/>
      <w:kern w:val="0"/>
      <w:sz w:val="28"/>
      <w:szCs w:val="28"/>
    </w:rPr>
  </w:style>
  <w:style w:type="character" w:customStyle="1" w:styleId="59">
    <w:name w:val="标题 6 字符"/>
    <w:basedOn w:val="46"/>
    <w:link w:val="8"/>
    <w:qFormat/>
    <w:uiPriority w:val="0"/>
    <w:rPr>
      <w:rFonts w:ascii="Arial" w:hAnsi="Arial" w:eastAsia="宋体" w:cs="Times New Roman"/>
      <w:b/>
      <w:bCs/>
      <w:kern w:val="0"/>
      <w:sz w:val="28"/>
      <w:szCs w:val="18"/>
    </w:rPr>
  </w:style>
  <w:style w:type="character" w:customStyle="1" w:styleId="60">
    <w:name w:val="标题 7 字符"/>
    <w:basedOn w:val="46"/>
    <w:link w:val="9"/>
    <w:qFormat/>
    <w:uiPriority w:val="0"/>
    <w:rPr>
      <w:rFonts w:ascii="Arial Narrow" w:hAnsi="Arial Narrow" w:eastAsia="宋体" w:cs="Times New Roman"/>
      <w:b/>
      <w:bCs/>
      <w:iCs/>
      <w:kern w:val="0"/>
      <w:sz w:val="20"/>
      <w:szCs w:val="24"/>
      <w:lang w:eastAsia="en-US"/>
    </w:rPr>
  </w:style>
  <w:style w:type="character" w:customStyle="1" w:styleId="61">
    <w:name w:val="标题 8 字符"/>
    <w:basedOn w:val="46"/>
    <w:link w:val="10"/>
    <w:semiHidden/>
    <w:qFormat/>
    <w:uiPriority w:val="0"/>
    <w:rPr>
      <w:rFonts w:ascii="Arial" w:hAnsi="Arial" w:eastAsia="黑体" w:cs="Times New Roman"/>
      <w:kern w:val="0"/>
      <w:sz w:val="24"/>
      <w:szCs w:val="24"/>
    </w:rPr>
  </w:style>
  <w:style w:type="character" w:customStyle="1" w:styleId="62">
    <w:name w:val="标题 9 字符"/>
    <w:basedOn w:val="46"/>
    <w:link w:val="11"/>
    <w:semiHidden/>
    <w:qFormat/>
    <w:uiPriority w:val="0"/>
    <w:rPr>
      <w:rFonts w:ascii="Arial" w:hAnsi="Arial" w:eastAsia="黑体" w:cs="Times New Roman"/>
      <w:kern w:val="0"/>
      <w:sz w:val="20"/>
      <w:szCs w:val="21"/>
    </w:rPr>
  </w:style>
  <w:style w:type="character" w:customStyle="1" w:styleId="63">
    <w:name w:val="标题 1 Char1"/>
    <w:qFormat/>
    <w:uiPriority w:val="0"/>
    <w:rPr>
      <w:b/>
      <w:bCs/>
      <w:kern w:val="44"/>
      <w:sz w:val="44"/>
      <w:szCs w:val="44"/>
    </w:rPr>
  </w:style>
  <w:style w:type="character" w:customStyle="1" w:styleId="64">
    <w:name w:val="标题 2 Char1"/>
    <w:basedOn w:val="46"/>
    <w:semiHidden/>
    <w:qFormat/>
    <w:uiPriority w:val="99"/>
    <w:rPr>
      <w:rFonts w:asciiTheme="majorHAnsi" w:hAnsiTheme="majorHAnsi" w:eastAsiaTheme="majorEastAsia" w:cstheme="majorBidi"/>
      <w:b/>
      <w:bCs/>
      <w:kern w:val="2"/>
      <w:sz w:val="32"/>
      <w:szCs w:val="32"/>
    </w:rPr>
  </w:style>
  <w:style w:type="character" w:customStyle="1" w:styleId="65">
    <w:name w:val="标题 3 Char1"/>
    <w:basedOn w:val="46"/>
    <w:semiHidden/>
    <w:qFormat/>
    <w:uiPriority w:val="99"/>
    <w:rPr>
      <w:rFonts w:ascii="Calibri" w:hAnsi="Calibri"/>
      <w:b/>
      <w:bCs/>
      <w:kern w:val="2"/>
      <w:sz w:val="32"/>
      <w:szCs w:val="32"/>
    </w:rPr>
  </w:style>
  <w:style w:type="character" w:customStyle="1" w:styleId="66">
    <w:name w:val="标题 4 Char1"/>
    <w:basedOn w:val="46"/>
    <w:semiHidden/>
    <w:qFormat/>
    <w:uiPriority w:val="9"/>
    <w:rPr>
      <w:rFonts w:asciiTheme="majorHAnsi" w:hAnsiTheme="majorHAnsi" w:eastAsiaTheme="majorEastAsia" w:cstheme="majorBidi"/>
      <w:b/>
      <w:bCs/>
      <w:kern w:val="2"/>
      <w:sz w:val="28"/>
      <w:szCs w:val="28"/>
    </w:rPr>
  </w:style>
  <w:style w:type="character" w:customStyle="1" w:styleId="67">
    <w:name w:val="正文缩进 字符"/>
    <w:link w:val="13"/>
    <w:qFormat/>
    <w:locked/>
    <w:uiPriority w:val="0"/>
  </w:style>
  <w:style w:type="character" w:customStyle="1" w:styleId="68">
    <w:name w:val="脚注文本 字符"/>
    <w:basedOn w:val="46"/>
    <w:link w:val="33"/>
    <w:semiHidden/>
    <w:qFormat/>
    <w:uiPriority w:val="0"/>
    <w:rPr>
      <w:rFonts w:ascii="Calibri" w:hAnsi="Calibri" w:eastAsia="宋体" w:cs="Times New Roman"/>
      <w:sz w:val="18"/>
      <w:szCs w:val="18"/>
    </w:rPr>
  </w:style>
  <w:style w:type="character" w:customStyle="1" w:styleId="69">
    <w:name w:val="批注文字 Char"/>
    <w:basedOn w:val="46"/>
    <w:qFormat/>
    <w:uiPriority w:val="99"/>
    <w:rPr>
      <w:rFonts w:ascii="Calibri" w:hAnsi="Calibri" w:eastAsia="宋体" w:cs="Times New Roman"/>
    </w:rPr>
  </w:style>
  <w:style w:type="character" w:customStyle="1" w:styleId="70">
    <w:name w:val="页眉 字符"/>
    <w:basedOn w:val="46"/>
    <w:link w:val="29"/>
    <w:qFormat/>
    <w:uiPriority w:val="99"/>
    <w:rPr>
      <w:rFonts w:ascii="Calibri" w:hAnsi="Calibri" w:eastAsia="宋体" w:cs="Times New Roman"/>
      <w:kern w:val="0"/>
      <w:sz w:val="18"/>
      <w:szCs w:val="18"/>
    </w:rPr>
  </w:style>
  <w:style w:type="character" w:customStyle="1" w:styleId="71">
    <w:name w:val="页脚 字符"/>
    <w:basedOn w:val="46"/>
    <w:link w:val="28"/>
    <w:qFormat/>
    <w:uiPriority w:val="99"/>
    <w:rPr>
      <w:rFonts w:ascii="Calibri" w:hAnsi="Calibri" w:eastAsia="宋体" w:cs="Times New Roman"/>
      <w:kern w:val="0"/>
      <w:sz w:val="18"/>
      <w:szCs w:val="18"/>
    </w:rPr>
  </w:style>
  <w:style w:type="character" w:customStyle="1" w:styleId="72">
    <w:name w:val="正文文本 Char"/>
    <w:basedOn w:val="46"/>
    <w:qFormat/>
    <w:uiPriority w:val="99"/>
    <w:rPr>
      <w:rFonts w:ascii="Calibri" w:hAnsi="Calibri" w:eastAsia="宋体" w:cs="Times New Roman"/>
    </w:rPr>
  </w:style>
  <w:style w:type="character" w:customStyle="1" w:styleId="73">
    <w:name w:val="正文文本缩进 字符"/>
    <w:basedOn w:val="46"/>
    <w:link w:val="19"/>
    <w:semiHidden/>
    <w:qFormat/>
    <w:uiPriority w:val="0"/>
    <w:rPr>
      <w:rFonts w:ascii="Times New Roman" w:hAnsi="Times New Roman" w:eastAsia="宋体" w:cs="Times New Roman"/>
      <w:kern w:val="0"/>
      <w:sz w:val="20"/>
      <w:szCs w:val="24"/>
    </w:rPr>
  </w:style>
  <w:style w:type="character" w:customStyle="1" w:styleId="74">
    <w:name w:val="副标题 字符"/>
    <w:basedOn w:val="46"/>
    <w:link w:val="32"/>
    <w:qFormat/>
    <w:uiPriority w:val="0"/>
    <w:rPr>
      <w:rFonts w:ascii="Cambria" w:hAnsi="Cambria" w:eastAsia="宋体" w:cs="Times New Roman"/>
      <w:b/>
      <w:bCs/>
      <w:kern w:val="28"/>
      <w:sz w:val="32"/>
      <w:szCs w:val="32"/>
    </w:rPr>
  </w:style>
  <w:style w:type="character" w:customStyle="1" w:styleId="75">
    <w:name w:val="日期 字符"/>
    <w:basedOn w:val="46"/>
    <w:link w:val="25"/>
    <w:qFormat/>
    <w:uiPriority w:val="99"/>
    <w:rPr>
      <w:rFonts w:ascii="Times New Roman" w:hAnsi="Times New Roman" w:eastAsia="宋体" w:cs="Times New Roman"/>
      <w:kern w:val="0"/>
      <w:sz w:val="24"/>
      <w:szCs w:val="24"/>
    </w:rPr>
  </w:style>
  <w:style w:type="character" w:customStyle="1" w:styleId="76">
    <w:name w:val="正文文本首行缩进 字符"/>
    <w:basedOn w:val="72"/>
    <w:link w:val="43"/>
    <w:semiHidden/>
    <w:qFormat/>
    <w:uiPriority w:val="0"/>
    <w:rPr>
      <w:rFonts w:ascii="Times New Roman" w:hAnsi="Times New Roman" w:eastAsia="宋体" w:cs="Times New Roman"/>
      <w:kern w:val="0"/>
      <w:sz w:val="18"/>
      <w:szCs w:val="18"/>
    </w:rPr>
  </w:style>
  <w:style w:type="character" w:customStyle="1" w:styleId="77">
    <w:name w:val="正文文本 2 字符"/>
    <w:basedOn w:val="46"/>
    <w:link w:val="38"/>
    <w:semiHidden/>
    <w:qFormat/>
    <w:uiPriority w:val="0"/>
    <w:rPr>
      <w:rFonts w:ascii="Times New Roman" w:hAnsi="Times New Roman" w:eastAsia="宋体" w:cs="Times New Roman"/>
      <w:kern w:val="0"/>
      <w:sz w:val="18"/>
      <w:szCs w:val="18"/>
    </w:rPr>
  </w:style>
  <w:style w:type="character" w:customStyle="1" w:styleId="78">
    <w:name w:val="正文文本 3 字符"/>
    <w:basedOn w:val="46"/>
    <w:link w:val="17"/>
    <w:semiHidden/>
    <w:qFormat/>
    <w:uiPriority w:val="0"/>
    <w:rPr>
      <w:rFonts w:ascii="Times New Roman" w:hAnsi="Times New Roman" w:eastAsia="黑体" w:cs="Times New Roman"/>
      <w:sz w:val="44"/>
      <w:szCs w:val="24"/>
    </w:rPr>
  </w:style>
  <w:style w:type="character" w:customStyle="1" w:styleId="79">
    <w:name w:val="正文文本缩进 2 字符"/>
    <w:basedOn w:val="46"/>
    <w:link w:val="26"/>
    <w:semiHidden/>
    <w:qFormat/>
    <w:uiPriority w:val="0"/>
    <w:rPr>
      <w:rFonts w:ascii="Times New Roman" w:hAnsi="Times New Roman" w:eastAsia="宋体" w:cs="Times New Roman"/>
      <w:kern w:val="0"/>
      <w:sz w:val="20"/>
      <w:szCs w:val="20"/>
    </w:rPr>
  </w:style>
  <w:style w:type="character" w:customStyle="1" w:styleId="80">
    <w:name w:val="正文文本缩进 3 字符"/>
    <w:basedOn w:val="46"/>
    <w:link w:val="35"/>
    <w:semiHidden/>
    <w:qFormat/>
    <w:uiPriority w:val="0"/>
    <w:rPr>
      <w:rFonts w:ascii="宋体" w:hAnsi="宋体" w:eastAsia="宋体" w:cs="Times New Roman"/>
      <w:kern w:val="0"/>
      <w:sz w:val="28"/>
      <w:szCs w:val="28"/>
    </w:rPr>
  </w:style>
  <w:style w:type="character" w:customStyle="1" w:styleId="81">
    <w:name w:val="文档结构图 字符"/>
    <w:basedOn w:val="46"/>
    <w:link w:val="15"/>
    <w:qFormat/>
    <w:uiPriority w:val="99"/>
    <w:rPr>
      <w:rFonts w:ascii="Times New Roman" w:hAnsi="Times New Roman" w:eastAsia="宋体" w:cs="Times New Roman"/>
      <w:kern w:val="0"/>
      <w:sz w:val="18"/>
      <w:szCs w:val="18"/>
      <w:shd w:val="clear" w:color="auto" w:fill="000080"/>
    </w:rPr>
  </w:style>
  <w:style w:type="character" w:customStyle="1" w:styleId="82">
    <w:name w:val="纯文本 Char"/>
    <w:basedOn w:val="46"/>
    <w:semiHidden/>
    <w:qFormat/>
    <w:uiPriority w:val="99"/>
    <w:rPr>
      <w:rFonts w:ascii="宋体" w:hAnsi="Courier New" w:eastAsia="宋体" w:cs="Courier New"/>
      <w:szCs w:val="21"/>
    </w:rPr>
  </w:style>
  <w:style w:type="character" w:customStyle="1" w:styleId="83">
    <w:name w:val="批注主题 字符"/>
    <w:basedOn w:val="69"/>
    <w:link w:val="42"/>
    <w:qFormat/>
    <w:uiPriority w:val="99"/>
    <w:rPr>
      <w:rFonts w:ascii="Calibri" w:hAnsi="Calibri" w:eastAsia="宋体" w:cs="Times New Roman"/>
      <w:b/>
      <w:bCs/>
    </w:rPr>
  </w:style>
  <w:style w:type="character" w:customStyle="1" w:styleId="84">
    <w:name w:val="批注框文本 字符"/>
    <w:basedOn w:val="46"/>
    <w:link w:val="27"/>
    <w:qFormat/>
    <w:uiPriority w:val="99"/>
    <w:rPr>
      <w:rFonts w:ascii="Times New Roman" w:hAnsi="Times New Roman" w:eastAsia="宋体" w:cs="Times New Roman"/>
      <w:kern w:val="0"/>
      <w:sz w:val="18"/>
      <w:szCs w:val="18"/>
    </w:rPr>
  </w:style>
  <w:style w:type="paragraph" w:customStyle="1" w:styleId="85">
    <w:name w:val="无间隔1"/>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86">
    <w:name w:val="修订1"/>
    <w:semiHidden/>
    <w:qFormat/>
    <w:uiPriority w:val="99"/>
    <w:rPr>
      <w:rFonts w:ascii="Calibri" w:hAnsi="Calibri" w:eastAsia="宋体" w:cs="Times New Roman"/>
      <w:kern w:val="2"/>
      <w:sz w:val="21"/>
      <w:szCs w:val="22"/>
      <w:lang w:val="en-US" w:eastAsia="zh-CN" w:bidi="ar-SA"/>
    </w:rPr>
  </w:style>
  <w:style w:type="character" w:customStyle="1" w:styleId="87">
    <w:name w:val="列出段落 Char"/>
    <w:link w:val="88"/>
    <w:qFormat/>
    <w:locked/>
    <w:uiPriority w:val="0"/>
    <w:rPr>
      <w:rFonts w:ascii="Calibri" w:hAnsi="Calibri" w:cs="Calibri"/>
    </w:rPr>
  </w:style>
  <w:style w:type="paragraph" w:customStyle="1" w:styleId="88">
    <w:name w:val="列出段落1"/>
    <w:basedOn w:val="1"/>
    <w:link w:val="87"/>
    <w:qFormat/>
    <w:uiPriority w:val="0"/>
    <w:pPr>
      <w:ind w:firstLine="420" w:firstLineChars="200"/>
    </w:pPr>
    <w:rPr>
      <w:rFonts w:cs="Calibri" w:eastAsiaTheme="minorEastAsia"/>
    </w:rPr>
  </w:style>
  <w:style w:type="paragraph" w:customStyle="1" w:styleId="89">
    <w:name w:val="样式 右侧:  1 字符1"/>
    <w:basedOn w:val="1"/>
    <w:qFormat/>
    <w:uiPriority w:val="0"/>
    <w:pPr>
      <w:ind w:left="240" w:leftChars="100" w:right="240" w:rightChars="100"/>
    </w:pPr>
    <w:rPr>
      <w:rFonts w:ascii="Times New Roman" w:hAnsi="Times New Roman" w:eastAsia="仿宋_GB2312" w:cs="宋体"/>
      <w:sz w:val="28"/>
      <w:szCs w:val="20"/>
    </w:rPr>
  </w:style>
  <w:style w:type="paragraph" w:customStyle="1" w:styleId="90">
    <w:name w:val="MM Title"/>
    <w:basedOn w:val="1"/>
    <w:qFormat/>
    <w:uiPriority w:val="0"/>
    <w:pPr>
      <w:spacing w:before="240" w:after="60"/>
      <w:jc w:val="center"/>
      <w:outlineLvl w:val="0"/>
    </w:pPr>
    <w:rPr>
      <w:rFonts w:ascii="Arial" w:hAnsi="Arial" w:cs="Arial"/>
      <w:b/>
      <w:bCs/>
      <w:sz w:val="32"/>
      <w:szCs w:val="32"/>
    </w:rPr>
  </w:style>
  <w:style w:type="paragraph" w:customStyle="1" w:styleId="91">
    <w:name w:val="默认段落字体 Para Char Char Char1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92">
    <w:name w:val="gb_master正文"/>
    <w:basedOn w:val="1"/>
    <w:qFormat/>
    <w:uiPriority w:val="0"/>
    <w:pPr>
      <w:ind w:firstLine="200" w:firstLineChars="200"/>
    </w:pPr>
    <w:rPr>
      <w:rFonts w:ascii="Times New Roman" w:hAnsi="Times New Roman"/>
      <w:szCs w:val="24"/>
    </w:rPr>
  </w:style>
  <w:style w:type="paragraph" w:customStyle="1" w:styleId="93">
    <w:name w:val="p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4">
    <w:name w:val="无间隔1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95">
    <w:name w:val="Char2 Char Char Char"/>
    <w:basedOn w:val="1"/>
    <w:qFormat/>
    <w:uiPriority w:val="0"/>
    <w:rPr>
      <w:rFonts w:ascii="仿宋_GB2312" w:hAnsi="Times New Roman"/>
      <w:b/>
      <w:sz w:val="30"/>
      <w:szCs w:val="32"/>
    </w:rPr>
  </w:style>
  <w:style w:type="paragraph" w:customStyle="1" w:styleId="96">
    <w:name w:val="样式 样式 样式 标题 2 + 宋体 五号 非加粗 黑色 + 段前: 6 磅 段后: 0 磅 行距: 单倍行距 + 段前: 12..."/>
    <w:basedOn w:val="1"/>
    <w:qFormat/>
    <w:uiPriority w:val="0"/>
    <w:pPr>
      <w:keepNext/>
      <w:keepLines/>
      <w:numPr>
        <w:ilvl w:val="1"/>
        <w:numId w:val="3"/>
      </w:numPr>
      <w:adjustRightInd w:val="0"/>
      <w:spacing w:before="240"/>
      <w:jc w:val="left"/>
      <w:outlineLvl w:val="1"/>
    </w:pPr>
    <w:rPr>
      <w:rFonts w:ascii="宋体" w:hAnsi="宋体" w:cs="宋体"/>
      <w:color w:val="000000"/>
      <w:kern w:val="0"/>
      <w:szCs w:val="20"/>
    </w:rPr>
  </w:style>
  <w:style w:type="paragraph" w:customStyle="1" w:styleId="97">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98">
    <w:name w:val="默认段落字体 Para Char"/>
    <w:basedOn w:val="1"/>
    <w:qFormat/>
    <w:uiPriority w:val="0"/>
    <w:rPr>
      <w:rFonts w:ascii="Tahoma" w:hAnsi="Tahoma"/>
      <w:sz w:val="24"/>
      <w:szCs w:val="20"/>
    </w:rPr>
  </w:style>
  <w:style w:type="paragraph" w:customStyle="1" w:styleId="99">
    <w:name w:val="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100">
    <w:name w:val="样式 行距: 1.5 倍行距 左  3.42 字符"/>
    <w:basedOn w:val="1"/>
    <w:qFormat/>
    <w:uiPriority w:val="0"/>
    <w:pPr>
      <w:spacing w:line="360" w:lineRule="auto"/>
      <w:ind w:left="200" w:leftChars="200" w:firstLine="200" w:firstLineChars="200"/>
    </w:pPr>
    <w:rPr>
      <w:rFonts w:ascii="Times New Roman" w:hAnsi="Times New Roman" w:cs="宋体"/>
      <w:szCs w:val="20"/>
    </w:rPr>
  </w:style>
  <w:style w:type="paragraph" w:customStyle="1" w:styleId="101">
    <w:name w:val="样式 正文缩进 + (中文) 仿宋_GB2312 小四 Char"/>
    <w:basedOn w:val="13"/>
    <w:qFormat/>
    <w:uiPriority w:val="0"/>
    <w:pPr>
      <w:spacing w:after="0" w:line="360" w:lineRule="auto"/>
      <w:ind w:firstLine="480" w:firstLineChars="200"/>
    </w:pPr>
    <w:rPr>
      <w:rFonts w:ascii="宋体" w:hAnsi="宋体"/>
      <w:sz w:val="24"/>
      <w:szCs w:val="24"/>
    </w:rPr>
  </w:style>
  <w:style w:type="paragraph" w:customStyle="1" w:styleId="102">
    <w:name w:val="表格文字"/>
    <w:basedOn w:val="1"/>
    <w:qFormat/>
    <w:uiPriority w:val="0"/>
    <w:pPr>
      <w:spacing w:beforeLines="25"/>
    </w:pPr>
    <w:rPr>
      <w:rFonts w:ascii="Times New (W1)" w:hAnsi="Times New (W1)"/>
      <w:spacing w:val="10"/>
      <w:szCs w:val="24"/>
    </w:rPr>
  </w:style>
  <w:style w:type="paragraph" w:customStyle="1" w:styleId="103">
    <w:name w:val="标书正文:  0.74 厘米"/>
    <w:basedOn w:val="1"/>
    <w:qFormat/>
    <w:uiPriority w:val="0"/>
    <w:pPr>
      <w:snapToGrid w:val="0"/>
      <w:spacing w:line="360" w:lineRule="auto"/>
      <w:ind w:firstLine="420"/>
    </w:pPr>
    <w:rPr>
      <w:rFonts w:ascii="Times New Roman" w:hAnsi="Times New Roman"/>
      <w:sz w:val="24"/>
      <w:szCs w:val="18"/>
    </w:rPr>
  </w:style>
  <w:style w:type="paragraph" w:customStyle="1" w:styleId="104">
    <w:name w:val="默认段落字体 Para Char Char"/>
    <w:basedOn w:val="1"/>
    <w:qFormat/>
    <w:uiPriority w:val="0"/>
    <w:rPr>
      <w:rFonts w:ascii="Times New Roman" w:hAnsi="Times New Roman"/>
      <w:szCs w:val="24"/>
    </w:rPr>
  </w:style>
  <w:style w:type="paragraph" w:customStyle="1" w:styleId="105">
    <w:name w:val="MM Topic 6"/>
    <w:basedOn w:val="8"/>
    <w:qFormat/>
    <w:uiPriority w:val="0"/>
    <w:pPr>
      <w:tabs>
        <w:tab w:val="left" w:pos="3260"/>
        <w:tab w:val="clear" w:pos="1702"/>
      </w:tabs>
    </w:pPr>
    <w:rPr>
      <w:rFonts w:eastAsia="黑体"/>
    </w:rPr>
  </w:style>
  <w:style w:type="paragraph" w:customStyle="1" w:styleId="106">
    <w:name w:val="Char1 Char Char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7">
    <w:name w:val="样式 首行缩进:  2 字符"/>
    <w:basedOn w:val="1"/>
    <w:qFormat/>
    <w:uiPriority w:val="0"/>
    <w:pPr>
      <w:spacing w:line="400" w:lineRule="exact"/>
      <w:ind w:firstLine="200" w:firstLineChars="200"/>
    </w:pPr>
    <w:rPr>
      <w:rFonts w:ascii="Times New Roman" w:hAnsi="Times New Roman" w:cs="宋体"/>
      <w:sz w:val="24"/>
      <w:szCs w:val="24"/>
    </w:rPr>
  </w:style>
  <w:style w:type="paragraph" w:customStyle="1" w:styleId="108">
    <w:name w:val="Char1"/>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9">
    <w:name w:val="标题 5 + 首行缩进:  2 字符"/>
    <w:basedOn w:val="7"/>
    <w:next w:val="19"/>
    <w:qFormat/>
    <w:uiPriority w:val="0"/>
    <w:pPr>
      <w:tabs>
        <w:tab w:val="left" w:pos="992"/>
        <w:tab w:val="clear" w:pos="1134"/>
      </w:tabs>
      <w:snapToGrid w:val="0"/>
      <w:spacing w:before="0" w:beforeLines="50" w:after="0" w:afterLines="50"/>
      <w:ind w:left="3570" w:firstLine="482" w:firstLineChars="200"/>
    </w:pPr>
    <w:rPr>
      <w:color w:val="000000"/>
      <w:szCs w:val="20"/>
    </w:rPr>
  </w:style>
  <w:style w:type="paragraph" w:customStyle="1" w:styleId="110">
    <w:name w:val="Char2 Char Char Char Char Char Char"/>
    <w:basedOn w:val="1"/>
    <w:qFormat/>
    <w:uiPriority w:val="0"/>
    <w:rPr>
      <w:rFonts w:ascii="仿宋_GB2312" w:hAnsi="Times New Roman"/>
      <w:b/>
      <w:sz w:val="30"/>
      <w:szCs w:val="32"/>
    </w:rPr>
  </w:style>
  <w:style w:type="paragraph" w:customStyle="1" w:styleId="111">
    <w:name w:val="MM Topic 2"/>
    <w:basedOn w:val="4"/>
    <w:qFormat/>
    <w:uiPriority w:val="0"/>
    <w:pPr>
      <w:numPr>
        <w:ilvl w:val="0"/>
        <w:numId w:val="0"/>
      </w:numPr>
      <w:tabs>
        <w:tab w:val="left" w:pos="992"/>
      </w:tabs>
    </w:pPr>
    <w:rPr>
      <w:rFonts w:cs="Times New Roman"/>
    </w:rPr>
  </w:style>
  <w:style w:type="paragraph" w:customStyle="1" w:styleId="112">
    <w:name w:val="Style Style4 + First line:  2 ch Before:  0.5 line After:  0.5 li..."/>
    <w:basedOn w:val="1"/>
    <w:qFormat/>
    <w:uiPriority w:val="0"/>
    <w:pPr>
      <w:spacing w:beforeLines="50" w:line="276" w:lineRule="auto"/>
      <w:ind w:firstLine="480" w:firstLineChars="200"/>
    </w:pPr>
    <w:rPr>
      <w:rFonts w:ascii="Arial" w:hAnsi="Arial"/>
      <w:sz w:val="24"/>
      <w:szCs w:val="20"/>
    </w:rPr>
  </w:style>
  <w:style w:type="paragraph" w:customStyle="1" w:styleId="113">
    <w:name w:val="正文 首行缩进:  2 字符 Char Char"/>
    <w:basedOn w:val="1"/>
    <w:qFormat/>
    <w:uiPriority w:val="0"/>
    <w:pPr>
      <w:spacing w:line="360" w:lineRule="auto"/>
      <w:ind w:firstLine="480"/>
    </w:pPr>
    <w:rPr>
      <w:rFonts w:ascii="Times New Roman" w:hAnsi="Times New Roman" w:cs="宋体"/>
      <w:sz w:val="24"/>
      <w:szCs w:val="20"/>
    </w:rPr>
  </w:style>
  <w:style w:type="paragraph" w:customStyle="1" w:styleId="114">
    <w:name w:val="MM Topic 8"/>
    <w:basedOn w:val="10"/>
    <w:qFormat/>
    <w:uiPriority w:val="0"/>
    <w:pPr>
      <w:tabs>
        <w:tab w:val="left" w:pos="4394"/>
      </w:tabs>
    </w:pPr>
  </w:style>
  <w:style w:type="paragraph" w:customStyle="1" w:styleId="115">
    <w:name w:val="Char1 Char Char Char Char Char Char"/>
    <w:basedOn w:val="1"/>
    <w:qFormat/>
    <w:uiPriority w:val="0"/>
    <w:rPr>
      <w:rFonts w:ascii="Tahoma" w:hAnsi="Tahoma"/>
      <w:sz w:val="24"/>
      <w:szCs w:val="20"/>
    </w:rPr>
  </w:style>
  <w:style w:type="paragraph" w:customStyle="1" w:styleId="116">
    <w:name w:val="RFI Heading 3rd Level"/>
    <w:basedOn w:val="1"/>
    <w:qFormat/>
    <w:uiPriority w:val="0"/>
    <w:pPr>
      <w:widowControl/>
      <w:tabs>
        <w:tab w:val="left" w:pos="720"/>
      </w:tabs>
      <w:ind w:left="720" w:hanging="720"/>
      <w:jc w:val="left"/>
    </w:pPr>
    <w:rPr>
      <w:rFonts w:ascii="Arial (W1)" w:hAnsi="Arial (W1)"/>
      <w:color w:val="000000"/>
      <w:kern w:val="0"/>
      <w:sz w:val="24"/>
      <w:szCs w:val="24"/>
      <w:lang w:val="en-GB" w:eastAsia="en-US"/>
    </w:rPr>
  </w:style>
  <w:style w:type="paragraph" w:customStyle="1" w:styleId="117">
    <w:name w:val="样式 小四2"/>
    <w:basedOn w:val="1"/>
    <w:qFormat/>
    <w:uiPriority w:val="0"/>
    <w:rPr>
      <w:rFonts w:ascii="宋体" w:hAnsi="宋体"/>
      <w:sz w:val="24"/>
      <w:szCs w:val="24"/>
    </w:rPr>
  </w:style>
  <w:style w:type="paragraph" w:customStyle="1" w:styleId="118">
    <w:name w:val="正文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paragraph" w:customStyle="1" w:styleId="119">
    <w:name w:val="Char Char1"/>
    <w:basedOn w:val="1"/>
    <w:next w:val="1"/>
    <w:qFormat/>
    <w:uiPriority w:val="0"/>
    <w:pPr>
      <w:spacing w:line="240" w:lineRule="atLeast"/>
      <w:ind w:left="420" w:firstLine="420"/>
      <w:jc w:val="left"/>
    </w:pPr>
    <w:rPr>
      <w:rFonts w:ascii="楷体_GB2312" w:hAnsi="宋体" w:eastAsia="楷体_GB2312"/>
      <w:bCs/>
      <w:color w:val="000000"/>
      <w:kern w:val="0"/>
      <w:sz w:val="28"/>
      <w:szCs w:val="28"/>
    </w:rPr>
  </w:style>
  <w:style w:type="paragraph" w:customStyle="1" w:styleId="120">
    <w:name w:val="1 Char"/>
    <w:basedOn w:val="1"/>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121">
    <w:name w:val="文章正文"/>
    <w:basedOn w:val="1"/>
    <w:qFormat/>
    <w:uiPriority w:val="0"/>
    <w:pPr>
      <w:spacing w:line="360" w:lineRule="auto"/>
      <w:ind w:firstLine="420"/>
    </w:pPr>
    <w:rPr>
      <w:rFonts w:ascii="Times New Roman" w:hAnsi="Times New Roman"/>
      <w:sz w:val="24"/>
      <w:szCs w:val="24"/>
    </w:rPr>
  </w:style>
  <w:style w:type="paragraph" w:customStyle="1" w:styleId="122">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23">
    <w:name w:val="文章正文 Char Char1"/>
    <w:basedOn w:val="1"/>
    <w:qFormat/>
    <w:uiPriority w:val="0"/>
    <w:pPr>
      <w:spacing w:line="360" w:lineRule="auto"/>
      <w:ind w:firstLine="420"/>
    </w:pPr>
    <w:rPr>
      <w:rFonts w:ascii="Times New Roman" w:hAnsi="Times New Roman"/>
      <w:sz w:val="24"/>
      <w:szCs w:val="24"/>
    </w:rPr>
  </w:style>
  <w:style w:type="paragraph" w:customStyle="1" w:styleId="124">
    <w:name w:val="标题2-1"/>
    <w:basedOn w:val="1"/>
    <w:qFormat/>
    <w:uiPriority w:val="0"/>
    <w:pPr>
      <w:tabs>
        <w:tab w:val="left" w:pos="0"/>
      </w:tabs>
      <w:autoSpaceDE w:val="0"/>
      <w:autoSpaceDN w:val="0"/>
      <w:adjustRightInd w:val="0"/>
      <w:spacing w:beforeLines="50"/>
      <w:jc w:val="left"/>
      <w:outlineLvl w:val="1"/>
    </w:pPr>
    <w:rPr>
      <w:rFonts w:ascii="Arial" w:hAnsi="宋体" w:cs="Arial"/>
      <w:b/>
      <w:bCs/>
      <w:color w:val="292929"/>
      <w:kern w:val="0"/>
      <w:sz w:val="28"/>
      <w:szCs w:val="28"/>
    </w:rPr>
  </w:style>
  <w:style w:type="paragraph" w:customStyle="1" w:styleId="125">
    <w:name w:val="样式"/>
    <w:link w:val="231"/>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26">
    <w:name w:val="图"/>
    <w:basedOn w:val="1"/>
    <w:qFormat/>
    <w:uiPriority w:val="0"/>
    <w:pPr>
      <w:widowControl/>
      <w:adjustRightInd w:val="0"/>
      <w:snapToGrid w:val="0"/>
      <w:jc w:val="center"/>
    </w:pPr>
    <w:rPr>
      <w:rFonts w:ascii="宋体" w:hAnsi="宋体"/>
      <w:bCs/>
      <w:szCs w:val="24"/>
    </w:rPr>
  </w:style>
  <w:style w:type="paragraph" w:customStyle="1" w:styleId="127">
    <w:name w:val="zw1"/>
    <w:basedOn w:val="1"/>
    <w:qFormat/>
    <w:uiPriority w:val="0"/>
    <w:pPr>
      <w:widowControl/>
      <w:spacing w:line="360" w:lineRule="auto"/>
      <w:ind w:firstLine="480" w:firstLineChars="200"/>
    </w:pPr>
    <w:rPr>
      <w:rFonts w:ascii="Times New Roman" w:hAnsi="Times New Roman"/>
      <w:kern w:val="0"/>
      <w:sz w:val="24"/>
      <w:szCs w:val="20"/>
    </w:rPr>
  </w:style>
  <w:style w:type="paragraph" w:customStyle="1" w:styleId="128">
    <w:name w:val="Char Char Char Char Char Char Char"/>
    <w:basedOn w:val="1"/>
    <w:qFormat/>
    <w:uiPriority w:val="0"/>
    <w:pPr>
      <w:widowControl/>
      <w:snapToGrid w:val="0"/>
      <w:spacing w:line="240" w:lineRule="exact"/>
      <w:jc w:val="left"/>
    </w:pPr>
    <w:rPr>
      <w:rFonts w:ascii="Verdana" w:hAnsi="Verdana"/>
      <w:kern w:val="0"/>
      <w:sz w:val="20"/>
      <w:szCs w:val="20"/>
      <w:lang w:eastAsia="en-US"/>
    </w:rPr>
  </w:style>
  <w:style w:type="paragraph" w:customStyle="1" w:styleId="129">
    <w:name w:val="MM Topic 1"/>
    <w:basedOn w:val="3"/>
    <w:qFormat/>
    <w:uiPriority w:val="0"/>
    <w:pPr>
      <w:tabs>
        <w:tab w:val="left" w:pos="425"/>
      </w:tabs>
    </w:pPr>
    <w:rPr>
      <w:rFonts w:cs="Times New Roman"/>
      <w:sz w:val="44"/>
    </w:rPr>
  </w:style>
  <w:style w:type="paragraph" w:customStyle="1" w:styleId="130">
    <w:name w:val="正文格式"/>
    <w:basedOn w:val="1"/>
    <w:qFormat/>
    <w:uiPriority w:val="0"/>
    <w:pPr>
      <w:widowControl/>
      <w:adjustRightInd w:val="0"/>
      <w:snapToGrid w:val="0"/>
      <w:spacing w:beforeLines="25" w:line="360" w:lineRule="auto"/>
      <w:ind w:firstLine="480" w:firstLineChars="200"/>
    </w:pPr>
    <w:rPr>
      <w:rFonts w:ascii="宋体" w:hAnsi="宋体"/>
      <w:bCs/>
      <w:color w:val="000000"/>
      <w:kern w:val="0"/>
      <w:sz w:val="24"/>
      <w:szCs w:val="24"/>
    </w:rPr>
  </w:style>
  <w:style w:type="paragraph" w:customStyle="1" w:styleId="131">
    <w:name w:val="样式 标题 5 + 倾斜"/>
    <w:basedOn w:val="7"/>
    <w:qFormat/>
    <w:uiPriority w:val="0"/>
    <w:pPr>
      <w:widowControl/>
      <w:tabs>
        <w:tab w:val="left" w:pos="992"/>
        <w:tab w:val="clear" w:pos="1134"/>
      </w:tabs>
      <w:overflowPunct w:val="0"/>
      <w:autoSpaceDE w:val="0"/>
      <w:autoSpaceDN w:val="0"/>
      <w:adjustRightInd w:val="0"/>
      <w:snapToGrid w:val="0"/>
      <w:spacing w:before="100" w:beforeAutospacing="1" w:after="100" w:afterAutospacing="1" w:line="288" w:lineRule="auto"/>
      <w:ind w:left="0" w:firstLine="0"/>
      <w:jc w:val="left"/>
    </w:pPr>
    <w:rPr>
      <w:rFonts w:ascii="Arial" w:hAnsi="Arial"/>
      <w:bCs w:val="0"/>
      <w:iCs/>
      <w:color w:val="000000"/>
    </w:rPr>
  </w:style>
  <w:style w:type="character" w:customStyle="1" w:styleId="132">
    <w:name w:val="彩色列表 - 强调文字颜色 1 Char"/>
    <w:link w:val="133"/>
    <w:qFormat/>
    <w:locked/>
    <w:uiPriority w:val="0"/>
    <w:rPr>
      <w:rFonts w:ascii="Calibri" w:hAnsi="Calibri" w:cs="Calibri"/>
    </w:rPr>
  </w:style>
  <w:style w:type="paragraph" w:customStyle="1" w:styleId="133">
    <w:name w:val="彩色列表 - 强调文字颜色 11"/>
    <w:basedOn w:val="1"/>
    <w:link w:val="132"/>
    <w:qFormat/>
    <w:uiPriority w:val="0"/>
    <w:pPr>
      <w:ind w:firstLine="420" w:firstLineChars="200"/>
    </w:pPr>
    <w:rPr>
      <w:rFonts w:cs="Calibri" w:eastAsiaTheme="minorEastAsia"/>
    </w:rPr>
  </w:style>
  <w:style w:type="paragraph" w:customStyle="1" w:styleId="134">
    <w:name w:val="我的正文"/>
    <w:basedOn w:val="1"/>
    <w:qFormat/>
    <w:uiPriority w:val="0"/>
    <w:pPr>
      <w:spacing w:line="360" w:lineRule="auto"/>
      <w:ind w:firstLine="420" w:firstLineChars="200"/>
    </w:pPr>
    <w:rPr>
      <w:rFonts w:ascii="宋体" w:hAnsi="宋体"/>
      <w:szCs w:val="24"/>
    </w:rPr>
  </w:style>
  <w:style w:type="paragraph" w:customStyle="1" w:styleId="135">
    <w:name w:val="MM Topic 7"/>
    <w:basedOn w:val="9"/>
    <w:qFormat/>
    <w:uiPriority w:val="0"/>
    <w:pPr>
      <w:keepLines/>
      <w:widowControl w:val="0"/>
      <w:tabs>
        <w:tab w:val="left" w:pos="3827"/>
        <w:tab w:val="clear" w:pos="3600"/>
      </w:tabs>
      <w:spacing w:before="240" w:after="64" w:line="314" w:lineRule="auto"/>
      <w:jc w:val="both"/>
    </w:pPr>
    <w:rPr>
      <w:rFonts w:ascii="Times New Roman" w:hAnsi="Times New Roman"/>
      <w:iCs w:val="0"/>
      <w:kern w:val="2"/>
      <w:sz w:val="24"/>
      <w:lang w:eastAsia="zh-CN"/>
    </w:rPr>
  </w:style>
  <w:style w:type="paragraph" w:customStyle="1" w:styleId="136">
    <w:name w:val="标书（正文）"/>
    <w:basedOn w:val="1"/>
    <w:qFormat/>
    <w:uiPriority w:val="0"/>
    <w:pPr>
      <w:spacing w:line="360" w:lineRule="auto"/>
      <w:ind w:firstLine="560" w:firstLineChars="200"/>
    </w:pPr>
    <w:rPr>
      <w:rFonts w:ascii="宋体" w:hAnsi="宋体"/>
      <w:kern w:val="10"/>
      <w:sz w:val="28"/>
      <w:szCs w:val="28"/>
    </w:rPr>
  </w:style>
  <w:style w:type="paragraph" w:customStyle="1" w:styleId="137">
    <w:name w:val="样式 标题 3 + (西文) 仿宋_GB2312 (中文) 仿宋_GB2312 四号"/>
    <w:basedOn w:val="5"/>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s="Times New Roman"/>
      <w:color w:val="auto"/>
    </w:rPr>
  </w:style>
  <w:style w:type="paragraph" w:customStyle="1" w:styleId="138">
    <w:name w:val="论文正文"/>
    <w:basedOn w:val="1"/>
    <w:qFormat/>
    <w:uiPriority w:val="0"/>
    <w:pPr>
      <w:spacing w:line="360" w:lineRule="auto"/>
      <w:ind w:firstLine="700" w:firstLineChars="250"/>
    </w:pPr>
    <w:rPr>
      <w:rFonts w:ascii="宋体" w:hAnsi="宋体"/>
      <w:bCs/>
      <w:sz w:val="28"/>
      <w:szCs w:val="28"/>
    </w:rPr>
  </w:style>
  <w:style w:type="paragraph" w:customStyle="1" w:styleId="139">
    <w:name w:val="样式1"/>
    <w:basedOn w:val="1"/>
    <w:qFormat/>
    <w:uiPriority w:val="0"/>
    <w:rPr>
      <w:rFonts w:ascii="Times New Roman" w:hAnsi="Times New Roman" w:eastAsia="隶书"/>
      <w:i/>
      <w:dstrike/>
      <w:sz w:val="28"/>
      <w:szCs w:val="18"/>
    </w:rPr>
  </w:style>
  <w:style w:type="paragraph" w:customStyle="1" w:styleId="140">
    <w:name w:val="表格"/>
    <w:basedOn w:val="1"/>
    <w:qFormat/>
    <w:uiPriority w:val="0"/>
    <w:pPr>
      <w:spacing w:line="400" w:lineRule="exact"/>
    </w:pPr>
    <w:rPr>
      <w:rFonts w:ascii="Times New Roman" w:hAnsi="Times New Roman"/>
      <w:sz w:val="24"/>
      <w:szCs w:val="24"/>
    </w:rPr>
  </w:style>
  <w:style w:type="paragraph" w:customStyle="1" w:styleId="141">
    <w:name w:val="彩色底纹 - 强调文字颜色 11"/>
    <w:qFormat/>
    <w:uiPriority w:val="0"/>
    <w:rPr>
      <w:rFonts w:ascii="Calibri" w:hAnsi="Calibri" w:eastAsia="宋体" w:cs="Times New Roman"/>
      <w:kern w:val="2"/>
      <w:sz w:val="21"/>
      <w:szCs w:val="22"/>
      <w:lang w:val="en-US" w:eastAsia="zh-CN" w:bidi="ar-SA"/>
    </w:rPr>
  </w:style>
  <w:style w:type="paragraph" w:customStyle="1" w:styleId="142">
    <w:name w:val="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43">
    <w:name w:val="Char Char Char Char Char Char Char Char Char Char Char Char Char"/>
    <w:basedOn w:val="15"/>
    <w:qFormat/>
    <w:uiPriority w:val="0"/>
    <w:rPr>
      <w:rFonts w:ascii="Tahoma" w:hAnsi="Tahoma"/>
      <w:sz w:val="24"/>
      <w:szCs w:val="24"/>
    </w:rPr>
  </w:style>
  <w:style w:type="paragraph" w:customStyle="1" w:styleId="144">
    <w:name w:val="MM Topic 3"/>
    <w:basedOn w:val="5"/>
    <w:qFormat/>
    <w:uiPriority w:val="0"/>
    <w:pPr>
      <w:numPr>
        <w:ilvl w:val="0"/>
        <w:numId w:val="0"/>
      </w:numPr>
      <w:tabs>
        <w:tab w:val="left" w:pos="1418"/>
      </w:tabs>
    </w:pPr>
    <w:rPr>
      <w:rFonts w:cs="Times New Roman"/>
    </w:rPr>
  </w:style>
  <w:style w:type="paragraph" w:customStyle="1" w:styleId="145">
    <w:name w:val="样式 仿宋_GB2312 小四 左侧:  0.63 厘米"/>
    <w:basedOn w:val="1"/>
    <w:qFormat/>
    <w:uiPriority w:val="0"/>
    <w:pPr>
      <w:spacing w:before="120" w:after="120" w:line="360" w:lineRule="auto"/>
      <w:ind w:left="357" w:firstLine="200" w:firstLineChars="200"/>
    </w:pPr>
    <w:rPr>
      <w:rFonts w:ascii="仿宋_GB2312" w:hAnsi="仿宋_GB2312" w:eastAsia="仿宋_GB2312" w:cs="宋体"/>
      <w:sz w:val="24"/>
      <w:szCs w:val="20"/>
    </w:rPr>
  </w:style>
  <w:style w:type="paragraph" w:customStyle="1" w:styleId="146">
    <w:name w:val="样式 宋体 小四 行距: 1.5 倍行距"/>
    <w:basedOn w:val="1"/>
    <w:qFormat/>
    <w:uiPriority w:val="0"/>
    <w:pPr>
      <w:tabs>
        <w:tab w:val="left" w:pos="5190"/>
      </w:tabs>
      <w:spacing w:before="100" w:beforeAutospacing="1" w:after="100" w:afterAutospacing="1" w:line="288" w:lineRule="auto"/>
      <w:ind w:firstLine="480"/>
    </w:pPr>
    <w:rPr>
      <w:rFonts w:ascii="宋体" w:hAnsi="宋体"/>
      <w:bCs/>
      <w:sz w:val="24"/>
      <w:szCs w:val="24"/>
    </w:rPr>
  </w:style>
  <w:style w:type="paragraph" w:customStyle="1" w:styleId="147">
    <w:name w:val="Char Char Char Char"/>
    <w:basedOn w:val="1"/>
    <w:qFormat/>
    <w:uiPriority w:val="0"/>
    <w:rPr>
      <w:rFonts w:ascii="Tahoma" w:hAnsi="Tahoma"/>
      <w:sz w:val="24"/>
      <w:szCs w:val="20"/>
    </w:rPr>
  </w:style>
  <w:style w:type="paragraph" w:customStyle="1" w:styleId="148">
    <w:name w:val="Style8"/>
    <w:basedOn w:val="1"/>
    <w:qFormat/>
    <w:uiPriority w:val="0"/>
    <w:pPr>
      <w:tabs>
        <w:tab w:val="left" w:pos="1304"/>
      </w:tabs>
      <w:spacing w:beforeLines="50" w:line="276" w:lineRule="auto"/>
      <w:ind w:left="1304" w:hanging="397"/>
    </w:pPr>
    <w:rPr>
      <w:rFonts w:ascii="Arial" w:hAnsi="Arial"/>
      <w:sz w:val="24"/>
      <w:szCs w:val="24"/>
    </w:rPr>
  </w:style>
  <w:style w:type="paragraph" w:customStyle="1" w:styleId="149">
    <w:name w:val="MM Topic 9"/>
    <w:basedOn w:val="11"/>
    <w:qFormat/>
    <w:uiPriority w:val="0"/>
    <w:pPr>
      <w:tabs>
        <w:tab w:val="left" w:pos="5102"/>
      </w:tabs>
    </w:pPr>
  </w:style>
  <w:style w:type="paragraph" w:customStyle="1" w:styleId="150">
    <w:name w:val="MM Topic 5"/>
    <w:basedOn w:val="7"/>
    <w:qFormat/>
    <w:uiPriority w:val="0"/>
    <w:pPr>
      <w:tabs>
        <w:tab w:val="left" w:pos="2551"/>
        <w:tab w:val="clear" w:pos="1134"/>
        <w:tab w:val="clear" w:pos="1560"/>
      </w:tabs>
      <w:ind w:left="0" w:firstLine="0"/>
    </w:pPr>
  </w:style>
  <w:style w:type="paragraph" w:customStyle="1" w:styleId="151">
    <w:name w:val="大纲正文"/>
    <w:basedOn w:val="1"/>
    <w:qFormat/>
    <w:uiPriority w:val="0"/>
    <w:pPr>
      <w:spacing w:line="360" w:lineRule="auto"/>
      <w:ind w:firstLine="480" w:firstLineChars="200"/>
    </w:pPr>
    <w:rPr>
      <w:rFonts w:ascii="Times New Roman" w:hAnsi="Times New Roman"/>
      <w:sz w:val="24"/>
      <w:szCs w:val="20"/>
    </w:rPr>
  </w:style>
  <w:style w:type="paragraph" w:customStyle="1" w:styleId="152">
    <w:name w:val="MM Topic 4"/>
    <w:basedOn w:val="6"/>
    <w:qFormat/>
    <w:uiPriority w:val="0"/>
    <w:pPr>
      <w:tabs>
        <w:tab w:val="left" w:pos="1984"/>
      </w:tabs>
      <w:ind w:left="0" w:firstLine="0"/>
    </w:pPr>
  </w:style>
  <w:style w:type="paragraph" w:customStyle="1" w:styleId="153">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54">
    <w:name w:val="样式 小四 首行缩进:  0.74 厘米"/>
    <w:basedOn w:val="1"/>
    <w:qFormat/>
    <w:uiPriority w:val="0"/>
    <w:pPr>
      <w:spacing w:before="100" w:beforeAutospacing="1" w:after="100" w:afterAutospacing="1" w:line="300" w:lineRule="auto"/>
      <w:ind w:firstLine="420" w:firstLineChars="175"/>
    </w:pPr>
    <w:rPr>
      <w:rFonts w:ascii="宋体" w:hAnsi="宋体"/>
      <w:sz w:val="24"/>
      <w:szCs w:val="24"/>
    </w:rPr>
  </w:style>
  <w:style w:type="paragraph" w:customStyle="1" w:styleId="155">
    <w:name w:val="样式 标题 2H2第一章 标题 2Heading 2 HiddenHeading 2 CCBSheading 2h2..."/>
    <w:basedOn w:val="4"/>
    <w:qFormat/>
    <w:uiPriority w:val="0"/>
    <w:pPr>
      <w:tabs>
        <w:tab w:val="left" w:pos="-2493"/>
      </w:tabs>
    </w:pPr>
    <w:rPr>
      <w:rFonts w:cs="Times New Roman"/>
      <w:szCs w:val="20"/>
    </w:rPr>
  </w:style>
  <w:style w:type="paragraph" w:customStyle="1" w:styleId="156">
    <w:name w:val="正文首行缩进两字符"/>
    <w:basedOn w:val="1"/>
    <w:qFormat/>
    <w:uiPriority w:val="0"/>
    <w:pPr>
      <w:spacing w:line="360" w:lineRule="auto"/>
      <w:ind w:firstLine="200" w:firstLineChars="200"/>
    </w:pPr>
    <w:rPr>
      <w:rFonts w:ascii="Times New Roman" w:hAnsi="Times New Roman"/>
      <w:szCs w:val="24"/>
    </w:rPr>
  </w:style>
  <w:style w:type="paragraph" w:customStyle="1" w:styleId="157">
    <w:name w:val="列出段落2"/>
    <w:basedOn w:val="1"/>
    <w:qFormat/>
    <w:uiPriority w:val="0"/>
    <w:pPr>
      <w:ind w:firstLine="420" w:firstLineChars="200"/>
    </w:pPr>
  </w:style>
  <w:style w:type="paragraph" w:customStyle="1" w:styleId="158">
    <w:name w:val="列出段落4"/>
    <w:basedOn w:val="1"/>
    <w:qFormat/>
    <w:uiPriority w:val="0"/>
    <w:pPr>
      <w:ind w:firstLine="420" w:firstLineChars="200"/>
    </w:pPr>
    <w:rPr>
      <w:rFonts w:ascii="Times New Roman" w:hAnsi="Times New Roman"/>
      <w:szCs w:val="24"/>
    </w:rPr>
  </w:style>
  <w:style w:type="paragraph" w:customStyle="1" w:styleId="159">
    <w:name w:val="列出段落1111"/>
    <w:basedOn w:val="1"/>
    <w:qFormat/>
    <w:uiPriority w:val="0"/>
    <w:pPr>
      <w:ind w:firstLine="420" w:firstLineChars="200"/>
    </w:pPr>
  </w:style>
  <w:style w:type="paragraph" w:customStyle="1" w:styleId="160">
    <w:name w:val="彩色列表 - 强调文字颜色 12"/>
    <w:basedOn w:val="1"/>
    <w:qFormat/>
    <w:uiPriority w:val="0"/>
    <w:pPr>
      <w:ind w:firstLine="420" w:firstLineChars="200"/>
    </w:pPr>
  </w:style>
  <w:style w:type="character" w:customStyle="1" w:styleId="161">
    <w:name w:val="Char Char8"/>
    <w:qFormat/>
    <w:uiPriority w:val="0"/>
    <w:rPr>
      <w:rFonts w:hint="eastAsia" w:ascii="宋体" w:hAnsi="宋体" w:eastAsia="宋体"/>
      <w:kern w:val="2"/>
      <w:sz w:val="28"/>
      <w:szCs w:val="28"/>
    </w:rPr>
  </w:style>
  <w:style w:type="character" w:customStyle="1" w:styleId="162">
    <w:name w:val="Char Char5"/>
    <w:qFormat/>
    <w:uiPriority w:val="0"/>
    <w:rPr>
      <w:kern w:val="2"/>
      <w:sz w:val="21"/>
      <w:szCs w:val="24"/>
    </w:rPr>
  </w:style>
  <w:style w:type="character" w:customStyle="1" w:styleId="163">
    <w:name w:val="列出段落 Char Char"/>
    <w:qFormat/>
    <w:uiPriority w:val="0"/>
    <w:rPr>
      <w:rFonts w:hint="default" w:ascii="Calibri" w:hAnsi="Calibri" w:cs="Calibri"/>
      <w:kern w:val="2"/>
      <w:sz w:val="21"/>
      <w:szCs w:val="22"/>
    </w:rPr>
  </w:style>
  <w:style w:type="character" w:customStyle="1" w:styleId="164">
    <w:name w:val="正文文本 Char Char"/>
    <w:qFormat/>
    <w:uiPriority w:val="0"/>
    <w:rPr>
      <w:kern w:val="2"/>
      <w:sz w:val="21"/>
      <w:szCs w:val="24"/>
    </w:rPr>
  </w:style>
  <w:style w:type="character" w:customStyle="1" w:styleId="165">
    <w:name w:val="Char Char11"/>
    <w:qFormat/>
    <w:uiPriority w:val="0"/>
    <w:rPr>
      <w:rFonts w:hint="default" w:ascii="Arial Narrow" w:hAnsi="Arial Narrow"/>
      <w:b/>
      <w:bCs/>
      <w:iCs/>
      <w:szCs w:val="24"/>
      <w:lang w:eastAsia="en-US"/>
    </w:rPr>
  </w:style>
  <w:style w:type="character" w:customStyle="1" w:styleId="166">
    <w:name w:val="标书（正文） Char Char"/>
    <w:qFormat/>
    <w:uiPriority w:val="0"/>
    <w:rPr>
      <w:rFonts w:hint="eastAsia" w:ascii="宋体" w:hAnsi="宋体" w:eastAsia="宋体"/>
      <w:b/>
      <w:kern w:val="10"/>
      <w:sz w:val="21"/>
      <w:szCs w:val="21"/>
      <w:lang w:val="en-US" w:eastAsia="zh-CN" w:bidi="ar-SA"/>
    </w:rPr>
  </w:style>
  <w:style w:type="character" w:customStyle="1" w:styleId="167">
    <w:name w:val="line2"/>
    <w:basedOn w:val="46"/>
    <w:qFormat/>
    <w:uiPriority w:val="0"/>
  </w:style>
  <w:style w:type="character" w:customStyle="1" w:styleId="168">
    <w:name w:val="Char Char10"/>
    <w:qFormat/>
    <w:uiPriority w:val="0"/>
    <w:rPr>
      <w:kern w:val="2"/>
      <w:sz w:val="24"/>
      <w:szCs w:val="24"/>
    </w:rPr>
  </w:style>
  <w:style w:type="character" w:customStyle="1" w:styleId="169">
    <w:name w:val="MM Topic 4 Char Char"/>
    <w:qFormat/>
    <w:uiPriority w:val="0"/>
    <w:rPr>
      <w:rFonts w:hint="default" w:ascii="Arial" w:hAnsi="Arial" w:cs="Arial"/>
      <w:b/>
      <w:bCs/>
      <w:kern w:val="2"/>
      <w:sz w:val="28"/>
      <w:szCs w:val="28"/>
    </w:rPr>
  </w:style>
  <w:style w:type="character" w:customStyle="1" w:styleId="170">
    <w:name w:val="标书正文:  0.74 厘米 Char Char"/>
    <w:qFormat/>
    <w:uiPriority w:val="0"/>
    <w:rPr>
      <w:kern w:val="2"/>
      <w:sz w:val="24"/>
    </w:rPr>
  </w:style>
  <w:style w:type="character" w:customStyle="1" w:styleId="171">
    <w:name w:val="访问过的超链接1"/>
    <w:qFormat/>
    <w:uiPriority w:val="99"/>
    <w:rPr>
      <w:color w:val="800080"/>
      <w:u w:val="single"/>
    </w:rPr>
  </w:style>
  <w:style w:type="character" w:customStyle="1" w:styleId="172">
    <w:name w:val="标题 3 Char Char Char"/>
    <w:qFormat/>
    <w:uiPriority w:val="0"/>
    <w:rPr>
      <w:rFonts w:hint="eastAsia" w:ascii="宋体" w:hAnsi="宋体" w:eastAsia="宋体"/>
      <w:b/>
      <w:kern w:val="2"/>
      <w:sz w:val="32"/>
      <w:lang w:val="en-US" w:eastAsia="zh-CN" w:bidi="ar-SA"/>
    </w:rPr>
  </w:style>
  <w:style w:type="character" w:customStyle="1" w:styleId="173">
    <w:name w:val="（符号）邀请函中一、"/>
    <w:qFormat/>
    <w:uiPriority w:val="0"/>
    <w:rPr>
      <w:rFonts w:hint="eastAsia" w:ascii="黑体" w:hAnsi="黑体" w:eastAsia="黑体"/>
      <w:b/>
      <w:bCs/>
      <w:sz w:val="24"/>
    </w:rPr>
  </w:style>
  <w:style w:type="character" w:customStyle="1" w:styleId="174">
    <w:name w:val="tt Char"/>
    <w:qFormat/>
    <w:uiPriority w:val="0"/>
    <w:rPr>
      <w:rFonts w:hint="default" w:ascii="Arial" w:hAnsi="Arial" w:eastAsia="黑体" w:cs="Arial"/>
      <w:kern w:val="2"/>
      <w:sz w:val="21"/>
      <w:szCs w:val="21"/>
    </w:rPr>
  </w:style>
  <w:style w:type="character" w:customStyle="1" w:styleId="175">
    <w:name w:val="Char Char9"/>
    <w:qFormat/>
    <w:uiPriority w:val="0"/>
    <w:rPr>
      <w:kern w:val="2"/>
      <w:sz w:val="18"/>
      <w:szCs w:val="18"/>
    </w:rPr>
  </w:style>
  <w:style w:type="character" w:customStyle="1" w:styleId="176">
    <w:name w:val="MM Topic 3 Char Char"/>
    <w:qFormat/>
    <w:uiPriority w:val="0"/>
    <w:rPr>
      <w:rFonts w:hint="eastAsia" w:ascii="宋体" w:hAnsi="宋体" w:eastAsia="宋体"/>
      <w:b/>
      <w:bCs/>
      <w:color w:val="000000"/>
      <w:kern w:val="2"/>
      <w:sz w:val="28"/>
      <w:szCs w:val="28"/>
    </w:rPr>
  </w:style>
  <w:style w:type="character" w:customStyle="1" w:styleId="177">
    <w:name w:val="样式 小四2 Char Char"/>
    <w:qFormat/>
    <w:uiPriority w:val="0"/>
    <w:rPr>
      <w:rFonts w:hint="eastAsia" w:ascii="宋体" w:hAnsi="宋体" w:eastAsia="宋体"/>
      <w:kern w:val="2"/>
      <w:sz w:val="24"/>
      <w:szCs w:val="24"/>
    </w:rPr>
  </w:style>
  <w:style w:type="character" w:customStyle="1" w:styleId="178">
    <w:name w:val="Char Char7"/>
    <w:qFormat/>
    <w:uiPriority w:val="0"/>
    <w:rPr>
      <w:kern w:val="2"/>
      <w:sz w:val="18"/>
      <w:szCs w:val="18"/>
    </w:rPr>
  </w:style>
  <w:style w:type="character" w:customStyle="1" w:styleId="179">
    <w:name w:val="Char Char3"/>
    <w:qFormat/>
    <w:uiPriority w:val="0"/>
    <w:rPr>
      <w:b/>
      <w:bCs/>
      <w:kern w:val="2"/>
      <w:sz w:val="18"/>
      <w:szCs w:val="18"/>
    </w:rPr>
  </w:style>
  <w:style w:type="character" w:customStyle="1" w:styleId="180">
    <w:name w:val="apple-style-span"/>
    <w:basedOn w:val="46"/>
    <w:qFormat/>
    <w:uiPriority w:val="0"/>
  </w:style>
  <w:style w:type="character" w:customStyle="1" w:styleId="181">
    <w:name w:val="Char Char4"/>
    <w:qFormat/>
    <w:uiPriority w:val="0"/>
    <w:rPr>
      <w:kern w:val="2"/>
      <w:sz w:val="18"/>
      <w:szCs w:val="18"/>
    </w:rPr>
  </w:style>
  <w:style w:type="character" w:customStyle="1" w:styleId="182">
    <w:name w:val="副标题 Char1"/>
    <w:qFormat/>
    <w:uiPriority w:val="11"/>
    <w:rPr>
      <w:rFonts w:hint="default" w:ascii="Cambria" w:hAnsi="Cambria" w:cs="Times New Roman"/>
      <w:b/>
      <w:bCs/>
      <w:kern w:val="28"/>
      <w:sz w:val="32"/>
      <w:szCs w:val="32"/>
    </w:rPr>
  </w:style>
  <w:style w:type="character" w:customStyle="1" w:styleId="183">
    <w:name w:val="small"/>
    <w:basedOn w:val="46"/>
    <w:qFormat/>
    <w:uiPriority w:val="0"/>
  </w:style>
  <w:style w:type="character" w:customStyle="1" w:styleId="184">
    <w:name w:val="Legal Level 1.1.1. Char"/>
    <w:qFormat/>
    <w:uiPriority w:val="0"/>
    <w:rPr>
      <w:rFonts w:hint="default" w:ascii="Arial" w:hAnsi="Arial" w:eastAsia="黑体" w:cs="Arial"/>
      <w:kern w:val="2"/>
      <w:sz w:val="24"/>
      <w:szCs w:val="24"/>
    </w:rPr>
  </w:style>
  <w:style w:type="character" w:customStyle="1" w:styleId="185">
    <w:name w:val="文章正文 Char Char"/>
    <w:qFormat/>
    <w:uiPriority w:val="0"/>
    <w:rPr>
      <w:rFonts w:hint="eastAsia" w:ascii="宋体" w:hAnsi="宋体" w:eastAsia="宋体"/>
      <w:kern w:val="2"/>
      <w:sz w:val="24"/>
      <w:szCs w:val="24"/>
      <w:lang w:val="en-US" w:eastAsia="zh-CN" w:bidi="ar-SA"/>
    </w:rPr>
  </w:style>
  <w:style w:type="character" w:customStyle="1" w:styleId="186">
    <w:name w:val="正文文本 Char1"/>
    <w:qFormat/>
    <w:uiPriority w:val="0"/>
    <w:rPr>
      <w:rFonts w:hint="default" w:ascii="Times New Roman" w:hAnsi="Times New Roman" w:eastAsia="宋体" w:cs="Times New Roman"/>
      <w:kern w:val="0"/>
      <w:sz w:val="18"/>
      <w:szCs w:val="18"/>
    </w:rPr>
  </w:style>
  <w:style w:type="character" w:customStyle="1" w:styleId="187">
    <w:name w:val="正文文本 字符"/>
    <w:basedOn w:val="46"/>
    <w:link w:val="18"/>
    <w:qFormat/>
    <w:locked/>
    <w:uiPriority w:val="0"/>
    <w:rPr>
      <w:rFonts w:ascii="Times New Roman" w:hAnsi="Times New Roman" w:eastAsia="宋体" w:cs="Times New Roman"/>
      <w:kern w:val="0"/>
      <w:sz w:val="20"/>
      <w:szCs w:val="20"/>
    </w:rPr>
  </w:style>
  <w:style w:type="character" w:customStyle="1" w:styleId="188">
    <w:name w:val="CD正文 Char Char"/>
    <w:qFormat/>
    <w:uiPriority w:val="0"/>
    <w:rPr>
      <w:rFonts w:hint="eastAsia" w:ascii="宋体" w:hAnsi="宋体" w:eastAsia="宋体"/>
      <w:kern w:val="2"/>
      <w:sz w:val="30"/>
      <w:szCs w:val="28"/>
      <w:lang w:val="en-US" w:eastAsia="zh-CN" w:bidi="ar-SA"/>
    </w:rPr>
  </w:style>
  <w:style w:type="character" w:customStyle="1" w:styleId="189">
    <w:name w:val="Char Char2"/>
    <w:qFormat/>
    <w:uiPriority w:val="0"/>
    <w:rPr>
      <w:kern w:val="2"/>
      <w:sz w:val="18"/>
      <w:szCs w:val="18"/>
    </w:rPr>
  </w:style>
  <w:style w:type="character" w:customStyle="1" w:styleId="190">
    <w:name w:val="表正文 Char1"/>
    <w:qFormat/>
    <w:uiPriority w:val="0"/>
    <w:rPr>
      <w:rFonts w:hint="eastAsia" w:ascii="宋体" w:hAnsi="宋体" w:eastAsia="宋体"/>
      <w:kern w:val="2"/>
      <w:sz w:val="21"/>
      <w:lang w:val="en-US" w:eastAsia="zh-CN" w:bidi="ar-SA"/>
    </w:rPr>
  </w:style>
  <w:style w:type="character" w:customStyle="1" w:styleId="191">
    <w:name w:val="纯文本 字符"/>
    <w:link w:val="23"/>
    <w:qFormat/>
    <w:locked/>
    <w:uiPriority w:val="99"/>
    <w:rPr>
      <w:rFonts w:ascii="宋体" w:hAnsi="Courier New" w:eastAsia="宋体" w:cs="Times New Roman"/>
      <w:kern w:val="0"/>
      <w:sz w:val="20"/>
      <w:szCs w:val="18"/>
    </w:rPr>
  </w:style>
  <w:style w:type="character" w:customStyle="1" w:styleId="192">
    <w:name w:val="Char Char Char"/>
    <w:qFormat/>
    <w:uiPriority w:val="0"/>
    <w:rPr>
      <w:rFonts w:hint="eastAsia" w:ascii="宋体" w:hAnsi="宋体" w:eastAsia="宋体"/>
      <w:kern w:val="2"/>
      <w:sz w:val="18"/>
      <w:szCs w:val="18"/>
      <w:lang w:val="en-US" w:eastAsia="zh-CN" w:bidi="ar-SA"/>
    </w:rPr>
  </w:style>
  <w:style w:type="character" w:customStyle="1" w:styleId="193">
    <w:name w:val="Char Char6"/>
    <w:qFormat/>
    <w:uiPriority w:val="0"/>
    <w:rPr>
      <w:kern w:val="2"/>
      <w:sz w:val="21"/>
      <w:szCs w:val="24"/>
    </w:rPr>
  </w:style>
  <w:style w:type="character" w:customStyle="1" w:styleId="194">
    <w:name w:val="正文文本缩进 2 Char1"/>
    <w:basedOn w:val="46"/>
    <w:semiHidden/>
    <w:qFormat/>
    <w:uiPriority w:val="99"/>
    <w:rPr>
      <w:rFonts w:hint="default" w:ascii="Calibri" w:hAnsi="Calibri" w:cs="Calibri"/>
      <w:kern w:val="2"/>
      <w:sz w:val="21"/>
      <w:szCs w:val="22"/>
    </w:rPr>
  </w:style>
  <w:style w:type="character" w:customStyle="1" w:styleId="195">
    <w:name w:val="正文文本缩进 Char1"/>
    <w:basedOn w:val="46"/>
    <w:semiHidden/>
    <w:qFormat/>
    <w:uiPriority w:val="99"/>
    <w:rPr>
      <w:rFonts w:hint="default" w:ascii="Calibri" w:hAnsi="Calibri" w:cs="Calibri"/>
      <w:kern w:val="2"/>
      <w:sz w:val="21"/>
      <w:szCs w:val="22"/>
    </w:rPr>
  </w:style>
  <w:style w:type="character" w:customStyle="1" w:styleId="196">
    <w:name w:val="页脚 Char1"/>
    <w:basedOn w:val="46"/>
    <w:semiHidden/>
    <w:qFormat/>
    <w:uiPriority w:val="99"/>
    <w:rPr>
      <w:rFonts w:hint="default" w:ascii="Calibri" w:hAnsi="Calibri" w:cs="Calibri"/>
      <w:kern w:val="2"/>
      <w:sz w:val="18"/>
      <w:szCs w:val="18"/>
    </w:rPr>
  </w:style>
  <w:style w:type="character" w:customStyle="1" w:styleId="197">
    <w:name w:val="正文文本 3 Char1"/>
    <w:basedOn w:val="46"/>
    <w:semiHidden/>
    <w:qFormat/>
    <w:uiPriority w:val="99"/>
    <w:rPr>
      <w:rFonts w:hint="default" w:ascii="Calibri" w:hAnsi="Calibri" w:cs="Calibri"/>
      <w:kern w:val="2"/>
      <w:sz w:val="16"/>
      <w:szCs w:val="16"/>
    </w:rPr>
  </w:style>
  <w:style w:type="character" w:customStyle="1" w:styleId="198">
    <w:name w:val="正文文本缩进 3 Char1"/>
    <w:basedOn w:val="46"/>
    <w:semiHidden/>
    <w:qFormat/>
    <w:uiPriority w:val="99"/>
    <w:rPr>
      <w:rFonts w:hint="default" w:ascii="Calibri" w:hAnsi="Calibri" w:cs="Calibri"/>
      <w:kern w:val="2"/>
      <w:sz w:val="16"/>
      <w:szCs w:val="16"/>
    </w:rPr>
  </w:style>
  <w:style w:type="character" w:customStyle="1" w:styleId="199">
    <w:name w:val="批注框文本 Char1"/>
    <w:basedOn w:val="46"/>
    <w:semiHidden/>
    <w:qFormat/>
    <w:uiPriority w:val="99"/>
    <w:rPr>
      <w:rFonts w:hint="default" w:ascii="Calibri" w:hAnsi="Calibri" w:cs="Calibri"/>
      <w:kern w:val="2"/>
      <w:sz w:val="18"/>
      <w:szCs w:val="18"/>
    </w:rPr>
  </w:style>
  <w:style w:type="character" w:customStyle="1" w:styleId="200">
    <w:name w:val="批注文字 字符"/>
    <w:basedOn w:val="46"/>
    <w:link w:val="16"/>
    <w:qFormat/>
    <w:locked/>
    <w:uiPriority w:val="99"/>
    <w:rPr>
      <w:rFonts w:ascii="Calibri" w:hAnsi="Calibri" w:eastAsia="宋体" w:cs="Times New Roman"/>
    </w:rPr>
  </w:style>
  <w:style w:type="character" w:customStyle="1" w:styleId="201">
    <w:name w:val="文档结构图 Char1"/>
    <w:basedOn w:val="46"/>
    <w:semiHidden/>
    <w:qFormat/>
    <w:uiPriority w:val="99"/>
    <w:rPr>
      <w:rFonts w:hint="eastAsia" w:ascii="宋体" w:hAnsi="Calibri" w:eastAsia="宋体"/>
      <w:kern w:val="2"/>
      <w:sz w:val="18"/>
      <w:szCs w:val="18"/>
    </w:rPr>
  </w:style>
  <w:style w:type="character" w:customStyle="1" w:styleId="202">
    <w:name w:val="页眉 Char1"/>
    <w:basedOn w:val="46"/>
    <w:semiHidden/>
    <w:qFormat/>
    <w:uiPriority w:val="99"/>
    <w:rPr>
      <w:rFonts w:hint="default" w:ascii="Calibri" w:hAnsi="Calibri" w:cs="Calibri"/>
      <w:kern w:val="2"/>
      <w:sz w:val="18"/>
      <w:szCs w:val="18"/>
    </w:rPr>
  </w:style>
  <w:style w:type="character" w:customStyle="1" w:styleId="203">
    <w:name w:val="日期 Char1"/>
    <w:basedOn w:val="46"/>
    <w:semiHidden/>
    <w:qFormat/>
    <w:uiPriority w:val="99"/>
    <w:rPr>
      <w:rFonts w:hint="default" w:ascii="Calibri" w:hAnsi="Calibri" w:cs="Calibri"/>
      <w:kern w:val="2"/>
      <w:sz w:val="21"/>
      <w:szCs w:val="22"/>
    </w:rPr>
  </w:style>
  <w:style w:type="character" w:customStyle="1" w:styleId="204">
    <w:name w:val="正文文本 Char3"/>
    <w:basedOn w:val="46"/>
    <w:semiHidden/>
    <w:qFormat/>
    <w:uiPriority w:val="99"/>
    <w:rPr>
      <w:rFonts w:hint="default" w:ascii="Calibri" w:hAnsi="Calibri" w:cs="Calibri"/>
      <w:kern w:val="2"/>
      <w:sz w:val="21"/>
      <w:szCs w:val="22"/>
    </w:rPr>
  </w:style>
  <w:style w:type="character" w:customStyle="1" w:styleId="205">
    <w:name w:val="纯文本 Char2"/>
    <w:basedOn w:val="46"/>
    <w:semiHidden/>
    <w:qFormat/>
    <w:uiPriority w:val="99"/>
    <w:rPr>
      <w:rFonts w:hint="eastAsia" w:ascii="宋体" w:hAnsi="Courier New" w:eastAsia="宋体" w:cs="Courier New"/>
      <w:kern w:val="2"/>
      <w:sz w:val="21"/>
      <w:szCs w:val="21"/>
    </w:rPr>
  </w:style>
  <w:style w:type="character" w:customStyle="1" w:styleId="206">
    <w:name w:val="正文首行缩进 Char1"/>
    <w:basedOn w:val="204"/>
    <w:semiHidden/>
    <w:qFormat/>
    <w:uiPriority w:val="99"/>
    <w:rPr>
      <w:rFonts w:hint="default" w:ascii="Calibri" w:hAnsi="Calibri" w:cs="Calibri"/>
      <w:kern w:val="2"/>
      <w:sz w:val="21"/>
      <w:szCs w:val="22"/>
    </w:rPr>
  </w:style>
  <w:style w:type="character" w:customStyle="1" w:styleId="207">
    <w:name w:val="正文文本 2 Char1"/>
    <w:basedOn w:val="46"/>
    <w:semiHidden/>
    <w:qFormat/>
    <w:uiPriority w:val="99"/>
    <w:rPr>
      <w:rFonts w:hint="default" w:ascii="Calibri" w:hAnsi="Calibri" w:cs="Calibri"/>
      <w:kern w:val="2"/>
      <w:sz w:val="21"/>
      <w:szCs w:val="22"/>
    </w:rPr>
  </w:style>
  <w:style w:type="character" w:customStyle="1" w:styleId="208">
    <w:name w:val="副标题 Char2"/>
    <w:basedOn w:val="46"/>
    <w:qFormat/>
    <w:uiPriority w:val="11"/>
    <w:rPr>
      <w:rFonts w:hint="default" w:asciiTheme="majorHAnsi" w:hAnsiTheme="majorHAnsi" w:cstheme="majorBidi"/>
      <w:b/>
      <w:bCs/>
      <w:kern w:val="28"/>
      <w:sz w:val="32"/>
      <w:szCs w:val="32"/>
    </w:rPr>
  </w:style>
  <w:style w:type="character" w:customStyle="1" w:styleId="209">
    <w:name w:val="正文缩进 Char"/>
    <w:qFormat/>
    <w:uiPriority w:val="0"/>
    <w:rPr>
      <w:kern w:val="2"/>
      <w:sz w:val="21"/>
    </w:rPr>
  </w:style>
  <w:style w:type="paragraph" w:customStyle="1" w:styleId="210">
    <w:name w:val="CD正文"/>
    <w:basedOn w:val="121"/>
    <w:qFormat/>
    <w:uiPriority w:val="0"/>
  </w:style>
  <w:style w:type="paragraph" w:customStyle="1" w:styleId="211">
    <w:name w:val="项目符号：一级"/>
    <w:basedOn w:val="130"/>
    <w:next w:val="130"/>
    <w:qFormat/>
    <w:uiPriority w:val="0"/>
  </w:style>
  <w:style w:type="character" w:customStyle="1" w:styleId="212">
    <w:name w:val="HTML 预设格式 字符"/>
    <w:basedOn w:val="46"/>
    <w:link w:val="39"/>
    <w:qFormat/>
    <w:uiPriority w:val="0"/>
    <w:rPr>
      <w:rFonts w:ascii="Arial" w:hAnsi="Arial" w:eastAsia="宋体" w:cs="Arial"/>
      <w:kern w:val="0"/>
      <w:sz w:val="24"/>
      <w:szCs w:val="28"/>
    </w:rPr>
  </w:style>
  <w:style w:type="paragraph" w:customStyle="1" w:styleId="213">
    <w:name w:val="修订111"/>
    <w:semiHidden/>
    <w:qFormat/>
    <w:uiPriority w:val="99"/>
    <w:pPr>
      <w:spacing w:after="200" w:line="276" w:lineRule="auto"/>
    </w:pPr>
    <w:rPr>
      <w:rFonts w:ascii="Calibri" w:hAnsi="Calibri" w:eastAsia="宋体" w:cs="Times New Roman"/>
      <w:kern w:val="2"/>
      <w:sz w:val="21"/>
      <w:szCs w:val="22"/>
      <w:lang w:val="en-US" w:eastAsia="zh-CN" w:bidi="ar-SA"/>
    </w:rPr>
  </w:style>
  <w:style w:type="paragraph" w:customStyle="1" w:styleId="214">
    <w:name w:val="1 Char2"/>
    <w:basedOn w:val="1"/>
    <w:semiHidden/>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215">
    <w:name w:val="Normal_59"/>
    <w:qFormat/>
    <w:uiPriority w:val="0"/>
    <w:pPr>
      <w:spacing w:before="120" w:after="240" w:line="276" w:lineRule="auto"/>
      <w:jc w:val="both"/>
    </w:pPr>
    <w:rPr>
      <w:rFonts w:ascii="Times New Roman" w:hAnsi="Times New Roman" w:eastAsia="Calibri" w:cs="Times New Roman"/>
      <w:sz w:val="22"/>
      <w:szCs w:val="22"/>
      <w:lang w:val="ru-RU" w:eastAsia="en-US" w:bidi="ar-SA"/>
    </w:rPr>
  </w:style>
  <w:style w:type="paragraph" w:customStyle="1" w:styleId="216">
    <w:name w:val="Char1 Char Char Char Char Char Char_0"/>
    <w:basedOn w:val="1"/>
    <w:qFormat/>
    <w:uiPriority w:val="0"/>
    <w:rPr>
      <w:rFonts w:ascii="Tahoma" w:hAnsi="Tahoma"/>
      <w:sz w:val="24"/>
      <w:szCs w:val="20"/>
    </w:rPr>
  </w:style>
  <w:style w:type="paragraph" w:customStyle="1" w:styleId="217">
    <w:name w:val="列出段落11"/>
    <w:basedOn w:val="1"/>
    <w:qFormat/>
    <w:uiPriority w:val="99"/>
    <w:pPr>
      <w:ind w:firstLine="420" w:firstLineChars="200"/>
    </w:pPr>
    <w:rPr>
      <w:rFonts w:ascii="Times New Roman" w:hAnsi="Times New Roman"/>
    </w:rPr>
  </w:style>
  <w:style w:type="paragraph" w:customStyle="1" w:styleId="218">
    <w:name w:val="样式 标题 2 + Times New Roman 四号 非加粗 段前: 5 磅 段后: 0 磅 行距: 固定值 20..."/>
    <w:basedOn w:val="4"/>
    <w:semiHidden/>
    <w:qFormat/>
    <w:uiPriority w:val="0"/>
    <w:pPr>
      <w:numPr>
        <w:ilvl w:val="0"/>
        <w:numId w:val="0"/>
      </w:numPr>
      <w:spacing w:before="100" w:line="400" w:lineRule="exact"/>
      <w:jc w:val="both"/>
    </w:pPr>
    <w:rPr>
      <w:rFonts w:ascii="Times New Roman" w:hAnsi="Times New Roman" w:eastAsia="黑体"/>
      <w:b w:val="0"/>
      <w:szCs w:val="32"/>
    </w:rPr>
  </w:style>
  <w:style w:type="paragraph" w:customStyle="1" w:styleId="219">
    <w:name w:val="列出段落111"/>
    <w:basedOn w:val="1"/>
    <w:semiHidden/>
    <w:qFormat/>
    <w:uiPriority w:val="99"/>
    <w:pPr>
      <w:ind w:firstLine="420" w:firstLineChars="200"/>
    </w:pPr>
    <w:rPr>
      <w:rFonts w:ascii="Times New Roman" w:hAnsi="Times New Roman"/>
    </w:rPr>
  </w:style>
  <w:style w:type="character" w:customStyle="1" w:styleId="220">
    <w:name w:val="正文文本 Char2"/>
    <w:basedOn w:val="46"/>
    <w:qFormat/>
    <w:locked/>
    <w:uiPriority w:val="99"/>
    <w:rPr>
      <w:rFonts w:hint="default" w:ascii="Times New Roman" w:hAnsi="Times New Roman" w:eastAsia="宋体" w:cs="Times New Roman"/>
      <w:kern w:val="0"/>
      <w:sz w:val="20"/>
      <w:szCs w:val="20"/>
    </w:rPr>
  </w:style>
  <w:style w:type="character" w:customStyle="1" w:styleId="221">
    <w:name w:val="p121"/>
    <w:qFormat/>
    <w:uiPriority w:val="0"/>
    <w:rPr>
      <w:sz w:val="24"/>
    </w:rPr>
  </w:style>
  <w:style w:type="character" w:customStyle="1" w:styleId="222">
    <w:name w:val="列出段落 Char1"/>
    <w:qFormat/>
    <w:locked/>
    <w:uiPriority w:val="0"/>
    <w:rPr>
      <w:rFonts w:hint="default" w:ascii="Calibri" w:hAnsi="Calibri" w:cs="Calibri"/>
    </w:rPr>
  </w:style>
  <w:style w:type="paragraph" w:customStyle="1" w:styleId="223">
    <w:name w:val="修订11"/>
    <w:qFormat/>
    <w:uiPriority w:val="99"/>
    <w:pPr>
      <w:spacing w:after="200" w:line="276" w:lineRule="auto"/>
    </w:pPr>
    <w:rPr>
      <w:rFonts w:ascii="Calibri" w:hAnsi="Calibri" w:eastAsia="宋体" w:cs="Times New Roman"/>
      <w:kern w:val="2"/>
      <w:sz w:val="21"/>
      <w:szCs w:val="22"/>
      <w:lang w:val="en-US" w:eastAsia="zh-CN" w:bidi="ar-SA"/>
    </w:rPr>
  </w:style>
  <w:style w:type="paragraph" w:customStyle="1" w:styleId="224">
    <w:name w:val="列表段落1"/>
    <w:basedOn w:val="1"/>
    <w:qFormat/>
    <w:uiPriority w:val="99"/>
    <w:pPr>
      <w:ind w:firstLine="420" w:firstLineChars="200"/>
    </w:pPr>
    <w:rPr>
      <w:rFonts w:ascii="宋体" w:hAnsi="宋体" w:cs="宋体"/>
      <w:sz w:val="28"/>
      <w:szCs w:val="28"/>
    </w:rPr>
  </w:style>
  <w:style w:type="character" w:customStyle="1" w:styleId="225">
    <w:name w:val="NormalCharacter"/>
    <w:qFormat/>
    <w:uiPriority w:val="0"/>
  </w:style>
  <w:style w:type="paragraph" w:customStyle="1" w:styleId="226">
    <w:name w:val="BodyText"/>
    <w:basedOn w:val="1"/>
    <w:qFormat/>
    <w:uiPriority w:val="0"/>
    <w:pPr>
      <w:widowControl/>
      <w:spacing w:after="120"/>
      <w:ind w:firstLine="560" w:firstLineChars="200"/>
      <w:textAlignment w:val="baseline"/>
    </w:pPr>
    <w:rPr>
      <w:rFonts w:ascii="宋体" w:hAnsi="宋体" w:cstheme="minorBidi"/>
      <w:sz w:val="28"/>
      <w:szCs w:val="28"/>
    </w:rPr>
  </w:style>
  <w:style w:type="character" w:customStyle="1" w:styleId="227">
    <w:name w:val="AnnotationReference"/>
    <w:qFormat/>
    <w:uiPriority w:val="0"/>
    <w:rPr>
      <w:sz w:val="21"/>
      <w:szCs w:val="21"/>
    </w:rPr>
  </w:style>
  <w:style w:type="paragraph" w:customStyle="1" w:styleId="228">
    <w:name w:val="179"/>
    <w:basedOn w:val="1"/>
    <w:qFormat/>
    <w:uiPriority w:val="0"/>
    <w:pPr>
      <w:widowControl/>
      <w:ind w:firstLine="420" w:firstLineChars="200"/>
      <w:textAlignment w:val="baseline"/>
    </w:pPr>
    <w:rPr>
      <w:rFonts w:ascii="宋体" w:hAnsi="宋体" w:cstheme="minorBidi"/>
      <w:sz w:val="28"/>
      <w:szCs w:val="28"/>
    </w:rPr>
  </w:style>
  <w:style w:type="paragraph" w:customStyle="1" w:styleId="229">
    <w:name w:val="Heading3"/>
    <w:basedOn w:val="1"/>
    <w:next w:val="1"/>
    <w:link w:val="230"/>
    <w:qFormat/>
    <w:uiPriority w:val="0"/>
    <w:pPr>
      <w:widowControl/>
      <w:spacing w:before="100" w:beforeAutospacing="1" w:after="100" w:afterAutospacing="1"/>
      <w:ind w:firstLine="560" w:firstLineChars="200"/>
      <w:jc w:val="left"/>
      <w:textAlignment w:val="baseline"/>
    </w:pPr>
    <w:rPr>
      <w:rFonts w:ascii="宋体" w:hAnsi="宋体" w:cs="宋体"/>
      <w:b/>
      <w:bCs/>
      <w:kern w:val="0"/>
      <w:sz w:val="27"/>
      <w:szCs w:val="27"/>
    </w:rPr>
  </w:style>
  <w:style w:type="character" w:customStyle="1" w:styleId="230">
    <w:name w:val="UserStyle_4"/>
    <w:link w:val="229"/>
    <w:qFormat/>
    <w:uiPriority w:val="0"/>
    <w:rPr>
      <w:rFonts w:ascii="宋体" w:hAnsi="宋体" w:eastAsia="宋体" w:cs="宋体"/>
      <w:b/>
      <w:bCs/>
      <w:kern w:val="0"/>
      <w:sz w:val="27"/>
      <w:szCs w:val="27"/>
    </w:rPr>
  </w:style>
  <w:style w:type="character" w:customStyle="1" w:styleId="231">
    <w:name w:val="样式 Char Char"/>
    <w:link w:val="125"/>
    <w:qFormat/>
    <w:locked/>
    <w:uiPriority w:val="0"/>
    <w:rPr>
      <w:rFonts w:ascii="宋体" w:hAnsi="宋体" w:eastAsia="宋体" w:cs="宋体"/>
      <w:kern w:val="0"/>
      <w:sz w:val="24"/>
      <w:szCs w:val="24"/>
    </w:rPr>
  </w:style>
  <w:style w:type="paragraph" w:customStyle="1" w:styleId="232">
    <w:name w:val="_Style 48"/>
    <w:basedOn w:val="1"/>
    <w:qFormat/>
    <w:uiPriority w:val="0"/>
    <w:pPr>
      <w:ind w:firstLine="420" w:firstLineChars="200"/>
    </w:pPr>
    <w:rPr>
      <w:rFonts w:ascii="宋体" w:hAnsi="宋体" w:cs="宋体"/>
      <w:sz w:val="28"/>
      <w:szCs w:val="28"/>
    </w:rPr>
  </w:style>
  <w:style w:type="character" w:customStyle="1" w:styleId="233">
    <w:name w:val="font61"/>
    <w:basedOn w:val="46"/>
    <w:qFormat/>
    <w:uiPriority w:val="0"/>
    <w:rPr>
      <w:rFonts w:hint="eastAsia" w:ascii="宋体" w:hAnsi="宋体" w:eastAsia="宋体" w:cs="宋体"/>
      <w:color w:val="000000"/>
      <w:sz w:val="18"/>
      <w:szCs w:val="18"/>
      <w:u w:val="none"/>
    </w:rPr>
  </w:style>
  <w:style w:type="character" w:customStyle="1" w:styleId="234">
    <w:name w:val="font91"/>
    <w:basedOn w:val="46"/>
    <w:qFormat/>
    <w:uiPriority w:val="0"/>
    <w:rPr>
      <w:rFonts w:hint="eastAsia" w:ascii="宋体" w:hAnsi="宋体" w:eastAsia="宋体" w:cs="宋体"/>
      <w:color w:val="000000"/>
      <w:sz w:val="18"/>
      <w:szCs w:val="18"/>
      <w:u w:val="none"/>
    </w:rPr>
  </w:style>
  <w:style w:type="character" w:customStyle="1" w:styleId="235">
    <w:name w:val="font41"/>
    <w:basedOn w:val="46"/>
    <w:qFormat/>
    <w:uiPriority w:val="0"/>
    <w:rPr>
      <w:rFonts w:hint="eastAsia" w:ascii="宋体" w:hAnsi="宋体" w:eastAsia="宋体" w:cs="宋体"/>
      <w:color w:val="000000"/>
      <w:sz w:val="21"/>
      <w:szCs w:val="21"/>
      <w:u w:val="none"/>
    </w:rPr>
  </w:style>
  <w:style w:type="character" w:customStyle="1" w:styleId="236">
    <w:name w:val="font31"/>
    <w:basedOn w:val="46"/>
    <w:qFormat/>
    <w:uiPriority w:val="0"/>
    <w:rPr>
      <w:rFonts w:hint="eastAsia" w:ascii="宋体" w:hAnsi="宋体" w:eastAsia="宋体" w:cs="宋体"/>
      <w:b/>
      <w:color w:val="000000"/>
      <w:sz w:val="18"/>
      <w:szCs w:val="18"/>
      <w:u w:val="none"/>
    </w:rPr>
  </w:style>
  <w:style w:type="character" w:customStyle="1" w:styleId="237">
    <w:name w:val="font101"/>
    <w:basedOn w:val="46"/>
    <w:qFormat/>
    <w:uiPriority w:val="0"/>
    <w:rPr>
      <w:rFonts w:hint="eastAsia" w:ascii="宋体" w:hAnsi="宋体" w:eastAsia="宋体" w:cs="宋体"/>
      <w:color w:val="FF0000"/>
      <w:sz w:val="18"/>
      <w:szCs w:val="18"/>
      <w:u w:val="none"/>
    </w:rPr>
  </w:style>
  <w:style w:type="character" w:customStyle="1" w:styleId="238">
    <w:name w:val="font51"/>
    <w:basedOn w:val="46"/>
    <w:qFormat/>
    <w:uiPriority w:val="0"/>
    <w:rPr>
      <w:rFonts w:ascii="Calibri" w:hAnsi="Calibri" w:cs="Calibri"/>
      <w:color w:val="000000"/>
      <w:sz w:val="21"/>
      <w:szCs w:val="21"/>
      <w:u w:val="none"/>
    </w:rPr>
  </w:style>
  <w:style w:type="paragraph" w:customStyle="1" w:styleId="239">
    <w:name w:val="Table Paragraph"/>
    <w:basedOn w:val="1"/>
    <w:qFormat/>
    <w:uiPriority w:val="1"/>
    <w:pPr>
      <w:ind w:firstLine="560" w:firstLineChars="200"/>
    </w:pPr>
    <w:rPr>
      <w:rFonts w:ascii="宋体" w:hAnsi="宋体" w:cs="宋体"/>
      <w:sz w:val="28"/>
      <w:szCs w:val="28"/>
      <w:lang w:val="zh-CN" w:bidi="zh-CN"/>
    </w:rPr>
  </w:style>
  <w:style w:type="paragraph" w:customStyle="1" w:styleId="240">
    <w:name w:val="01、普通正文"/>
    <w:basedOn w:val="1"/>
    <w:qFormat/>
    <w:uiPriority w:val="0"/>
    <w:pPr>
      <w:tabs>
        <w:tab w:val="left" w:pos="0"/>
      </w:tabs>
      <w:wordWrap w:val="0"/>
      <w:topLinePunct/>
      <w:spacing w:line="440" w:lineRule="exact"/>
      <w:ind w:firstLine="723" w:firstLineChars="200"/>
    </w:pPr>
    <w:rPr>
      <w:rFonts w:ascii="宋体" w:hAnsi="宋体"/>
      <w:snapToGrid w:val="0"/>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emf"/><Relationship Id="rId25" Type="http://schemas.openxmlformats.org/officeDocument/2006/relationships/image" Target="media/image20.emf"/><Relationship Id="rId24" Type="http://schemas.openxmlformats.org/officeDocument/2006/relationships/image" Target="media/image19.emf"/><Relationship Id="rId23" Type="http://schemas.openxmlformats.org/officeDocument/2006/relationships/image" Target="media/image18.emf"/><Relationship Id="rId22" Type="http://schemas.openxmlformats.org/officeDocument/2006/relationships/image" Target="media/image17.emf"/><Relationship Id="rId21" Type="http://schemas.openxmlformats.org/officeDocument/2006/relationships/image" Target="media/image16.emf"/><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Pages>
  <Words>7229</Words>
  <Characters>41211</Characters>
  <Lines>343</Lines>
  <Paragraphs>96</Paragraphs>
  <TotalTime>1</TotalTime>
  <ScaleCrop>false</ScaleCrop>
  <LinksUpToDate>false</LinksUpToDate>
  <CharactersWithSpaces>48344</CharactersWithSpaces>
  <Application>WPS Office_11.1.0.11045_F1E327BC-269C-435d-A152-05C5408002CA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2021-10-18T09:22:00Z</dcterms:created>
  <dc:creator>罗川</dc:creator>
  <cp:lastModifiedBy>WPS_1593672881</cp:lastModifiedBy>
  <cp:lastPrinted>2021-09-01T07:52:00Z</cp:lastPrinted>
  <dcterms:modified xsi:type="dcterms:W3CDTF">2021-10-26T02:32:08Z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EFFB6CC618BC4D0DB8B093352F038F14</vt:lpwstr>
  </property>
</Properties>
</file>