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华文中宋" w:hAnsi="华文中宋" w:eastAsia="华文中宋"/>
          <w:color w:val="auto"/>
          <w:spacing w:val="42"/>
          <w:sz w:val="130"/>
          <w:szCs w:val="130"/>
        </w:rPr>
      </w:pPr>
      <w:r>
        <w:rPr>
          <w:rFonts w:hint="eastAsia" w:ascii="华文中宋" w:hAnsi="华文中宋" w:eastAsia="华文中宋"/>
          <w:color w:val="auto"/>
          <w:spacing w:val="42"/>
          <w:sz w:val="130"/>
          <w:szCs w:val="130"/>
        </w:rPr>
        <w:t>招 标 文 件</w:t>
      </w:r>
    </w:p>
    <w:p>
      <w:pPr>
        <w:spacing w:line="360" w:lineRule="auto"/>
        <w:jc w:val="center"/>
        <w:rPr>
          <w:rFonts w:ascii="华文中宋" w:hAnsi="华文中宋" w:eastAsia="华文中宋"/>
          <w:color w:val="auto"/>
        </w:rPr>
      </w:pPr>
    </w:p>
    <w:p>
      <w:pPr>
        <w:tabs>
          <w:tab w:val="left" w:pos="2552"/>
        </w:tabs>
        <w:spacing w:line="360" w:lineRule="auto"/>
        <w:ind w:left="2204" w:leftChars="269" w:hanging="1558" w:hangingChars="487"/>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rPr>
        <w:t>项目名称：</w:t>
      </w:r>
      <w:r>
        <w:rPr>
          <w:rFonts w:hint="eastAsia" w:ascii="华文中宋" w:hAnsi="华文中宋" w:eastAsia="华文中宋"/>
          <w:color w:val="auto"/>
          <w:sz w:val="32"/>
          <w:szCs w:val="32"/>
          <w:lang w:eastAsia="zh-CN"/>
        </w:rPr>
        <w:t>崇州市现代教育技术服务中心LED显示屏采购项目</w:t>
      </w:r>
    </w:p>
    <w:p>
      <w:pPr>
        <w:widowControl w:val="0"/>
        <w:numPr>
          <w:ilvl w:val="0"/>
          <w:numId w:val="0"/>
        </w:numPr>
        <w:spacing w:line="360" w:lineRule="auto"/>
        <w:ind w:left="567" w:leftChars="0"/>
        <w:jc w:val="both"/>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rPr>
        <w:t>项目编号：</w:t>
      </w:r>
      <w:r>
        <w:rPr>
          <w:rFonts w:hint="eastAsia" w:ascii="华文中宋" w:hAnsi="华文中宋" w:eastAsia="华文中宋"/>
          <w:color w:val="auto"/>
          <w:sz w:val="32"/>
          <w:szCs w:val="32"/>
          <w:lang w:eastAsia="zh-CN"/>
        </w:rPr>
        <w:t>崇州市政采（2021）A0004号</w:t>
      </w:r>
    </w:p>
    <w:p>
      <w:pPr>
        <w:spacing w:line="360" w:lineRule="auto"/>
        <w:ind w:firstLine="640" w:firstLineChars="200"/>
        <w:jc w:val="both"/>
        <w:rPr>
          <w:rFonts w:hint="eastAsia" w:ascii="华文中宋" w:hAnsi="华文中宋" w:eastAsia="华文中宋"/>
          <w:color w:val="auto"/>
          <w:sz w:val="32"/>
          <w:szCs w:val="32"/>
          <w:lang w:eastAsia="zh-CN"/>
        </w:rPr>
      </w:pPr>
    </w:p>
    <w:p>
      <w:pPr>
        <w:spacing w:line="360" w:lineRule="auto"/>
        <w:ind w:firstLine="640" w:firstLineChars="200"/>
        <w:jc w:val="both"/>
        <w:rPr>
          <w:rFonts w:hint="eastAsia" w:ascii="华文中宋" w:hAnsi="华文中宋" w:eastAsia="华文中宋"/>
          <w:color w:val="auto"/>
          <w:sz w:val="32"/>
          <w:szCs w:val="32"/>
          <w:lang w:eastAsia="zh-CN"/>
        </w:rPr>
      </w:pPr>
    </w:p>
    <w:p>
      <w:pPr>
        <w:spacing w:line="360" w:lineRule="auto"/>
        <w:ind w:firstLine="1256" w:firstLineChars="349"/>
        <w:rPr>
          <w:rFonts w:ascii="华文中宋" w:hAnsi="华文中宋" w:eastAsia="华文中宋"/>
          <w:color w:val="auto"/>
          <w:spacing w:val="20"/>
          <w:sz w:val="32"/>
          <w:szCs w:val="32"/>
        </w:rPr>
      </w:pPr>
    </w:p>
    <w:p>
      <w:pPr>
        <w:spacing w:line="360" w:lineRule="auto"/>
        <w:jc w:val="center"/>
        <w:rPr>
          <w:rFonts w:ascii="华文中宋" w:hAnsi="华文中宋" w:eastAsia="华文中宋"/>
          <w:color w:val="auto"/>
          <w:spacing w:val="110"/>
          <w:sz w:val="32"/>
          <w:szCs w:val="32"/>
        </w:rPr>
      </w:pPr>
    </w:p>
    <w:p>
      <w:pPr>
        <w:spacing w:line="360" w:lineRule="auto"/>
        <w:jc w:val="center"/>
        <w:rPr>
          <w:rFonts w:ascii="华文中宋" w:hAnsi="华文中宋" w:eastAsia="华文中宋"/>
          <w:color w:val="auto"/>
          <w:kern w:val="24"/>
          <w:sz w:val="32"/>
          <w:szCs w:val="32"/>
        </w:rPr>
      </w:pPr>
    </w:p>
    <w:p>
      <w:pPr>
        <w:spacing w:line="360" w:lineRule="auto"/>
        <w:jc w:val="both"/>
        <w:rPr>
          <w:rFonts w:ascii="华文中宋" w:hAnsi="华文中宋" w:eastAsia="华文中宋"/>
          <w:color w:val="auto"/>
          <w:kern w:val="24"/>
          <w:sz w:val="32"/>
          <w:szCs w:val="32"/>
        </w:rPr>
      </w:pPr>
    </w:p>
    <w:p>
      <w:pPr>
        <w:spacing w:line="360" w:lineRule="auto"/>
        <w:jc w:val="center"/>
        <w:rPr>
          <w:rFonts w:ascii="华文中宋" w:hAnsi="华文中宋" w:eastAsia="华文中宋"/>
          <w:color w:val="auto"/>
          <w:kern w:val="24"/>
          <w:sz w:val="32"/>
          <w:szCs w:val="32"/>
        </w:rPr>
      </w:pPr>
    </w:p>
    <w:p>
      <w:pPr>
        <w:spacing w:line="360" w:lineRule="auto"/>
        <w:jc w:val="center"/>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lang w:eastAsia="zh-CN"/>
        </w:rPr>
        <w:t>崇州市现代教育技术服务中心</w:t>
      </w: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z w:val="32"/>
          <w:szCs w:val="32"/>
          <w:lang w:eastAsia="zh-CN"/>
        </w:rPr>
        <w:t>崇州</w:t>
      </w:r>
      <w:r>
        <w:rPr>
          <w:rFonts w:hint="eastAsia" w:ascii="华文中宋" w:hAnsi="华文中宋" w:eastAsia="华文中宋"/>
          <w:color w:val="auto"/>
          <w:sz w:val="32"/>
          <w:szCs w:val="32"/>
        </w:rPr>
        <w:t>市公共资源交易服务中心共同编制</w:t>
      </w:r>
    </w:p>
    <w:p>
      <w:pPr>
        <w:spacing w:line="480" w:lineRule="auto"/>
        <w:ind w:right="300"/>
        <w:jc w:val="center"/>
        <w:rPr>
          <w:rFonts w:ascii="宋体" w:hAnsi="宋体"/>
          <w:sz w:val="30"/>
          <w:szCs w:val="30"/>
        </w:rPr>
      </w:pPr>
      <w:r>
        <w:rPr>
          <w:rFonts w:hint="eastAsia" w:ascii="华文中宋" w:hAnsi="华文中宋" w:eastAsia="华文中宋"/>
          <w:color w:val="auto"/>
          <w:sz w:val="32"/>
          <w:szCs w:val="32"/>
        </w:rPr>
        <w:t>二</w:t>
      </w:r>
      <w:r>
        <w:rPr>
          <w:rFonts w:hint="eastAsia" w:ascii="华文中宋" w:hAnsi="华文中宋" w:eastAsia="华文中宋"/>
          <w:color w:val="auto"/>
          <w:sz w:val="32"/>
          <w:szCs w:val="32"/>
          <w:lang w:eastAsia="zh-CN"/>
        </w:rPr>
        <w:t>〇</w:t>
      </w:r>
      <w:r>
        <w:rPr>
          <w:rFonts w:hint="eastAsia" w:ascii="华文中宋" w:hAnsi="华文中宋" w:eastAsia="华文中宋"/>
          <w:color w:val="auto"/>
          <w:sz w:val="32"/>
          <w:szCs w:val="32"/>
        </w:rPr>
        <w:t>二</w:t>
      </w:r>
      <w:r>
        <w:rPr>
          <w:rFonts w:hint="eastAsia" w:ascii="华文中宋" w:hAnsi="华文中宋" w:eastAsia="华文中宋"/>
          <w:color w:val="auto"/>
          <w:sz w:val="32"/>
          <w:szCs w:val="32"/>
          <w:lang w:eastAsia="zh-CN"/>
        </w:rPr>
        <w:t>一</w:t>
      </w:r>
      <w:r>
        <w:rPr>
          <w:rFonts w:hint="eastAsia" w:ascii="华文中宋" w:hAnsi="华文中宋" w:eastAsia="华文中宋"/>
          <w:color w:val="auto"/>
          <w:sz w:val="32"/>
          <w:szCs w:val="32"/>
        </w:rPr>
        <w:t>年</w:t>
      </w:r>
      <w:r>
        <w:rPr>
          <w:rFonts w:hint="eastAsia" w:ascii="华文中宋" w:hAnsi="华文中宋" w:eastAsia="华文中宋"/>
          <w:color w:val="auto"/>
          <w:sz w:val="32"/>
          <w:szCs w:val="32"/>
          <w:lang w:eastAsia="zh-CN"/>
        </w:rPr>
        <w:t>七</w:t>
      </w:r>
      <w:r>
        <w:rPr>
          <w:rFonts w:hint="eastAsia" w:ascii="华文中宋" w:hAnsi="华文中宋" w:eastAsia="华文中宋"/>
          <w:color w:val="auto"/>
          <w:sz w:val="32"/>
          <w:szCs w:val="32"/>
        </w:rPr>
        <w:t>月</w:t>
      </w:r>
      <w:bookmarkStart w:id="0" w:name="_Toc101234248"/>
      <w:bookmarkStart w:id="1" w:name="_Toc101247312"/>
      <w:bookmarkStart w:id="2" w:name="_Toc101328520"/>
      <w:bookmarkStart w:id="3" w:name="_Toc148505181"/>
      <w:r>
        <w:rPr>
          <w:rFonts w:hint="eastAsia" w:ascii="宋体" w:hAnsi="宋体"/>
          <w:b/>
          <w:color w:val="auto"/>
          <w:sz w:val="36"/>
        </w:rPr>
        <w:br w:type="page"/>
      </w:r>
    </w:p>
    <w:p>
      <w:pPr>
        <w:rPr>
          <w:rFonts w:hint="eastAsia" w:ascii="宋体" w:hAnsi="宋体"/>
          <w:b/>
          <w:color w:val="auto"/>
          <w:sz w:val="36"/>
        </w:rPr>
      </w:pPr>
    </w:p>
    <w:p>
      <w:pPr>
        <w:spacing w:line="360" w:lineRule="auto"/>
        <w:jc w:val="center"/>
        <w:rPr>
          <w:rFonts w:ascii="宋体" w:hAnsi="宋体"/>
          <w:b/>
          <w:color w:val="auto"/>
          <w:sz w:val="32"/>
        </w:rPr>
      </w:pPr>
      <w:r>
        <w:rPr>
          <w:rFonts w:hint="eastAsia" w:ascii="宋体" w:hAnsi="宋体"/>
          <w:b/>
          <w:color w:val="auto"/>
          <w:sz w:val="28"/>
          <w:szCs w:val="32"/>
        </w:rPr>
        <w:t>目 录</w:t>
      </w:r>
    </w:p>
    <w:p>
      <w:pPr>
        <w:pStyle w:val="11"/>
        <w:tabs>
          <w:tab w:val="right" w:leader="dot" w:pos="8306"/>
          <w:tab w:val="clear" w:pos="709"/>
          <w:tab w:val="clear" w:pos="8364"/>
        </w:tabs>
      </w:pPr>
      <w:r>
        <w:rPr>
          <w:rFonts w:hint="eastAsia"/>
          <w:color w:val="auto"/>
        </w:rPr>
        <w:fldChar w:fldCharType="begin"/>
      </w:r>
      <w:r>
        <w:rPr>
          <w:rFonts w:hint="eastAsia" w:ascii="宋体" w:hAnsi="宋体" w:eastAsia="宋体"/>
          <w:b/>
          <w:bCs w:val="0"/>
          <w:caps w:val="0"/>
          <w:smallCaps/>
          <w:color w:val="auto"/>
          <w:sz w:val="18"/>
        </w:rPr>
        <w:instrText xml:space="preserve"> TOC \o "1-2" \h \z \u </w:instrText>
      </w:r>
      <w:r>
        <w:rPr>
          <w:rFonts w:hint="eastAsia"/>
          <w:color w:val="auto"/>
        </w:rPr>
        <w:fldChar w:fldCharType="separate"/>
      </w:r>
      <w:r>
        <w:rPr>
          <w:rFonts w:hint="eastAsia"/>
          <w:color w:val="auto"/>
        </w:rPr>
        <w:fldChar w:fldCharType="begin"/>
      </w:r>
      <w:r>
        <w:rPr>
          <w:rFonts w:hint="eastAsia"/>
        </w:rPr>
        <w:instrText xml:space="preserve"> HYPERLINK \l _Toc24410 </w:instrText>
      </w:r>
      <w:r>
        <w:rPr>
          <w:rFonts w:hint="eastAsia"/>
        </w:rPr>
        <w:fldChar w:fldCharType="separate"/>
      </w:r>
      <w:r>
        <w:rPr>
          <w:rFonts w:hint="default" w:ascii="Times New Roman" w:hAnsi="Times New Roman" w:eastAsia="宋体" w:cs="Times New Roman"/>
          <w:i w:val="0"/>
          <w:szCs w:val="28"/>
        </w:rPr>
        <w:t xml:space="preserve">第1章 </w:t>
      </w:r>
      <w:r>
        <w:rPr>
          <w:rFonts w:hint="eastAsia"/>
        </w:rPr>
        <w:t>投标邀请</w:t>
      </w:r>
      <w:r>
        <w:tab/>
      </w:r>
      <w:r>
        <w:fldChar w:fldCharType="begin"/>
      </w:r>
      <w:r>
        <w:instrText xml:space="preserve"> PAGEREF _Toc24410 \h </w:instrText>
      </w:r>
      <w:r>
        <w:fldChar w:fldCharType="separate"/>
      </w:r>
      <w:r>
        <w:t>4</w:t>
      </w:r>
      <w:r>
        <w:fldChar w:fldCharType="end"/>
      </w:r>
      <w:r>
        <w:rPr>
          <w:rFonts w:hint="eastAsia"/>
          <w:color w:val="auto"/>
        </w:rPr>
        <w:fldChar w:fldCharType="end"/>
      </w:r>
    </w:p>
    <w:p>
      <w:pPr>
        <w:pStyle w:val="11"/>
        <w:tabs>
          <w:tab w:val="right" w:leader="dot" w:pos="8306"/>
          <w:tab w:val="clear" w:pos="709"/>
          <w:tab w:val="clear" w:pos="8364"/>
        </w:tabs>
      </w:pPr>
      <w:r>
        <w:rPr>
          <w:rFonts w:hint="eastAsia"/>
          <w:color w:val="auto"/>
        </w:rPr>
        <w:fldChar w:fldCharType="begin"/>
      </w:r>
      <w:r>
        <w:rPr>
          <w:rFonts w:hint="eastAsia"/>
        </w:rPr>
        <w:instrText xml:space="preserve"> HYPERLINK \l _Toc15078 </w:instrText>
      </w:r>
      <w:r>
        <w:rPr>
          <w:rFonts w:hint="eastAsia"/>
        </w:rPr>
        <w:fldChar w:fldCharType="separate"/>
      </w:r>
      <w:r>
        <w:rPr>
          <w:rFonts w:hint="default" w:ascii="Times New Roman" w:hAnsi="Times New Roman" w:eastAsia="宋体" w:cs="Times New Roman"/>
          <w:i w:val="0"/>
          <w:szCs w:val="28"/>
        </w:rPr>
        <w:t xml:space="preserve">第2章 </w:t>
      </w:r>
      <w:r>
        <w:rPr>
          <w:rFonts w:hint="eastAsia"/>
        </w:rPr>
        <w:t>投标人须知</w:t>
      </w:r>
      <w:r>
        <w:tab/>
      </w:r>
      <w:r>
        <w:fldChar w:fldCharType="begin"/>
      </w:r>
      <w:r>
        <w:instrText xml:space="preserve"> PAGEREF _Toc15078 \h </w:instrText>
      </w:r>
      <w:r>
        <w:fldChar w:fldCharType="separate"/>
      </w:r>
      <w:r>
        <w:t>9</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_Toc23087 </w:instrText>
      </w:r>
      <w:r>
        <w:rPr>
          <w:rFonts w:hint="eastAsia"/>
        </w:rPr>
        <w:fldChar w:fldCharType="separate"/>
      </w:r>
      <w:r>
        <w:rPr>
          <w:rFonts w:hint="default" w:ascii="Times New Roman" w:hAnsi="Times New Roman" w:eastAsia="宋体" w:cs="Times New Roman"/>
          <w:i w:val="0"/>
          <w:szCs w:val="28"/>
        </w:rPr>
        <w:t xml:space="preserve">2.1 </w:t>
      </w:r>
      <w:r>
        <w:rPr>
          <w:rFonts w:hint="eastAsia"/>
        </w:rPr>
        <w:t>投标人须知前附表</w:t>
      </w:r>
      <w:r>
        <w:tab/>
      </w:r>
      <w:r>
        <w:fldChar w:fldCharType="begin"/>
      </w:r>
      <w:r>
        <w:instrText xml:space="preserve"> PAGEREF _Toc23087 \h </w:instrText>
      </w:r>
      <w:r>
        <w:fldChar w:fldCharType="separate"/>
      </w:r>
      <w:r>
        <w:t>9</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_Toc13820 </w:instrText>
      </w:r>
      <w:r>
        <w:rPr>
          <w:rFonts w:hint="eastAsia"/>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_Toc13820 \h </w:instrText>
      </w:r>
      <w:r>
        <w:fldChar w:fldCharType="separate"/>
      </w:r>
      <w:r>
        <w:t>13</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_Toc18250 </w:instrText>
      </w:r>
      <w:r>
        <w:rPr>
          <w:rFonts w:hint="eastAsia"/>
        </w:rPr>
        <w:fldChar w:fldCharType="separate"/>
      </w:r>
      <w:r>
        <w:rPr>
          <w:rFonts w:hint="default" w:ascii="Times New Roman" w:hAnsi="Times New Roman" w:eastAsia="宋体" w:cs="Times New Roman"/>
          <w:i w:val="0"/>
          <w:szCs w:val="28"/>
        </w:rPr>
        <w:t xml:space="preserve">2.3 </w:t>
      </w:r>
      <w:r>
        <w:rPr>
          <w:rFonts w:hint="eastAsia"/>
        </w:rPr>
        <w:t>招标文件</w:t>
      </w:r>
      <w:r>
        <w:tab/>
      </w:r>
      <w:r>
        <w:fldChar w:fldCharType="begin"/>
      </w:r>
      <w:r>
        <w:instrText xml:space="preserve"> PAGEREF _Toc18250 \h </w:instrText>
      </w:r>
      <w:r>
        <w:fldChar w:fldCharType="separate"/>
      </w:r>
      <w:r>
        <w:t>15</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_Toc28718 </w:instrText>
      </w:r>
      <w:r>
        <w:rPr>
          <w:rFonts w:hint="eastAsia"/>
        </w:rPr>
        <w:fldChar w:fldCharType="separate"/>
      </w:r>
      <w:r>
        <w:rPr>
          <w:rFonts w:hint="default" w:ascii="Times New Roman" w:hAnsi="Times New Roman" w:eastAsia="宋体" w:cs="Times New Roman"/>
          <w:i w:val="0"/>
          <w:szCs w:val="28"/>
        </w:rPr>
        <w:t xml:space="preserve">2.4 </w:t>
      </w:r>
      <w:r>
        <w:rPr>
          <w:rFonts w:hint="eastAsia"/>
        </w:rPr>
        <w:t>投标文件</w:t>
      </w:r>
      <w:r>
        <w:tab/>
      </w:r>
      <w:r>
        <w:fldChar w:fldCharType="begin"/>
      </w:r>
      <w:r>
        <w:instrText xml:space="preserve"> PAGEREF _Toc28718 \h </w:instrText>
      </w:r>
      <w:r>
        <w:fldChar w:fldCharType="separate"/>
      </w:r>
      <w:r>
        <w:t>17</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_Toc15943 </w:instrText>
      </w:r>
      <w:r>
        <w:rPr>
          <w:rFonts w:hint="eastAsia"/>
        </w:rPr>
        <w:fldChar w:fldCharType="separate"/>
      </w:r>
      <w:r>
        <w:rPr>
          <w:rFonts w:hint="default" w:ascii="Times New Roman" w:hAnsi="Times New Roman" w:eastAsia="宋体" w:cs="Times New Roman"/>
          <w:i w:val="0"/>
          <w:szCs w:val="28"/>
        </w:rPr>
        <w:t xml:space="preserve">2.5 </w:t>
      </w:r>
      <w:r>
        <w:rPr>
          <w:rFonts w:hint="eastAsia"/>
        </w:rPr>
        <w:t>开标、资格审查、评标和中标</w:t>
      </w:r>
      <w:r>
        <w:tab/>
      </w:r>
      <w:r>
        <w:fldChar w:fldCharType="begin"/>
      </w:r>
      <w:r>
        <w:instrText xml:space="preserve"> PAGEREF _Toc15943 \h </w:instrText>
      </w:r>
      <w:r>
        <w:fldChar w:fldCharType="separate"/>
      </w:r>
      <w:r>
        <w:t>25</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_Toc7195 </w:instrText>
      </w:r>
      <w:r>
        <w:rPr>
          <w:rFonts w:hint="eastAsia"/>
        </w:rPr>
        <w:fldChar w:fldCharType="separate"/>
      </w:r>
      <w:r>
        <w:rPr>
          <w:rFonts w:hint="default" w:ascii="Times New Roman" w:hAnsi="Times New Roman" w:eastAsia="宋体" w:cs="Times New Roman"/>
          <w:i w:val="0"/>
          <w:szCs w:val="28"/>
        </w:rPr>
        <w:t xml:space="preserve">2.6 </w:t>
      </w:r>
      <w:r>
        <w:rPr>
          <w:rFonts w:hint="eastAsia"/>
        </w:rPr>
        <w:t>签订及履行合同和验收</w:t>
      </w:r>
      <w:r>
        <w:tab/>
      </w:r>
      <w:r>
        <w:fldChar w:fldCharType="begin"/>
      </w:r>
      <w:r>
        <w:instrText xml:space="preserve"> PAGEREF _Toc7195 \h </w:instrText>
      </w:r>
      <w:r>
        <w:fldChar w:fldCharType="separate"/>
      </w:r>
      <w:r>
        <w:t>28</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_Toc755 </w:instrText>
      </w:r>
      <w:r>
        <w:rPr>
          <w:rFonts w:hint="eastAsia"/>
        </w:rPr>
        <w:fldChar w:fldCharType="separate"/>
      </w:r>
      <w:r>
        <w:rPr>
          <w:rFonts w:hint="default" w:ascii="Times New Roman" w:hAnsi="Times New Roman" w:eastAsia="宋体" w:cs="Times New Roman"/>
          <w:i w:val="0"/>
          <w:szCs w:val="28"/>
        </w:rPr>
        <w:t xml:space="preserve">2.7 </w:t>
      </w:r>
      <w:r>
        <w:rPr>
          <w:rFonts w:hint="eastAsia"/>
        </w:rPr>
        <w:t>投标纪律要求</w:t>
      </w:r>
      <w:r>
        <w:tab/>
      </w:r>
      <w:r>
        <w:fldChar w:fldCharType="begin"/>
      </w:r>
      <w:r>
        <w:instrText xml:space="preserve"> PAGEREF _Toc755 \h </w:instrText>
      </w:r>
      <w:r>
        <w:fldChar w:fldCharType="separate"/>
      </w:r>
      <w:r>
        <w:t>31</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_Toc861 </w:instrText>
      </w:r>
      <w:r>
        <w:rPr>
          <w:rFonts w:hint="eastAsia"/>
        </w:rPr>
        <w:fldChar w:fldCharType="separate"/>
      </w:r>
      <w:r>
        <w:rPr>
          <w:rFonts w:hint="default" w:ascii="Times New Roman" w:hAnsi="Times New Roman" w:eastAsia="宋体" w:cs="Times New Roman"/>
          <w:i w:val="0"/>
          <w:szCs w:val="28"/>
        </w:rPr>
        <w:t xml:space="preserve">2.8 </w:t>
      </w:r>
      <w:r>
        <w:rPr>
          <w:rFonts w:hint="eastAsia"/>
        </w:rPr>
        <w:t>询问、质疑和投诉</w:t>
      </w:r>
      <w:r>
        <w:tab/>
      </w:r>
      <w:r>
        <w:fldChar w:fldCharType="begin"/>
      </w:r>
      <w:r>
        <w:instrText xml:space="preserve"> PAGEREF _Toc861 \h </w:instrText>
      </w:r>
      <w:r>
        <w:fldChar w:fldCharType="separate"/>
      </w:r>
      <w:r>
        <w:t>34</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_Toc379 </w:instrText>
      </w:r>
      <w:r>
        <w:rPr>
          <w:rFonts w:hint="eastAsia"/>
        </w:rPr>
        <w:fldChar w:fldCharType="separate"/>
      </w:r>
      <w:r>
        <w:rPr>
          <w:rFonts w:hint="default" w:ascii="Times New Roman" w:hAnsi="Times New Roman" w:eastAsia="宋体" w:cs="Times New Roman"/>
          <w:i w:val="0"/>
          <w:szCs w:val="28"/>
        </w:rPr>
        <w:t xml:space="preserve">2.9 </w:t>
      </w:r>
      <w:r>
        <w:rPr>
          <w:rFonts w:hint="eastAsia"/>
        </w:rPr>
        <w:t>中小企业信用担保融资</w:t>
      </w:r>
      <w:r>
        <w:tab/>
      </w:r>
      <w:r>
        <w:fldChar w:fldCharType="begin"/>
      </w:r>
      <w:r>
        <w:instrText xml:space="preserve"> PAGEREF _Toc379 \h </w:instrText>
      </w:r>
      <w:r>
        <w:fldChar w:fldCharType="separate"/>
      </w:r>
      <w:r>
        <w:t>35</w:t>
      </w:r>
      <w:r>
        <w:fldChar w:fldCharType="end"/>
      </w:r>
      <w:r>
        <w:rPr>
          <w:rFonts w:hint="eastAsia"/>
          <w:color w:val="auto"/>
        </w:rPr>
        <w:fldChar w:fldCharType="end"/>
      </w:r>
    </w:p>
    <w:p>
      <w:pPr>
        <w:pStyle w:val="11"/>
        <w:tabs>
          <w:tab w:val="right" w:leader="dot" w:pos="8306"/>
          <w:tab w:val="clear" w:pos="709"/>
          <w:tab w:val="clear" w:pos="8364"/>
        </w:tabs>
      </w:pPr>
      <w:r>
        <w:rPr>
          <w:rFonts w:hint="eastAsia"/>
          <w:color w:val="auto"/>
        </w:rPr>
        <w:fldChar w:fldCharType="begin"/>
      </w:r>
      <w:r>
        <w:rPr>
          <w:rFonts w:hint="eastAsia"/>
        </w:rPr>
        <w:instrText xml:space="preserve"> HYPERLINK \l _Toc28289 </w:instrText>
      </w:r>
      <w:r>
        <w:rPr>
          <w:rFonts w:hint="eastAsia"/>
        </w:rPr>
        <w:fldChar w:fldCharType="separate"/>
      </w:r>
      <w:r>
        <w:rPr>
          <w:rFonts w:hint="default" w:ascii="Times New Roman" w:hAnsi="Times New Roman" w:eastAsia="宋体" w:cs="Times New Roman"/>
          <w:i w:val="0"/>
          <w:szCs w:val="28"/>
        </w:rPr>
        <w:t xml:space="preserve">第3章 </w:t>
      </w:r>
      <w:r>
        <w:rPr>
          <w:rFonts w:hint="eastAsia"/>
        </w:rPr>
        <w:t>投标文件格式</w:t>
      </w:r>
      <w:r>
        <w:tab/>
      </w:r>
      <w:r>
        <w:fldChar w:fldCharType="begin"/>
      </w:r>
      <w:r>
        <w:instrText xml:space="preserve"> PAGEREF _Toc28289 \h </w:instrText>
      </w:r>
      <w:r>
        <w:fldChar w:fldCharType="separate"/>
      </w:r>
      <w:r>
        <w:t>37</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_Toc255 </w:instrText>
      </w:r>
      <w:r>
        <w:rPr>
          <w:rFonts w:hint="eastAsia"/>
        </w:rPr>
        <w:fldChar w:fldCharType="separate"/>
      </w:r>
      <w:r>
        <w:rPr>
          <w:rFonts w:hint="default" w:ascii="Times New Roman" w:hAnsi="Times New Roman" w:eastAsia="宋体" w:cs="Times New Roman"/>
          <w:i w:val="0"/>
          <w:szCs w:val="28"/>
        </w:rPr>
        <w:t xml:space="preserve">3.1 </w:t>
      </w:r>
      <w:r>
        <w:rPr>
          <w:rFonts w:hint="eastAsia"/>
        </w:rPr>
        <w:t>投标文件封面格式</w:t>
      </w:r>
      <w:r>
        <w:tab/>
      </w:r>
      <w:r>
        <w:fldChar w:fldCharType="begin"/>
      </w:r>
      <w:r>
        <w:instrText xml:space="preserve"> PAGEREF _Toc255 \h </w:instrText>
      </w:r>
      <w:r>
        <w:fldChar w:fldCharType="separate"/>
      </w:r>
      <w:r>
        <w:t>37</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_Toc19910 </w:instrText>
      </w:r>
      <w:r>
        <w:rPr>
          <w:rFonts w:hint="eastAsia"/>
        </w:rPr>
        <w:fldChar w:fldCharType="separate"/>
      </w:r>
      <w:r>
        <w:rPr>
          <w:rFonts w:hint="default" w:ascii="Times New Roman" w:hAnsi="Times New Roman" w:eastAsia="宋体" w:cs="Times New Roman"/>
          <w:i w:val="0"/>
          <w:szCs w:val="28"/>
        </w:rPr>
        <w:t xml:space="preserve">3.2 </w:t>
      </w:r>
      <w:r>
        <w:rPr>
          <w:rFonts w:hint="eastAsia"/>
        </w:rPr>
        <w:t>资格性审查部分</w:t>
      </w:r>
      <w:r>
        <w:tab/>
      </w:r>
      <w:r>
        <w:fldChar w:fldCharType="begin"/>
      </w:r>
      <w:r>
        <w:instrText xml:space="preserve"> PAGEREF _Toc19910 \h </w:instrText>
      </w:r>
      <w:r>
        <w:fldChar w:fldCharType="separate"/>
      </w:r>
      <w:r>
        <w:t>38</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_Toc26588 </w:instrText>
      </w:r>
      <w:r>
        <w:rPr>
          <w:rFonts w:hint="eastAsia"/>
        </w:rPr>
        <w:fldChar w:fldCharType="separate"/>
      </w:r>
      <w:r>
        <w:rPr>
          <w:rFonts w:hint="default" w:ascii="Times New Roman" w:hAnsi="Times New Roman" w:eastAsia="宋体" w:cs="Times New Roman"/>
          <w:i w:val="0"/>
          <w:szCs w:val="28"/>
        </w:rPr>
        <w:t xml:space="preserve">3.3 </w:t>
      </w:r>
      <w:r>
        <w:rPr>
          <w:rFonts w:hint="eastAsia"/>
        </w:rPr>
        <w:t>技术、服务、商务及其他要求响应部分</w:t>
      </w:r>
      <w:r>
        <w:tab/>
      </w:r>
      <w:r>
        <w:fldChar w:fldCharType="begin"/>
      </w:r>
      <w:r>
        <w:instrText xml:space="preserve"> PAGEREF _Toc26588 \h </w:instrText>
      </w:r>
      <w:r>
        <w:fldChar w:fldCharType="separate"/>
      </w:r>
      <w:r>
        <w:t>43</w:t>
      </w:r>
      <w:r>
        <w:fldChar w:fldCharType="end"/>
      </w:r>
      <w:r>
        <w:rPr>
          <w:rFonts w:hint="eastAsia"/>
          <w:color w:val="auto"/>
        </w:rPr>
        <w:fldChar w:fldCharType="end"/>
      </w:r>
    </w:p>
    <w:p>
      <w:pPr>
        <w:pStyle w:val="11"/>
        <w:tabs>
          <w:tab w:val="right" w:leader="dot" w:pos="8306"/>
          <w:tab w:val="clear" w:pos="709"/>
          <w:tab w:val="clear" w:pos="8364"/>
        </w:tabs>
      </w:pPr>
      <w:r>
        <w:rPr>
          <w:rFonts w:hint="eastAsia"/>
          <w:color w:val="auto"/>
        </w:rPr>
        <w:fldChar w:fldCharType="begin"/>
      </w:r>
      <w:r>
        <w:rPr>
          <w:rFonts w:hint="eastAsia"/>
        </w:rPr>
        <w:instrText xml:space="preserve"> HYPERLINK \l _Toc12487 </w:instrText>
      </w:r>
      <w:r>
        <w:rPr>
          <w:rFonts w:hint="eastAsia"/>
        </w:rPr>
        <w:fldChar w:fldCharType="separate"/>
      </w:r>
      <w:r>
        <w:rPr>
          <w:rFonts w:hint="default" w:ascii="Times New Roman" w:hAnsi="Times New Roman" w:eastAsia="宋体" w:cs="Times New Roman"/>
          <w:i w:val="0"/>
          <w:szCs w:val="28"/>
        </w:rPr>
        <w:t xml:space="preserve">第4章 </w:t>
      </w:r>
      <w:r>
        <w:rPr>
          <w:rFonts w:hint="eastAsia"/>
        </w:rPr>
        <w:t>招标项目技术、服务、商务及其他要求</w:t>
      </w:r>
      <w:r>
        <w:tab/>
      </w:r>
      <w:r>
        <w:fldChar w:fldCharType="begin"/>
      </w:r>
      <w:r>
        <w:instrText xml:space="preserve"> PAGEREF _Toc12487 \h </w:instrText>
      </w:r>
      <w:r>
        <w:fldChar w:fldCharType="separate"/>
      </w:r>
      <w:r>
        <w:t>58</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_Toc1836 </w:instrText>
      </w:r>
      <w:r>
        <w:rPr>
          <w:rFonts w:hint="eastAsia"/>
        </w:rPr>
        <w:fldChar w:fldCharType="separate"/>
      </w:r>
      <w:r>
        <w:rPr>
          <w:rFonts w:hint="default" w:ascii="Times New Roman" w:hAnsi="Times New Roman" w:eastAsia="宋体" w:cs="Times New Roman"/>
          <w:i w:val="0"/>
          <w:szCs w:val="28"/>
        </w:rPr>
        <w:t xml:space="preserve">4.1 </w:t>
      </w:r>
      <w:r>
        <w:rPr>
          <w:rFonts w:hint="eastAsia" w:ascii="宋体" w:hAnsi="宋体" w:eastAsia="宋体"/>
        </w:rPr>
        <w:t>项目概况</w:t>
      </w:r>
      <w:r>
        <w:tab/>
      </w:r>
      <w:r>
        <w:fldChar w:fldCharType="begin"/>
      </w:r>
      <w:r>
        <w:instrText xml:space="preserve"> PAGEREF _Toc1836 \h </w:instrText>
      </w:r>
      <w:r>
        <w:fldChar w:fldCharType="separate"/>
      </w:r>
      <w:r>
        <w:t>58</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_Toc19580 </w:instrText>
      </w:r>
      <w:r>
        <w:rPr>
          <w:rFonts w:hint="eastAsia"/>
        </w:rPr>
        <w:fldChar w:fldCharType="separate"/>
      </w:r>
      <w:r>
        <w:rPr>
          <w:rFonts w:hint="default" w:ascii="Times New Roman" w:hAnsi="Times New Roman" w:eastAsia="宋体" w:cs="Times New Roman"/>
          <w:i w:val="0"/>
          <w:szCs w:val="28"/>
        </w:rPr>
        <w:t xml:space="preserve">4.2 </w:t>
      </w:r>
      <w:r>
        <w:rPr>
          <w:rFonts w:hint="eastAsia" w:ascii="宋体" w:hAnsi="宋体" w:eastAsia="宋体"/>
          <w:szCs w:val="24"/>
        </w:rPr>
        <w:t>商务要求</w:t>
      </w:r>
      <w:r>
        <w:rPr>
          <w:rFonts w:hint="eastAsia" w:ascii="宋体" w:hAnsi="宋体" w:eastAsia="宋体"/>
        </w:rPr>
        <w:t>（本节为通用商务条款，对本章“（三）技术参数及其它要求”中未明确的设备适用，如“（三）技术参数及其它要求”中有明确规定，以其规定为准。）</w:t>
      </w:r>
      <w:r>
        <w:tab/>
      </w:r>
      <w:r>
        <w:fldChar w:fldCharType="begin"/>
      </w:r>
      <w:r>
        <w:instrText xml:space="preserve"> PAGEREF _Toc19580 \h </w:instrText>
      </w:r>
      <w:r>
        <w:fldChar w:fldCharType="separate"/>
      </w:r>
      <w:r>
        <w:t>58</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_Toc20293 </w:instrText>
      </w:r>
      <w:r>
        <w:rPr>
          <w:rFonts w:hint="eastAsia"/>
        </w:rPr>
        <w:fldChar w:fldCharType="separate"/>
      </w:r>
      <w:r>
        <w:rPr>
          <w:rFonts w:hint="default" w:ascii="Times New Roman" w:hAnsi="Times New Roman" w:eastAsia="宋体" w:cs="Times New Roman"/>
          <w:i w:val="0"/>
          <w:szCs w:val="28"/>
        </w:rPr>
        <w:t xml:space="preserve">4.3 </w:t>
      </w:r>
      <w:r>
        <w:rPr>
          <w:rFonts w:hint="eastAsia" w:ascii="宋体" w:hAnsi="宋体" w:eastAsia="宋体"/>
        </w:rPr>
        <w:t>技术参数及其它要求</w:t>
      </w:r>
      <w:r>
        <w:tab/>
      </w:r>
      <w:r>
        <w:fldChar w:fldCharType="begin"/>
      </w:r>
      <w:r>
        <w:instrText xml:space="preserve"> PAGEREF _Toc20293 \h </w:instrText>
      </w:r>
      <w:r>
        <w:fldChar w:fldCharType="separate"/>
      </w:r>
      <w:r>
        <w:t>62</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_Toc2609 </w:instrText>
      </w:r>
      <w:r>
        <w:rPr>
          <w:rFonts w:hint="eastAsia"/>
        </w:rPr>
        <w:fldChar w:fldCharType="separate"/>
      </w:r>
      <w:r>
        <w:rPr>
          <w:rFonts w:hint="default" w:ascii="Times New Roman" w:hAnsi="Times New Roman" w:eastAsia="宋体" w:cs="Times New Roman"/>
          <w:i w:val="0"/>
          <w:szCs w:val="28"/>
        </w:rPr>
        <w:t xml:space="preserve">4.4 </w:t>
      </w:r>
      <w:r>
        <w:rPr>
          <w:rFonts w:hint="eastAsia" w:ascii="宋体" w:hAnsi="宋体" w:eastAsia="宋体"/>
          <w:szCs w:val="24"/>
        </w:rPr>
        <w:t>工艺要求</w:t>
      </w:r>
      <w:r>
        <w:tab/>
      </w:r>
      <w:r>
        <w:fldChar w:fldCharType="begin"/>
      </w:r>
      <w:r>
        <w:instrText xml:space="preserve"> PAGEREF _Toc2609 \h </w:instrText>
      </w:r>
      <w:r>
        <w:fldChar w:fldCharType="separate"/>
      </w:r>
      <w:r>
        <w:t>65</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_Toc7492 </w:instrText>
      </w:r>
      <w:r>
        <w:rPr>
          <w:rFonts w:hint="eastAsia"/>
        </w:rPr>
        <w:fldChar w:fldCharType="separate"/>
      </w:r>
      <w:r>
        <w:rPr>
          <w:rFonts w:hint="default" w:ascii="Times New Roman" w:hAnsi="Times New Roman" w:eastAsia="宋体" w:cs="Times New Roman"/>
          <w:i w:val="0"/>
          <w:szCs w:val="28"/>
        </w:rPr>
        <w:t xml:space="preserve">4.5 </w:t>
      </w:r>
      <w:r>
        <w:rPr>
          <w:rFonts w:hint="eastAsia" w:ascii="宋体" w:hAnsi="宋体" w:eastAsia="宋体"/>
          <w:szCs w:val="24"/>
        </w:rPr>
        <w:t>项目实施</w:t>
      </w:r>
      <w:r>
        <w:rPr>
          <w:rFonts w:hint="eastAsia" w:ascii="宋体" w:hAnsi="宋体" w:eastAsia="宋体"/>
          <w:szCs w:val="24"/>
          <w:lang w:eastAsia="zh-CN"/>
        </w:rPr>
        <w:t>方案</w:t>
      </w:r>
      <w:r>
        <w:tab/>
      </w:r>
      <w:r>
        <w:fldChar w:fldCharType="begin"/>
      </w:r>
      <w:r>
        <w:instrText xml:space="preserve"> PAGEREF _Toc7492 \h </w:instrText>
      </w:r>
      <w:r>
        <w:fldChar w:fldCharType="separate"/>
      </w:r>
      <w:r>
        <w:t>67</w:t>
      </w:r>
      <w:r>
        <w:fldChar w:fldCharType="end"/>
      </w:r>
      <w:r>
        <w:rPr>
          <w:rFonts w:hint="eastAsia"/>
          <w:color w:val="auto"/>
        </w:rPr>
        <w:fldChar w:fldCharType="end"/>
      </w:r>
    </w:p>
    <w:p>
      <w:pPr>
        <w:pStyle w:val="11"/>
        <w:tabs>
          <w:tab w:val="right" w:leader="dot" w:pos="8306"/>
          <w:tab w:val="clear" w:pos="709"/>
          <w:tab w:val="clear" w:pos="8364"/>
        </w:tabs>
      </w:pPr>
      <w:r>
        <w:rPr>
          <w:rFonts w:hint="eastAsia"/>
          <w:color w:val="auto"/>
        </w:rPr>
        <w:fldChar w:fldCharType="begin"/>
      </w:r>
      <w:r>
        <w:rPr>
          <w:rFonts w:hint="eastAsia"/>
        </w:rPr>
        <w:instrText xml:space="preserve"> HYPERLINK \l _Toc12145 </w:instrText>
      </w:r>
      <w:r>
        <w:rPr>
          <w:rFonts w:hint="eastAsia"/>
        </w:rPr>
        <w:fldChar w:fldCharType="separate"/>
      </w:r>
      <w:r>
        <w:rPr>
          <w:rFonts w:hint="default" w:ascii="Times New Roman" w:hAnsi="Times New Roman" w:eastAsia="宋体" w:cs="Times New Roman"/>
          <w:i w:val="0"/>
          <w:szCs w:val="28"/>
        </w:rPr>
        <w:t xml:space="preserve">第5章 </w:t>
      </w:r>
      <w:r>
        <w:rPr>
          <w:rFonts w:hint="eastAsia"/>
        </w:rPr>
        <w:t>资格性审查</w:t>
      </w:r>
      <w:r>
        <w:tab/>
      </w:r>
      <w:r>
        <w:fldChar w:fldCharType="begin"/>
      </w:r>
      <w:r>
        <w:instrText xml:space="preserve"> PAGEREF _Toc12145 \h </w:instrText>
      </w:r>
      <w:r>
        <w:fldChar w:fldCharType="separate"/>
      </w:r>
      <w:r>
        <w:t>67</w:t>
      </w:r>
      <w:r>
        <w:fldChar w:fldCharType="end"/>
      </w:r>
      <w:r>
        <w:rPr>
          <w:rFonts w:hint="eastAsia"/>
          <w:color w:val="auto"/>
        </w:rPr>
        <w:fldChar w:fldCharType="end"/>
      </w:r>
    </w:p>
    <w:p>
      <w:pPr>
        <w:pStyle w:val="11"/>
        <w:tabs>
          <w:tab w:val="right" w:leader="dot" w:pos="8306"/>
          <w:tab w:val="clear" w:pos="709"/>
          <w:tab w:val="clear" w:pos="8364"/>
        </w:tabs>
      </w:pPr>
      <w:r>
        <w:rPr>
          <w:rFonts w:hint="eastAsia"/>
          <w:color w:val="auto"/>
        </w:rPr>
        <w:fldChar w:fldCharType="begin"/>
      </w:r>
      <w:r>
        <w:rPr>
          <w:rFonts w:hint="eastAsia"/>
        </w:rPr>
        <w:instrText xml:space="preserve"> HYPERLINK \l _Toc4587 </w:instrText>
      </w:r>
      <w:r>
        <w:rPr>
          <w:rFonts w:hint="eastAsia"/>
        </w:rPr>
        <w:fldChar w:fldCharType="separate"/>
      </w:r>
      <w:r>
        <w:rPr>
          <w:rFonts w:hint="default" w:ascii="Times New Roman" w:hAnsi="Times New Roman" w:eastAsia="宋体" w:cs="Times New Roman"/>
          <w:i w:val="0"/>
          <w:szCs w:val="28"/>
        </w:rPr>
        <w:t xml:space="preserve">第6章 </w:t>
      </w:r>
      <w:r>
        <w:rPr>
          <w:rFonts w:hint="eastAsia"/>
        </w:rPr>
        <w:t>评标办法</w:t>
      </w:r>
      <w:r>
        <w:tab/>
      </w:r>
      <w:r>
        <w:fldChar w:fldCharType="begin"/>
      </w:r>
      <w:r>
        <w:instrText xml:space="preserve"> PAGEREF _Toc4587 \h </w:instrText>
      </w:r>
      <w:r>
        <w:fldChar w:fldCharType="separate"/>
      </w:r>
      <w:r>
        <w:t>73</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_Toc28140 </w:instrText>
      </w:r>
      <w:r>
        <w:rPr>
          <w:rFonts w:hint="eastAsia"/>
        </w:rPr>
        <w:fldChar w:fldCharType="separate"/>
      </w:r>
      <w:r>
        <w:rPr>
          <w:rFonts w:hint="default" w:ascii="Times New Roman" w:hAnsi="Times New Roman" w:eastAsia="宋体" w:cs="Times New Roman"/>
          <w:i w:val="0"/>
          <w:szCs w:val="28"/>
        </w:rPr>
        <w:t xml:space="preserve">6.1 </w:t>
      </w:r>
      <w:r>
        <w:rPr>
          <w:rFonts w:hint="eastAsia"/>
        </w:rPr>
        <w:t>总则</w:t>
      </w:r>
      <w:r>
        <w:tab/>
      </w:r>
      <w:r>
        <w:fldChar w:fldCharType="begin"/>
      </w:r>
      <w:r>
        <w:instrText xml:space="preserve"> PAGEREF _Toc28140 \h </w:instrText>
      </w:r>
      <w:r>
        <w:fldChar w:fldCharType="separate"/>
      </w:r>
      <w:r>
        <w:t>73</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_Toc9295 </w:instrText>
      </w:r>
      <w:r>
        <w:rPr>
          <w:rFonts w:hint="eastAsia"/>
        </w:rPr>
        <w:fldChar w:fldCharType="separate"/>
      </w:r>
      <w:r>
        <w:rPr>
          <w:rFonts w:hint="default" w:ascii="Times New Roman" w:hAnsi="Times New Roman" w:eastAsia="宋体" w:cs="Times New Roman"/>
          <w:i w:val="0"/>
          <w:szCs w:val="28"/>
        </w:rPr>
        <w:t xml:space="preserve">6.2 </w:t>
      </w:r>
      <w:r>
        <w:rPr>
          <w:rFonts w:hint="eastAsia"/>
        </w:rPr>
        <w:t>评标方法</w:t>
      </w:r>
      <w:r>
        <w:tab/>
      </w:r>
      <w:r>
        <w:fldChar w:fldCharType="begin"/>
      </w:r>
      <w:r>
        <w:instrText xml:space="preserve"> PAGEREF _Toc9295 \h </w:instrText>
      </w:r>
      <w:r>
        <w:fldChar w:fldCharType="separate"/>
      </w:r>
      <w:r>
        <w:t>75</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_Toc25567 </w:instrText>
      </w:r>
      <w:r>
        <w:rPr>
          <w:rFonts w:hint="eastAsia"/>
        </w:rPr>
        <w:fldChar w:fldCharType="separate"/>
      </w:r>
      <w:r>
        <w:rPr>
          <w:rFonts w:hint="default" w:ascii="Times New Roman" w:hAnsi="Times New Roman" w:eastAsia="宋体" w:cs="Times New Roman"/>
          <w:i w:val="0"/>
          <w:szCs w:val="28"/>
        </w:rPr>
        <w:t xml:space="preserve">6.3 </w:t>
      </w:r>
      <w:r>
        <w:rPr>
          <w:rFonts w:hint="eastAsia"/>
        </w:rPr>
        <w:t>评标程序</w:t>
      </w:r>
      <w:r>
        <w:tab/>
      </w:r>
      <w:r>
        <w:fldChar w:fldCharType="begin"/>
      </w:r>
      <w:r>
        <w:instrText xml:space="preserve"> PAGEREF _Toc25567 \h </w:instrText>
      </w:r>
      <w:r>
        <w:fldChar w:fldCharType="separate"/>
      </w:r>
      <w:r>
        <w:t>75</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_Toc30516 </w:instrText>
      </w:r>
      <w:r>
        <w:rPr>
          <w:rFonts w:hint="eastAsia"/>
        </w:rPr>
        <w:fldChar w:fldCharType="separate"/>
      </w:r>
      <w:r>
        <w:rPr>
          <w:rFonts w:hint="default" w:ascii="Times New Roman" w:hAnsi="Times New Roman" w:eastAsia="宋体" w:cs="Times New Roman"/>
          <w:i w:val="0"/>
          <w:szCs w:val="28"/>
        </w:rPr>
        <w:t xml:space="preserve">6.4 </w:t>
      </w:r>
      <w:r>
        <w:rPr>
          <w:rFonts w:hint="eastAsia"/>
        </w:rPr>
        <w:t>评标争议处理规则</w:t>
      </w:r>
      <w:r>
        <w:tab/>
      </w:r>
      <w:r>
        <w:fldChar w:fldCharType="begin"/>
      </w:r>
      <w:r>
        <w:instrText xml:space="preserve"> PAGEREF _Toc30516 \h </w:instrText>
      </w:r>
      <w:r>
        <w:fldChar w:fldCharType="separate"/>
      </w:r>
      <w:r>
        <w:t>82</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_Toc6292 </w:instrText>
      </w:r>
      <w:r>
        <w:rPr>
          <w:rFonts w:hint="eastAsia"/>
        </w:rPr>
        <w:fldChar w:fldCharType="separate"/>
      </w:r>
      <w:r>
        <w:rPr>
          <w:rFonts w:hint="default" w:ascii="Times New Roman" w:hAnsi="Times New Roman" w:eastAsia="宋体" w:cs="Times New Roman"/>
          <w:i w:val="0"/>
          <w:szCs w:val="28"/>
        </w:rPr>
        <w:t xml:space="preserve">6.5 </w:t>
      </w:r>
      <w:r>
        <w:rPr>
          <w:rFonts w:hint="eastAsia"/>
        </w:rPr>
        <w:t>评标细则及标准</w:t>
      </w:r>
      <w:r>
        <w:tab/>
      </w:r>
      <w:r>
        <w:fldChar w:fldCharType="begin"/>
      </w:r>
      <w:r>
        <w:instrText xml:space="preserve"> PAGEREF _Toc6292 \h </w:instrText>
      </w:r>
      <w:r>
        <w:fldChar w:fldCharType="separate"/>
      </w:r>
      <w:r>
        <w:t>83</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_Toc28167 </w:instrText>
      </w:r>
      <w:r>
        <w:rPr>
          <w:rFonts w:hint="eastAsia"/>
        </w:rPr>
        <w:fldChar w:fldCharType="separate"/>
      </w:r>
      <w:r>
        <w:rPr>
          <w:rFonts w:hint="default" w:ascii="Times New Roman" w:hAnsi="Times New Roman" w:eastAsia="宋体" w:cs="Times New Roman"/>
          <w:i w:val="0"/>
          <w:szCs w:val="28"/>
        </w:rPr>
        <w:t xml:space="preserve">6.6 </w:t>
      </w:r>
      <w:r>
        <w:rPr>
          <w:rFonts w:hint="eastAsia"/>
        </w:rPr>
        <w:t>废标</w:t>
      </w:r>
      <w:r>
        <w:tab/>
      </w:r>
      <w:r>
        <w:fldChar w:fldCharType="begin"/>
      </w:r>
      <w:r>
        <w:instrText xml:space="preserve"> PAGEREF _Toc28167 \h </w:instrText>
      </w:r>
      <w:r>
        <w:fldChar w:fldCharType="separate"/>
      </w:r>
      <w:r>
        <w:t>86</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_Toc7655 </w:instrText>
      </w:r>
      <w:r>
        <w:rPr>
          <w:rFonts w:hint="eastAsia"/>
        </w:rPr>
        <w:fldChar w:fldCharType="separate"/>
      </w:r>
      <w:r>
        <w:rPr>
          <w:rFonts w:hint="default" w:ascii="Times New Roman" w:hAnsi="Times New Roman" w:eastAsia="宋体" w:cs="Times New Roman"/>
          <w:i w:val="0"/>
          <w:szCs w:val="28"/>
        </w:rPr>
        <w:t xml:space="preserve">6.7 </w:t>
      </w:r>
      <w:r>
        <w:rPr>
          <w:rFonts w:hint="eastAsia"/>
        </w:rPr>
        <w:t>定标</w:t>
      </w:r>
      <w:r>
        <w:tab/>
      </w:r>
      <w:r>
        <w:fldChar w:fldCharType="begin"/>
      </w:r>
      <w:r>
        <w:instrText xml:space="preserve"> PAGEREF _Toc7655 \h </w:instrText>
      </w:r>
      <w:r>
        <w:fldChar w:fldCharType="separate"/>
      </w:r>
      <w:r>
        <w:t>87</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_Toc9933 </w:instrText>
      </w:r>
      <w:r>
        <w:rPr>
          <w:rFonts w:hint="eastAsia"/>
        </w:rPr>
        <w:fldChar w:fldCharType="separate"/>
      </w:r>
      <w:r>
        <w:rPr>
          <w:rFonts w:hint="default" w:ascii="Times New Roman" w:hAnsi="Times New Roman" w:eastAsia="宋体" w:cs="Times New Roman"/>
          <w:i w:val="0"/>
          <w:szCs w:val="28"/>
        </w:rPr>
        <w:t xml:space="preserve">6.8 </w:t>
      </w:r>
      <w:r>
        <w:rPr>
          <w:rFonts w:hint="eastAsia"/>
        </w:rPr>
        <w:t>评标专家在政府采购活动中承担以下义务</w:t>
      </w:r>
      <w:r>
        <w:tab/>
      </w:r>
      <w:r>
        <w:fldChar w:fldCharType="begin"/>
      </w:r>
      <w:r>
        <w:instrText xml:space="preserve"> PAGEREF _Toc9933 \h </w:instrText>
      </w:r>
      <w:r>
        <w:fldChar w:fldCharType="separate"/>
      </w:r>
      <w:r>
        <w:t>88</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_Toc1786 </w:instrText>
      </w:r>
      <w:r>
        <w:rPr>
          <w:rFonts w:hint="eastAsia"/>
        </w:rPr>
        <w:fldChar w:fldCharType="separate"/>
      </w:r>
      <w:r>
        <w:rPr>
          <w:rFonts w:hint="default" w:ascii="Times New Roman" w:hAnsi="Times New Roman" w:eastAsia="宋体" w:cs="Times New Roman"/>
          <w:i w:val="0"/>
          <w:szCs w:val="28"/>
        </w:rPr>
        <w:t xml:space="preserve">6.9 </w:t>
      </w:r>
      <w:r>
        <w:rPr>
          <w:rFonts w:hint="eastAsia"/>
        </w:rPr>
        <w:t>评标委员会及其成员不得有下列行为：</w:t>
      </w:r>
      <w:r>
        <w:tab/>
      </w:r>
      <w:r>
        <w:fldChar w:fldCharType="begin"/>
      </w:r>
      <w:r>
        <w:instrText xml:space="preserve"> PAGEREF _Toc1786 \h </w:instrText>
      </w:r>
      <w:r>
        <w:fldChar w:fldCharType="separate"/>
      </w:r>
      <w:r>
        <w:t>89</w:t>
      </w:r>
      <w:r>
        <w:fldChar w:fldCharType="end"/>
      </w:r>
      <w:r>
        <w:rPr>
          <w:rFonts w:hint="eastAsia"/>
          <w:color w:val="auto"/>
        </w:rPr>
        <w:fldChar w:fldCharType="end"/>
      </w:r>
    </w:p>
    <w:p>
      <w:pPr>
        <w:pStyle w:val="12"/>
        <w:tabs>
          <w:tab w:val="right" w:leader="dot" w:pos="8306"/>
          <w:tab w:val="clear" w:pos="620"/>
          <w:tab w:val="clear" w:pos="8364"/>
        </w:tabs>
      </w:pPr>
      <w:r>
        <w:rPr>
          <w:rFonts w:hint="eastAsia"/>
          <w:color w:val="auto"/>
        </w:rPr>
        <w:fldChar w:fldCharType="begin"/>
      </w:r>
      <w:r>
        <w:rPr>
          <w:rFonts w:hint="eastAsia"/>
        </w:rPr>
        <w:instrText xml:space="preserve"> HYPERLINK \l _Toc26764 </w:instrText>
      </w:r>
      <w:r>
        <w:rPr>
          <w:rFonts w:hint="eastAsia"/>
        </w:rPr>
        <w:fldChar w:fldCharType="separate"/>
      </w:r>
      <w:r>
        <w:rPr>
          <w:rFonts w:hint="default" w:ascii="Times New Roman" w:hAnsi="Times New Roman" w:eastAsia="宋体" w:cs="Times New Roman"/>
          <w:i w:val="0"/>
          <w:szCs w:val="28"/>
        </w:rPr>
        <w:t xml:space="preserve">6.10 </w:t>
      </w:r>
      <w:r>
        <w:rPr>
          <w:rFonts w:hint="eastAsia"/>
        </w:rPr>
        <w:t>评审专家在政府采购活动中应当遵守以下工作纪律</w:t>
      </w:r>
      <w:r>
        <w:tab/>
      </w:r>
      <w:r>
        <w:fldChar w:fldCharType="begin"/>
      </w:r>
      <w:r>
        <w:instrText xml:space="preserve"> PAGEREF _Toc26764 \h </w:instrText>
      </w:r>
      <w:r>
        <w:fldChar w:fldCharType="separate"/>
      </w:r>
      <w:r>
        <w:t>90</w:t>
      </w:r>
      <w:r>
        <w:fldChar w:fldCharType="end"/>
      </w:r>
      <w:r>
        <w:rPr>
          <w:rFonts w:hint="eastAsia"/>
          <w:color w:val="auto"/>
        </w:rPr>
        <w:fldChar w:fldCharType="end"/>
      </w:r>
    </w:p>
    <w:p>
      <w:pPr>
        <w:pStyle w:val="11"/>
        <w:tabs>
          <w:tab w:val="right" w:leader="dot" w:pos="8306"/>
          <w:tab w:val="clear" w:pos="709"/>
          <w:tab w:val="clear" w:pos="8364"/>
        </w:tabs>
      </w:pPr>
      <w:r>
        <w:rPr>
          <w:rFonts w:hint="eastAsia"/>
          <w:color w:val="auto"/>
        </w:rPr>
        <w:fldChar w:fldCharType="begin"/>
      </w:r>
      <w:r>
        <w:rPr>
          <w:rFonts w:hint="eastAsia"/>
        </w:rPr>
        <w:instrText xml:space="preserve"> HYPERLINK \l _Toc9593 </w:instrText>
      </w:r>
      <w:r>
        <w:rPr>
          <w:rFonts w:hint="eastAsia"/>
        </w:rPr>
        <w:fldChar w:fldCharType="separate"/>
      </w:r>
      <w:r>
        <w:rPr>
          <w:rFonts w:hint="default" w:ascii="Times New Roman" w:hAnsi="Times New Roman" w:eastAsia="宋体" w:cs="Times New Roman"/>
          <w:i w:val="0"/>
          <w:szCs w:val="28"/>
        </w:rPr>
        <w:t xml:space="preserve">第7章 </w:t>
      </w:r>
      <w:r>
        <w:rPr>
          <w:rFonts w:hint="eastAsia"/>
        </w:rPr>
        <w:t>拟签订合同文本</w:t>
      </w:r>
      <w:r>
        <w:tab/>
      </w:r>
      <w:r>
        <w:fldChar w:fldCharType="begin"/>
      </w:r>
      <w:r>
        <w:instrText xml:space="preserve"> PAGEREF _Toc9593 \h </w:instrText>
      </w:r>
      <w:r>
        <w:fldChar w:fldCharType="separate"/>
      </w:r>
      <w:r>
        <w:t>92</w:t>
      </w:r>
      <w:r>
        <w:fldChar w:fldCharType="end"/>
      </w:r>
      <w:r>
        <w:rPr>
          <w:rFonts w:hint="eastAsia"/>
          <w:color w:val="auto"/>
        </w:rPr>
        <w:fldChar w:fldCharType="end"/>
      </w:r>
    </w:p>
    <w:p>
      <w:pPr>
        <w:pStyle w:val="12"/>
        <w:tabs>
          <w:tab w:val="right" w:leader="dot" w:pos="8647"/>
          <w:tab w:val="clear" w:pos="8364"/>
        </w:tabs>
        <w:spacing w:line="276" w:lineRule="auto"/>
        <w:ind w:left="0"/>
        <w:rPr>
          <w:color w:val="auto"/>
        </w:rPr>
      </w:pPr>
      <w:r>
        <w:rPr>
          <w:rFonts w:hint="eastAsia"/>
          <w:color w:val="auto"/>
        </w:rPr>
        <w:fldChar w:fldCharType="end"/>
      </w:r>
    </w:p>
    <w:p>
      <w:pPr>
        <w:rPr>
          <w:color w:val="auto"/>
        </w:rPr>
      </w:pPr>
    </w:p>
    <w:p>
      <w:pPr>
        <w:rPr>
          <w:color w:val="auto"/>
        </w:rPr>
      </w:pPr>
      <w:bookmarkStart w:id="4" w:name="_Toc204575871"/>
      <w:bookmarkStart w:id="5" w:name="_Toc181591102"/>
      <w:bookmarkStart w:id="6" w:name="_Toc181610856"/>
      <w:r>
        <w:rPr>
          <w:rFonts w:hint="eastAsia"/>
          <w:color w:val="auto"/>
        </w:rPr>
        <w:br w:type="page"/>
      </w:r>
    </w:p>
    <w:p>
      <w:pPr>
        <w:pStyle w:val="4"/>
        <w:numPr>
          <w:ilvl w:val="0"/>
          <w:numId w:val="3"/>
        </w:numPr>
        <w:spacing w:before="0" w:after="0" w:line="360" w:lineRule="auto"/>
        <w:ind w:left="0" w:firstLine="0"/>
        <w:rPr>
          <w:color w:val="auto"/>
        </w:rPr>
      </w:pPr>
      <w:bookmarkStart w:id="7" w:name="_Toc24410"/>
      <w:r>
        <w:rPr>
          <w:rFonts w:hint="eastAsia"/>
          <w:color w:val="auto"/>
        </w:rPr>
        <w:t>投标邀请</w:t>
      </w:r>
      <w:bookmarkEnd w:id="4"/>
      <w:bookmarkEnd w:id="5"/>
      <w:bookmarkEnd w:id="6"/>
      <w:bookmarkEnd w:id="7"/>
    </w:p>
    <w:p>
      <w:pPr>
        <w:widowControl w:val="0"/>
        <w:numPr>
          <w:ilvl w:val="0"/>
          <w:numId w:val="0"/>
        </w:numPr>
        <w:spacing w:line="240" w:lineRule="auto"/>
        <w:ind w:left="0" w:leftChars="0" w:firstLine="560" w:firstLineChars="200"/>
        <w:jc w:val="both"/>
        <w:rPr>
          <w:rFonts w:ascii="宋体" w:hAnsi="宋体"/>
          <w:color w:val="auto"/>
          <w:sz w:val="28"/>
          <w:szCs w:val="28"/>
        </w:rPr>
      </w:pPr>
      <w:r>
        <w:rPr>
          <w:rFonts w:hint="eastAsia" w:ascii="宋体" w:hAnsi="宋体"/>
          <w:color w:val="auto"/>
          <w:sz w:val="28"/>
          <w:szCs w:val="28"/>
          <w:lang w:eastAsia="zh-CN"/>
        </w:rPr>
        <w:t>崇州市</w:t>
      </w:r>
      <w:r>
        <w:rPr>
          <w:rFonts w:hint="eastAsia" w:ascii="宋体" w:hAnsi="宋体"/>
          <w:color w:val="auto"/>
          <w:sz w:val="28"/>
          <w:szCs w:val="28"/>
        </w:rPr>
        <w:t>公共资源交易服务中心(以下简称“</w:t>
      </w:r>
      <w:r>
        <w:rPr>
          <w:rFonts w:hint="eastAsia" w:ascii="宋体" w:hAnsi="宋体"/>
          <w:color w:val="auto"/>
          <w:sz w:val="28"/>
          <w:szCs w:val="28"/>
          <w:lang w:eastAsia="zh-CN"/>
        </w:rPr>
        <w:t>崇</w:t>
      </w:r>
      <w:r>
        <w:rPr>
          <w:rFonts w:hint="eastAsia" w:ascii="宋体" w:hAnsi="宋体"/>
          <w:color w:val="auto"/>
          <w:sz w:val="28"/>
          <w:szCs w:val="28"/>
        </w:rPr>
        <w:t>公资交易中心”)受</w:t>
      </w:r>
      <w:r>
        <w:rPr>
          <w:rFonts w:hint="eastAsia" w:ascii="宋体" w:hAnsi="宋体"/>
          <w:b/>
          <w:color w:val="auto"/>
          <w:sz w:val="28"/>
          <w:szCs w:val="28"/>
          <w:lang w:eastAsia="zh-CN"/>
        </w:rPr>
        <w:t>崇州市现代教育技术服务中心</w:t>
      </w:r>
      <w:r>
        <w:rPr>
          <w:rFonts w:hint="eastAsia" w:ascii="宋体" w:hAnsi="宋体"/>
          <w:color w:val="auto"/>
          <w:sz w:val="28"/>
          <w:szCs w:val="28"/>
        </w:rPr>
        <w:t>委托，拟对</w:t>
      </w:r>
      <w:r>
        <w:rPr>
          <w:rFonts w:hint="eastAsia" w:ascii="宋体" w:hAnsi="宋体"/>
          <w:b/>
          <w:color w:val="auto"/>
          <w:sz w:val="28"/>
          <w:szCs w:val="28"/>
          <w:lang w:eastAsia="zh-CN"/>
        </w:rPr>
        <w:t>崇州市现代教育技术服务中心</w:t>
      </w:r>
      <w:r>
        <w:rPr>
          <w:rFonts w:hint="eastAsia" w:ascii="宋体" w:hAnsi="宋体"/>
          <w:b/>
          <w:color w:val="auto"/>
          <w:sz w:val="28"/>
          <w:szCs w:val="28"/>
          <w:lang w:val="en-US" w:eastAsia="zh-CN"/>
        </w:rPr>
        <w:t>LED显示屏</w:t>
      </w:r>
      <w:r>
        <w:rPr>
          <w:rFonts w:hint="eastAsia" w:ascii="宋体" w:hAnsi="宋体"/>
          <w:b/>
          <w:color w:val="auto"/>
          <w:sz w:val="28"/>
          <w:szCs w:val="28"/>
          <w:lang w:eastAsia="zh-CN"/>
        </w:rPr>
        <w:t>采购项目</w:t>
      </w:r>
      <w:r>
        <w:rPr>
          <w:rFonts w:hint="eastAsia" w:ascii="宋体" w:hAnsi="宋体"/>
          <w:color w:val="auto"/>
          <w:sz w:val="28"/>
          <w:szCs w:val="28"/>
        </w:rPr>
        <w:t>进行国内公开招标，兹邀请符合本次招标要求的供应商参加投标。</w:t>
      </w:r>
    </w:p>
    <w:p>
      <w:pPr>
        <w:widowControl w:val="0"/>
        <w:numPr>
          <w:ilvl w:val="0"/>
          <w:numId w:val="4"/>
        </w:numPr>
        <w:spacing w:line="360" w:lineRule="auto"/>
        <w:ind w:left="0" w:firstLine="567"/>
        <w:jc w:val="both"/>
        <w:rPr>
          <w:rFonts w:ascii="微软雅黑" w:hAnsi="微软雅黑" w:eastAsia="微软雅黑" w:cs="宋体"/>
          <w:color w:val="auto"/>
          <w:sz w:val="18"/>
          <w:szCs w:val="18"/>
        </w:rPr>
      </w:pPr>
      <w:r>
        <w:rPr>
          <w:rFonts w:hint="eastAsia" w:ascii="宋体" w:hAnsi="宋体"/>
          <w:b/>
          <w:color w:val="auto"/>
          <w:sz w:val="28"/>
          <w:szCs w:val="28"/>
        </w:rPr>
        <w:t>项目编号：</w:t>
      </w:r>
      <w:r>
        <w:rPr>
          <w:rFonts w:hint="eastAsia" w:ascii="华文中宋" w:hAnsi="华文中宋" w:eastAsia="华文中宋"/>
          <w:color w:val="auto"/>
          <w:sz w:val="32"/>
          <w:szCs w:val="32"/>
          <w:lang w:eastAsia="zh-CN"/>
        </w:rPr>
        <w:t>崇州市政采（2021）A0004号</w:t>
      </w:r>
    </w:p>
    <w:p>
      <w:pPr>
        <w:pStyle w:val="2"/>
        <w:rPr>
          <w:rFonts w:hint="eastAsia" w:eastAsia="宋体"/>
          <w:lang w:eastAsia="zh-CN"/>
        </w:rPr>
      </w:pPr>
      <w:r>
        <w:rPr>
          <w:rFonts w:hint="eastAsia" w:ascii="宋体" w:hAnsi="宋体"/>
          <w:b/>
          <w:color w:val="auto"/>
          <w:sz w:val="28"/>
          <w:szCs w:val="28"/>
          <w:lang w:eastAsia="zh-CN"/>
        </w:rPr>
        <w:t>　　（采购项目编号：</w:t>
      </w:r>
      <w:r>
        <w:rPr>
          <w:rFonts w:hint="eastAsia" w:ascii="华文中宋" w:hAnsi="华文中宋" w:eastAsia="华文中宋"/>
          <w:color w:val="auto"/>
          <w:sz w:val="32"/>
          <w:szCs w:val="32"/>
          <w:lang w:eastAsia="zh-CN"/>
        </w:rPr>
        <w:t>510184202100075</w:t>
      </w:r>
      <w:r>
        <w:rPr>
          <w:rFonts w:hint="eastAsia" w:ascii="宋体" w:hAnsi="宋体"/>
          <w:b/>
          <w:color w:val="auto"/>
          <w:sz w:val="28"/>
          <w:szCs w:val="28"/>
          <w:lang w:eastAsia="zh-CN"/>
        </w:rPr>
        <w:t>）</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项目名称：</w:t>
      </w:r>
      <w:r>
        <w:rPr>
          <w:rFonts w:hint="eastAsia" w:ascii="宋体" w:hAnsi="宋体"/>
          <w:b/>
          <w:color w:val="auto"/>
          <w:sz w:val="28"/>
          <w:szCs w:val="28"/>
          <w:lang w:eastAsia="zh-CN"/>
        </w:rPr>
        <w:t>崇州市现代教育技术服务中心</w:t>
      </w:r>
      <w:r>
        <w:rPr>
          <w:rFonts w:hint="eastAsia" w:ascii="宋体" w:hAnsi="宋体"/>
          <w:b/>
          <w:color w:val="auto"/>
          <w:sz w:val="28"/>
          <w:szCs w:val="28"/>
          <w:lang w:val="en-US" w:eastAsia="zh-CN"/>
        </w:rPr>
        <w:t>LED显示屏</w:t>
      </w:r>
      <w:r>
        <w:rPr>
          <w:rFonts w:hint="eastAsia" w:ascii="宋体" w:hAnsi="宋体"/>
          <w:b/>
          <w:color w:val="auto"/>
          <w:sz w:val="28"/>
          <w:szCs w:val="28"/>
          <w:lang w:eastAsia="zh-CN"/>
        </w:rPr>
        <w:t>采购项目</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资金来源、预算金额及最高限价：</w:t>
      </w:r>
      <w:r>
        <w:rPr>
          <w:rFonts w:hint="eastAsia" w:ascii="宋体" w:hAnsi="宋体"/>
          <w:color w:val="auto"/>
          <w:sz w:val="28"/>
          <w:szCs w:val="28"/>
        </w:rPr>
        <w:t>财政性资金，政府采购实施计划备案表号：（20</w:t>
      </w:r>
      <w:r>
        <w:rPr>
          <w:rFonts w:ascii="宋体" w:hAnsi="宋体"/>
          <w:color w:val="auto"/>
          <w:sz w:val="28"/>
          <w:szCs w:val="28"/>
        </w:rPr>
        <w:t>2</w:t>
      </w:r>
      <w:r>
        <w:rPr>
          <w:rFonts w:hint="eastAsia" w:ascii="宋体" w:hAnsi="宋体"/>
          <w:color w:val="auto"/>
          <w:sz w:val="28"/>
          <w:szCs w:val="28"/>
          <w:lang w:val="en-US" w:eastAsia="zh-CN"/>
        </w:rPr>
        <w:t>1</w:t>
      </w:r>
      <w:r>
        <w:rPr>
          <w:rFonts w:hint="eastAsia" w:ascii="宋体" w:hAnsi="宋体"/>
          <w:color w:val="auto"/>
          <w:sz w:val="28"/>
          <w:szCs w:val="28"/>
        </w:rPr>
        <w:t>）</w:t>
      </w:r>
      <w:r>
        <w:rPr>
          <w:rFonts w:hint="eastAsia" w:ascii="宋体" w:hAnsi="宋体"/>
          <w:color w:val="auto"/>
          <w:sz w:val="28"/>
          <w:szCs w:val="28"/>
          <w:lang w:val="en-US" w:eastAsia="zh-CN"/>
        </w:rPr>
        <w:t>0341</w:t>
      </w:r>
      <w:r>
        <w:rPr>
          <w:rFonts w:hint="eastAsia" w:ascii="宋体" w:hAnsi="宋体"/>
          <w:color w:val="auto"/>
          <w:sz w:val="28"/>
          <w:szCs w:val="28"/>
        </w:rPr>
        <w:t>号；预算品目：A</w:t>
      </w:r>
      <w:r>
        <w:rPr>
          <w:rFonts w:hint="eastAsia" w:ascii="宋体" w:hAnsi="宋体"/>
          <w:color w:val="auto"/>
          <w:sz w:val="28"/>
          <w:szCs w:val="28"/>
          <w:lang w:val="en-US" w:eastAsia="zh-CN"/>
        </w:rPr>
        <w:t>020207（LED显示屏）</w:t>
      </w:r>
      <w:r>
        <w:rPr>
          <w:rFonts w:hint="eastAsia" w:ascii="宋体" w:hAnsi="宋体"/>
          <w:color w:val="auto"/>
          <w:sz w:val="28"/>
          <w:szCs w:val="28"/>
        </w:rPr>
        <w:t>；预算金额：</w:t>
      </w:r>
      <w:r>
        <w:rPr>
          <w:rFonts w:hint="eastAsia" w:ascii="宋体" w:hAnsi="宋体"/>
          <w:color w:val="auto"/>
          <w:sz w:val="28"/>
          <w:szCs w:val="28"/>
          <w:lang w:val="en-US" w:eastAsia="zh-CN"/>
        </w:rPr>
        <w:t>153.5万</w:t>
      </w:r>
      <w:r>
        <w:rPr>
          <w:rFonts w:hint="eastAsia" w:ascii="宋体" w:hAnsi="宋体"/>
          <w:color w:val="auto"/>
          <w:sz w:val="28"/>
          <w:szCs w:val="28"/>
        </w:rPr>
        <w:t>元</w:t>
      </w:r>
      <w:r>
        <w:rPr>
          <w:rFonts w:hint="eastAsia" w:ascii="宋体" w:hAnsi="宋体"/>
          <w:color w:val="auto"/>
          <w:sz w:val="28"/>
        </w:rPr>
        <w:t>；最高限价：</w:t>
      </w:r>
      <w:r>
        <w:rPr>
          <w:rFonts w:hint="eastAsia" w:ascii="宋体" w:hAnsi="宋体"/>
          <w:color w:val="auto"/>
          <w:sz w:val="28"/>
          <w:szCs w:val="28"/>
          <w:lang w:val="en-US" w:eastAsia="zh-CN"/>
        </w:rPr>
        <w:t>153.5</w:t>
      </w:r>
      <w:r>
        <w:rPr>
          <w:rFonts w:hint="eastAsia" w:ascii="宋体" w:hAnsi="宋体"/>
          <w:color w:val="auto"/>
          <w:sz w:val="28"/>
          <w:szCs w:val="28"/>
        </w:rPr>
        <w:t>万元。</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招标项目简介</w:t>
      </w:r>
    </w:p>
    <w:p>
      <w:pPr>
        <w:spacing w:after="163" w:afterLines="50" w:line="360" w:lineRule="auto"/>
        <w:ind w:firstLine="560" w:firstLineChars="200"/>
        <w:rPr>
          <w:rFonts w:hint="eastAsia" w:ascii="宋体" w:hAnsi="宋体"/>
          <w:color w:val="auto"/>
          <w:sz w:val="28"/>
          <w:szCs w:val="28"/>
        </w:rPr>
      </w:pPr>
      <w:r>
        <w:rPr>
          <w:rFonts w:hint="eastAsia" w:ascii="宋体" w:hAnsi="宋体"/>
          <w:color w:val="auto"/>
          <w:sz w:val="28"/>
          <w:szCs w:val="28"/>
        </w:rPr>
        <w:t>详细的技术、服务、商务及其他要求见第</w:t>
      </w:r>
      <w:r>
        <w:rPr>
          <w:rFonts w:ascii="宋体" w:hAnsi="宋体"/>
          <w:color w:val="auto"/>
          <w:sz w:val="28"/>
          <w:szCs w:val="28"/>
        </w:rPr>
        <w:t>4</w:t>
      </w:r>
      <w:r>
        <w:rPr>
          <w:rFonts w:hint="eastAsia" w:ascii="宋体" w:hAnsi="宋体"/>
          <w:color w:val="auto"/>
          <w:sz w:val="28"/>
          <w:szCs w:val="28"/>
        </w:rPr>
        <w:t>章。</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供应商参加本次政府采购活动应具备的条件</w:t>
      </w:r>
    </w:p>
    <w:p>
      <w:pPr>
        <w:pStyle w:val="20"/>
        <w:numPr>
          <w:ilvl w:val="0"/>
          <w:numId w:val="5"/>
        </w:numPr>
        <w:tabs>
          <w:tab w:val="left" w:pos="1134"/>
        </w:tabs>
        <w:ind w:left="568" w:leftChars="0"/>
        <w:rPr>
          <w:rFonts w:hint="eastAsia" w:ascii="宋体" w:hAnsi="宋体"/>
          <w:color w:val="auto"/>
          <w:sz w:val="28"/>
          <w:szCs w:val="28"/>
        </w:rPr>
      </w:pPr>
      <w:r>
        <w:rPr>
          <w:rFonts w:hint="eastAsia" w:ascii="宋体" w:hAnsi="宋体"/>
          <w:color w:val="auto"/>
          <w:sz w:val="28"/>
          <w:szCs w:val="28"/>
        </w:rPr>
        <w:t>符合《政府采购法》第二十二条第一款规定的条件；</w:t>
      </w:r>
    </w:p>
    <w:p>
      <w:pPr>
        <w:numPr>
          <w:ilvl w:val="0"/>
          <w:numId w:val="0"/>
        </w:numPr>
        <w:tabs>
          <w:tab w:val="left" w:pos="1260"/>
        </w:tabs>
        <w:spacing w:after="0" w:line="240" w:lineRule="auto"/>
        <w:ind w:left="0" w:leftChars="0"/>
        <w:rPr>
          <w:rFonts w:hint="eastAsia" w:ascii="宋体" w:hAnsi="宋体"/>
          <w:color w:val="auto"/>
          <w:sz w:val="28"/>
          <w:szCs w:val="28"/>
        </w:rPr>
      </w:pPr>
      <w:r>
        <w:rPr>
          <w:rFonts w:hint="eastAsia" w:ascii="宋体" w:hAnsi="宋体"/>
          <w:sz w:val="28"/>
          <w:szCs w:val="28"/>
          <w:lang w:eastAsia="zh-CN"/>
        </w:rPr>
        <w:t>　　　　</w:t>
      </w:r>
      <w:r>
        <w:rPr>
          <w:rFonts w:hint="eastAsia" w:ascii="宋体" w:hAnsi="宋体"/>
          <w:sz w:val="28"/>
          <w:szCs w:val="28"/>
          <w:lang w:val="en-US" w:eastAsia="zh-CN"/>
        </w:rPr>
        <w:t>2、</w:t>
      </w:r>
      <w:r>
        <w:rPr>
          <w:rFonts w:hint="eastAsia" w:ascii="宋体" w:hAnsi="宋体"/>
          <w:sz w:val="28"/>
          <w:szCs w:val="28"/>
        </w:rPr>
        <w:t>在中华人民共和国境内依法登记注册，并有效存续具有独立法人资格的供应商；</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 xml:space="preserve">未被列入失信被执行人、重大税收违法案件当事人名单、政府采购严重违法失信行为记录名单； </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在行贿犯罪信息查询期限内，投标人及其现任法定代表人、主要负责人没有行贿犯罪记录；</w:t>
      </w:r>
    </w:p>
    <w:p>
      <w:pPr>
        <w:pStyle w:val="2"/>
        <w:ind w:firstLine="560" w:firstLineChars="200"/>
        <w:rPr>
          <w:color w:val="000000" w:themeColor="text1"/>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未处于被行政部门禁止参与政府采购活动的期限内；</w:t>
      </w:r>
    </w:p>
    <w:p>
      <w:pPr>
        <w:tabs>
          <w:tab w:val="left" w:pos="1134"/>
        </w:tabs>
        <w:spacing w:line="560" w:lineRule="exact"/>
        <w:ind w:left="7" w:firstLine="560" w:firstLineChars="200"/>
        <w:rPr>
          <w:rFonts w:hint="eastAsia" w:eastAsia="宋体"/>
          <w:lang w:val="en-US" w:eastAsia="zh-CN"/>
        </w:rPr>
      </w:pPr>
      <w:r>
        <w:rPr>
          <w:rFonts w:hint="eastAsia" w:ascii="宋体" w:hAnsi="宋体"/>
          <w:color w:val="000000" w:themeColor="text1"/>
          <w:sz w:val="28"/>
          <w:szCs w:val="28"/>
          <w:lang w:val="en-US" w:eastAsia="zh-CN"/>
          <w14:textFill>
            <w14:solidFill>
              <w14:schemeClr w14:val="tx1"/>
            </w14:solidFill>
          </w14:textFill>
        </w:rPr>
        <w:t>6、</w:t>
      </w:r>
      <w:r>
        <w:rPr>
          <w:rFonts w:hint="eastAsia" w:ascii="宋体" w:hAnsi="宋体"/>
          <w:color w:val="000000" w:themeColor="text1"/>
          <w:sz w:val="28"/>
          <w:szCs w:val="28"/>
          <w14:textFill>
            <w14:solidFill>
              <w14:schemeClr w14:val="tx1"/>
            </w14:solidFill>
          </w14:textFill>
        </w:rPr>
        <w:t>不属于其他国家相关法律法规规定的禁止参加投标的供应商；</w:t>
      </w:r>
    </w:p>
    <w:p>
      <w:pPr>
        <w:pStyle w:val="20"/>
        <w:tabs>
          <w:tab w:val="left" w:pos="0"/>
          <w:tab w:val="left" w:pos="993"/>
          <w:tab w:val="left" w:pos="1418"/>
          <w:tab w:val="left" w:pos="1560"/>
        </w:tabs>
        <w:spacing w:line="560" w:lineRule="exact"/>
        <w:ind w:left="7" w:firstLine="56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7、</w:t>
      </w:r>
      <w:r>
        <w:rPr>
          <w:rFonts w:hint="eastAsia" w:ascii="宋体" w:hAnsi="宋体"/>
          <w:color w:val="000000" w:themeColor="text1"/>
          <w:sz w:val="28"/>
          <w:szCs w:val="28"/>
          <w14:textFill>
            <w14:solidFill>
              <w14:schemeClr w14:val="tx1"/>
            </w14:solidFill>
          </w14:textFill>
        </w:rPr>
        <w:t>本项目</w:t>
      </w:r>
      <w:r>
        <w:rPr>
          <w:rFonts w:hint="eastAsia" w:ascii="宋体" w:hAnsi="宋体"/>
          <w:b/>
          <w:bCs/>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widowControl w:val="0"/>
        <w:numPr>
          <w:ilvl w:val="0"/>
          <w:numId w:val="0"/>
        </w:numPr>
        <w:spacing w:line="360" w:lineRule="auto"/>
        <w:jc w:val="both"/>
        <w:rPr>
          <w:rFonts w:hint="eastAsia" w:ascii="宋体" w:hAnsi="宋体" w:eastAsiaTheme="minorEastAsia"/>
          <w:b/>
          <w:color w:val="auto"/>
          <w:sz w:val="28"/>
          <w:szCs w:val="28"/>
          <w:lang w:eastAsia="zh-CN"/>
        </w:rPr>
      </w:pPr>
      <w:r>
        <w:rPr>
          <w:rFonts w:hint="eastAsia" w:ascii="宋体" w:hAnsi="宋体"/>
          <w:b/>
          <w:color w:val="auto"/>
          <w:sz w:val="28"/>
          <w:szCs w:val="28"/>
          <w:lang w:eastAsia="zh-CN"/>
        </w:rPr>
        <w:t>六、</w:t>
      </w:r>
      <w:r>
        <w:rPr>
          <w:rFonts w:hint="eastAsia" w:ascii="宋体" w:hAnsi="宋体"/>
          <w:b/>
          <w:color w:val="auto"/>
          <w:sz w:val="28"/>
          <w:szCs w:val="28"/>
        </w:rPr>
        <w:t>招标文件获取</w:t>
      </w:r>
      <w:r>
        <w:rPr>
          <w:rFonts w:hint="eastAsia" w:ascii="宋体" w:hAnsi="宋体"/>
          <w:b/>
          <w:color w:val="auto"/>
          <w:sz w:val="28"/>
          <w:szCs w:val="28"/>
          <w:lang w:eastAsia="zh-CN"/>
        </w:rPr>
        <w:t>及公告期限</w:t>
      </w:r>
    </w:p>
    <w:p>
      <w:pPr>
        <w:widowControl w:val="0"/>
        <w:numPr>
          <w:ilvl w:val="0"/>
          <w:numId w:val="0"/>
        </w:numPr>
        <w:tabs>
          <w:tab w:val="left" w:pos="1134"/>
        </w:tabs>
        <w:spacing w:after="0" w:line="240" w:lineRule="auto"/>
        <w:ind w:left="0" w:leftChars="0"/>
        <w:jc w:val="both"/>
        <w:rPr>
          <w:rFonts w:hint="default" w:ascii="宋体" w:hAnsi="宋体"/>
          <w:b/>
          <w:bCs/>
          <w:color w:val="0000FF"/>
          <w:sz w:val="28"/>
          <w:lang w:val="en-US"/>
        </w:rPr>
      </w:pPr>
      <w:r>
        <w:rPr>
          <w:rFonts w:hint="eastAsia" w:ascii="宋体" w:hAnsi="宋体"/>
          <w:b/>
          <w:color w:val="0000FF"/>
          <w:sz w:val="28"/>
          <w:szCs w:val="28"/>
          <w:lang w:eastAsia="zh-CN"/>
        </w:rPr>
        <w:t>　</w:t>
      </w:r>
      <w:r>
        <w:rPr>
          <w:rFonts w:hint="eastAsia" w:ascii="宋体" w:hAnsi="宋体"/>
          <w:color w:val="000000" w:themeColor="text1"/>
          <w:sz w:val="28"/>
          <w:szCs w:val="28"/>
          <w:lang w:eastAsia="zh-CN"/>
          <w14:textFill>
            <w14:solidFill>
              <w14:schemeClr w14:val="tx1"/>
            </w14:solidFill>
          </w14:textFill>
        </w:rPr>
        <w:t>　</w:t>
      </w:r>
      <w:r>
        <w:rPr>
          <w:rFonts w:hint="eastAsia" w:ascii="宋体" w:hAnsi="宋体"/>
          <w:b/>
          <w:bCs/>
          <w:color w:val="000000" w:themeColor="text1"/>
          <w:sz w:val="28"/>
          <w:szCs w:val="28"/>
          <w14:textFill>
            <w14:solidFill>
              <w14:schemeClr w14:val="tx1"/>
            </w14:solidFill>
          </w14:textFill>
        </w:rPr>
        <w:t>202</w:t>
      </w:r>
      <w:r>
        <w:rPr>
          <w:rFonts w:hint="eastAsia" w:ascii="宋体" w:hAnsi="宋体"/>
          <w:b/>
          <w:bCs/>
          <w:color w:val="000000" w:themeColor="text1"/>
          <w:sz w:val="28"/>
          <w:szCs w:val="28"/>
          <w:lang w:val="en-US" w:eastAsia="zh-CN"/>
          <w14:textFill>
            <w14:solidFill>
              <w14:schemeClr w14:val="tx1"/>
            </w14:solidFill>
          </w14:textFill>
        </w:rPr>
        <w:t>1</w:t>
      </w:r>
      <w:r>
        <w:rPr>
          <w:rFonts w:hint="eastAsia" w:ascii="宋体" w:hAnsi="宋体"/>
          <w:b/>
          <w:bCs/>
          <w:color w:val="000000" w:themeColor="text1"/>
          <w:sz w:val="28"/>
          <w:szCs w:val="28"/>
          <w14:textFill>
            <w14:solidFill>
              <w14:schemeClr w14:val="tx1"/>
            </w14:solidFill>
          </w14:textFill>
        </w:rPr>
        <w:t>年</w:t>
      </w:r>
      <w:r>
        <w:rPr>
          <w:rFonts w:hint="eastAsia" w:ascii="宋体" w:hAnsi="宋体"/>
          <w:b/>
          <w:bCs/>
          <w:color w:val="000000" w:themeColor="text1"/>
          <w:sz w:val="28"/>
          <w:szCs w:val="28"/>
          <w:lang w:val="en-US" w:eastAsia="zh-CN"/>
          <w14:textFill>
            <w14:solidFill>
              <w14:schemeClr w14:val="tx1"/>
            </w14:solidFill>
          </w14:textFill>
        </w:rPr>
        <w:t>7</w:t>
      </w:r>
      <w:r>
        <w:rPr>
          <w:rFonts w:hint="eastAsia" w:ascii="宋体" w:hAnsi="宋体"/>
          <w:b/>
          <w:bCs/>
          <w:color w:val="000000" w:themeColor="text1"/>
          <w:sz w:val="28"/>
          <w:szCs w:val="28"/>
          <w14:textFill>
            <w14:solidFill>
              <w14:schemeClr w14:val="tx1"/>
            </w14:solidFill>
          </w14:textFill>
        </w:rPr>
        <w:t>月</w:t>
      </w:r>
      <w:r>
        <w:rPr>
          <w:rFonts w:hint="eastAsia" w:ascii="宋体" w:hAnsi="宋体"/>
          <w:b/>
          <w:bCs/>
          <w:color w:val="000000" w:themeColor="text1"/>
          <w:sz w:val="28"/>
          <w:szCs w:val="28"/>
          <w:lang w:val="en-US" w:eastAsia="zh-CN"/>
          <w14:textFill>
            <w14:solidFill>
              <w14:schemeClr w14:val="tx1"/>
            </w14:solidFill>
          </w14:textFill>
        </w:rPr>
        <w:t>5</w:t>
      </w:r>
      <w:r>
        <w:rPr>
          <w:rFonts w:hint="eastAsia" w:ascii="宋体" w:hAnsi="宋体"/>
          <w:b/>
          <w:bCs/>
          <w:color w:val="000000" w:themeColor="text1"/>
          <w:sz w:val="28"/>
          <w:szCs w:val="28"/>
          <w14:textFill>
            <w14:solidFill>
              <w14:schemeClr w14:val="tx1"/>
            </w14:solidFill>
          </w14:textFill>
        </w:rPr>
        <w:t>日至</w:t>
      </w:r>
      <w:r>
        <w:rPr>
          <w:rFonts w:hint="eastAsia" w:ascii="宋体" w:hAnsi="宋体"/>
          <w:b/>
          <w:bCs/>
          <w:color w:val="000000" w:themeColor="text1"/>
          <w:sz w:val="28"/>
          <w:szCs w:val="28"/>
          <w:lang w:val="en-US" w:eastAsia="zh-CN"/>
          <w14:textFill>
            <w14:solidFill>
              <w14:schemeClr w14:val="tx1"/>
            </w14:solidFill>
          </w14:textFill>
        </w:rPr>
        <w:t>7</w:t>
      </w:r>
      <w:r>
        <w:rPr>
          <w:rFonts w:hint="eastAsia" w:ascii="宋体" w:hAnsi="宋体"/>
          <w:b/>
          <w:bCs/>
          <w:color w:val="000000" w:themeColor="text1"/>
          <w:sz w:val="28"/>
          <w:szCs w:val="28"/>
          <w14:textFill>
            <w14:solidFill>
              <w14:schemeClr w14:val="tx1"/>
            </w14:solidFill>
          </w14:textFill>
        </w:rPr>
        <w:t>月</w:t>
      </w:r>
      <w:r>
        <w:rPr>
          <w:rFonts w:hint="eastAsia" w:ascii="宋体" w:hAnsi="宋体"/>
          <w:b/>
          <w:bCs/>
          <w:color w:val="000000" w:themeColor="text1"/>
          <w:sz w:val="28"/>
          <w:szCs w:val="28"/>
          <w:lang w:val="en-US" w:eastAsia="zh-CN"/>
          <w14:textFill>
            <w14:solidFill>
              <w14:schemeClr w14:val="tx1"/>
            </w14:solidFill>
          </w14:textFill>
        </w:rPr>
        <w:t>23</w:t>
      </w:r>
      <w:r>
        <w:rPr>
          <w:rFonts w:hint="eastAsia" w:ascii="宋体" w:hAnsi="宋体"/>
          <w:b/>
          <w:bCs/>
          <w:color w:val="000000" w:themeColor="text1"/>
          <w:sz w:val="28"/>
          <w:szCs w:val="28"/>
          <w14:textFill>
            <w14:solidFill>
              <w14:schemeClr w14:val="tx1"/>
            </w14:solidFill>
          </w14:textFill>
        </w:rPr>
        <w:t>日</w:t>
      </w:r>
      <w:r>
        <w:rPr>
          <w:rFonts w:hint="eastAsia" w:ascii="宋体" w:hAnsi="宋体"/>
          <w:b/>
          <w:bCs/>
          <w:color w:val="000000" w:themeColor="text1"/>
          <w:sz w:val="28"/>
          <w:szCs w:val="28"/>
          <w:lang w:val="en-US" w:eastAsia="zh-CN"/>
          <w14:textFill>
            <w14:solidFill>
              <w14:schemeClr w14:val="tx1"/>
            </w14:solidFill>
          </w14:textFill>
        </w:rPr>
        <w:t>；公告期限为：7月5日至7月9日。</w:t>
      </w:r>
    </w:p>
    <w:p>
      <w:pPr>
        <w:widowControl w:val="0"/>
        <w:numPr>
          <w:ilvl w:val="0"/>
          <w:numId w:val="0"/>
        </w:numPr>
        <w:spacing w:line="360" w:lineRule="auto"/>
        <w:jc w:val="both"/>
        <w:rPr>
          <w:rFonts w:ascii="宋体" w:hAnsi="宋体"/>
          <w:b/>
          <w:color w:val="000000" w:themeColor="text1"/>
          <w:sz w:val="28"/>
          <w:szCs w:val="28"/>
          <w14:textFill>
            <w14:solidFill>
              <w14:schemeClr w14:val="tx1"/>
            </w14:solidFill>
          </w14:textFill>
        </w:rPr>
      </w:pPr>
      <w:r>
        <w:rPr>
          <w:rFonts w:hint="eastAsia" w:ascii="宋体" w:hAnsi="宋体"/>
          <w:b/>
          <w:color w:val="auto"/>
          <w:sz w:val="28"/>
          <w:szCs w:val="28"/>
          <w:lang w:eastAsia="zh-CN"/>
        </w:rPr>
        <w:t>七、</w:t>
      </w:r>
      <w:r>
        <w:rPr>
          <w:rFonts w:hint="eastAsia" w:ascii="宋体" w:hAnsi="宋体"/>
          <w:b/>
          <w:color w:val="auto"/>
          <w:sz w:val="28"/>
          <w:szCs w:val="28"/>
        </w:rPr>
        <w:t>招标文件获取方式</w:t>
      </w:r>
    </w:p>
    <w:p>
      <w:pPr>
        <w:spacing w:line="360" w:lineRule="auto"/>
        <w:ind w:firstLine="565" w:firstLineChars="202"/>
        <w:rPr>
          <w:rFonts w:ascii="宋体" w:hAnsi="宋体"/>
          <w:color w:val="000000" w:themeColor="text1"/>
          <w:sz w:val="28"/>
          <w:szCs w:val="28"/>
          <w:highlight w:val="yellow"/>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提示：</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（1）本项目采购文件免费获取。</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（3）首次登录成都市公共资源交易服务中心门户网站的新用户应先点击“注册新用户”，注册成功后再登录。</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（4）本项目为电子招标投标项目，投标人参与本项目全过程中凡涉及系统操作请详见《成都市全流程电子化采购系统操作指南——供应商版》。</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八、</w:t>
      </w:r>
      <w:r>
        <w:rPr>
          <w:rFonts w:hint="eastAsia" w:ascii="宋体" w:hAnsi="宋体"/>
          <w:b/>
          <w:color w:val="auto"/>
          <w:sz w:val="28"/>
          <w:szCs w:val="28"/>
        </w:rPr>
        <w:t>招标文件获取地点</w:t>
      </w:r>
    </w:p>
    <w:p>
      <w:pPr>
        <w:spacing w:line="360" w:lineRule="auto"/>
        <w:ind w:firstLine="565" w:firstLineChars="202"/>
        <w:rPr>
          <w:rFonts w:ascii="宋体" w:hAnsi="宋体"/>
          <w:color w:val="000000" w:themeColor="text1"/>
          <w:sz w:val="28"/>
          <w:szCs w:val="28"/>
          <w14:textFill>
            <w14:solidFill>
              <w14:schemeClr w14:val="tx1"/>
            </w14:solidFill>
          </w14:textFill>
        </w:rPr>
      </w:pPr>
      <w:bookmarkStart w:id="8" w:name="_Toc180051012"/>
      <w:bookmarkStart w:id="9" w:name="_Toc184023104"/>
      <w:bookmarkStart w:id="10" w:name="_Toc186274101"/>
      <w:bookmarkStart w:id="11" w:name="_Toc174185149"/>
      <w:bookmarkStart w:id="12" w:name="_Toc184013605"/>
      <w:r>
        <w:rPr>
          <w:rFonts w:hint="eastAsia" w:ascii="宋体" w:hAnsi="宋体"/>
          <w:color w:val="000000" w:themeColor="text1"/>
          <w:sz w:val="28"/>
          <w:szCs w:val="28"/>
          <w14:textFill>
            <w14:solidFill>
              <w14:schemeClr w14:val="tx1"/>
            </w14:solidFill>
          </w14:textFill>
        </w:rPr>
        <w:t>登录成都市公共资源交易服务中心门户网站（https://www.cdggzy.com/）—用户中心—政府采购云平台获取</w:t>
      </w:r>
      <w:r>
        <w:rPr>
          <w:rFonts w:hint="eastAsia" w:ascii="宋体" w:hAnsi="宋体"/>
          <w:color w:val="000000" w:themeColor="text1"/>
          <w:sz w:val="28"/>
          <w14:textFill>
            <w14:solidFill>
              <w14:schemeClr w14:val="tx1"/>
            </w14:solidFill>
          </w14:textFill>
        </w:rPr>
        <w:t>。</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九、</w:t>
      </w:r>
      <w:r>
        <w:rPr>
          <w:rFonts w:hint="eastAsia" w:ascii="宋体" w:hAnsi="宋体"/>
          <w:b/>
          <w:color w:val="auto"/>
          <w:sz w:val="28"/>
          <w:szCs w:val="28"/>
        </w:rPr>
        <w:t>投标文件递交截止时间及开标时间</w:t>
      </w:r>
      <w:bookmarkEnd w:id="8"/>
      <w:bookmarkEnd w:id="9"/>
      <w:bookmarkEnd w:id="10"/>
      <w:bookmarkEnd w:id="11"/>
      <w:bookmarkEnd w:id="12"/>
      <w:r>
        <w:rPr>
          <w:rFonts w:hint="eastAsia" w:ascii="宋体" w:hAnsi="宋体"/>
          <w:b/>
          <w:color w:val="auto"/>
          <w:sz w:val="28"/>
          <w:szCs w:val="28"/>
        </w:rPr>
        <w:t>(北京时间)、地点、方式</w:t>
      </w:r>
    </w:p>
    <w:p>
      <w:pPr>
        <w:spacing w:line="560" w:lineRule="exact"/>
        <w:ind w:firstLine="560" w:firstLineChars="20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（一）投标文件递交截止时间及开标时间：</w:t>
      </w:r>
      <w:r>
        <w:rPr>
          <w:rFonts w:hint="eastAsia" w:ascii="宋体" w:hAnsi="宋体"/>
          <w:b/>
          <w:color w:val="000000" w:themeColor="text1"/>
          <w:sz w:val="28"/>
          <w:szCs w:val="28"/>
          <w14:textFill>
            <w14:solidFill>
              <w14:schemeClr w14:val="tx1"/>
            </w14:solidFill>
          </w14:textFill>
        </w:rPr>
        <w:t>202</w:t>
      </w:r>
      <w:r>
        <w:rPr>
          <w:rFonts w:hint="eastAsia" w:ascii="宋体" w:hAnsi="宋体"/>
          <w:b/>
          <w:color w:val="000000" w:themeColor="text1"/>
          <w:sz w:val="28"/>
          <w:szCs w:val="28"/>
          <w:lang w:val="en-US" w:eastAsia="zh-CN"/>
          <w14:textFill>
            <w14:solidFill>
              <w14:schemeClr w14:val="tx1"/>
            </w14:solidFill>
          </w14:textFill>
        </w:rPr>
        <w:t>1</w:t>
      </w:r>
      <w:r>
        <w:rPr>
          <w:rFonts w:hint="eastAsia" w:ascii="宋体" w:hAnsi="宋体"/>
          <w:b/>
          <w:color w:val="000000" w:themeColor="text1"/>
          <w:sz w:val="28"/>
          <w:szCs w:val="28"/>
          <w14:textFill>
            <w14:solidFill>
              <w14:schemeClr w14:val="tx1"/>
            </w14:solidFill>
          </w14:textFill>
        </w:rPr>
        <w:t>年</w:t>
      </w:r>
      <w:r>
        <w:rPr>
          <w:rFonts w:hint="eastAsia" w:ascii="宋体" w:hAnsi="宋体"/>
          <w:b/>
          <w:color w:val="000000" w:themeColor="text1"/>
          <w:sz w:val="28"/>
          <w:szCs w:val="28"/>
          <w:lang w:val="en-US" w:eastAsia="zh-CN"/>
          <w14:textFill>
            <w14:solidFill>
              <w14:schemeClr w14:val="tx1"/>
            </w14:solidFill>
          </w14:textFill>
        </w:rPr>
        <w:t>7</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26</w:t>
      </w:r>
      <w:r>
        <w:rPr>
          <w:rFonts w:hint="eastAsia" w:ascii="宋体" w:hAnsi="宋体"/>
          <w:b/>
          <w:color w:val="000000" w:themeColor="text1"/>
          <w:sz w:val="28"/>
          <w:szCs w:val="28"/>
          <w14:textFill>
            <w14:solidFill>
              <w14:schemeClr w14:val="tx1"/>
            </w14:solidFill>
          </w14:textFill>
        </w:rPr>
        <w:t>日上午09:30。</w:t>
      </w:r>
    </w:p>
    <w:p>
      <w:pPr>
        <w:widowControl w:val="0"/>
        <w:numPr>
          <w:ilvl w:val="0"/>
          <w:numId w:val="0"/>
        </w:numPr>
        <w:spacing w:line="360" w:lineRule="auto"/>
        <w:jc w:val="both"/>
        <w:rPr>
          <w:rFonts w:ascii="宋体" w:hAnsi="宋体"/>
          <w:b/>
          <w:color w:val="auto"/>
          <w:sz w:val="28"/>
          <w:szCs w:val="28"/>
        </w:rPr>
      </w:pPr>
      <w:r>
        <w:rPr>
          <w:rFonts w:hint="eastAsia" w:ascii="宋体" w:hAnsi="宋体"/>
          <w:color w:val="000000" w:themeColor="text1"/>
          <w:sz w:val="28"/>
          <w:szCs w:val="28"/>
          <w:lang w:eastAsia="zh-CN"/>
          <w14:textFill>
            <w14:solidFill>
              <w14:schemeClr w14:val="tx1"/>
            </w14:solidFill>
          </w14:textFill>
        </w:rPr>
        <w:t>　　</w:t>
      </w:r>
      <w:r>
        <w:rPr>
          <w:rFonts w:hint="eastAsia" w:ascii="宋体" w:hAnsi="宋体"/>
          <w:color w:val="000000" w:themeColor="text1"/>
          <w:sz w:val="28"/>
          <w:szCs w:val="28"/>
          <w14:textFill>
            <w14:solidFill>
              <w14:schemeClr w14:val="tx1"/>
            </w14:solidFill>
          </w14:textFill>
        </w:rPr>
        <w:t>（二）投标文件递交方式、地点：投标截止时间前，投标人应将加密的电子投标文件递交至“政府采购云平台”对应项目（包件）。</w:t>
      </w:r>
      <w:r>
        <w:rPr>
          <w:rFonts w:hint="eastAsia" w:ascii="宋体" w:hAnsi="宋体"/>
          <w:b/>
          <w:color w:val="auto"/>
          <w:sz w:val="28"/>
          <w:szCs w:val="28"/>
          <w:lang w:eastAsia="zh-CN"/>
        </w:rPr>
        <w:t>十、</w:t>
      </w:r>
      <w:r>
        <w:rPr>
          <w:rFonts w:hint="eastAsia" w:ascii="宋体" w:hAnsi="宋体"/>
          <w:b/>
          <w:color w:val="auto"/>
          <w:sz w:val="28"/>
          <w:szCs w:val="28"/>
        </w:rPr>
        <w:t>开标地点</w:t>
      </w:r>
    </w:p>
    <w:p>
      <w:pPr>
        <w:spacing w:line="360" w:lineRule="auto"/>
        <w:ind w:firstLine="422" w:firstLineChars="150"/>
        <w:jc w:val="left"/>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本项目为不见面开标项目。</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本项目只接受投标人加密并递交至“政府采购云平台”的投标文件。</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十一、</w:t>
      </w:r>
      <w:r>
        <w:rPr>
          <w:rFonts w:hint="eastAsia" w:ascii="宋体" w:hAnsi="宋体"/>
          <w:b/>
          <w:color w:val="auto"/>
          <w:sz w:val="28"/>
          <w:szCs w:val="28"/>
        </w:rPr>
        <w:t>政采信用担保融资</w:t>
      </w:r>
    </w:p>
    <w:p>
      <w:pPr>
        <w:spacing w:after="0" w:line="240" w:lineRule="auto"/>
        <w:jc w:val="left"/>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s="Times New Roman"/>
          <w:color w:val="auto"/>
          <w:sz w:val="28"/>
          <w:szCs w:val="28"/>
        </w:rPr>
        <w:t>崇州市级政府采购信用融资信息一览表》</w:t>
      </w:r>
      <w:r>
        <w:rPr>
          <w:rFonts w:hint="eastAsia" w:ascii="宋体" w:hAnsi="宋体"/>
          <w:color w:val="auto"/>
          <w:sz w:val="28"/>
          <w:szCs w:val="28"/>
        </w:rPr>
        <w:t>。</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十二、</w:t>
      </w:r>
      <w:r>
        <w:rPr>
          <w:rFonts w:hint="eastAsia" w:ascii="宋体" w:hAnsi="宋体"/>
          <w:b/>
          <w:color w:val="auto"/>
          <w:sz w:val="28"/>
          <w:szCs w:val="28"/>
        </w:rPr>
        <w:t>本投标邀请在“四川政府采购网”和“成都市公共资源交易服务中心”网站上以公告形式发布</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十三、</w:t>
      </w:r>
      <w:r>
        <w:rPr>
          <w:rFonts w:hint="eastAsia" w:ascii="宋体" w:hAnsi="宋体"/>
          <w:b/>
          <w:color w:val="auto"/>
          <w:sz w:val="28"/>
          <w:szCs w:val="28"/>
        </w:rPr>
        <w:t>联系方式</w:t>
      </w:r>
    </w:p>
    <w:p>
      <w:pPr>
        <w:pStyle w:val="20"/>
        <w:spacing w:line="580" w:lineRule="exact"/>
        <w:ind w:firstLine="562"/>
        <w:rPr>
          <w:rFonts w:hint="eastAsia" w:ascii="宋体" w:hAnsi="宋体" w:eastAsia="宋体"/>
          <w:b/>
          <w:color w:val="auto"/>
          <w:kern w:val="0"/>
          <w:sz w:val="28"/>
          <w:szCs w:val="22"/>
          <w:lang w:eastAsia="zh-CN"/>
        </w:rPr>
      </w:pPr>
      <w:r>
        <w:rPr>
          <w:rFonts w:hint="eastAsia" w:ascii="宋体" w:hAnsi="宋体"/>
          <w:b/>
          <w:color w:val="auto"/>
          <w:kern w:val="0"/>
          <w:sz w:val="28"/>
          <w:szCs w:val="22"/>
        </w:rPr>
        <w:t>采购人：</w:t>
      </w:r>
      <w:r>
        <w:rPr>
          <w:rFonts w:hint="eastAsia" w:ascii="华文中宋" w:hAnsi="华文中宋" w:eastAsia="华文中宋"/>
          <w:color w:val="auto"/>
          <w:sz w:val="28"/>
          <w:szCs w:val="28"/>
          <w:lang w:eastAsia="zh-CN"/>
        </w:rPr>
        <w:t>崇州市现代教育技术服务中心</w:t>
      </w:r>
    </w:p>
    <w:p>
      <w:pPr>
        <w:pStyle w:val="20"/>
        <w:spacing w:line="480" w:lineRule="exact"/>
        <w:ind w:firstLine="560"/>
        <w:rPr>
          <w:rFonts w:hint="eastAsia" w:ascii="宋体" w:hAnsi="宋体"/>
          <w:color w:val="auto"/>
          <w:kern w:val="0"/>
          <w:sz w:val="28"/>
          <w:szCs w:val="22"/>
          <w:lang w:val="en-US" w:eastAsia="zh-CN"/>
        </w:rPr>
      </w:pPr>
      <w:r>
        <w:rPr>
          <w:rFonts w:hint="eastAsia" w:ascii="宋体" w:hAnsi="宋体"/>
          <w:color w:val="auto"/>
          <w:kern w:val="0"/>
          <w:sz w:val="28"/>
          <w:szCs w:val="22"/>
        </w:rPr>
        <w:t>地  址：</w:t>
      </w:r>
      <w:r>
        <w:rPr>
          <w:rFonts w:hint="eastAsia" w:ascii="宋体" w:hAnsi="宋体"/>
          <w:color w:val="auto"/>
          <w:kern w:val="0"/>
          <w:sz w:val="28"/>
          <w:szCs w:val="22"/>
          <w:lang w:eastAsia="zh-CN"/>
        </w:rPr>
        <w:t>崇州市崇庆中路</w:t>
      </w:r>
      <w:r>
        <w:rPr>
          <w:rFonts w:hint="eastAsia" w:ascii="宋体" w:hAnsi="宋体"/>
          <w:color w:val="auto"/>
          <w:kern w:val="0"/>
          <w:sz w:val="28"/>
          <w:szCs w:val="22"/>
          <w:lang w:val="en-US" w:eastAsia="zh-CN"/>
        </w:rPr>
        <w:t>148号</w:t>
      </w:r>
    </w:p>
    <w:p>
      <w:pPr>
        <w:pStyle w:val="20"/>
        <w:spacing w:line="480" w:lineRule="exact"/>
        <w:ind w:firstLine="560"/>
        <w:rPr>
          <w:rFonts w:hint="eastAsia" w:ascii="宋体" w:hAnsi="宋体" w:eastAsia="宋体"/>
          <w:color w:val="auto"/>
          <w:kern w:val="0"/>
          <w:sz w:val="28"/>
          <w:szCs w:val="22"/>
          <w:lang w:eastAsia="zh-CN"/>
        </w:rPr>
      </w:pPr>
      <w:r>
        <w:rPr>
          <w:rFonts w:hint="eastAsia" w:ascii="宋体" w:hAnsi="宋体"/>
          <w:color w:val="auto"/>
          <w:kern w:val="0"/>
          <w:sz w:val="28"/>
          <w:szCs w:val="22"/>
        </w:rPr>
        <w:t>联系人：</w:t>
      </w:r>
      <w:r>
        <w:rPr>
          <w:rFonts w:hint="eastAsia" w:ascii="宋体" w:hAnsi="宋体"/>
          <w:color w:val="auto"/>
          <w:kern w:val="0"/>
          <w:sz w:val="28"/>
          <w:szCs w:val="22"/>
          <w:lang w:eastAsia="zh-CN"/>
        </w:rPr>
        <w:t>李佳</w:t>
      </w:r>
    </w:p>
    <w:p>
      <w:pPr>
        <w:pStyle w:val="20"/>
        <w:spacing w:line="480" w:lineRule="exact"/>
        <w:ind w:firstLine="560"/>
        <w:rPr>
          <w:rFonts w:hint="default" w:ascii="宋体" w:hAnsi="宋体" w:eastAsia="宋体"/>
          <w:color w:val="auto"/>
          <w:kern w:val="0"/>
          <w:sz w:val="28"/>
          <w:szCs w:val="22"/>
          <w:lang w:val="en-US" w:eastAsia="zh-CN"/>
        </w:rPr>
      </w:pPr>
      <w:r>
        <w:rPr>
          <w:rFonts w:hint="eastAsia" w:ascii="宋体" w:hAnsi="宋体"/>
          <w:color w:val="auto"/>
          <w:kern w:val="0"/>
          <w:sz w:val="28"/>
          <w:szCs w:val="22"/>
        </w:rPr>
        <w:t>联系电话：</w:t>
      </w:r>
      <w:r>
        <w:rPr>
          <w:rFonts w:hint="eastAsia" w:ascii="宋体" w:hAnsi="宋体"/>
          <w:color w:val="auto"/>
          <w:kern w:val="0"/>
          <w:sz w:val="28"/>
          <w:szCs w:val="22"/>
          <w:lang w:val="en-US" w:eastAsia="zh-CN"/>
        </w:rPr>
        <w:t>13699070922</w:t>
      </w:r>
    </w:p>
    <w:p>
      <w:pPr>
        <w:pStyle w:val="20"/>
        <w:ind w:firstLine="568" w:firstLineChars="202"/>
        <w:rPr>
          <w:rFonts w:ascii="宋体" w:hAnsi="宋体"/>
          <w:b/>
          <w:color w:val="auto"/>
          <w:kern w:val="0"/>
          <w:sz w:val="28"/>
          <w:szCs w:val="22"/>
        </w:rPr>
      </w:pPr>
      <w:r>
        <w:rPr>
          <w:rFonts w:hint="eastAsia" w:ascii="宋体" w:hAnsi="宋体"/>
          <w:b/>
          <w:color w:val="auto"/>
          <w:kern w:val="0"/>
          <w:sz w:val="28"/>
          <w:szCs w:val="22"/>
          <w:lang w:eastAsia="zh-CN"/>
        </w:rPr>
        <w:t>崇州</w:t>
      </w:r>
      <w:r>
        <w:rPr>
          <w:rFonts w:hint="eastAsia" w:ascii="宋体" w:hAnsi="宋体"/>
          <w:b/>
          <w:color w:val="auto"/>
          <w:kern w:val="0"/>
          <w:sz w:val="28"/>
          <w:szCs w:val="22"/>
        </w:rPr>
        <w:t>市公共资源交易服务中心</w:t>
      </w:r>
    </w:p>
    <w:p>
      <w:pPr>
        <w:pStyle w:val="20"/>
        <w:ind w:firstLine="565" w:firstLineChars="202"/>
        <w:rPr>
          <w:rFonts w:hint="eastAsia" w:ascii="宋体" w:hAnsi="宋体"/>
          <w:color w:val="auto"/>
          <w:kern w:val="0"/>
          <w:sz w:val="28"/>
          <w:szCs w:val="22"/>
          <w:lang w:val="en-US" w:eastAsia="zh-CN"/>
        </w:rPr>
      </w:pPr>
      <w:r>
        <w:rPr>
          <w:rFonts w:hint="eastAsia" w:ascii="宋体" w:hAnsi="宋体"/>
          <w:color w:val="auto"/>
          <w:kern w:val="0"/>
          <w:sz w:val="28"/>
          <w:szCs w:val="22"/>
        </w:rPr>
        <w:t>地  址：</w:t>
      </w:r>
      <w:r>
        <w:rPr>
          <w:rFonts w:hint="eastAsia" w:ascii="宋体" w:hAnsi="宋体"/>
          <w:color w:val="auto"/>
          <w:kern w:val="0"/>
          <w:sz w:val="28"/>
          <w:szCs w:val="22"/>
          <w:lang w:eastAsia="zh-CN"/>
        </w:rPr>
        <w:t>崇州市崇阳街道蜀州北路</w:t>
      </w:r>
      <w:r>
        <w:rPr>
          <w:rFonts w:hint="eastAsia" w:ascii="宋体" w:hAnsi="宋体"/>
          <w:color w:val="auto"/>
          <w:kern w:val="0"/>
          <w:sz w:val="28"/>
          <w:szCs w:val="22"/>
          <w:lang w:val="en-US" w:eastAsia="zh-CN"/>
        </w:rPr>
        <w:t>261号</w:t>
      </w:r>
    </w:p>
    <w:p>
      <w:pPr>
        <w:pStyle w:val="20"/>
        <w:ind w:firstLine="565" w:firstLineChars="202"/>
        <w:rPr>
          <w:rFonts w:hint="default" w:ascii="宋体" w:hAnsi="宋体" w:eastAsia="宋体"/>
          <w:color w:val="auto"/>
          <w:kern w:val="0"/>
          <w:sz w:val="28"/>
          <w:szCs w:val="22"/>
          <w:lang w:val="en-US" w:eastAsia="zh-CN"/>
        </w:rPr>
      </w:pPr>
      <w:r>
        <w:rPr>
          <w:rFonts w:hint="eastAsia" w:ascii="宋体" w:hAnsi="宋体"/>
          <w:color w:val="auto"/>
          <w:kern w:val="0"/>
          <w:sz w:val="28"/>
          <w:szCs w:val="22"/>
        </w:rPr>
        <w:t>邮  编：</w:t>
      </w:r>
      <w:r>
        <w:rPr>
          <w:rFonts w:hint="eastAsia" w:ascii="宋体" w:hAnsi="宋体"/>
          <w:color w:val="auto"/>
          <w:kern w:val="0"/>
          <w:sz w:val="28"/>
          <w:szCs w:val="22"/>
          <w:lang w:val="en-US" w:eastAsia="zh-CN"/>
        </w:rPr>
        <w:t>611230</w:t>
      </w:r>
    </w:p>
    <w:p>
      <w:pPr>
        <w:pStyle w:val="20"/>
        <w:ind w:firstLine="565" w:firstLineChars="202"/>
        <w:rPr>
          <w:rFonts w:hint="eastAsia" w:ascii="宋体" w:hAnsi="宋体" w:eastAsia="宋体"/>
          <w:color w:val="auto"/>
          <w:kern w:val="0"/>
          <w:sz w:val="28"/>
          <w:szCs w:val="22"/>
          <w:lang w:eastAsia="zh-CN"/>
        </w:rPr>
      </w:pPr>
      <w:r>
        <w:rPr>
          <w:rFonts w:hint="eastAsia" w:ascii="宋体" w:hAnsi="宋体"/>
          <w:color w:val="auto"/>
          <w:kern w:val="0"/>
          <w:sz w:val="28"/>
          <w:szCs w:val="22"/>
        </w:rPr>
        <w:t>联系人：</w:t>
      </w:r>
      <w:r>
        <w:rPr>
          <w:rFonts w:hint="eastAsia" w:ascii="宋体" w:hAnsi="宋体"/>
          <w:color w:val="auto"/>
          <w:kern w:val="0"/>
          <w:sz w:val="28"/>
          <w:szCs w:val="22"/>
          <w:lang w:eastAsia="zh-CN"/>
        </w:rPr>
        <w:t>冯杰</w:t>
      </w:r>
    </w:p>
    <w:p>
      <w:pPr>
        <w:pStyle w:val="20"/>
        <w:ind w:firstLine="565" w:firstLineChars="202"/>
        <w:rPr>
          <w:rFonts w:hint="default" w:ascii="宋体" w:hAnsi="宋体" w:eastAsia="宋体"/>
          <w:color w:val="auto"/>
          <w:kern w:val="0"/>
          <w:sz w:val="28"/>
          <w:szCs w:val="22"/>
          <w:u w:val="single"/>
          <w:lang w:val="en-US" w:eastAsia="zh-CN"/>
        </w:rPr>
      </w:pPr>
      <w:r>
        <w:rPr>
          <w:rFonts w:hint="eastAsia" w:ascii="宋体" w:hAnsi="宋体"/>
          <w:color w:val="auto"/>
          <w:kern w:val="0"/>
          <w:sz w:val="28"/>
          <w:szCs w:val="22"/>
        </w:rPr>
        <w:t>联系电话：028-</w:t>
      </w:r>
      <w:r>
        <w:rPr>
          <w:rFonts w:ascii="宋体" w:hAnsi="宋体"/>
          <w:color w:val="auto"/>
          <w:kern w:val="0"/>
          <w:sz w:val="28"/>
          <w:szCs w:val="22"/>
        </w:rPr>
        <w:t>8</w:t>
      </w:r>
      <w:r>
        <w:rPr>
          <w:rFonts w:hint="eastAsia" w:ascii="宋体" w:hAnsi="宋体"/>
          <w:color w:val="auto"/>
          <w:kern w:val="0"/>
          <w:sz w:val="28"/>
          <w:szCs w:val="22"/>
          <w:lang w:val="en-US" w:eastAsia="zh-CN"/>
        </w:rPr>
        <w:t>2200188</w:t>
      </w:r>
    </w:p>
    <w:p>
      <w:pPr>
        <w:spacing w:line="360" w:lineRule="auto"/>
        <w:ind w:firstLine="562" w:firstLineChars="200"/>
        <w:rPr>
          <w:rFonts w:ascii="宋体" w:hAnsi="宋体"/>
          <w:b/>
          <w:color w:val="auto"/>
          <w:sz w:val="28"/>
          <w:szCs w:val="28"/>
        </w:rPr>
      </w:pPr>
      <w:r>
        <w:rPr>
          <w:rFonts w:hint="eastAsia" w:ascii="宋体" w:hAnsi="宋体"/>
          <w:b/>
          <w:color w:val="auto"/>
          <w:sz w:val="28"/>
          <w:szCs w:val="28"/>
        </w:rPr>
        <w:t>集中采购监督机构：</w:t>
      </w:r>
      <w:r>
        <w:rPr>
          <w:rFonts w:hint="eastAsia" w:ascii="宋体" w:hAnsi="宋体"/>
          <w:b/>
          <w:color w:val="auto"/>
          <w:sz w:val="28"/>
          <w:szCs w:val="28"/>
          <w:lang w:eastAsia="zh-CN"/>
        </w:rPr>
        <w:t>崇州</w:t>
      </w:r>
      <w:r>
        <w:rPr>
          <w:rFonts w:hint="eastAsia" w:ascii="宋体" w:hAnsi="宋体"/>
          <w:b/>
          <w:color w:val="auto"/>
          <w:sz w:val="28"/>
          <w:szCs w:val="28"/>
        </w:rPr>
        <w:t>市财政局</w:t>
      </w:r>
    </w:p>
    <w:p>
      <w:pPr>
        <w:spacing w:line="360" w:lineRule="auto"/>
        <w:ind w:firstLine="560" w:firstLineChars="200"/>
        <w:rPr>
          <w:rFonts w:ascii="宋体" w:hAnsi="宋体"/>
          <w:color w:val="auto"/>
          <w:sz w:val="28"/>
          <w:szCs w:val="28"/>
        </w:rPr>
      </w:pPr>
      <w:r>
        <w:rPr>
          <w:rFonts w:hint="eastAsia" w:ascii="宋体" w:hAnsi="宋体"/>
          <w:color w:val="auto"/>
          <w:sz w:val="28"/>
          <w:szCs w:val="28"/>
        </w:rPr>
        <w:t>地 址：</w:t>
      </w:r>
      <w:r>
        <w:rPr>
          <w:rFonts w:hint="eastAsia" w:ascii="Arial" w:hAnsi="Arial" w:cs="Arial"/>
          <w:color w:val="auto"/>
          <w:sz w:val="28"/>
          <w:szCs w:val="28"/>
          <w:shd w:val="clear" w:color="auto" w:fill="FFFFFF"/>
        </w:rPr>
        <w:t>崇州市崇阳街道永安中路</w:t>
      </w:r>
      <w:r>
        <w:rPr>
          <w:rFonts w:ascii="Arial" w:hAnsi="Arial" w:cs="Arial"/>
          <w:color w:val="auto"/>
          <w:sz w:val="28"/>
          <w:szCs w:val="28"/>
          <w:shd w:val="clear" w:color="auto" w:fill="FFFFFF"/>
        </w:rPr>
        <w:t>1</w:t>
      </w:r>
      <w:r>
        <w:rPr>
          <w:rFonts w:hint="eastAsia" w:ascii="Arial" w:hAnsi="Arial" w:cs="Arial"/>
          <w:color w:val="auto"/>
          <w:sz w:val="28"/>
          <w:szCs w:val="28"/>
          <w:shd w:val="clear" w:color="auto" w:fill="FFFFFF"/>
        </w:rPr>
        <w:t>号</w:t>
      </w:r>
    </w:p>
    <w:p>
      <w:pPr>
        <w:pStyle w:val="21"/>
        <w:tabs>
          <w:tab w:val="left" w:pos="900"/>
        </w:tabs>
        <w:spacing w:line="360" w:lineRule="auto"/>
        <w:ind w:firstLine="560"/>
        <w:jc w:val="left"/>
        <w:rPr>
          <w:rFonts w:ascii="宋体" w:hAnsi="宋体"/>
          <w:color w:val="auto"/>
          <w:sz w:val="28"/>
          <w:szCs w:val="28"/>
        </w:rPr>
      </w:pPr>
      <w:r>
        <w:rPr>
          <w:rFonts w:hint="eastAsia" w:ascii="宋体" w:hAnsi="宋体"/>
          <w:color w:val="auto"/>
          <w:sz w:val="28"/>
          <w:szCs w:val="28"/>
        </w:rPr>
        <w:t>联系电话：028-</w:t>
      </w:r>
      <w:r>
        <w:rPr>
          <w:rFonts w:hint="eastAsia" w:ascii="宋体" w:hAnsi="宋体"/>
          <w:color w:val="auto"/>
          <w:sz w:val="28"/>
          <w:szCs w:val="28"/>
          <w:lang w:val="en-US" w:eastAsia="zh-CN"/>
        </w:rPr>
        <w:t>82313883</w:t>
      </w:r>
    </w:p>
    <w:p>
      <w:pPr>
        <w:pStyle w:val="21"/>
        <w:tabs>
          <w:tab w:val="left" w:pos="900"/>
        </w:tabs>
        <w:spacing w:line="360" w:lineRule="auto"/>
        <w:ind w:firstLine="560"/>
        <w:jc w:val="left"/>
        <w:rPr>
          <w:rFonts w:ascii="宋体" w:hAnsi="宋体"/>
          <w:color w:val="auto"/>
          <w:sz w:val="28"/>
          <w:szCs w:val="28"/>
        </w:rPr>
      </w:pPr>
    </w:p>
    <w:p>
      <w:pPr>
        <w:pStyle w:val="21"/>
        <w:tabs>
          <w:tab w:val="left" w:pos="900"/>
        </w:tabs>
        <w:spacing w:line="360" w:lineRule="auto"/>
        <w:ind w:firstLine="0" w:firstLineChars="0"/>
        <w:jc w:val="left"/>
        <w:rPr>
          <w:rFonts w:ascii="宋体" w:hAnsi="宋体"/>
          <w:color w:val="auto"/>
          <w:sz w:val="28"/>
          <w:szCs w:val="28"/>
        </w:rPr>
      </w:pPr>
    </w:p>
    <w:p>
      <w:pPr>
        <w:pStyle w:val="21"/>
        <w:tabs>
          <w:tab w:val="left" w:pos="900"/>
        </w:tabs>
        <w:spacing w:line="360" w:lineRule="auto"/>
        <w:ind w:firstLine="0" w:firstLineChars="0"/>
        <w:jc w:val="left"/>
        <w:rPr>
          <w:rFonts w:ascii="宋体" w:hAnsi="宋体"/>
          <w:color w:val="auto"/>
          <w:sz w:val="28"/>
          <w:szCs w:val="28"/>
        </w:rPr>
      </w:pPr>
    </w:p>
    <w:p>
      <w:pPr>
        <w:pStyle w:val="21"/>
        <w:tabs>
          <w:tab w:val="left" w:pos="900"/>
        </w:tabs>
        <w:spacing w:line="360" w:lineRule="auto"/>
        <w:ind w:firstLine="0" w:firstLineChars="0"/>
        <w:jc w:val="left"/>
        <w:rPr>
          <w:rFonts w:ascii="宋体" w:hAnsi="宋体"/>
          <w:color w:val="auto"/>
          <w:sz w:val="28"/>
          <w:szCs w:val="28"/>
        </w:rPr>
      </w:pPr>
    </w:p>
    <w:p>
      <w:pPr>
        <w:pStyle w:val="4"/>
        <w:numPr>
          <w:ilvl w:val="0"/>
          <w:numId w:val="3"/>
        </w:numPr>
        <w:spacing w:before="0" w:after="0" w:line="360" w:lineRule="auto"/>
        <w:ind w:left="0" w:firstLine="0"/>
        <w:rPr>
          <w:color w:val="auto"/>
        </w:rPr>
      </w:pPr>
      <w:bookmarkStart w:id="13" w:name="_Toc15078"/>
      <w:r>
        <w:rPr>
          <w:rFonts w:hint="eastAsia"/>
          <w:color w:val="auto"/>
        </w:rPr>
        <w:t>投标人须知</w:t>
      </w:r>
      <w:bookmarkEnd w:id="13"/>
    </w:p>
    <w:p>
      <w:pPr>
        <w:pStyle w:val="5"/>
        <w:numPr>
          <w:ilvl w:val="1"/>
          <w:numId w:val="3"/>
        </w:numPr>
        <w:spacing w:before="0" w:after="0"/>
        <w:ind w:hanging="709"/>
        <w:rPr>
          <w:color w:val="auto"/>
        </w:rPr>
      </w:pPr>
      <w:bookmarkStart w:id="14" w:name="_Toc217446032"/>
      <w:bookmarkStart w:id="15" w:name="_Toc213396760"/>
      <w:bookmarkStart w:id="16" w:name="_Toc213397010"/>
      <w:bookmarkStart w:id="17" w:name="_Toc213396946"/>
      <w:bookmarkStart w:id="18" w:name="_Toc316462344"/>
      <w:bookmarkStart w:id="19" w:name="_Toc189727030"/>
      <w:bookmarkStart w:id="20" w:name="_Toc213496268"/>
      <w:bookmarkStart w:id="21" w:name="_Toc23087"/>
      <w:r>
        <w:rPr>
          <w:rFonts w:hint="eastAsia"/>
          <w:color w:val="auto"/>
        </w:rPr>
        <w:t>投标人须知前附表</w:t>
      </w:r>
      <w:bookmarkEnd w:id="14"/>
      <w:bookmarkEnd w:id="15"/>
      <w:bookmarkEnd w:id="16"/>
      <w:bookmarkEnd w:id="17"/>
      <w:bookmarkEnd w:id="18"/>
      <w:bookmarkEnd w:id="19"/>
      <w:bookmarkEnd w:id="20"/>
      <w:bookmarkEnd w:id="21"/>
    </w:p>
    <w:tbl>
      <w:tblPr>
        <w:tblStyle w:val="15"/>
        <w:tblW w:w="9315"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9"/>
        <w:gridCol w:w="1943"/>
        <w:gridCol w:w="66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689"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auto"/>
              </w:rPr>
            </w:pPr>
            <w:r>
              <w:rPr>
                <w:rFonts w:hint="eastAsia" w:ascii="宋体" w:hAnsi="宋体"/>
                <w:b/>
                <w:color w:val="auto"/>
                <w:sz w:val="28"/>
                <w:szCs w:val="28"/>
                <w:lang w:val="zh-CN"/>
              </w:rPr>
              <w:t>序号</w:t>
            </w:r>
          </w:p>
        </w:tc>
        <w:tc>
          <w:tcPr>
            <w:tcW w:w="1943" w:type="dxa"/>
            <w:tcBorders>
              <w:top w:val="single" w:color="auto" w:sz="18" w:space="0"/>
              <w:left w:val="single" w:color="auto" w:sz="8" w:space="0"/>
              <w:bottom w:val="single" w:color="auto" w:sz="8" w:space="0"/>
              <w:right w:val="single" w:color="auto" w:sz="8" w:space="0"/>
            </w:tcBorders>
            <w:vAlign w:val="center"/>
          </w:tcPr>
          <w:p>
            <w:pPr>
              <w:pStyle w:val="22"/>
              <w:spacing w:line="360" w:lineRule="auto"/>
              <w:ind w:left="38"/>
              <w:jc w:val="center"/>
              <w:rPr>
                <w:b/>
                <w:color w:val="auto"/>
                <w:kern w:val="2"/>
                <w:lang w:val="zh-CN"/>
              </w:rPr>
            </w:pPr>
            <w:r>
              <w:rPr>
                <w:rFonts w:hint="eastAsia"/>
                <w:b/>
                <w:color w:val="auto"/>
                <w:kern w:val="2"/>
                <w:sz w:val="28"/>
                <w:szCs w:val="28"/>
                <w:lang w:val="zh-CN"/>
              </w:rPr>
              <w:t>应知事项</w:t>
            </w:r>
          </w:p>
        </w:tc>
        <w:tc>
          <w:tcPr>
            <w:tcW w:w="6683" w:type="dxa"/>
            <w:tcBorders>
              <w:top w:val="single" w:color="auto" w:sz="18" w:space="0"/>
              <w:left w:val="single" w:color="auto" w:sz="8" w:space="0"/>
              <w:bottom w:val="single" w:color="auto" w:sz="8" w:space="0"/>
              <w:right w:val="single" w:color="auto" w:sz="18" w:space="0"/>
            </w:tcBorders>
            <w:vAlign w:val="center"/>
          </w:tcPr>
          <w:p>
            <w:pPr>
              <w:pStyle w:val="22"/>
              <w:spacing w:line="360" w:lineRule="auto"/>
              <w:jc w:val="center"/>
              <w:rPr>
                <w:b/>
                <w:color w:val="auto"/>
                <w:kern w:val="2"/>
                <w:lang w:val="zh-CN"/>
              </w:rPr>
            </w:pPr>
            <w:r>
              <w:rPr>
                <w:rFonts w:hint="eastAsia"/>
                <w:b/>
                <w:color w:val="auto"/>
                <w:kern w:val="2"/>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b/>
                <w:color w:val="auto"/>
                <w:sz w:val="28"/>
                <w:szCs w:val="28"/>
                <w:lang w:val="zh-CN"/>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2"/>
              <w:spacing w:line="360" w:lineRule="auto"/>
              <w:ind w:left="38"/>
              <w:rPr>
                <w:color w:val="auto"/>
                <w:kern w:val="2"/>
                <w:lang w:val="zh-CN"/>
              </w:rPr>
            </w:pPr>
            <w:r>
              <w:rPr>
                <w:rFonts w:hint="eastAsia"/>
                <w:color w:val="auto"/>
                <w:kern w:val="2"/>
                <w:lang w:val="zh-CN"/>
              </w:rPr>
              <w:t>采购预算</w:t>
            </w:r>
          </w:p>
        </w:tc>
        <w:tc>
          <w:tcPr>
            <w:tcW w:w="6683" w:type="dxa"/>
            <w:tcBorders>
              <w:top w:val="single" w:color="auto" w:sz="8" w:space="0"/>
              <w:left w:val="single" w:color="auto" w:sz="8" w:space="0"/>
              <w:bottom w:val="single" w:color="auto" w:sz="8" w:space="0"/>
              <w:right w:val="single" w:color="auto" w:sz="18" w:space="0"/>
            </w:tcBorders>
            <w:vAlign w:val="center"/>
          </w:tcPr>
          <w:p>
            <w:pPr>
              <w:pStyle w:val="22"/>
              <w:spacing w:line="360" w:lineRule="auto"/>
              <w:ind w:left="38"/>
              <w:rPr>
                <w:b/>
                <w:color w:val="auto"/>
                <w:kern w:val="2"/>
                <w:lang w:val="zh-CN"/>
              </w:rPr>
            </w:pPr>
            <w:r>
              <w:rPr>
                <w:rFonts w:hint="eastAsia"/>
                <w:b/>
                <w:color w:val="auto"/>
                <w:kern w:val="2"/>
                <w:lang w:val="zh-CN"/>
              </w:rPr>
              <w:t>人民币</w:t>
            </w:r>
            <w:r>
              <w:rPr>
                <w:rFonts w:hint="eastAsia"/>
                <w:b/>
                <w:color w:val="auto"/>
                <w:kern w:val="2"/>
                <w:lang w:val="en-US" w:eastAsia="zh-CN"/>
              </w:rPr>
              <w:t>153.5</w:t>
            </w:r>
            <w:r>
              <w:rPr>
                <w:rFonts w:hint="eastAsia"/>
                <w:b/>
                <w:color w:val="auto"/>
                <w:kern w:val="2"/>
                <w:lang w:val="zh-CN"/>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9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b/>
                <w:color w:val="auto"/>
                <w:sz w:val="28"/>
                <w:szCs w:val="28"/>
                <w:lang w:val="zh-CN"/>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2"/>
              <w:spacing w:line="360" w:lineRule="auto"/>
              <w:ind w:left="38"/>
              <w:rPr>
                <w:color w:val="auto"/>
                <w:kern w:val="2"/>
                <w:lang w:val="zh-CN"/>
              </w:rPr>
            </w:pPr>
            <w:r>
              <w:rPr>
                <w:rFonts w:hint="eastAsia"/>
                <w:color w:val="auto"/>
                <w:kern w:val="2"/>
                <w:lang w:val="zh-CN"/>
              </w:rPr>
              <w:t>最高限价</w:t>
            </w:r>
          </w:p>
        </w:tc>
        <w:tc>
          <w:tcPr>
            <w:tcW w:w="6683" w:type="dxa"/>
            <w:tcBorders>
              <w:top w:val="single" w:color="auto" w:sz="8" w:space="0"/>
              <w:left w:val="single" w:color="auto" w:sz="8" w:space="0"/>
              <w:bottom w:val="single" w:color="auto" w:sz="8" w:space="0"/>
              <w:right w:val="single" w:color="auto" w:sz="18" w:space="0"/>
            </w:tcBorders>
            <w:vAlign w:val="center"/>
          </w:tcPr>
          <w:p>
            <w:pPr>
              <w:pStyle w:val="22"/>
              <w:spacing w:line="360" w:lineRule="auto"/>
              <w:ind w:left="38"/>
              <w:rPr>
                <w:b/>
                <w:color w:val="auto"/>
                <w:kern w:val="2"/>
                <w:lang w:val="zh-CN"/>
              </w:rPr>
            </w:pPr>
            <w:r>
              <w:rPr>
                <w:rFonts w:hint="eastAsia"/>
                <w:b/>
                <w:color w:val="auto"/>
                <w:kern w:val="2"/>
                <w:lang w:val="zh-CN"/>
              </w:rPr>
              <w:t>最高限价为人民币</w:t>
            </w:r>
            <w:r>
              <w:rPr>
                <w:rFonts w:hint="eastAsia"/>
                <w:b/>
                <w:color w:val="auto"/>
                <w:kern w:val="2"/>
                <w:lang w:val="en-US" w:eastAsia="zh-CN"/>
              </w:rPr>
              <w:t>153.5</w:t>
            </w:r>
            <w:r>
              <w:rPr>
                <w:rFonts w:hint="eastAsia"/>
                <w:b/>
                <w:color w:val="auto"/>
                <w:kern w:val="2"/>
              </w:rPr>
              <w:t>万</w:t>
            </w:r>
            <w:r>
              <w:rPr>
                <w:rFonts w:hint="eastAsia"/>
                <w:b/>
                <w:color w:val="auto"/>
                <w:kern w:val="2"/>
                <w:lang w:val="zh-CN"/>
              </w:rPr>
              <w:t>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2"/>
              <w:spacing w:line="360" w:lineRule="auto"/>
              <w:ind w:left="38"/>
              <w:rPr>
                <w:color w:val="auto"/>
                <w:kern w:val="2"/>
                <w:lang w:val="zh-CN"/>
              </w:rPr>
            </w:pPr>
            <w:r>
              <w:rPr>
                <w:rFonts w:hint="eastAsia"/>
                <w:color w:val="auto"/>
                <w:kern w:val="2"/>
                <w:lang w:val="zh-CN"/>
              </w:rPr>
              <w:t>采购方式</w:t>
            </w:r>
          </w:p>
        </w:tc>
        <w:tc>
          <w:tcPr>
            <w:tcW w:w="6683" w:type="dxa"/>
            <w:tcBorders>
              <w:top w:val="single" w:color="auto" w:sz="8" w:space="0"/>
              <w:left w:val="single" w:color="auto" w:sz="8" w:space="0"/>
              <w:bottom w:val="single" w:color="auto" w:sz="8" w:space="0"/>
              <w:right w:val="single" w:color="auto" w:sz="18" w:space="0"/>
            </w:tcBorders>
            <w:vAlign w:val="center"/>
          </w:tcPr>
          <w:p>
            <w:pPr>
              <w:pStyle w:val="22"/>
              <w:spacing w:line="360" w:lineRule="auto"/>
              <w:jc w:val="both"/>
              <w:rPr>
                <w:color w:val="auto"/>
                <w:kern w:val="2"/>
                <w:lang w:val="zh-CN"/>
              </w:rPr>
            </w:pPr>
            <w:r>
              <w:rPr>
                <w:rFonts w:hint="eastAsia"/>
                <w:color w:val="auto"/>
                <w:kern w:val="2"/>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2"/>
              <w:spacing w:line="360" w:lineRule="auto"/>
              <w:ind w:left="96"/>
              <w:rPr>
                <w:color w:val="auto"/>
                <w:kern w:val="2"/>
                <w:lang w:val="zh-CN"/>
              </w:rPr>
            </w:pPr>
            <w:r>
              <w:rPr>
                <w:rFonts w:hint="eastAsia"/>
                <w:color w:val="auto"/>
                <w:kern w:val="2"/>
                <w:lang w:val="zh-CN"/>
              </w:rPr>
              <w:t>评标方法</w:t>
            </w:r>
          </w:p>
        </w:tc>
        <w:tc>
          <w:tcPr>
            <w:tcW w:w="6683" w:type="dxa"/>
            <w:tcBorders>
              <w:top w:val="single" w:color="auto" w:sz="8" w:space="0"/>
              <w:left w:val="single" w:color="auto" w:sz="8" w:space="0"/>
              <w:bottom w:val="single" w:color="auto" w:sz="8" w:space="0"/>
              <w:right w:val="single" w:color="auto" w:sz="18" w:space="0"/>
            </w:tcBorders>
            <w:vAlign w:val="center"/>
          </w:tcPr>
          <w:p>
            <w:pPr>
              <w:pStyle w:val="22"/>
              <w:spacing w:line="360" w:lineRule="auto"/>
              <w:rPr>
                <w:color w:val="auto"/>
                <w:kern w:val="2"/>
                <w:lang w:val="zh-CN"/>
              </w:rPr>
            </w:pPr>
            <w:r>
              <w:rPr>
                <w:rFonts w:hint="eastAsia"/>
                <w:color w:val="auto"/>
                <w:kern w:val="2"/>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2"/>
              <w:spacing w:line="360" w:lineRule="auto"/>
              <w:ind w:left="96"/>
              <w:rPr>
                <w:color w:val="auto"/>
                <w:kern w:val="2"/>
                <w:lang w:val="zh-CN"/>
              </w:rPr>
            </w:pPr>
            <w:r>
              <w:rPr>
                <w:rFonts w:hint="eastAsia"/>
                <w:color w:val="auto"/>
                <w:kern w:val="2"/>
                <w:lang w:val="zh-CN"/>
              </w:rPr>
              <w:t>低于成本价不正当竞争预防措施</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auto"/>
              <w:ind w:right="108" w:rightChars="45"/>
              <w:rPr>
                <w:rFonts w:ascii="宋体" w:hAnsi="宋体"/>
                <w:b/>
                <w:color w:val="auto"/>
              </w:rPr>
            </w:pPr>
            <w:r>
              <w:rPr>
                <w:rFonts w:hint="eastAsia" w:ascii="宋体" w:hAnsi="宋体" w:cs="宋体"/>
                <w:color w:val="000000" w:themeColor="text1"/>
                <w:sz w:val="24"/>
                <w:szCs w:val="24"/>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2"/>
              <w:spacing w:line="360" w:lineRule="auto"/>
              <w:ind w:left="96"/>
              <w:rPr>
                <w:color w:val="auto"/>
                <w:kern w:val="2"/>
                <w:lang w:val="zh-CN"/>
              </w:rPr>
            </w:pPr>
            <w:r>
              <w:rPr>
                <w:rFonts w:hint="eastAsia"/>
                <w:kern w:val="2"/>
                <w:lang w:val="zh-CN"/>
              </w:rPr>
              <w:t>小微企业价格扣除</w:t>
            </w:r>
          </w:p>
        </w:tc>
        <w:tc>
          <w:tcPr>
            <w:tcW w:w="6683" w:type="dxa"/>
            <w:tcBorders>
              <w:top w:val="single" w:color="auto" w:sz="8" w:space="0"/>
              <w:left w:val="single" w:color="auto" w:sz="8" w:space="0"/>
              <w:bottom w:val="single" w:color="auto" w:sz="8" w:space="0"/>
              <w:right w:val="single" w:color="auto" w:sz="18" w:space="0"/>
            </w:tcBorders>
            <w:vAlign w:val="center"/>
          </w:tcPr>
          <w:p>
            <w:pPr>
              <w:pStyle w:val="22"/>
              <w:ind w:left="38"/>
              <w:rPr>
                <w:kern w:val="2"/>
                <w:lang w:val="zh-CN"/>
              </w:rPr>
            </w:pPr>
            <w:r>
              <w:rPr>
                <w:rFonts w:hint="eastAsia" w:ascii="宋体" w:hAnsi="宋体" w:cs="宋体"/>
                <w:b/>
                <w:bCs/>
                <w:lang w:eastAsia="zh-CN"/>
              </w:rPr>
              <w:t>　</w:t>
            </w:r>
            <w:r>
              <w:rPr>
                <w:rFonts w:hint="eastAsia"/>
                <w:kern w:val="2"/>
                <w:lang w:val="zh-CN"/>
              </w:rPr>
              <w:t>1.根据《政府采购促进中小企业发展管理办法》（财库[2020]46号）的规定，对小微企业制造的货物的价格给予10%的价格扣除，用扣除后的价格参加评审。供应商提供的货物既有中小企业制造货物，也有大型企业制造货物的，不享受该办法规定的中小企业扶持政策。</w:t>
            </w:r>
          </w:p>
          <w:p>
            <w:pPr>
              <w:spacing w:line="360" w:lineRule="auto"/>
              <w:ind w:right="108" w:rightChars="45"/>
              <w:rPr>
                <w:rFonts w:ascii="宋体" w:hAnsi="宋体"/>
                <w:b/>
                <w:color w:val="auto"/>
              </w:rPr>
            </w:pPr>
            <w:r>
              <w:rPr>
                <w:rFonts w:hint="eastAsia"/>
                <w:kern w:val="2"/>
                <w:lang w:val="zh-CN"/>
              </w:rPr>
              <w:t>2.投标人应提供《中小企业声明函》。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2"/>
              <w:spacing w:line="360" w:lineRule="auto"/>
              <w:ind w:left="96"/>
              <w:rPr>
                <w:rFonts w:hint="eastAsia"/>
                <w:color w:val="auto"/>
                <w:kern w:val="2"/>
                <w:lang w:val="zh-CN"/>
              </w:rPr>
            </w:pPr>
            <w:r>
              <w:rPr>
                <w:rFonts w:hint="eastAsia"/>
              </w:rPr>
              <w:t>监狱企业价格扣除</w:t>
            </w:r>
          </w:p>
        </w:tc>
        <w:tc>
          <w:tcPr>
            <w:tcW w:w="6683" w:type="dxa"/>
            <w:tcBorders>
              <w:top w:val="single" w:color="auto" w:sz="8" w:space="0"/>
              <w:left w:val="single" w:color="auto" w:sz="8" w:space="0"/>
              <w:bottom w:val="single" w:color="auto" w:sz="8" w:space="0"/>
              <w:right w:val="single" w:color="auto" w:sz="18" w:space="0"/>
            </w:tcBorders>
            <w:vAlign w:val="center"/>
          </w:tcPr>
          <w:p>
            <w:pPr>
              <w:pStyle w:val="22"/>
              <w:ind w:left="38"/>
              <w:rPr>
                <w:kern w:val="2"/>
                <w:lang w:val="zh-CN"/>
              </w:rPr>
            </w:pPr>
            <w:r>
              <w:rPr>
                <w:rFonts w:hint="eastAsia"/>
                <w:kern w:val="2"/>
                <w:lang w:val="zh-CN"/>
              </w:rPr>
              <w:t>1.根据《关于政府采购支持监狱企业发展有关问题的通知》（财库[2014]68号）的规定，监狱企业视同小型、微型企业，对监狱企业制造的货物的价格给予10%的价格扣除，用扣除后的价格参与评审。</w:t>
            </w:r>
          </w:p>
          <w:p>
            <w:pPr>
              <w:spacing w:line="360" w:lineRule="exact"/>
              <w:rPr>
                <w:rFonts w:hint="eastAsia" w:ascii="宋体" w:hAnsi="宋体"/>
                <w:b/>
                <w:color w:val="auto"/>
              </w:rPr>
            </w:pPr>
            <w:r>
              <w:rPr>
                <w:rFonts w:hint="eastAsia"/>
                <w:kern w:val="2"/>
                <w:lang w:val="zh-CN"/>
              </w:rPr>
              <w:t>2.投标产品中为监狱企业制造的货物应提供由省级以上监狱管理局、戒毒管理局（含新疆生产建设兵团）出具的制造商属于监狱企业的证明文件复印件。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2"/>
              <w:spacing w:line="360" w:lineRule="auto"/>
              <w:ind w:left="96"/>
              <w:rPr>
                <w:rFonts w:hint="eastAsia"/>
                <w:color w:val="auto"/>
                <w:kern w:val="2"/>
                <w:lang w:val="zh-CN"/>
              </w:rPr>
            </w:pPr>
            <w:r>
              <w:rPr>
                <w:rFonts w:hint="eastAsia"/>
              </w:rPr>
              <w:t>残疾人福利性单位价格扣除</w:t>
            </w:r>
          </w:p>
        </w:tc>
        <w:tc>
          <w:tcPr>
            <w:tcW w:w="6683" w:type="dxa"/>
            <w:tcBorders>
              <w:top w:val="single" w:color="auto" w:sz="8" w:space="0"/>
              <w:left w:val="single" w:color="auto" w:sz="8" w:space="0"/>
              <w:bottom w:val="single" w:color="auto" w:sz="8" w:space="0"/>
              <w:right w:val="single" w:color="auto" w:sz="18" w:space="0"/>
            </w:tcBorders>
            <w:vAlign w:val="center"/>
          </w:tcPr>
          <w:p>
            <w:pPr>
              <w:pStyle w:val="22"/>
              <w:ind w:left="38"/>
              <w:rPr>
                <w:kern w:val="2"/>
                <w:lang w:val="zh-CN"/>
              </w:rPr>
            </w:pPr>
            <w:r>
              <w:rPr>
                <w:rFonts w:hint="eastAsia"/>
                <w:kern w:val="2"/>
                <w:lang w:val="zh-CN"/>
              </w:rPr>
              <w:t>1.根据《三部门联合发布关于促进残疾人就业政府采购政策的通知》（财库[2017]141号）的规定，残疾人福利性单位视同小型、微型企业，对残疾人福利性单位制造的货物的价格给予10%的价格扣除，用扣除后的价格参与评审。</w:t>
            </w:r>
          </w:p>
          <w:p>
            <w:pPr>
              <w:spacing w:line="360" w:lineRule="exact"/>
              <w:rPr>
                <w:rFonts w:hint="eastAsia" w:ascii="宋体" w:hAnsi="宋体"/>
                <w:b/>
                <w:color w:val="auto"/>
              </w:rPr>
            </w:pPr>
            <w:r>
              <w:rPr>
                <w:rFonts w:hint="eastAsia"/>
                <w:kern w:val="2"/>
                <w:lang w:val="zh-CN"/>
              </w:rPr>
              <w:t>2.投标人应提供《残疾人福利性单位声明函》。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2"/>
              <w:spacing w:line="360" w:lineRule="auto"/>
              <w:ind w:left="96"/>
              <w:rPr>
                <w:color w:val="auto"/>
                <w:kern w:val="2"/>
                <w:lang w:val="zh-CN"/>
              </w:rPr>
            </w:pPr>
            <w:r>
              <w:rPr>
                <w:rFonts w:hint="eastAsia"/>
                <w:color w:val="auto"/>
                <w:kern w:val="2"/>
                <w:lang w:val="zh-CN"/>
              </w:rPr>
              <w:t>投标保证金</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exact"/>
              <w:rPr>
                <w:rFonts w:ascii="宋体" w:hAnsi="宋体"/>
                <w:color w:val="auto"/>
                <w:lang w:val="zh-CN"/>
              </w:rPr>
            </w:pPr>
            <w:r>
              <w:rPr>
                <w:rFonts w:hint="eastAsia" w:ascii="宋体" w:hAnsi="宋体"/>
                <w:b/>
                <w:color w:val="auto"/>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s="宋体"/>
                <w:color w:val="auto"/>
                <w:lang w:val="zh-CN"/>
              </w:rPr>
              <w:t>履约保证金</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投标有效期</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Helvetica" w:hAnsi="Helvetica" w:cs="Helvetica"/>
                <w:color w:val="auto"/>
              </w:rPr>
              <w:t>提交投标文件的截止之日起</w:t>
            </w:r>
            <w:r>
              <w:rPr>
                <w:rFonts w:hint="eastAsia" w:ascii="宋体" w:hAnsi="宋体"/>
                <w:color w:val="auto"/>
                <w:u w:val="single"/>
              </w:rPr>
              <w:t xml:space="preserve"> 120</w:t>
            </w:r>
            <w:r>
              <w:rPr>
                <w:rFonts w:hint="eastAsia" w:ascii="宋体" w:hAnsi="宋体"/>
                <w:color w:val="auto"/>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投标文件的制作和签章、加密</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20"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投标文件的递交</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rPr>
            </w:pPr>
            <w:r>
              <w:rPr>
                <w:rFonts w:hint="eastAsia"/>
              </w:rPr>
              <w:t>详见投标人须知2.4.12</w:t>
            </w:r>
          </w:p>
          <w:p>
            <w:pPr>
              <w:pStyle w:val="2"/>
            </w:pPr>
            <w:r>
              <w:rPr>
                <w:rFonts w:hint="eastAsia" w:ascii="宋体" w:hAnsi="宋体"/>
                <w:b/>
                <w:bCs/>
                <w:color w:val="000000" w:themeColor="text1"/>
                <w:sz w:val="24"/>
                <w14:textFill>
                  <w14:solidFill>
                    <w14:schemeClr w14:val="tx1"/>
                  </w14:solidFill>
                </w14:textFill>
              </w:rPr>
              <w:t>注：投标人使用CA证书在投标截止时间前，将电子投标文件上传至政府采购云平台，上传前须对电子投标文件每页是否都有电子签章等进行核对。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ascii="宋体" w:hAnsi="宋体"/>
                <w:color w:val="auto"/>
                <w:lang w:eastAsia="zh-CN"/>
              </w:rPr>
              <w:t>投标文件的补充、修改</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val="en-US" w:eastAsia="zh-CN"/>
              </w:rPr>
            </w:pPr>
            <w:r>
              <w:rPr>
                <w:rFonts w:hint="eastAsia" w:ascii="宋体" w:hAnsi="宋体"/>
                <w:color w:val="auto"/>
              </w:rPr>
              <w:t>详见投标人须知2.4.</w:t>
            </w:r>
            <w:r>
              <w:rPr>
                <w:rFonts w:ascii="宋体" w:hAnsi="宋体"/>
                <w:color w:val="auto"/>
              </w:rPr>
              <w:t>1</w:t>
            </w:r>
            <w:r>
              <w:rPr>
                <w:rFonts w:hint="eastAsia" w:ascii="宋体" w:hAnsi="宋体"/>
                <w:color w:val="auto"/>
                <w:lang w:val="en-US" w:eastAsia="zh-CN"/>
              </w:rPr>
              <w:t>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rPr>
            </w:pPr>
          </w:p>
        </w:tc>
        <w:tc>
          <w:tcPr>
            <w:tcW w:w="1943"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color w:val="auto"/>
                <w:lang w:eastAsia="zh-CN"/>
              </w:rPr>
              <w:t>投标文件的撤回</w:t>
            </w:r>
          </w:p>
        </w:tc>
        <w:tc>
          <w:tcPr>
            <w:tcW w:w="66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val="en-US" w:eastAsia="zh-CN"/>
              </w:rPr>
            </w:pPr>
            <w:r>
              <w:rPr>
                <w:rFonts w:hint="eastAsia" w:ascii="宋体" w:hAnsi="宋体"/>
                <w:color w:val="auto"/>
              </w:rPr>
              <w:t>详见投标人须知2.4.1</w:t>
            </w:r>
            <w:r>
              <w:rPr>
                <w:rFonts w:hint="eastAsia" w:ascii="宋体" w:hAnsi="宋体"/>
                <w:color w:val="auto"/>
                <w:lang w:val="en-US" w:eastAsia="zh-CN"/>
              </w:rPr>
              <w:t>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hint="eastAsia" w:ascii="宋体" w:hAnsi="宋体" w:eastAsiaTheme="minorEastAsia"/>
                <w:color w:val="auto"/>
                <w:lang w:eastAsia="zh-CN"/>
              </w:rPr>
            </w:pPr>
            <w:r>
              <w:rPr>
                <w:rFonts w:hint="eastAsia" w:ascii="宋体" w:hAnsi="宋体"/>
                <w:color w:val="auto"/>
                <w:lang w:eastAsia="zh-CN"/>
              </w:rPr>
              <w:t>开标及开标程序</w:t>
            </w:r>
          </w:p>
        </w:tc>
        <w:tc>
          <w:tcPr>
            <w:tcW w:w="66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详见投标人须知2.5.1。</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投标文件解密：开启解密后，投标人应在系统提示的解密开始时间后</w:t>
            </w:r>
            <w:r>
              <w:rPr>
                <w:rFonts w:ascii="宋体" w:hAnsi="宋体"/>
                <w:b/>
                <w:color w:val="000000" w:themeColor="text1"/>
                <w14:textFill>
                  <w14:solidFill>
                    <w14:schemeClr w14:val="tx1"/>
                  </w14:solidFill>
                </w14:textFill>
              </w:rPr>
              <w:t>60</w:t>
            </w:r>
            <w:r>
              <w:rPr>
                <w:rFonts w:hint="eastAsia" w:ascii="宋体" w:hAnsi="宋体"/>
                <w:b/>
                <w:color w:val="000000" w:themeColor="text1"/>
                <w14:textFill>
                  <w14:solidFill>
                    <w14:schemeClr w14:val="tx1"/>
                  </w14:solidFill>
                </w14:textFill>
              </w:rPr>
              <w:t>分钟内 ，使用对投标文件进行加密的CA证书在线完成对投标人递交至政府采购云平台的投标文件的解密。</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spacing w:line="360" w:lineRule="auto"/>
              <w:rPr>
                <w:rFonts w:hint="eastAsia" w:ascii="宋体" w:hAnsi="宋体"/>
                <w:color w:val="auto"/>
              </w:rPr>
            </w:pPr>
            <w:r>
              <w:rPr>
                <w:rFonts w:hint="eastAsia" w:ascii="宋体" w:hAnsi="宋体"/>
                <w:b/>
                <w:color w:val="000000" w:themeColor="text1"/>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对招标文件中供应商参加本次政府采购活动应当具备的条件，招标项目技术、服务、商务及其他要求，评标细则及标准，以及关于资格审查的询问、质疑</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对招标文件中的其他内容，采购过程及中标结果（除资格审查）</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向集中采购机构提出，并由集中采购机构按相关规定作出答复（详见投标人须知2.8）。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投标人投诉</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eastAsia="仿宋_GB2312" w:cs="宋体"/>
                <w:color w:val="auto"/>
              </w:rPr>
            </w:pPr>
            <w:r>
              <w:rPr>
                <w:rFonts w:hint="eastAsia" w:ascii="宋体" w:hAnsi="宋体"/>
                <w:color w:val="auto"/>
              </w:rPr>
              <w:t>投诉受理单位：本项目同级财政部门，即</w:t>
            </w:r>
            <w:r>
              <w:rPr>
                <w:rFonts w:hint="eastAsia" w:ascii="宋体" w:hAnsi="宋体"/>
                <w:color w:val="auto"/>
                <w:lang w:eastAsia="zh-CN"/>
              </w:rPr>
              <w:t>崇州市</w:t>
            </w:r>
            <w:r>
              <w:rPr>
                <w:rFonts w:hint="eastAsia" w:ascii="宋体" w:hAnsi="宋体"/>
                <w:color w:val="auto"/>
              </w:rPr>
              <w:t>财政局。</w:t>
            </w:r>
          </w:p>
          <w:p>
            <w:pPr>
              <w:tabs>
                <w:tab w:val="left" w:pos="7665"/>
              </w:tabs>
              <w:snapToGrid w:val="0"/>
              <w:spacing w:line="360" w:lineRule="auto"/>
              <w:rPr>
                <w:rFonts w:ascii="宋体" w:hAnsi="宋体"/>
                <w:color w:val="auto"/>
              </w:rPr>
            </w:pPr>
            <w:r>
              <w:rPr>
                <w:rFonts w:hint="eastAsia" w:ascii="宋体" w:hAnsi="宋体"/>
                <w:color w:val="auto"/>
              </w:rPr>
              <w:t>联系电话：028-</w:t>
            </w:r>
            <w:r>
              <w:rPr>
                <w:rFonts w:hint="eastAsia" w:ascii="宋体" w:hAnsi="宋体"/>
                <w:color w:val="auto"/>
                <w:lang w:val="en-US" w:eastAsia="zh-CN"/>
              </w:rPr>
              <w:t>82313883</w:t>
            </w:r>
            <w:r>
              <w:rPr>
                <w:rFonts w:hint="eastAsia" w:ascii="宋体" w:hAnsi="宋体"/>
                <w:color w:val="auto"/>
              </w:rPr>
              <w:t>。</w:t>
            </w:r>
          </w:p>
          <w:p>
            <w:pPr>
              <w:tabs>
                <w:tab w:val="left" w:pos="7665"/>
              </w:tabs>
              <w:snapToGrid w:val="0"/>
              <w:spacing w:line="360" w:lineRule="auto"/>
              <w:rPr>
                <w:rFonts w:hint="eastAsia" w:ascii="宋体" w:hAnsi="宋体"/>
                <w:color w:val="auto"/>
              </w:rPr>
            </w:pPr>
            <w:r>
              <w:rPr>
                <w:rFonts w:hint="eastAsia" w:ascii="宋体" w:hAnsi="宋体"/>
                <w:color w:val="auto"/>
              </w:rPr>
              <w:t>地址：崇州市崇阳街道永安中路1号。</w:t>
            </w:r>
          </w:p>
          <w:p>
            <w:pPr>
              <w:tabs>
                <w:tab w:val="left" w:pos="7665"/>
              </w:tabs>
              <w:snapToGrid w:val="0"/>
              <w:spacing w:line="360" w:lineRule="auto"/>
              <w:rPr>
                <w:rFonts w:ascii="宋体" w:hAnsi="宋体"/>
                <w:color w:val="auto"/>
              </w:rPr>
            </w:pPr>
            <w:r>
              <w:rPr>
                <w:rFonts w:hint="eastAsia" w:ascii="宋体" w:hAnsi="宋体"/>
                <w:color w:val="auto"/>
              </w:rPr>
              <w:t>邮编：61</w:t>
            </w:r>
            <w:r>
              <w:rPr>
                <w:rFonts w:hint="eastAsia" w:ascii="宋体" w:hAnsi="宋体"/>
                <w:color w:val="auto"/>
                <w:lang w:val="en-US" w:eastAsia="zh-CN"/>
              </w:rPr>
              <w:t>1230</w:t>
            </w:r>
            <w:r>
              <w:rPr>
                <w:rFonts w:hint="eastAsia" w:ascii="宋体" w:hAnsi="宋体"/>
                <w:color w:val="auto"/>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auto"/>
                <w:lang w:val="zh-CN"/>
              </w:rPr>
            </w:pPr>
            <w:r>
              <w:rPr>
                <w:rFonts w:hint="eastAsia" w:ascii="宋体" w:hAnsi="宋体" w:cs="宋体"/>
                <w:color w:val="auto"/>
                <w:lang w:val="zh-CN"/>
              </w:rPr>
              <w:t>评标情况公告</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color w:val="auto"/>
                <w:lang w:val="zh-CN"/>
              </w:rPr>
            </w:pPr>
            <w:r>
              <w:rPr>
                <w:rFonts w:hint="eastAsia" w:ascii="宋体" w:hAnsi="宋体" w:cs="宋体"/>
                <w:color w:val="auto"/>
                <w:lang w:val="zh-CN"/>
              </w:rPr>
              <w:t>所有</w:t>
            </w:r>
            <w:r>
              <w:rPr>
                <w:rFonts w:hint="eastAsia" w:ascii="宋体" w:hAnsi="宋体"/>
                <w:color w:val="auto"/>
              </w:rPr>
              <w:t>投标人</w:t>
            </w:r>
            <w:r>
              <w:rPr>
                <w:rFonts w:hint="eastAsia" w:ascii="宋体" w:hAnsi="宋体" w:cs="宋体"/>
                <w:color w:val="auto"/>
                <w:lang w:val="zh-CN"/>
              </w:rPr>
              <w:t>投标文件资格性、符合性检查情况、采用综合评分法时的总得分和分项汇总得分情况、评标结果等将在成都市公共资源交易服务中心网、四川政府采购网上采购结果公告栏中予以公告。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s="宋体"/>
                <w:color w:val="auto"/>
                <w:lang w:val="zh-CN"/>
              </w:rPr>
              <w:t>中标通知书</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kern w:val="2"/>
                <w:lang w:val="zh-CN"/>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合同签订地点</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ascii="宋体" w:hAnsi="宋体"/>
                <w:color w:val="auto"/>
                <w:lang w:eastAsia="zh-CN"/>
              </w:rPr>
              <w:t>四川省崇州市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left="240" w:leftChars="100" w:right="240" w:rightChars="100"/>
              <w:rPr>
                <w:rFonts w:ascii="宋体" w:hAnsi="宋体"/>
                <w:color w:val="auto"/>
              </w:rPr>
            </w:pPr>
            <w:r>
              <w:rPr>
                <w:rFonts w:hint="eastAsia" w:ascii="宋体" w:hAnsi="宋体"/>
                <w:color w:val="auto"/>
              </w:rPr>
              <w:t>政府采购合同公告、备案</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color w:val="auto"/>
              </w:rPr>
            </w:pPr>
            <w:r>
              <w:rPr>
                <w:rFonts w:hint="eastAsia" w:ascii="宋体" w:hAnsi="宋体" w:cs="宋体"/>
                <w:color w:val="auto"/>
                <w:lang w:val="zh-CN"/>
              </w:rPr>
              <w:t>政府采购合同签订之日起2个工作日内，采购人将在四川政府采购网公告政府采购合同；疫情防控期间，采购人原则上在5个工作日内与供应商签订政府采购合同及向本采购项目同级财政部门，即崇州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left="240" w:leftChars="100" w:right="240" w:rightChars="100"/>
              <w:rPr>
                <w:rFonts w:ascii="宋体" w:hAnsi="宋体"/>
                <w:color w:val="auto"/>
              </w:rPr>
            </w:pPr>
            <w:r>
              <w:rPr>
                <w:rFonts w:hint="eastAsia" w:ascii="宋体" w:hAnsi="宋体"/>
                <w:color w:val="auto"/>
              </w:rPr>
              <w:t>中小企业政府采购信用融资（“蓉采贷”）</w:t>
            </w:r>
          </w:p>
        </w:tc>
        <w:tc>
          <w:tcPr>
            <w:tcW w:w="6683" w:type="dxa"/>
            <w:tcBorders>
              <w:top w:val="single" w:color="auto" w:sz="4" w:space="0"/>
              <w:left w:val="single" w:color="auto" w:sz="8" w:space="0"/>
              <w:bottom w:val="single" w:color="auto" w:sz="4" w:space="0"/>
              <w:right w:val="single" w:color="auto" w:sz="18" w:space="0"/>
            </w:tcBorders>
            <w:vAlign w:val="center"/>
          </w:tcPr>
          <w:p>
            <w:pPr>
              <w:snapToGrid w:val="0"/>
              <w:spacing w:line="360" w:lineRule="auto"/>
              <w:jc w:val="both"/>
              <w:rPr>
                <w:rFonts w:ascii="宋体" w:hAnsi="宋体"/>
                <w:color w:val="auto"/>
              </w:rPr>
            </w:pPr>
            <w:r>
              <w:rPr>
                <w:rFonts w:hint="eastAsia" w:ascii="宋体" w:hAnsi="宋体"/>
                <w:color w:val="auto"/>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olor w:val="auto"/>
                <w:sz w:val="28"/>
                <w:szCs w:val="28"/>
              </w:rPr>
              <w:t>《</w:t>
            </w:r>
            <w:r>
              <w:rPr>
                <w:rFonts w:hint="eastAsia" w:ascii="宋体" w:hAnsi="宋体" w:cs="Times New Roman"/>
                <w:color w:val="auto"/>
              </w:rPr>
              <w:t>崇州市级政府采购信用融资信息一览表》。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进口产品</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18"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color w:val="auto"/>
              </w:rPr>
            </w:pPr>
          </w:p>
        </w:tc>
        <w:tc>
          <w:tcPr>
            <w:tcW w:w="8626" w:type="dxa"/>
            <w:gridSpan w:val="2"/>
            <w:tcBorders>
              <w:top w:val="single" w:color="auto" w:sz="4" w:space="0"/>
              <w:left w:val="single" w:color="auto" w:sz="8" w:space="0"/>
              <w:bottom w:val="single" w:color="auto" w:sz="1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5"/>
        <w:numPr>
          <w:ilvl w:val="1"/>
          <w:numId w:val="3"/>
        </w:numPr>
        <w:spacing w:before="0" w:after="0"/>
        <w:ind w:hanging="709"/>
        <w:rPr>
          <w:color w:val="auto"/>
        </w:rPr>
      </w:pPr>
      <w:bookmarkStart w:id="22" w:name="_Toc13820"/>
      <w:r>
        <w:rPr>
          <w:rFonts w:hint="eastAsia"/>
          <w:color w:val="auto"/>
        </w:rPr>
        <w:t>总则</w:t>
      </w:r>
      <w:bookmarkEnd w:id="22"/>
    </w:p>
    <w:p>
      <w:pPr>
        <w:pStyle w:val="6"/>
        <w:numPr>
          <w:ilvl w:val="2"/>
          <w:numId w:val="3"/>
        </w:numPr>
        <w:ind w:left="-161" w:leftChars="-67" w:firstLine="0"/>
        <w:rPr>
          <w:color w:val="auto"/>
        </w:rPr>
      </w:pPr>
      <w:r>
        <w:rPr>
          <w:rFonts w:hint="eastAsia"/>
          <w:color w:val="auto"/>
        </w:rPr>
        <w:t>适用范围</w:t>
      </w:r>
    </w:p>
    <w:p>
      <w:pPr>
        <w:widowControl w:val="0"/>
        <w:numPr>
          <w:ilvl w:val="0"/>
          <w:numId w:val="7"/>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本招标文件仅适用于本次公开招标采购项目。</w:t>
      </w:r>
    </w:p>
    <w:p>
      <w:pPr>
        <w:widowControl w:val="0"/>
        <w:numPr>
          <w:ilvl w:val="0"/>
          <w:numId w:val="7"/>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本招标文件的最终解释权由</w:t>
      </w:r>
      <w:r>
        <w:rPr>
          <w:rFonts w:hint="eastAsia" w:ascii="宋体" w:hAnsi="宋体"/>
          <w:color w:val="auto"/>
          <w:sz w:val="28"/>
          <w:szCs w:val="28"/>
          <w:lang w:eastAsia="zh-CN"/>
        </w:rPr>
        <w:t>崇</w:t>
      </w:r>
      <w:r>
        <w:rPr>
          <w:rFonts w:hint="eastAsia" w:ascii="宋体" w:hAnsi="宋体"/>
          <w:color w:val="auto"/>
          <w:sz w:val="28"/>
          <w:szCs w:val="28"/>
        </w:rPr>
        <w:t>公资交易中心享有。</w:t>
      </w:r>
    </w:p>
    <w:p>
      <w:pPr>
        <w:pStyle w:val="6"/>
        <w:numPr>
          <w:ilvl w:val="2"/>
          <w:numId w:val="3"/>
        </w:numPr>
        <w:ind w:left="0" w:firstLine="0"/>
        <w:rPr>
          <w:color w:val="auto"/>
        </w:rPr>
      </w:pPr>
      <w:r>
        <w:rPr>
          <w:rFonts w:hint="eastAsia"/>
          <w:color w:val="auto"/>
        </w:rPr>
        <w:t>有关定义</w:t>
      </w:r>
    </w:p>
    <w:p>
      <w:pPr>
        <w:widowControl w:val="0"/>
        <w:numPr>
          <w:ilvl w:val="0"/>
          <w:numId w:val="8"/>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“采购人”和“甲方”系指依法进行政府采购的成都市级机关、事业单位、团体组织。本次招标的采购人是</w:t>
      </w:r>
      <w:r>
        <w:rPr>
          <w:rFonts w:hint="eastAsia" w:ascii="宋体" w:hAnsi="宋体"/>
          <w:b/>
          <w:color w:val="auto"/>
          <w:sz w:val="28"/>
          <w:szCs w:val="28"/>
          <w:lang w:eastAsia="zh-CN"/>
        </w:rPr>
        <w:t>崇州市现代教育技术服务中心</w:t>
      </w:r>
      <w:r>
        <w:rPr>
          <w:rFonts w:hint="eastAsia" w:ascii="宋体" w:hAnsi="宋体"/>
          <w:color w:val="auto"/>
          <w:sz w:val="28"/>
          <w:szCs w:val="28"/>
        </w:rPr>
        <w:t>。</w:t>
      </w:r>
    </w:p>
    <w:p>
      <w:pPr>
        <w:widowControl w:val="0"/>
        <w:numPr>
          <w:ilvl w:val="0"/>
          <w:numId w:val="8"/>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“投标人”系指在系统中成功提交《采购文件获取登记表》拟参加投标和向采购人提供货物及服务的供应商。</w:t>
      </w:r>
    </w:p>
    <w:p>
      <w:pPr>
        <w:widowControl w:val="0"/>
        <w:numPr>
          <w:ilvl w:val="0"/>
          <w:numId w:val="8"/>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本招标文件各部分规定的期间以时、日、月、年计算。期间开始的时和日，不计算在期间内，而从次日开始计算。期间届满的最后一天是节假日的，以节假日后的第一日为期间届满的日期。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本招标文件各部分规定的“以上”、“以下”、“内”、“以内”，包括本数；所称的“不足”，不包括本数。</w:t>
      </w:r>
    </w:p>
    <w:p>
      <w:pPr>
        <w:pStyle w:val="2"/>
        <w:numPr>
          <w:ilvl w:val="0"/>
          <w:numId w:val="9"/>
        </w:numPr>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numPr>
          <w:ilvl w:val="0"/>
          <w:numId w:val="0"/>
        </w:numPr>
        <w:tabs>
          <w:tab w:val="left" w:pos="1134"/>
        </w:tabs>
        <w:spacing w:after="0" w:line="240" w:lineRule="auto"/>
        <w:ind w:left="0" w:leftChars="0"/>
        <w:rPr>
          <w:color w:val="0000FF"/>
        </w:rPr>
      </w:pPr>
      <w:r>
        <w:rPr>
          <w:rFonts w:hint="eastAsia" w:ascii="宋体" w:hAnsi="宋体"/>
          <w:sz w:val="28"/>
          <w:szCs w:val="28"/>
          <w:lang w:eastAsia="zh-CN"/>
        </w:rPr>
        <w:t>　</w:t>
      </w:r>
      <w:r>
        <w:rPr>
          <w:rFonts w:hint="eastAsia" w:ascii="宋体" w:hAnsi="宋体"/>
          <w:color w:val="0000FF"/>
          <w:sz w:val="28"/>
          <w:szCs w:val="28"/>
          <w:lang w:eastAsia="zh-CN"/>
        </w:rPr>
        <w:t>　</w:t>
      </w:r>
      <w:r>
        <w:rPr>
          <w:rFonts w:hint="eastAsia" w:ascii="宋体" w:hAnsi="宋体"/>
          <w:color w:val="auto"/>
          <w:sz w:val="28"/>
          <w:szCs w:val="28"/>
          <w:lang w:eastAsia="zh-CN"/>
        </w:rPr>
        <w:t>六、</w:t>
      </w:r>
      <w:r>
        <w:rPr>
          <w:rFonts w:hint="eastAsia" w:ascii="宋体" w:hAnsi="宋体"/>
          <w:color w:val="auto"/>
          <w:sz w:val="28"/>
          <w:szCs w:val="28"/>
        </w:rPr>
        <w:t>不见面开标是指，</w:t>
      </w:r>
      <w:r>
        <w:rPr>
          <w:rFonts w:hint="eastAsia" w:ascii="宋体" w:hAnsi="宋体"/>
          <w:color w:val="auto"/>
          <w:sz w:val="28"/>
          <w:szCs w:val="28"/>
          <w:lang w:eastAsia="zh-CN"/>
        </w:rPr>
        <w:t>崇</w:t>
      </w:r>
      <w:r>
        <w:rPr>
          <w:rFonts w:hint="eastAsia" w:ascii="宋体" w:hAnsi="宋体"/>
          <w:color w:val="auto"/>
          <w:sz w:val="28"/>
          <w:szCs w:val="28"/>
        </w:rPr>
        <w:t>公资交易中心依托政府采购云平台组织开标活动，供应商在线参与开标的一种组织形式。</w:t>
      </w:r>
    </w:p>
    <w:p>
      <w:pPr>
        <w:pStyle w:val="6"/>
        <w:numPr>
          <w:ilvl w:val="2"/>
          <w:numId w:val="3"/>
        </w:numPr>
        <w:rPr>
          <w:color w:val="auto"/>
        </w:rPr>
      </w:pPr>
      <w:bookmarkStart w:id="23" w:name="_Toc183682344"/>
      <w:bookmarkStart w:id="24" w:name="_Toc183582207"/>
      <w:bookmarkStart w:id="25" w:name="_Toc217446036"/>
      <w:bookmarkStart w:id="26" w:name="_Toc217390843"/>
      <w:r>
        <w:rPr>
          <w:rFonts w:hint="eastAsia"/>
          <w:color w:val="auto"/>
        </w:rPr>
        <w:t>合格的投标人</w:t>
      </w:r>
      <w:bookmarkEnd w:id="23"/>
      <w:bookmarkEnd w:id="24"/>
      <w:bookmarkEnd w:id="25"/>
      <w:bookmarkEnd w:id="26"/>
    </w:p>
    <w:p>
      <w:pPr>
        <w:tabs>
          <w:tab w:val="left" w:pos="7665"/>
        </w:tabs>
        <w:spacing w:line="360" w:lineRule="auto"/>
        <w:ind w:firstLine="565" w:firstLineChars="202"/>
        <w:rPr>
          <w:rFonts w:ascii="宋体" w:hAnsi="宋体"/>
          <w:color w:val="auto"/>
          <w:sz w:val="28"/>
          <w:szCs w:val="28"/>
        </w:rPr>
      </w:pPr>
      <w:r>
        <w:rPr>
          <w:rFonts w:hint="eastAsia" w:ascii="宋体" w:hAnsi="宋体"/>
          <w:color w:val="auto"/>
          <w:sz w:val="28"/>
          <w:szCs w:val="28"/>
        </w:rPr>
        <w:t>合格的投标人应具备以下条件：</w:t>
      </w:r>
    </w:p>
    <w:p>
      <w:pPr>
        <w:widowControl w:val="0"/>
        <w:numPr>
          <w:ilvl w:val="0"/>
          <w:numId w:val="10"/>
        </w:numPr>
        <w:tabs>
          <w:tab w:val="left" w:pos="1134"/>
        </w:tabs>
        <w:spacing w:line="360" w:lineRule="auto"/>
        <w:jc w:val="both"/>
        <w:rPr>
          <w:rFonts w:ascii="宋体" w:hAnsi="宋体"/>
          <w:color w:val="auto"/>
          <w:sz w:val="28"/>
          <w:szCs w:val="28"/>
        </w:rPr>
      </w:pPr>
      <w:r>
        <w:rPr>
          <w:rFonts w:hint="eastAsia" w:ascii="宋体" w:hAnsi="宋体"/>
          <w:color w:val="auto"/>
          <w:sz w:val="28"/>
          <w:szCs w:val="28"/>
        </w:rPr>
        <w:t>本招标文件“投标邀请”第五条规定的条件；</w:t>
      </w:r>
    </w:p>
    <w:p>
      <w:pPr>
        <w:widowControl w:val="0"/>
        <w:numPr>
          <w:ilvl w:val="0"/>
          <w:numId w:val="10"/>
        </w:numPr>
        <w:tabs>
          <w:tab w:val="left" w:pos="1134"/>
        </w:tabs>
        <w:spacing w:line="360" w:lineRule="auto"/>
        <w:ind w:left="0" w:firstLine="568"/>
        <w:jc w:val="both"/>
        <w:rPr>
          <w:rFonts w:ascii="宋体" w:hAnsi="宋体"/>
          <w:color w:val="auto"/>
          <w:sz w:val="28"/>
          <w:szCs w:val="28"/>
        </w:rPr>
      </w:pPr>
      <w:r>
        <w:rPr>
          <w:rFonts w:hint="eastAsia" w:ascii="宋体" w:hAnsi="宋体"/>
          <w:color w:val="auto"/>
          <w:sz w:val="28"/>
          <w:szCs w:val="28"/>
        </w:rPr>
        <w:t>按照招标文件“投标邀请”中第六、七、八条规定获取了招标文件。</w:t>
      </w:r>
    </w:p>
    <w:p>
      <w:pPr>
        <w:pStyle w:val="6"/>
        <w:numPr>
          <w:ilvl w:val="2"/>
          <w:numId w:val="3"/>
        </w:numPr>
        <w:ind w:left="0" w:firstLine="0"/>
        <w:rPr>
          <w:color w:val="auto"/>
        </w:rPr>
      </w:pPr>
      <w:r>
        <w:rPr>
          <w:rFonts w:hint="eastAsia"/>
          <w:color w:val="auto"/>
        </w:rPr>
        <w:t>投标费用</w:t>
      </w:r>
    </w:p>
    <w:p>
      <w:pPr>
        <w:spacing w:line="360" w:lineRule="auto"/>
        <w:ind w:firstLine="660" w:firstLineChars="236"/>
        <w:rPr>
          <w:rFonts w:ascii="宋体" w:hAnsi="宋体"/>
          <w:color w:val="auto"/>
          <w:sz w:val="28"/>
          <w:szCs w:val="28"/>
        </w:rPr>
      </w:pPr>
      <w:r>
        <w:rPr>
          <w:rFonts w:hint="eastAsia" w:ascii="宋体" w:hAnsi="宋体"/>
          <w:color w:val="auto"/>
          <w:sz w:val="28"/>
          <w:szCs w:val="28"/>
        </w:rPr>
        <w:t>投标人应自行承担参加投标的全部费用。</w:t>
      </w:r>
    </w:p>
    <w:p>
      <w:pPr>
        <w:pStyle w:val="6"/>
        <w:numPr>
          <w:ilvl w:val="2"/>
          <w:numId w:val="3"/>
        </w:numPr>
        <w:ind w:left="0" w:firstLine="0"/>
        <w:rPr>
          <w:color w:val="auto"/>
        </w:rPr>
      </w:pPr>
      <w:r>
        <w:rPr>
          <w:rFonts w:hint="eastAsia"/>
          <w:color w:val="auto"/>
        </w:rPr>
        <w:t>充分、公平竞争保障措施</w:t>
      </w:r>
    </w:p>
    <w:p>
      <w:pPr>
        <w:pStyle w:val="23"/>
        <w:tabs>
          <w:tab w:val="left" w:pos="851"/>
        </w:tabs>
        <w:spacing w:line="360" w:lineRule="auto"/>
        <w:ind w:firstLine="560" w:firstLineChars="200"/>
        <w:rPr>
          <w:rFonts w:hAnsi="宋体"/>
          <w:color w:val="auto"/>
          <w:sz w:val="28"/>
          <w:szCs w:val="28"/>
        </w:rPr>
      </w:pPr>
      <w:r>
        <w:rPr>
          <w:rFonts w:hint="eastAsia" w:hAnsi="宋体"/>
          <w:color w:val="auto"/>
          <w:sz w:val="28"/>
          <w:szCs w:val="28"/>
        </w:rPr>
        <w:t>一、单位负责人为同一人或者存在直接控股、管理关系的不同供应商，不得参加同一项目的投标。</w:t>
      </w:r>
    </w:p>
    <w:p>
      <w:pPr>
        <w:pStyle w:val="23"/>
        <w:tabs>
          <w:tab w:val="left" w:pos="851"/>
        </w:tabs>
        <w:spacing w:line="360" w:lineRule="auto"/>
        <w:ind w:left="-163" w:leftChars="-68" w:firstLine="700" w:firstLineChars="250"/>
        <w:rPr>
          <w:rFonts w:hAnsi="宋体"/>
          <w:b/>
          <w:color w:val="auto"/>
          <w:sz w:val="28"/>
          <w:szCs w:val="28"/>
        </w:rPr>
      </w:pPr>
      <w:r>
        <w:rPr>
          <w:rFonts w:hint="eastAsia" w:hAnsi="宋体"/>
          <w:color w:val="auto"/>
          <w:sz w:val="28"/>
          <w:szCs w:val="28"/>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color w:val="auto"/>
          <w:sz w:val="28"/>
          <w:szCs w:val="28"/>
        </w:rPr>
        <w:t>（说明：无供应商为本项目提供整体设计、规范编制或者项目管理、监理、检测等服务）</w:t>
      </w:r>
    </w:p>
    <w:p>
      <w:pPr>
        <w:pStyle w:val="23"/>
        <w:tabs>
          <w:tab w:val="left" w:pos="851"/>
        </w:tabs>
        <w:spacing w:line="360" w:lineRule="auto"/>
        <w:ind w:firstLine="560" w:firstLineChars="200"/>
        <w:textAlignment w:val="baseline"/>
        <w:rPr>
          <w:color w:val="auto"/>
        </w:rPr>
      </w:pPr>
      <w:r>
        <w:rPr>
          <w:rFonts w:hint="eastAsia" w:asciiTheme="minorEastAsia" w:hAnsiTheme="minorEastAsia" w:eastAsiaTheme="minorEastAsia"/>
          <w:color w:val="auto"/>
          <w:sz w:val="28"/>
          <w:szCs w:val="28"/>
          <w:lang w:val="zh-CN"/>
        </w:rPr>
        <w:t>三、本项目</w:t>
      </w:r>
      <w:r>
        <w:rPr>
          <w:rFonts w:hint="eastAsia" w:asciiTheme="minorEastAsia" w:hAnsiTheme="minorEastAsia" w:eastAsiaTheme="minorEastAsia"/>
          <w:b/>
          <w:color w:val="auto"/>
          <w:sz w:val="28"/>
          <w:szCs w:val="28"/>
        </w:rPr>
        <w:t>核心产品为</w:t>
      </w:r>
      <w:r>
        <w:rPr>
          <w:rFonts w:hint="eastAsia" w:asciiTheme="minorEastAsia" w:hAnsiTheme="minorEastAsia" w:eastAsiaTheme="minorEastAsia"/>
          <w:b/>
          <w:color w:val="auto"/>
          <w:sz w:val="28"/>
          <w:szCs w:val="28"/>
          <w:lang w:eastAsia="zh-CN"/>
        </w:rPr>
        <w:t>：图形工作站、</w:t>
      </w:r>
      <w:r>
        <w:rPr>
          <w:rFonts w:hint="eastAsia" w:asciiTheme="minorEastAsia" w:hAnsiTheme="minorEastAsia" w:eastAsiaTheme="minorEastAsia"/>
          <w:b/>
          <w:color w:val="auto"/>
          <w:sz w:val="28"/>
          <w:szCs w:val="28"/>
          <w:lang w:val="en-US" w:eastAsia="zh-CN"/>
        </w:rPr>
        <w:t>P4全彩LED屏</w:t>
      </w:r>
      <w:r>
        <w:rPr>
          <w:rFonts w:hint="eastAsia" w:asciiTheme="minorEastAsia" w:hAnsiTheme="minorEastAsia" w:eastAsiaTheme="minorEastAsia"/>
          <w:b/>
          <w:color w:val="auto"/>
          <w:sz w:val="28"/>
          <w:szCs w:val="28"/>
        </w:rPr>
        <w:t>。</w:t>
      </w:r>
      <w:r>
        <w:rPr>
          <w:rFonts w:hint="eastAsia" w:asciiTheme="minorEastAsia" w:hAnsiTheme="minorEastAsia" w:eastAsiaTheme="minorEastAsia"/>
          <w:color w:val="auto"/>
          <w:sz w:val="28"/>
          <w:szCs w:val="28"/>
          <w:lang w:val="zh-CN"/>
        </w:rPr>
        <w:t>提供核心产品品牌均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pStyle w:val="5"/>
        <w:numPr>
          <w:ilvl w:val="1"/>
          <w:numId w:val="3"/>
        </w:numPr>
        <w:spacing w:before="0" w:after="0"/>
        <w:rPr>
          <w:color w:val="auto"/>
        </w:rPr>
      </w:pPr>
      <w:bookmarkStart w:id="27" w:name="_Toc18250"/>
      <w:r>
        <w:rPr>
          <w:rFonts w:hint="eastAsia"/>
          <w:color w:val="auto"/>
        </w:rPr>
        <w:t>招标文件</w:t>
      </w:r>
      <w:bookmarkEnd w:id="27"/>
    </w:p>
    <w:p>
      <w:pPr>
        <w:pStyle w:val="6"/>
        <w:numPr>
          <w:ilvl w:val="2"/>
          <w:numId w:val="3"/>
        </w:numPr>
        <w:ind w:left="0" w:firstLine="0"/>
        <w:rPr>
          <w:color w:val="auto"/>
        </w:rPr>
      </w:pPr>
      <w:bookmarkStart w:id="28" w:name="_Toc183582210"/>
      <w:bookmarkStart w:id="29" w:name="_Toc217446039"/>
      <w:bookmarkStart w:id="30" w:name="_Toc183682347"/>
      <w:r>
        <w:rPr>
          <w:rFonts w:hint="eastAsia"/>
          <w:color w:val="auto"/>
        </w:rPr>
        <w:t>招标文件的构成</w:t>
      </w:r>
      <w:bookmarkEnd w:id="28"/>
      <w:bookmarkEnd w:id="29"/>
      <w:bookmarkEnd w:id="30"/>
    </w:p>
    <w:p>
      <w:pPr>
        <w:widowControl w:val="0"/>
        <w:numPr>
          <w:ilvl w:val="0"/>
          <w:numId w:val="11"/>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widowControl w:val="0"/>
        <w:numPr>
          <w:ilvl w:val="1"/>
          <w:numId w:val="12"/>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投标邀请；</w:t>
      </w:r>
    </w:p>
    <w:p>
      <w:pPr>
        <w:widowControl w:val="0"/>
        <w:numPr>
          <w:ilvl w:val="1"/>
          <w:numId w:val="12"/>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投标人须知；</w:t>
      </w:r>
    </w:p>
    <w:p>
      <w:pPr>
        <w:widowControl w:val="0"/>
        <w:numPr>
          <w:ilvl w:val="1"/>
          <w:numId w:val="12"/>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投标文件格式；</w:t>
      </w:r>
    </w:p>
    <w:p>
      <w:pPr>
        <w:widowControl w:val="0"/>
        <w:numPr>
          <w:ilvl w:val="1"/>
          <w:numId w:val="12"/>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招标项目技术、服务、商务及其他要求；</w:t>
      </w:r>
    </w:p>
    <w:p>
      <w:pPr>
        <w:widowControl w:val="0"/>
        <w:numPr>
          <w:ilvl w:val="1"/>
          <w:numId w:val="12"/>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资格性审查；</w:t>
      </w:r>
    </w:p>
    <w:p>
      <w:pPr>
        <w:widowControl w:val="0"/>
        <w:numPr>
          <w:ilvl w:val="1"/>
          <w:numId w:val="12"/>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评标办法；</w:t>
      </w:r>
    </w:p>
    <w:p>
      <w:pPr>
        <w:widowControl w:val="0"/>
        <w:numPr>
          <w:ilvl w:val="1"/>
          <w:numId w:val="12"/>
        </w:numPr>
        <w:tabs>
          <w:tab w:val="left" w:pos="1134"/>
        </w:tabs>
        <w:spacing w:line="360" w:lineRule="auto"/>
        <w:ind w:left="567" w:firstLine="0"/>
        <w:jc w:val="both"/>
        <w:rPr>
          <w:rFonts w:ascii="宋体" w:hAnsi="宋体"/>
          <w:color w:val="auto"/>
          <w:sz w:val="28"/>
          <w:szCs w:val="28"/>
        </w:rPr>
      </w:pPr>
      <w:r>
        <w:rPr>
          <w:rFonts w:hint="eastAsia" w:ascii="宋体" w:hAnsi="宋体"/>
          <w:color w:val="auto"/>
          <w:sz w:val="28"/>
          <w:szCs w:val="28"/>
        </w:rPr>
        <w:t>拟签订的合同文本。</w:t>
      </w:r>
    </w:p>
    <w:p>
      <w:pPr>
        <w:widowControl w:val="0"/>
        <w:numPr>
          <w:ilvl w:val="0"/>
          <w:numId w:val="11"/>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投标人应认真阅读和充分理解招标文件中所有的事项、格式条款和规范要求。投标人没有对招标文件全面做出实质性响应所产生的风险由投标人承担。</w:t>
      </w:r>
    </w:p>
    <w:p>
      <w:pPr>
        <w:pStyle w:val="6"/>
        <w:numPr>
          <w:ilvl w:val="2"/>
          <w:numId w:val="3"/>
        </w:numPr>
        <w:ind w:left="0" w:firstLine="0"/>
        <w:rPr>
          <w:color w:val="auto"/>
        </w:rPr>
      </w:pPr>
      <w:bookmarkStart w:id="31" w:name="_Toc183682348"/>
      <w:bookmarkStart w:id="32" w:name="_Toc183582211"/>
      <w:bookmarkStart w:id="33" w:name="_Toc217446040"/>
      <w:r>
        <w:rPr>
          <w:rFonts w:hint="eastAsia"/>
          <w:color w:val="auto"/>
        </w:rPr>
        <w:t>招标文件的澄清</w:t>
      </w:r>
      <w:bookmarkEnd w:id="31"/>
      <w:bookmarkEnd w:id="32"/>
      <w:r>
        <w:rPr>
          <w:rFonts w:hint="eastAsia"/>
          <w:color w:val="auto"/>
        </w:rPr>
        <w:t>和修改</w:t>
      </w:r>
      <w:bookmarkEnd w:id="33"/>
    </w:p>
    <w:p>
      <w:pPr>
        <w:widowControl w:val="0"/>
        <w:numPr>
          <w:ilvl w:val="0"/>
          <w:numId w:val="13"/>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在投标截止时间前，采购人或者</w:t>
      </w:r>
      <w:r>
        <w:rPr>
          <w:rFonts w:hint="eastAsia" w:cs="Arial"/>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可以对已发出的招标文件进行必要的澄清或者修改。</w:t>
      </w:r>
    </w:p>
    <w:p>
      <w:pPr>
        <w:widowControl w:val="0"/>
        <w:numPr>
          <w:ilvl w:val="0"/>
          <w:numId w:val="13"/>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000000" w:themeColor="text1"/>
          <w:sz w:val="28"/>
          <w:szCs w:val="28"/>
          <w14:textFill>
            <w14:solidFill>
              <w14:schemeClr w14:val="tx1"/>
            </w14:solidFill>
          </w14:textFill>
        </w:rPr>
        <w:t>澄清或者修改的内容，</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r>
        <w:rPr>
          <w:rFonts w:hint="eastAsia" w:ascii="宋体" w:hAnsi="宋体"/>
          <w:color w:val="000000" w:themeColor="text1"/>
          <w:sz w:val="28"/>
          <w:szCs w:val="28"/>
          <w:lang w:eastAsia="zh-CN"/>
          <w14:textFill>
            <w14:solidFill>
              <w14:schemeClr w14:val="tx1"/>
            </w14:solidFill>
          </w14:textFill>
        </w:rPr>
        <w:t>。</w:t>
      </w:r>
    </w:p>
    <w:p>
      <w:pPr>
        <w:widowControl w:val="0"/>
        <w:numPr>
          <w:ilvl w:val="0"/>
          <w:numId w:val="13"/>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澄清或者修改的内容可能影响投标文件编制的，</w:t>
      </w:r>
      <w:r>
        <w:rPr>
          <w:rFonts w:hint="eastAsia" w:ascii="宋体" w:hAnsi="宋体"/>
          <w:color w:val="auto"/>
          <w:sz w:val="28"/>
          <w:szCs w:val="28"/>
          <w:lang w:eastAsia="zh-CN"/>
        </w:rPr>
        <w:t>崇</w:t>
      </w:r>
      <w:r>
        <w:rPr>
          <w:rFonts w:hint="eastAsia" w:ascii="宋体" w:hAnsi="宋体"/>
          <w:color w:val="auto"/>
          <w:sz w:val="28"/>
          <w:szCs w:val="28"/>
        </w:rPr>
        <w:t>公资交易中心应当在投标截止时间至少15日前，通过</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通知所有获取招标文件的潜在投标人；不足15日的，采购人或</w:t>
      </w:r>
      <w:r>
        <w:rPr>
          <w:rFonts w:hint="eastAsia" w:ascii="宋体" w:hAnsi="宋体"/>
          <w:color w:val="auto"/>
          <w:sz w:val="28"/>
          <w:szCs w:val="28"/>
          <w:lang w:eastAsia="zh-CN"/>
        </w:rPr>
        <w:t>崇</w:t>
      </w:r>
      <w:r>
        <w:rPr>
          <w:rFonts w:hint="eastAsia" w:ascii="宋体" w:hAnsi="宋体"/>
          <w:color w:val="auto"/>
          <w:sz w:val="28"/>
          <w:szCs w:val="28"/>
        </w:rPr>
        <w:t>公资交易中心应当顺延提交投标文件的截止时间。</w:t>
      </w:r>
    </w:p>
    <w:p>
      <w:pPr>
        <w:pStyle w:val="5"/>
        <w:numPr>
          <w:ilvl w:val="1"/>
          <w:numId w:val="3"/>
        </w:numPr>
        <w:spacing w:before="0" w:after="0"/>
        <w:rPr>
          <w:color w:val="auto"/>
        </w:rPr>
      </w:pPr>
      <w:bookmarkStart w:id="34" w:name="_Toc217446042"/>
      <w:bookmarkStart w:id="35" w:name="_Toc183682351"/>
      <w:bookmarkStart w:id="36" w:name="_Toc77400780"/>
      <w:bookmarkStart w:id="37" w:name="_Toc89075876"/>
      <w:bookmarkStart w:id="38" w:name="_Toc28718"/>
      <w:bookmarkStart w:id="39" w:name="_Toc183582214"/>
      <w:r>
        <w:rPr>
          <w:rFonts w:hint="eastAsia"/>
          <w:color w:val="auto"/>
        </w:rPr>
        <w:t>投标文件</w:t>
      </w:r>
      <w:bookmarkEnd w:id="34"/>
      <w:bookmarkEnd w:id="35"/>
      <w:bookmarkEnd w:id="36"/>
      <w:bookmarkEnd w:id="37"/>
      <w:bookmarkEnd w:id="38"/>
      <w:bookmarkEnd w:id="39"/>
    </w:p>
    <w:p>
      <w:pPr>
        <w:pStyle w:val="6"/>
        <w:numPr>
          <w:ilvl w:val="2"/>
          <w:numId w:val="3"/>
        </w:numPr>
        <w:ind w:left="0" w:firstLine="0"/>
        <w:rPr>
          <w:color w:val="auto"/>
        </w:rPr>
      </w:pPr>
      <w:bookmarkStart w:id="40" w:name="_Toc217446043"/>
      <w:bookmarkStart w:id="41" w:name="_Toc183582215"/>
      <w:bookmarkStart w:id="42" w:name="_Toc183682352"/>
      <w:r>
        <w:rPr>
          <w:rFonts w:hint="eastAsia"/>
          <w:color w:val="auto"/>
        </w:rPr>
        <w:t>投标文件的语言</w:t>
      </w:r>
      <w:bookmarkEnd w:id="40"/>
      <w:bookmarkEnd w:id="41"/>
      <w:bookmarkEnd w:id="42"/>
    </w:p>
    <w:p>
      <w:pPr>
        <w:widowControl w:val="0"/>
        <w:numPr>
          <w:ilvl w:val="0"/>
          <w:numId w:val="14"/>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投标人提交的投标文件以及投标人与采购人或</w:t>
      </w:r>
      <w:r>
        <w:rPr>
          <w:rFonts w:hint="eastAsia" w:ascii="宋体" w:hAnsi="宋体"/>
          <w:color w:val="auto"/>
          <w:sz w:val="28"/>
          <w:szCs w:val="28"/>
          <w:lang w:eastAsia="zh-CN"/>
        </w:rPr>
        <w:t>崇</w:t>
      </w:r>
      <w:r>
        <w:rPr>
          <w:rFonts w:hint="eastAsia" w:ascii="宋体" w:hAnsi="宋体"/>
          <w:color w:val="auto"/>
          <w:sz w:val="28"/>
          <w:szCs w:val="28"/>
        </w:rPr>
        <w:t>公资交易中心就有关投标的所有来往书面文件均须使用中文，投标文件中所附或引用的外文资料，应翻译成中文附在相关外文资料后面。（说明：投标人的法定代表人为外籍人士的，则法定代表人的签字和护照除外）。</w:t>
      </w:r>
    </w:p>
    <w:p>
      <w:pPr>
        <w:widowControl w:val="0"/>
        <w:numPr>
          <w:ilvl w:val="0"/>
          <w:numId w:val="14"/>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 xml:space="preserve">对不同文字文本投标文件的解释发生异议的，以中文文本为准。若投标人投标文件中提供的外文资料未翻译成中文，则评标委员会可将其视为无效材料。 </w:t>
      </w:r>
    </w:p>
    <w:p>
      <w:pPr>
        <w:pStyle w:val="6"/>
        <w:numPr>
          <w:ilvl w:val="2"/>
          <w:numId w:val="3"/>
        </w:numPr>
        <w:ind w:left="0" w:firstLine="0"/>
        <w:rPr>
          <w:color w:val="auto"/>
        </w:rPr>
      </w:pPr>
      <w:bookmarkStart w:id="43" w:name="_Toc217446044"/>
      <w:bookmarkStart w:id="44" w:name="_Toc183582216"/>
      <w:bookmarkStart w:id="45" w:name="_Toc183682353"/>
      <w:r>
        <w:rPr>
          <w:rFonts w:hint="eastAsia"/>
          <w:color w:val="auto"/>
        </w:rPr>
        <w:t>计量单位</w:t>
      </w:r>
      <w:bookmarkEnd w:id="43"/>
      <w:bookmarkEnd w:id="44"/>
      <w:bookmarkEnd w:id="45"/>
    </w:p>
    <w:p>
      <w:pPr>
        <w:tabs>
          <w:tab w:val="left" w:pos="7665"/>
        </w:tabs>
        <w:spacing w:line="360" w:lineRule="auto"/>
        <w:ind w:left="13" w:firstLine="554"/>
        <w:rPr>
          <w:rFonts w:ascii="宋体" w:hAnsi="宋体"/>
          <w:color w:val="auto"/>
          <w:sz w:val="28"/>
          <w:szCs w:val="28"/>
        </w:rPr>
      </w:pPr>
      <w:bookmarkStart w:id="46" w:name="_Toc217446045"/>
      <w:r>
        <w:rPr>
          <w:rFonts w:hint="eastAsia" w:ascii="宋体" w:hAnsi="宋体"/>
          <w:color w:val="auto"/>
          <w:sz w:val="28"/>
          <w:szCs w:val="28"/>
        </w:rPr>
        <w:t>除招标文件中另有规定外，本次采购项目所有合同项下的投标均采用国家法定的计量单位。</w:t>
      </w:r>
    </w:p>
    <w:p>
      <w:pPr>
        <w:pStyle w:val="6"/>
        <w:numPr>
          <w:ilvl w:val="2"/>
          <w:numId w:val="3"/>
        </w:numPr>
        <w:ind w:left="0" w:firstLine="0"/>
        <w:rPr>
          <w:color w:val="auto"/>
        </w:rPr>
      </w:pPr>
      <w:r>
        <w:rPr>
          <w:rFonts w:hint="eastAsia"/>
          <w:color w:val="auto"/>
        </w:rPr>
        <w:t>投标货币</w:t>
      </w:r>
      <w:bookmarkEnd w:id="46"/>
    </w:p>
    <w:p>
      <w:pPr>
        <w:tabs>
          <w:tab w:val="left" w:pos="7665"/>
        </w:tabs>
        <w:spacing w:line="360" w:lineRule="auto"/>
        <w:ind w:left="13" w:firstLine="554"/>
        <w:rPr>
          <w:rFonts w:ascii="宋体" w:hAnsi="宋体"/>
          <w:color w:val="auto"/>
          <w:sz w:val="28"/>
          <w:szCs w:val="28"/>
        </w:rPr>
      </w:pPr>
      <w:r>
        <w:rPr>
          <w:rFonts w:hint="eastAsia" w:ascii="宋体" w:hAnsi="宋体"/>
          <w:color w:val="auto"/>
          <w:sz w:val="28"/>
          <w:szCs w:val="28"/>
        </w:rPr>
        <w:t>本次招标项目的投标均以人民币报价。</w:t>
      </w:r>
    </w:p>
    <w:p>
      <w:pPr>
        <w:pStyle w:val="6"/>
        <w:numPr>
          <w:ilvl w:val="2"/>
          <w:numId w:val="3"/>
        </w:numPr>
        <w:ind w:left="0" w:firstLine="0"/>
        <w:rPr>
          <w:color w:val="auto"/>
        </w:rPr>
      </w:pPr>
      <w:bookmarkStart w:id="47" w:name="_Toc217446046"/>
      <w:r>
        <w:rPr>
          <w:rFonts w:hint="eastAsia"/>
          <w:color w:val="auto"/>
        </w:rPr>
        <w:t>联合体投标</w:t>
      </w:r>
      <w:bookmarkEnd w:id="47"/>
    </w:p>
    <w:p>
      <w:pPr>
        <w:tabs>
          <w:tab w:val="left" w:pos="1134"/>
        </w:tabs>
        <w:spacing w:line="360" w:lineRule="auto"/>
        <w:ind w:left="546"/>
        <w:rPr>
          <w:rFonts w:ascii="宋体" w:hAnsi="宋体"/>
          <w:color w:val="auto"/>
          <w:sz w:val="28"/>
          <w:szCs w:val="28"/>
        </w:rPr>
      </w:pPr>
      <w:bookmarkStart w:id="48" w:name="_Toc217446047"/>
      <w:r>
        <w:rPr>
          <w:rFonts w:hint="eastAsia" w:ascii="宋体" w:hAnsi="宋体"/>
          <w:color w:val="auto"/>
          <w:sz w:val="28"/>
          <w:szCs w:val="28"/>
        </w:rPr>
        <w:t>本次政府采购活动</w:t>
      </w:r>
      <w:r>
        <w:rPr>
          <w:rFonts w:hint="eastAsia" w:ascii="宋体" w:hAnsi="宋体"/>
          <w:b/>
          <w:color w:val="auto"/>
          <w:sz w:val="28"/>
          <w:szCs w:val="28"/>
        </w:rPr>
        <w:t>不接受</w:t>
      </w:r>
      <w:r>
        <w:rPr>
          <w:rFonts w:hint="eastAsia" w:ascii="宋体" w:hAnsi="宋体"/>
          <w:color w:val="auto"/>
          <w:sz w:val="28"/>
          <w:szCs w:val="28"/>
        </w:rPr>
        <w:t>联合体投标。</w:t>
      </w:r>
    </w:p>
    <w:p>
      <w:pPr>
        <w:pStyle w:val="6"/>
        <w:numPr>
          <w:ilvl w:val="2"/>
          <w:numId w:val="3"/>
        </w:numPr>
        <w:ind w:left="0" w:firstLine="0"/>
        <w:rPr>
          <w:color w:val="auto"/>
        </w:rPr>
      </w:pPr>
      <w:r>
        <w:rPr>
          <w:rFonts w:hint="eastAsia"/>
          <w:color w:val="auto"/>
        </w:rPr>
        <w:t>知识产权</w:t>
      </w:r>
      <w:bookmarkEnd w:id="48"/>
    </w:p>
    <w:p>
      <w:pPr>
        <w:pStyle w:val="24"/>
        <w:numPr>
          <w:ilvl w:val="0"/>
          <w:numId w:val="15"/>
        </w:numPr>
        <w:tabs>
          <w:tab w:val="left" w:pos="1134"/>
        </w:tabs>
        <w:spacing w:line="360" w:lineRule="auto"/>
        <w:ind w:left="0" w:firstLine="549" w:firstLineChars="0"/>
        <w:rPr>
          <w:rFonts w:ascii="宋体" w:hAnsi="宋体"/>
          <w:color w:val="auto"/>
          <w:sz w:val="28"/>
          <w:szCs w:val="28"/>
        </w:rPr>
      </w:pPr>
      <w:bookmarkStart w:id="49" w:name="_Toc183582217"/>
      <w:bookmarkStart w:id="50" w:name="_Toc183682354"/>
      <w:bookmarkStart w:id="51" w:name="_Toc217446048"/>
      <w:r>
        <w:rPr>
          <w:rFonts w:hint="eastAsia" w:ascii="宋体" w:hAnsi="宋体"/>
          <w:color w:val="auto"/>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24"/>
        <w:numPr>
          <w:ilvl w:val="0"/>
          <w:numId w:val="15"/>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采购人享有本项目实施过程中产生的知识成果及知识产权。</w:t>
      </w:r>
    </w:p>
    <w:p>
      <w:pPr>
        <w:pStyle w:val="24"/>
        <w:numPr>
          <w:ilvl w:val="0"/>
          <w:numId w:val="15"/>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投标人如拟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pPr>
        <w:pStyle w:val="24"/>
        <w:numPr>
          <w:ilvl w:val="0"/>
          <w:numId w:val="15"/>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如采用投标人所不拥有的知识产权，则在投标报价中必须包括合法获取该知识产权的相关费用。</w:t>
      </w:r>
    </w:p>
    <w:p>
      <w:pPr>
        <w:pStyle w:val="6"/>
        <w:numPr>
          <w:ilvl w:val="2"/>
          <w:numId w:val="3"/>
        </w:numPr>
        <w:ind w:left="0" w:firstLine="0"/>
        <w:rPr>
          <w:color w:val="auto"/>
        </w:rPr>
      </w:pPr>
      <w:r>
        <w:rPr>
          <w:rFonts w:hint="eastAsia"/>
          <w:color w:val="auto"/>
        </w:rPr>
        <w:t>投标文件的组成</w:t>
      </w:r>
      <w:bookmarkEnd w:id="49"/>
      <w:bookmarkEnd w:id="50"/>
      <w:bookmarkEnd w:id="51"/>
    </w:p>
    <w:p>
      <w:pPr>
        <w:spacing w:line="360" w:lineRule="auto"/>
        <w:ind w:firstLine="548" w:firstLineChars="196"/>
        <w:rPr>
          <w:rFonts w:ascii="宋体" w:hAnsi="宋体"/>
          <w:color w:val="auto"/>
          <w:sz w:val="28"/>
          <w:szCs w:val="28"/>
        </w:rPr>
      </w:pPr>
      <w:r>
        <w:rPr>
          <w:rFonts w:hint="eastAsia" w:ascii="宋体" w:hAnsi="宋体"/>
          <w:color w:val="auto"/>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rPr>
          <w:rFonts w:hint="eastAsia" w:ascii="宋体" w:hAnsi="宋体"/>
          <w:b/>
          <w:color w:val="auto"/>
          <w:sz w:val="28"/>
          <w:szCs w:val="28"/>
        </w:rPr>
      </w:pPr>
      <w:r>
        <w:rPr>
          <w:rFonts w:hint="eastAsia" w:ascii="宋体" w:hAnsi="宋体"/>
          <w:b/>
          <w:color w:val="auto"/>
          <w:sz w:val="28"/>
          <w:szCs w:val="28"/>
        </w:rPr>
        <w:br w:type="page"/>
      </w:r>
    </w:p>
    <w:p>
      <w:pPr>
        <w:spacing w:line="360" w:lineRule="auto"/>
        <w:ind w:left="546"/>
        <w:rPr>
          <w:rFonts w:ascii="宋体" w:hAnsi="宋体"/>
          <w:b/>
          <w:color w:val="auto"/>
          <w:sz w:val="28"/>
          <w:szCs w:val="28"/>
        </w:rPr>
      </w:pPr>
      <w:r>
        <w:rPr>
          <w:rFonts w:hint="eastAsia" w:ascii="宋体" w:hAnsi="宋体"/>
          <w:b/>
          <w:color w:val="auto"/>
          <w:sz w:val="28"/>
          <w:szCs w:val="28"/>
        </w:rPr>
        <w:t>资格性审查部分：</w:t>
      </w:r>
    </w:p>
    <w:p>
      <w:pPr>
        <w:pStyle w:val="25"/>
        <w:numPr>
          <w:ilvl w:val="0"/>
          <w:numId w:val="0"/>
        </w:numPr>
        <w:tabs>
          <w:tab w:val="left" w:pos="1134"/>
        </w:tabs>
        <w:spacing w:after="0" w:line="240" w:lineRule="auto"/>
        <w:ind w:leftChars="0"/>
        <w:rPr>
          <w:rFonts w:ascii="宋体" w:hAnsi="宋体"/>
          <w:b/>
          <w:color w:val="auto"/>
          <w:sz w:val="28"/>
          <w:szCs w:val="28"/>
        </w:rPr>
      </w:pPr>
      <w:r>
        <w:rPr>
          <w:rFonts w:hint="eastAsia" w:ascii="宋体" w:hAnsi="宋体"/>
          <w:b/>
          <w:color w:val="auto"/>
          <w:sz w:val="28"/>
          <w:szCs w:val="28"/>
          <w:lang w:eastAsia="zh-CN"/>
        </w:rPr>
        <w:t>　　　　一、</w:t>
      </w:r>
      <w:r>
        <w:rPr>
          <w:rFonts w:hint="eastAsia" w:ascii="宋体" w:hAnsi="宋体"/>
          <w:b/>
          <w:color w:val="auto"/>
          <w:sz w:val="28"/>
          <w:szCs w:val="28"/>
        </w:rPr>
        <w:t>关于投标人资格申明的函；</w:t>
      </w:r>
    </w:p>
    <w:p>
      <w:pPr>
        <w:pStyle w:val="25"/>
        <w:numPr>
          <w:ilvl w:val="0"/>
          <w:numId w:val="16"/>
        </w:numPr>
        <w:tabs>
          <w:tab w:val="left" w:pos="1134"/>
        </w:tabs>
        <w:spacing w:line="360" w:lineRule="auto"/>
        <w:ind w:left="546" w:leftChars="0"/>
        <w:rPr>
          <w:rFonts w:hint="eastAsia" w:ascii="宋体" w:hAnsi="宋体"/>
          <w:b/>
          <w:color w:val="auto"/>
          <w:sz w:val="28"/>
          <w:szCs w:val="28"/>
        </w:rPr>
      </w:pPr>
      <w:r>
        <w:rPr>
          <w:rFonts w:hint="eastAsia" w:ascii="宋体" w:hAnsi="宋体"/>
          <w:b/>
          <w:color w:val="auto"/>
          <w:sz w:val="28"/>
          <w:szCs w:val="28"/>
        </w:rPr>
        <w:t>声明；</w:t>
      </w:r>
    </w:p>
    <w:p>
      <w:pPr>
        <w:pStyle w:val="25"/>
        <w:numPr>
          <w:ilvl w:val="0"/>
          <w:numId w:val="0"/>
        </w:numPr>
        <w:tabs>
          <w:tab w:val="left" w:pos="1134"/>
        </w:tabs>
        <w:spacing w:line="360" w:lineRule="auto"/>
        <w:ind w:left="546" w:leftChars="0"/>
        <w:rPr>
          <w:rFonts w:ascii="宋体" w:hAnsi="宋体"/>
          <w:b/>
          <w:color w:val="auto"/>
          <w:sz w:val="28"/>
          <w:szCs w:val="28"/>
        </w:rPr>
      </w:pPr>
      <w:r>
        <w:rPr>
          <w:rFonts w:hint="eastAsia" w:ascii="宋体" w:hAnsi="宋体"/>
          <w:b/>
          <w:color w:val="auto"/>
          <w:sz w:val="28"/>
          <w:szCs w:val="28"/>
          <w:lang w:eastAsia="zh-CN"/>
        </w:rPr>
        <w:t>　　三、</w:t>
      </w:r>
      <w:r>
        <w:rPr>
          <w:rFonts w:hint="eastAsia" w:ascii="宋体" w:hAnsi="宋体"/>
          <w:b/>
          <w:color w:val="auto"/>
          <w:sz w:val="28"/>
          <w:szCs w:val="28"/>
        </w:rPr>
        <w:t>投标人应提交的相关资格证明材料：</w:t>
      </w:r>
    </w:p>
    <w:p>
      <w:pPr>
        <w:pStyle w:val="25"/>
        <w:numPr>
          <w:ilvl w:val="0"/>
          <w:numId w:val="0"/>
        </w:numPr>
        <w:tabs>
          <w:tab w:val="left" w:pos="1134"/>
        </w:tabs>
        <w:spacing w:line="360" w:lineRule="auto"/>
        <w:ind w:left="546" w:leftChars="0"/>
        <w:rPr>
          <w:rFonts w:hint="default" w:ascii="宋体" w:hAnsi="宋体" w:eastAsiaTheme="minorEastAsia"/>
          <w:b/>
          <w:color w:val="auto"/>
          <w:sz w:val="28"/>
          <w:szCs w:val="28"/>
          <w:lang w:val="en-US" w:eastAsia="zh-CN"/>
        </w:rPr>
      </w:pPr>
      <w:r>
        <w:rPr>
          <w:rFonts w:hint="eastAsia" w:ascii="宋体" w:hAnsi="宋体"/>
          <w:b/>
          <w:color w:val="auto"/>
          <w:sz w:val="28"/>
          <w:szCs w:val="28"/>
          <w:lang w:eastAsia="zh-CN"/>
        </w:rPr>
        <w:t>　　详见招标文件第</w:t>
      </w:r>
      <w:r>
        <w:rPr>
          <w:rFonts w:hint="eastAsia" w:ascii="宋体" w:hAnsi="宋体"/>
          <w:b/>
          <w:color w:val="auto"/>
          <w:sz w:val="28"/>
          <w:szCs w:val="28"/>
          <w:lang w:val="en-US" w:eastAsia="zh-CN"/>
        </w:rPr>
        <w:t>5章。</w:t>
      </w:r>
    </w:p>
    <w:p>
      <w:pPr>
        <w:rPr>
          <w:rFonts w:hint="eastAsia"/>
          <w:b/>
          <w:color w:val="auto"/>
          <w:sz w:val="28"/>
        </w:rPr>
      </w:pPr>
      <w:r>
        <w:rPr>
          <w:rFonts w:hint="eastAsia"/>
          <w:b/>
          <w:color w:val="auto"/>
          <w:sz w:val="28"/>
        </w:rPr>
        <w:br w:type="page"/>
      </w:r>
    </w:p>
    <w:p>
      <w:pPr>
        <w:pStyle w:val="25"/>
        <w:spacing w:line="360" w:lineRule="auto"/>
        <w:ind w:left="546" w:firstLine="0" w:firstLineChars="0"/>
        <w:rPr>
          <w:rFonts w:ascii="宋体" w:hAnsi="宋体"/>
          <w:b/>
          <w:color w:val="auto"/>
          <w:sz w:val="28"/>
          <w:szCs w:val="28"/>
        </w:rPr>
      </w:pPr>
      <w:r>
        <w:rPr>
          <w:rFonts w:hint="eastAsia"/>
          <w:b/>
          <w:color w:val="auto"/>
          <w:sz w:val="28"/>
        </w:rPr>
        <w:t>技术、服务、商务及其他要求响应部分：</w:t>
      </w:r>
    </w:p>
    <w:p>
      <w:pPr>
        <w:pStyle w:val="25"/>
        <w:numPr>
          <w:ilvl w:val="0"/>
          <w:numId w:val="17"/>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投标函；</w:t>
      </w:r>
    </w:p>
    <w:p>
      <w:pPr>
        <w:pStyle w:val="25"/>
        <w:numPr>
          <w:ilvl w:val="0"/>
          <w:numId w:val="0"/>
        </w:numPr>
        <w:tabs>
          <w:tab w:val="left" w:pos="1134"/>
        </w:tabs>
        <w:spacing w:line="360" w:lineRule="auto"/>
        <w:ind w:left="568" w:leftChars="0"/>
        <w:rPr>
          <w:rFonts w:ascii="宋体" w:hAnsi="宋体"/>
          <w:b/>
          <w:color w:val="auto"/>
          <w:sz w:val="28"/>
          <w:szCs w:val="28"/>
        </w:rPr>
      </w:pPr>
      <w:r>
        <w:rPr>
          <w:rFonts w:hint="eastAsia" w:ascii="宋体" w:hAnsi="宋体"/>
          <w:b/>
          <w:sz w:val="28"/>
          <w:szCs w:val="28"/>
          <w:lang w:eastAsia="zh-CN"/>
        </w:rPr>
        <w:t>二、</w:t>
      </w:r>
      <w:r>
        <w:rPr>
          <w:rFonts w:hint="eastAsia" w:ascii="宋体" w:hAnsi="宋体"/>
          <w:b/>
          <w:sz w:val="28"/>
          <w:szCs w:val="28"/>
        </w:rPr>
        <w:t>开标一览表（投标报价以投标人在政府采购云平台开标一览表中填写的报价为准。）；</w:t>
      </w:r>
    </w:p>
    <w:p>
      <w:pPr>
        <w:pStyle w:val="25"/>
        <w:numPr>
          <w:ilvl w:val="0"/>
          <w:numId w:val="0"/>
        </w:numPr>
        <w:tabs>
          <w:tab w:val="left" w:pos="1134"/>
        </w:tabs>
        <w:spacing w:after="0" w:line="240" w:lineRule="auto"/>
        <w:ind w:left="0" w:leftChars="0"/>
        <w:rPr>
          <w:rFonts w:ascii="宋体" w:hAnsi="宋体"/>
          <w:b/>
          <w:color w:val="auto"/>
          <w:sz w:val="28"/>
          <w:szCs w:val="28"/>
        </w:rPr>
      </w:pPr>
      <w:r>
        <w:rPr>
          <w:rFonts w:hint="eastAsia" w:ascii="宋体" w:hAnsi="宋体"/>
          <w:b/>
          <w:color w:val="auto"/>
          <w:sz w:val="28"/>
          <w:szCs w:val="28"/>
          <w:lang w:eastAsia="zh-CN"/>
        </w:rPr>
        <w:t>　　三、</w:t>
      </w:r>
      <w:r>
        <w:rPr>
          <w:rFonts w:hint="eastAsia" w:ascii="宋体" w:hAnsi="宋体"/>
          <w:b/>
          <w:sz w:val="28"/>
          <w:szCs w:val="28"/>
        </w:rPr>
        <w:t>分项报价明细表(</w:t>
      </w:r>
      <w:r>
        <w:rPr>
          <w:rFonts w:ascii="宋体" w:hAnsi="宋体"/>
          <w:b/>
          <w:sz w:val="28"/>
          <w:szCs w:val="28"/>
        </w:rPr>
        <w:t>1.</w:t>
      </w:r>
      <w:r>
        <w:rPr>
          <w:rFonts w:hint="eastAsia" w:ascii="宋体" w:hAnsi="宋体"/>
          <w:b/>
          <w:sz w:val="28"/>
          <w:szCs w:val="28"/>
        </w:rPr>
        <w:t>分项报价明细表中要求填写品牌、规格型号、制造商、进口或国产的，投标人必须载明其投标产品的品牌、规格型号、制造商、进口或国产；2.报价</w:t>
      </w:r>
      <w:r>
        <w:rPr>
          <w:rFonts w:ascii="宋体" w:hAnsi="宋体"/>
          <w:b/>
          <w:sz w:val="28"/>
          <w:szCs w:val="28"/>
        </w:rPr>
        <w:t>明细以投标人在政府采购云平台</w:t>
      </w:r>
      <w:r>
        <w:rPr>
          <w:rFonts w:hint="eastAsia" w:ascii="宋体" w:hAnsi="宋体"/>
          <w:b/>
          <w:sz w:val="28"/>
          <w:szCs w:val="28"/>
        </w:rPr>
        <w:t>报价</w:t>
      </w:r>
      <w:r>
        <w:rPr>
          <w:rFonts w:ascii="宋体" w:hAnsi="宋体"/>
          <w:b/>
          <w:sz w:val="28"/>
          <w:szCs w:val="28"/>
        </w:rPr>
        <w:t>明细表中填写的</w:t>
      </w:r>
      <w:r>
        <w:rPr>
          <w:rFonts w:hint="eastAsia" w:ascii="宋体" w:hAnsi="宋体"/>
          <w:b/>
          <w:sz w:val="28"/>
          <w:szCs w:val="28"/>
        </w:rPr>
        <w:t>为准</w:t>
      </w:r>
      <w:r>
        <w:rPr>
          <w:rFonts w:ascii="宋体" w:hAnsi="宋体"/>
          <w:b/>
          <w:sz w:val="28"/>
          <w:szCs w:val="28"/>
        </w:rPr>
        <w:t>。</w:t>
      </w:r>
      <w:r>
        <w:rPr>
          <w:rFonts w:hint="eastAsia" w:ascii="宋体" w:hAnsi="宋体"/>
          <w:b/>
          <w:sz w:val="28"/>
          <w:szCs w:val="28"/>
        </w:rPr>
        <w:t>)</w:t>
      </w:r>
    </w:p>
    <w:p>
      <w:pPr>
        <w:pStyle w:val="25"/>
        <w:numPr>
          <w:ilvl w:val="0"/>
          <w:numId w:val="0"/>
        </w:numPr>
        <w:tabs>
          <w:tab w:val="left" w:pos="1134"/>
        </w:tabs>
        <w:spacing w:after="0" w:line="240" w:lineRule="auto"/>
        <w:ind w:leftChars="0"/>
        <w:jc w:val="left"/>
        <w:rPr>
          <w:rFonts w:ascii="宋体" w:hAnsi="宋体"/>
          <w:b/>
          <w:color w:val="auto"/>
          <w:sz w:val="28"/>
          <w:szCs w:val="28"/>
        </w:rPr>
      </w:pPr>
      <w:r>
        <w:rPr>
          <w:rFonts w:hint="eastAsia" w:ascii="宋体" w:hAnsi="宋体"/>
          <w:b/>
          <w:color w:val="auto"/>
          <w:sz w:val="28"/>
          <w:szCs w:val="28"/>
          <w:lang w:eastAsia="zh-CN"/>
        </w:rPr>
        <w:t>　　四、</w:t>
      </w:r>
      <w:r>
        <w:rPr>
          <w:rFonts w:hint="eastAsia" w:ascii="宋体" w:hAnsi="宋体"/>
          <w:b/>
          <w:color w:val="auto"/>
          <w:sz w:val="28"/>
          <w:szCs w:val="28"/>
        </w:rPr>
        <w:t>中小企业声明函（如未提供中小企业声明函，则其投标产品中的小型、微型企业制造的货物不能享受招标文件规定的价格扣除，但不影响投标人投标文件的有效性）；</w:t>
      </w:r>
    </w:p>
    <w:p>
      <w:pPr>
        <w:pStyle w:val="25"/>
        <w:numPr>
          <w:ilvl w:val="0"/>
          <w:numId w:val="0"/>
        </w:numPr>
        <w:tabs>
          <w:tab w:val="left" w:pos="1134"/>
        </w:tabs>
        <w:spacing w:after="0" w:line="240" w:lineRule="auto"/>
        <w:ind w:left="0" w:leftChars="0"/>
        <w:rPr>
          <w:rFonts w:ascii="宋体" w:hAnsi="宋体"/>
          <w:b/>
          <w:color w:val="auto"/>
          <w:sz w:val="28"/>
          <w:szCs w:val="28"/>
        </w:rPr>
      </w:pPr>
      <w:r>
        <w:rPr>
          <w:rFonts w:hint="eastAsia" w:ascii="宋体" w:hAnsi="宋体"/>
          <w:b/>
          <w:color w:val="auto"/>
          <w:sz w:val="28"/>
          <w:szCs w:val="28"/>
          <w:lang w:eastAsia="zh-CN"/>
        </w:rPr>
        <w:t>　　五、</w:t>
      </w:r>
      <w:r>
        <w:rPr>
          <w:rFonts w:hint="eastAsia" w:ascii="宋体" w:hAnsi="宋体"/>
          <w:b/>
          <w:color w:val="auto"/>
          <w:sz w:val="28"/>
          <w:szCs w:val="28"/>
        </w:rPr>
        <w:t>残疾人福利性单位声明函（如未提供残疾人福利性单位声明函，则其投标产品中的残疾人福利性单位制造的货物不能享受招标文件规定的价格扣除，但不影响投标人投标文件的有效性）；</w:t>
      </w:r>
    </w:p>
    <w:p>
      <w:pPr>
        <w:pStyle w:val="25"/>
        <w:numPr>
          <w:ilvl w:val="0"/>
          <w:numId w:val="0"/>
        </w:numPr>
        <w:tabs>
          <w:tab w:val="left" w:pos="1134"/>
        </w:tabs>
        <w:spacing w:after="0" w:line="240" w:lineRule="auto"/>
        <w:ind w:left="0" w:leftChars="0"/>
        <w:rPr>
          <w:rFonts w:ascii="宋体" w:hAnsi="宋体"/>
          <w:b/>
          <w:color w:val="auto"/>
          <w:sz w:val="28"/>
          <w:szCs w:val="28"/>
        </w:rPr>
      </w:pPr>
      <w:r>
        <w:rPr>
          <w:rFonts w:hint="eastAsia" w:ascii="宋体" w:hAnsi="宋体"/>
          <w:b/>
          <w:color w:val="auto"/>
          <w:sz w:val="28"/>
          <w:szCs w:val="28"/>
          <w:lang w:eastAsia="zh-CN"/>
        </w:rPr>
        <w:t>　　六、</w:t>
      </w:r>
      <w:r>
        <w:rPr>
          <w:rFonts w:hint="eastAsia" w:ascii="宋体" w:hAnsi="宋体"/>
          <w:b/>
          <w:color w:val="auto"/>
          <w:sz w:val="28"/>
          <w:szCs w:val="28"/>
        </w:rPr>
        <w:t>监狱企业证明文件复印件（说明：1、投标产品中为监狱企业制造的货物应提供由省级以上监狱管理局、戒毒管理局（含新疆生产建设兵团）出具的制造商属于监狱企业的证明文件复印件；2、如未提供监狱企业的证明文件复印件，则其投标产品中为监狱企业制造的货物不能享受招标文件规定的价格扣除，但不影响投标人投标文件的有效性。）；</w:t>
      </w:r>
    </w:p>
    <w:p>
      <w:pPr>
        <w:pStyle w:val="25"/>
        <w:numPr>
          <w:ilvl w:val="0"/>
          <w:numId w:val="0"/>
        </w:numPr>
        <w:tabs>
          <w:tab w:val="left" w:pos="1134"/>
        </w:tabs>
        <w:spacing w:after="0" w:line="240" w:lineRule="auto"/>
        <w:ind w:left="0" w:leftChars="0"/>
        <w:rPr>
          <w:rFonts w:ascii="宋体" w:hAnsi="宋体"/>
          <w:b/>
          <w:color w:val="auto"/>
          <w:sz w:val="28"/>
          <w:szCs w:val="28"/>
        </w:rPr>
      </w:pPr>
      <w:r>
        <w:rPr>
          <w:rFonts w:hint="eastAsia" w:ascii="宋体" w:hAnsi="宋体"/>
          <w:b/>
          <w:color w:val="auto"/>
          <w:sz w:val="28"/>
          <w:szCs w:val="28"/>
          <w:lang w:eastAsia="zh-CN"/>
        </w:rPr>
        <w:t>　　七、</w:t>
      </w:r>
      <w:r>
        <w:rPr>
          <w:rFonts w:hint="eastAsia" w:ascii="宋体" w:hAnsi="宋体"/>
          <w:b/>
          <w:color w:val="auto"/>
          <w:sz w:val="28"/>
          <w:szCs w:val="28"/>
        </w:rPr>
        <w:t>法定代表人身份证明书；</w:t>
      </w:r>
    </w:p>
    <w:p>
      <w:pPr>
        <w:pStyle w:val="25"/>
        <w:numPr>
          <w:ilvl w:val="0"/>
          <w:numId w:val="0"/>
        </w:numPr>
        <w:tabs>
          <w:tab w:val="left" w:pos="1134"/>
        </w:tabs>
        <w:spacing w:line="360" w:lineRule="auto"/>
        <w:ind w:left="567" w:leftChars="0"/>
        <w:rPr>
          <w:rFonts w:ascii="宋体" w:hAnsi="宋体"/>
          <w:b/>
          <w:color w:val="auto"/>
          <w:sz w:val="28"/>
          <w:szCs w:val="28"/>
        </w:rPr>
      </w:pPr>
      <w:r>
        <w:rPr>
          <w:rFonts w:hint="eastAsia" w:ascii="宋体" w:hAnsi="宋体"/>
          <w:b/>
          <w:color w:val="auto"/>
          <w:sz w:val="28"/>
          <w:szCs w:val="28"/>
          <w:lang w:eastAsia="zh-CN"/>
        </w:rPr>
        <w:t>八、</w:t>
      </w:r>
      <w:r>
        <w:rPr>
          <w:rFonts w:hint="eastAsia" w:ascii="宋体" w:hAnsi="宋体"/>
          <w:b/>
          <w:color w:val="auto"/>
          <w:sz w:val="28"/>
          <w:szCs w:val="28"/>
        </w:rPr>
        <w:t>投标人基本情况表；</w:t>
      </w:r>
    </w:p>
    <w:p>
      <w:pPr>
        <w:pStyle w:val="25"/>
        <w:numPr>
          <w:ilvl w:val="0"/>
          <w:numId w:val="0"/>
        </w:numPr>
        <w:tabs>
          <w:tab w:val="left" w:pos="1134"/>
        </w:tabs>
        <w:spacing w:line="360" w:lineRule="auto"/>
        <w:ind w:left="567" w:leftChars="0"/>
        <w:rPr>
          <w:rFonts w:ascii="宋体" w:hAnsi="宋体"/>
          <w:b/>
          <w:color w:val="auto"/>
          <w:sz w:val="28"/>
          <w:szCs w:val="28"/>
        </w:rPr>
      </w:pPr>
      <w:r>
        <w:rPr>
          <w:rFonts w:hint="eastAsia" w:ascii="宋体" w:hAnsi="宋体"/>
          <w:b/>
          <w:color w:val="auto"/>
          <w:sz w:val="28"/>
          <w:szCs w:val="28"/>
          <w:lang w:eastAsia="zh-CN"/>
        </w:rPr>
        <w:t>九、</w:t>
      </w:r>
      <w:r>
        <w:rPr>
          <w:rFonts w:hint="eastAsia" w:ascii="宋体" w:hAnsi="宋体"/>
          <w:b/>
          <w:color w:val="auto"/>
          <w:sz w:val="28"/>
          <w:szCs w:val="28"/>
        </w:rPr>
        <w:t>投标产品技术性能、技术参数和配置的详细描述；</w:t>
      </w:r>
    </w:p>
    <w:p>
      <w:pPr>
        <w:pStyle w:val="25"/>
        <w:numPr>
          <w:ilvl w:val="0"/>
          <w:numId w:val="0"/>
        </w:numPr>
        <w:tabs>
          <w:tab w:val="left" w:pos="1134"/>
        </w:tabs>
        <w:spacing w:line="360" w:lineRule="auto"/>
        <w:ind w:left="567" w:leftChars="0"/>
        <w:rPr>
          <w:rFonts w:ascii="宋体" w:hAnsi="宋体"/>
          <w:b/>
          <w:color w:val="auto"/>
          <w:sz w:val="28"/>
          <w:szCs w:val="28"/>
        </w:rPr>
      </w:pPr>
      <w:r>
        <w:rPr>
          <w:rFonts w:hint="eastAsia" w:ascii="宋体" w:hAnsi="宋体"/>
          <w:b/>
          <w:color w:val="auto"/>
          <w:sz w:val="28"/>
          <w:szCs w:val="28"/>
          <w:lang w:eastAsia="zh-CN"/>
        </w:rPr>
        <w:t>十、</w:t>
      </w:r>
      <w:r>
        <w:rPr>
          <w:rFonts w:hint="eastAsia" w:ascii="宋体" w:hAnsi="宋体"/>
          <w:b/>
          <w:color w:val="auto"/>
          <w:sz w:val="28"/>
          <w:szCs w:val="28"/>
        </w:rPr>
        <w:t>项目实施方案；</w:t>
      </w:r>
    </w:p>
    <w:p>
      <w:pPr>
        <w:pStyle w:val="25"/>
        <w:numPr>
          <w:ilvl w:val="0"/>
          <w:numId w:val="0"/>
        </w:numPr>
        <w:tabs>
          <w:tab w:val="left" w:pos="1134"/>
        </w:tabs>
        <w:spacing w:line="360" w:lineRule="auto"/>
        <w:ind w:left="567" w:leftChars="0"/>
        <w:rPr>
          <w:rFonts w:ascii="宋体" w:hAnsi="宋体"/>
          <w:b/>
          <w:color w:val="auto"/>
          <w:sz w:val="28"/>
          <w:szCs w:val="28"/>
        </w:rPr>
      </w:pPr>
      <w:r>
        <w:rPr>
          <w:rFonts w:hint="eastAsia" w:ascii="宋体" w:hAnsi="宋体"/>
          <w:b/>
          <w:color w:val="auto"/>
          <w:sz w:val="28"/>
          <w:szCs w:val="28"/>
          <w:lang w:eastAsia="zh-CN"/>
        </w:rPr>
        <w:t>十一、</w:t>
      </w:r>
      <w:r>
        <w:rPr>
          <w:rFonts w:hint="eastAsia" w:ascii="宋体" w:hAnsi="宋体"/>
          <w:b/>
          <w:color w:val="auto"/>
          <w:sz w:val="28"/>
          <w:szCs w:val="28"/>
        </w:rPr>
        <w:t>承诺函；</w:t>
      </w:r>
    </w:p>
    <w:p>
      <w:pPr>
        <w:pStyle w:val="25"/>
        <w:numPr>
          <w:ilvl w:val="0"/>
          <w:numId w:val="0"/>
        </w:numPr>
        <w:tabs>
          <w:tab w:val="left" w:pos="1418"/>
        </w:tabs>
        <w:spacing w:line="360" w:lineRule="auto"/>
        <w:ind w:left="567" w:leftChars="0"/>
        <w:rPr>
          <w:rFonts w:ascii="宋体" w:hAnsi="宋体"/>
          <w:b/>
          <w:color w:val="auto"/>
          <w:sz w:val="28"/>
          <w:szCs w:val="28"/>
        </w:rPr>
      </w:pPr>
      <w:r>
        <w:rPr>
          <w:rFonts w:hint="eastAsia" w:ascii="宋体" w:hAnsi="宋体"/>
          <w:b/>
          <w:color w:val="auto"/>
          <w:sz w:val="28"/>
          <w:szCs w:val="28"/>
          <w:lang w:eastAsia="zh-CN"/>
        </w:rPr>
        <w:t>十二、售后服务方案</w:t>
      </w:r>
      <w:r>
        <w:rPr>
          <w:rFonts w:hint="eastAsia" w:ascii="宋体" w:hAnsi="宋体"/>
          <w:b/>
          <w:color w:val="auto"/>
          <w:sz w:val="28"/>
          <w:szCs w:val="28"/>
        </w:rPr>
        <w:t>。</w:t>
      </w:r>
    </w:p>
    <w:p>
      <w:pPr>
        <w:pStyle w:val="6"/>
        <w:numPr>
          <w:ilvl w:val="2"/>
          <w:numId w:val="3"/>
        </w:numPr>
        <w:ind w:left="0" w:firstLine="0"/>
        <w:rPr>
          <w:color w:val="auto"/>
        </w:rPr>
      </w:pPr>
      <w:bookmarkStart w:id="52" w:name="_Toc316291395"/>
      <w:bookmarkEnd w:id="52"/>
      <w:bookmarkStart w:id="53" w:name="_Toc316292019"/>
      <w:bookmarkEnd w:id="53"/>
      <w:bookmarkStart w:id="54" w:name="_Toc316291396"/>
      <w:bookmarkEnd w:id="54"/>
      <w:bookmarkStart w:id="55" w:name="_Toc316292020"/>
      <w:bookmarkEnd w:id="55"/>
      <w:bookmarkStart w:id="56" w:name="_Toc183582218"/>
      <w:bookmarkStart w:id="57" w:name="_Toc217446049"/>
      <w:bookmarkStart w:id="58" w:name="_Toc183682355"/>
      <w:r>
        <w:rPr>
          <w:rFonts w:hint="eastAsia"/>
          <w:color w:val="auto"/>
        </w:rPr>
        <w:t>投标文件格式</w:t>
      </w:r>
      <w:bookmarkEnd w:id="56"/>
      <w:bookmarkEnd w:id="57"/>
      <w:bookmarkEnd w:id="58"/>
      <w:r>
        <w:rPr>
          <w:rFonts w:hint="eastAsia"/>
          <w:color w:val="auto"/>
        </w:rPr>
        <w:tab/>
      </w:r>
    </w:p>
    <w:p>
      <w:pPr>
        <w:widowControl w:val="0"/>
        <w:numPr>
          <w:ilvl w:val="0"/>
          <w:numId w:val="18"/>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投标人应按照招标文件第3章中提供的“投标文件格式”填写相关内容。</w:t>
      </w:r>
    </w:p>
    <w:p>
      <w:pPr>
        <w:widowControl w:val="0"/>
        <w:numPr>
          <w:ilvl w:val="0"/>
          <w:numId w:val="18"/>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对于没有格式要求的投标文件由投标人自行编写。</w:t>
      </w:r>
    </w:p>
    <w:p>
      <w:pPr>
        <w:pStyle w:val="6"/>
        <w:numPr>
          <w:ilvl w:val="2"/>
          <w:numId w:val="3"/>
        </w:numPr>
        <w:ind w:left="0" w:firstLine="0"/>
        <w:rPr>
          <w:color w:val="auto"/>
        </w:rPr>
      </w:pPr>
      <w:bookmarkStart w:id="59" w:name="_Toc217446050"/>
      <w:bookmarkStart w:id="60" w:name="_Toc183682360"/>
      <w:bookmarkStart w:id="61" w:name="_Toc183582223"/>
      <w:r>
        <w:rPr>
          <w:rFonts w:hint="eastAsia"/>
          <w:color w:val="auto"/>
        </w:rPr>
        <w:t>投标报价</w:t>
      </w:r>
    </w:p>
    <w:p>
      <w:pPr>
        <w:widowControl w:val="0"/>
        <w:numPr>
          <w:ilvl w:val="0"/>
          <w:numId w:val="19"/>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投标人的报价是投标人响应招标项目要求的全部工作内容的价格体现，包括投标人完成本项目所需的一切费用。</w:t>
      </w:r>
    </w:p>
    <w:p>
      <w:pPr>
        <w:widowControl w:val="0"/>
        <w:numPr>
          <w:ilvl w:val="0"/>
          <w:numId w:val="19"/>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投标人每种货物及服务内容只允许有一个报价，并且在合同履行过程中是固定不变的，任何有选择或可调整的报价将不予接受，并按无效投标处理。</w:t>
      </w:r>
    </w:p>
    <w:p>
      <w:pPr>
        <w:widowControl w:val="0"/>
        <w:numPr>
          <w:ilvl w:val="0"/>
          <w:numId w:val="19"/>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文件报价出现前后不一致的，按照下列规定修正：（1）大写金额和小写金额不一致的，以大写金额为准，但大写金额出现文字错误，导致金额无法判断的除外；（2）单价金额小数点或者百分比有明显错位的，应以总价为准，并修改单价；（3）总价金额与按单价汇总金额不一致的，以单价金额计算结果为准。</w:t>
      </w:r>
    </w:p>
    <w:p>
      <w:pPr>
        <w:tabs>
          <w:tab w:val="left" w:pos="1134"/>
        </w:tabs>
        <w:spacing w:line="360" w:lineRule="auto"/>
        <w:ind w:firstLine="565" w:firstLineChars="202"/>
        <w:rPr>
          <w:rFonts w:ascii="宋体" w:hAnsi="宋体"/>
          <w:color w:val="auto"/>
          <w:sz w:val="28"/>
          <w:szCs w:val="28"/>
        </w:rPr>
      </w:pPr>
      <w:r>
        <w:rPr>
          <w:rFonts w:hint="eastAsia" w:cs="Arial"/>
          <w:color w:val="auto"/>
          <w:sz w:val="28"/>
          <w:szCs w:val="28"/>
        </w:rPr>
        <w:t>同时出现两种以上不一致的，按照前款规定的顺序修正。修正后的报价经投标人以书面形式通过</w:t>
      </w:r>
      <w:r>
        <w:rPr>
          <w:rFonts w:hint="eastAsia" w:ascii="宋体" w:hAnsi="宋体"/>
          <w:color w:val="000000" w:themeColor="text1"/>
          <w:sz w:val="28"/>
          <w:szCs w:val="28"/>
          <w14:textFill>
            <w14:solidFill>
              <w14:schemeClr w14:val="tx1"/>
            </w14:solidFill>
          </w14:textFill>
        </w:rPr>
        <w:t>政府采购云平台</w:t>
      </w:r>
      <w:r>
        <w:rPr>
          <w:rFonts w:hint="eastAsia" w:cs="Arial"/>
          <w:color w:val="auto"/>
          <w:sz w:val="28"/>
          <w:szCs w:val="28"/>
        </w:rPr>
        <w:t>进行确认，并加盖投标人（法定名称）电子签章，投标人逾时确认的，其投标无效。</w:t>
      </w:r>
      <w:r>
        <w:rPr>
          <w:rFonts w:hint="eastAsia" w:ascii="宋体" w:hAnsi="宋体"/>
          <w:color w:val="auto"/>
          <w:sz w:val="28"/>
          <w:szCs w:val="28"/>
        </w:rPr>
        <w:t>如因断电、断网、系统故障或其他不可抗力等因素</w:t>
      </w:r>
      <w:r>
        <w:rPr>
          <w:rFonts w:hint="eastAsia" w:cs="Arial"/>
          <w:color w:val="auto"/>
          <w:sz w:val="28"/>
          <w:szCs w:val="28"/>
        </w:rPr>
        <w:t>，导致系统无法使用的，由投标人按评标委员会的要求进行澄清或者说明。</w:t>
      </w:r>
    </w:p>
    <w:p>
      <w:pPr>
        <w:pStyle w:val="6"/>
        <w:numPr>
          <w:ilvl w:val="2"/>
          <w:numId w:val="3"/>
        </w:numPr>
        <w:ind w:left="0" w:firstLine="0"/>
        <w:rPr>
          <w:color w:val="auto"/>
        </w:rPr>
      </w:pPr>
      <w:r>
        <w:rPr>
          <w:rFonts w:hint="eastAsia"/>
          <w:color w:val="auto"/>
        </w:rPr>
        <w:t>投标保证金</w:t>
      </w:r>
      <w:bookmarkEnd w:id="59"/>
      <w:bookmarkEnd w:id="60"/>
      <w:bookmarkEnd w:id="61"/>
    </w:p>
    <w:p>
      <w:pPr>
        <w:tabs>
          <w:tab w:val="left" w:pos="1134"/>
        </w:tabs>
        <w:spacing w:line="360" w:lineRule="auto"/>
        <w:ind w:firstLine="568" w:firstLineChars="202"/>
        <w:rPr>
          <w:rFonts w:cs="Arial"/>
          <w:b/>
          <w:bCs/>
          <w:color w:val="auto"/>
          <w:sz w:val="28"/>
          <w:szCs w:val="28"/>
        </w:rPr>
      </w:pPr>
      <w:r>
        <w:rPr>
          <w:rFonts w:hint="eastAsia" w:cs="Arial"/>
          <w:b/>
          <w:bCs/>
          <w:color w:val="auto"/>
          <w:sz w:val="28"/>
          <w:szCs w:val="28"/>
        </w:rPr>
        <w:t>本项目不收取投标保证金。</w:t>
      </w:r>
    </w:p>
    <w:p>
      <w:pPr>
        <w:pStyle w:val="6"/>
        <w:numPr>
          <w:ilvl w:val="2"/>
          <w:numId w:val="3"/>
        </w:numPr>
        <w:tabs>
          <w:tab w:val="left" w:pos="851"/>
        </w:tabs>
        <w:ind w:left="0" w:firstLine="0"/>
        <w:rPr>
          <w:color w:val="auto"/>
        </w:rPr>
      </w:pPr>
      <w:bookmarkStart w:id="62" w:name="_Toc316291400"/>
      <w:bookmarkEnd w:id="62"/>
      <w:bookmarkStart w:id="63" w:name="_Toc316292024"/>
      <w:bookmarkEnd w:id="63"/>
      <w:bookmarkStart w:id="64" w:name="_Toc183582224"/>
      <w:bookmarkStart w:id="65" w:name="_Toc217446051"/>
      <w:bookmarkStart w:id="66" w:name="_Toc183682361"/>
      <w:r>
        <w:rPr>
          <w:rFonts w:hint="eastAsia"/>
          <w:color w:val="auto"/>
        </w:rPr>
        <w:t>投标有效期</w:t>
      </w:r>
      <w:bookmarkEnd w:id="64"/>
      <w:bookmarkEnd w:id="65"/>
      <w:bookmarkEnd w:id="66"/>
    </w:p>
    <w:p>
      <w:pPr>
        <w:widowControl w:val="0"/>
        <w:numPr>
          <w:ilvl w:val="0"/>
          <w:numId w:val="2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投标有效期为开标后</w:t>
      </w:r>
      <w:r>
        <w:rPr>
          <w:rFonts w:hint="eastAsia" w:ascii="宋体" w:hAnsi="宋体"/>
          <w:color w:val="auto"/>
          <w:sz w:val="28"/>
          <w:szCs w:val="28"/>
          <w:u w:val="single"/>
        </w:rPr>
        <w:t>120</w:t>
      </w:r>
      <w:r>
        <w:rPr>
          <w:rFonts w:hint="eastAsia" w:ascii="宋体" w:hAnsi="宋体"/>
          <w:color w:val="auto"/>
          <w:sz w:val="28"/>
          <w:szCs w:val="28"/>
        </w:rPr>
        <w:t>天。投标有效期短于此规定期限的或不作响应的，则其投标文件将按无效投标文件处理。</w:t>
      </w:r>
    </w:p>
    <w:p>
      <w:pPr>
        <w:widowControl w:val="0"/>
        <w:numPr>
          <w:ilvl w:val="0"/>
          <w:numId w:val="20"/>
        </w:numPr>
        <w:tabs>
          <w:tab w:val="left" w:pos="1134"/>
        </w:tabs>
        <w:spacing w:line="360" w:lineRule="auto"/>
        <w:ind w:left="0" w:firstLine="567"/>
        <w:jc w:val="both"/>
        <w:rPr>
          <w:rFonts w:ascii="宋体" w:hAnsi="宋体"/>
          <w:color w:val="auto"/>
          <w:sz w:val="28"/>
          <w:szCs w:val="28"/>
        </w:rPr>
      </w:pPr>
      <w:bookmarkStart w:id="67" w:name="_Toc183682362"/>
      <w:bookmarkStart w:id="68" w:name="_Toc217446052"/>
      <w:bookmarkStart w:id="69" w:name="_Toc183582225"/>
      <w:r>
        <w:rPr>
          <w:rFonts w:hint="eastAsia" w:ascii="宋体" w:hAnsi="宋体"/>
          <w:color w:val="auto"/>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6"/>
        <w:numPr>
          <w:ilvl w:val="2"/>
          <w:numId w:val="3"/>
        </w:numPr>
        <w:tabs>
          <w:tab w:val="left" w:pos="851"/>
        </w:tabs>
        <w:ind w:left="0" w:firstLine="0"/>
        <w:rPr>
          <w:color w:val="auto"/>
        </w:rPr>
      </w:pPr>
      <w:r>
        <w:rPr>
          <w:rFonts w:hint="eastAsia"/>
          <w:color w:val="auto"/>
        </w:rPr>
        <w:t>投标文件的制作和签章、加密</w:t>
      </w:r>
    </w:p>
    <w:p>
      <w:pPr>
        <w:spacing w:line="360" w:lineRule="auto"/>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一、投标文件应根据招标文件的要求进行制作。</w:t>
      </w:r>
      <w:r>
        <w:rPr>
          <w:rFonts w:hint="eastAsia" w:ascii="宋体" w:hAnsi="宋体"/>
          <w:color w:val="000000" w:themeColor="text1"/>
          <w:sz w:val="28"/>
          <w:szCs w:val="28"/>
          <w14:textFill>
            <w14:solidFill>
              <w14:schemeClr w14:val="tx1"/>
            </w14:solidFill>
          </w14:textFill>
        </w:rPr>
        <w:t>（说明：1、招标文件中要求提供复印件证明材料的，包含提供原件的影印件或复印件。2、要求提供复印件的证明材料须清晰可辨。）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二、投标文件制作详情：</w:t>
      </w:r>
    </w:p>
    <w:p>
      <w:pPr>
        <w:spacing w:line="360" w:lineRule="auto"/>
        <w:ind w:firstLine="560" w:firstLineChars="200"/>
        <w:rPr>
          <w:rFonts w:ascii="宋体" w:hAnsi="宋体"/>
          <w:b/>
          <w:bCs/>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w:t>
      </w:r>
      <w:r>
        <w:rPr>
          <w:rFonts w:hint="eastAsia" w:ascii="宋体" w:hAnsi="宋体"/>
          <w:b/>
          <w:bCs/>
          <w:color w:val="000000" w:themeColor="text1"/>
          <w:sz w:val="28"/>
          <w:szCs w:val="28"/>
          <w14:textFill>
            <w14:solidFill>
              <w14:schemeClr w14:val="tx1"/>
            </w14:solidFill>
          </w14:textFill>
        </w:rPr>
        <w:t>投标人应按招标文件要求，通过“政采云投标客户端”制作、加密并提交投标文件。</w:t>
      </w:r>
    </w:p>
    <w:p>
      <w:pPr>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2、投标文件每页均应加盖投标人（法定名称）电子签章，不得使用投标人专用章（如经济合同章、投标专用章等）或下属单位印章代替。</w:t>
      </w:r>
    </w:p>
    <w:p>
      <w:pPr>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3、投标人应使用本企业CA数字证书对投标文件进行加密。</w:t>
      </w:r>
    </w:p>
    <w:p>
      <w:pPr>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4、招标文件有修改的，投标人须重新下载修改后的招标文件（修改后的招标文件在更正公告中下载），根据修改后的招标文件制作、撤回修改，并递交投标文件。</w:t>
      </w:r>
    </w:p>
    <w:p>
      <w:pPr>
        <w:ind w:firstLine="560" w:firstLineChars="200"/>
      </w:pPr>
      <w:r>
        <w:rPr>
          <w:rFonts w:hint="eastAsia" w:ascii="宋体" w:hAnsi="宋体"/>
          <w:color w:val="000000" w:themeColor="text1"/>
          <w:sz w:val="28"/>
          <w:szCs w:val="28"/>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bookmarkEnd w:id="67"/>
    <w:bookmarkEnd w:id="68"/>
    <w:bookmarkEnd w:id="69"/>
    <w:p>
      <w:pPr>
        <w:pStyle w:val="6"/>
        <w:numPr>
          <w:ilvl w:val="2"/>
          <w:numId w:val="3"/>
        </w:numPr>
        <w:ind w:left="0" w:firstLine="0"/>
        <w:rPr>
          <w:color w:val="auto"/>
        </w:rPr>
      </w:pPr>
      <w:bookmarkStart w:id="70" w:name="_Toc316475579"/>
      <w:bookmarkEnd w:id="70"/>
      <w:bookmarkStart w:id="71" w:name="_Toc316475582"/>
      <w:bookmarkEnd w:id="71"/>
      <w:bookmarkStart w:id="72" w:name="_Toc316475581"/>
      <w:bookmarkEnd w:id="72"/>
      <w:bookmarkStart w:id="73" w:name="_Toc316475578"/>
      <w:bookmarkEnd w:id="73"/>
      <w:bookmarkStart w:id="74" w:name="_Toc316475583"/>
      <w:bookmarkEnd w:id="74"/>
      <w:bookmarkStart w:id="75" w:name="_Toc316475577"/>
      <w:bookmarkEnd w:id="75"/>
      <w:bookmarkStart w:id="76" w:name="_Toc316475580"/>
      <w:bookmarkEnd w:id="76"/>
      <w:bookmarkStart w:id="77" w:name="_Toc183682364"/>
      <w:bookmarkStart w:id="78" w:name="_Toc183582227"/>
      <w:bookmarkStart w:id="79" w:name="_Toc217446054"/>
      <w:r>
        <w:rPr>
          <w:rFonts w:hint="eastAsia"/>
          <w:color w:val="auto"/>
        </w:rPr>
        <w:t>电子投标文件的</w:t>
      </w:r>
      <w:bookmarkEnd w:id="77"/>
      <w:bookmarkEnd w:id="78"/>
      <w:r>
        <w:rPr>
          <w:rFonts w:hint="eastAsia"/>
          <w:color w:val="auto"/>
        </w:rPr>
        <w:t>递交</w:t>
      </w:r>
      <w:bookmarkEnd w:id="79"/>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一、投标人应当在投标文件递交截止时间前，将生成的已加密的电子投标文件成功递交至“政府采购云平台”。</w:t>
      </w:r>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二、因招标文件的修改推迟投标截止日期的，投标人按市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pPr>
      <w:r>
        <w:rPr>
          <w:rFonts w:hint="eastAsia" w:ascii="宋体" w:hAnsi="宋体" w:eastAsiaTheme="minorEastAsia" w:cstheme="minorBidi"/>
          <w:bCs/>
          <w:color w:val="000000" w:themeColor="text1"/>
          <w:sz w:val="28"/>
          <w:szCs w:val="28"/>
          <w14:textFill>
            <w14:solidFill>
              <w14:schemeClr w14:val="tx1"/>
            </w14:solidFill>
          </w14:textFill>
        </w:rPr>
        <w:t>三、投标人应充分考虑递交文件的不可预见因素，未在投标截止时间前完成递交的，在投标截止时间后将无法递交</w:t>
      </w:r>
      <w:r>
        <w:rPr>
          <w:rFonts w:hint="eastAsia" w:ascii="宋体" w:hAnsi="宋体"/>
          <w:bCs/>
          <w:color w:val="000000" w:themeColor="text1"/>
          <w:sz w:val="28"/>
          <w:szCs w:val="28"/>
          <w14:textFill>
            <w14:solidFill>
              <w14:schemeClr w14:val="tx1"/>
            </w14:solidFill>
          </w14:textFill>
        </w:rPr>
        <w:t>。</w:t>
      </w:r>
    </w:p>
    <w:p>
      <w:pPr>
        <w:pStyle w:val="6"/>
        <w:numPr>
          <w:ilvl w:val="2"/>
          <w:numId w:val="3"/>
        </w:numPr>
        <w:ind w:left="0" w:firstLine="0"/>
        <w:rPr>
          <w:color w:val="auto"/>
        </w:rPr>
      </w:pPr>
      <w:r>
        <w:rPr>
          <w:rFonts w:hint="eastAsia"/>
          <w:color w:val="auto"/>
        </w:rPr>
        <w:t>投标文件的补充、修改</w:t>
      </w:r>
    </w:p>
    <w:p>
      <w:pPr>
        <w:numPr>
          <w:ilvl w:val="0"/>
          <w:numId w:val="21"/>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1"/>
        </w:numPr>
        <w:spacing w:before="120" w:after="200" w:line="360" w:lineRule="auto"/>
        <w:ind w:left="0" w:firstLine="567"/>
      </w:pPr>
      <w:r>
        <w:rPr>
          <w:rFonts w:hint="eastAsia" w:ascii="宋体" w:hAnsi="宋体"/>
          <w:color w:val="000000" w:themeColor="text1"/>
          <w:sz w:val="28"/>
          <w:szCs w:val="28"/>
          <w14:textFill>
            <w14:solidFill>
              <w14:schemeClr w14:val="tx1"/>
            </w14:solidFill>
          </w14:textFill>
        </w:rPr>
        <w:t>在投标截止时间之后，投标人不得对其递交的投标文件做任何补充、修改。</w:t>
      </w:r>
    </w:p>
    <w:p>
      <w:pPr>
        <w:pStyle w:val="6"/>
        <w:numPr>
          <w:ilvl w:val="2"/>
          <w:numId w:val="3"/>
        </w:numPr>
        <w:rPr>
          <w:color w:val="auto"/>
        </w:rPr>
      </w:pPr>
      <w:bookmarkStart w:id="80" w:name="_Toc316475586"/>
      <w:bookmarkEnd w:id="80"/>
      <w:bookmarkStart w:id="81" w:name="_Toc316475587"/>
      <w:bookmarkEnd w:id="81"/>
      <w:r>
        <w:rPr>
          <w:rFonts w:hint="eastAsia"/>
          <w:color w:val="auto"/>
        </w:rPr>
        <w:t>投标文件的撤回</w:t>
      </w:r>
    </w:p>
    <w:p>
      <w:pPr>
        <w:numPr>
          <w:ilvl w:val="0"/>
          <w:numId w:val="0"/>
        </w:numPr>
        <w:spacing w:after="0" w:line="240" w:lineRule="auto"/>
        <w:ind w:left="0" w:leftChars="0" w:firstLine="560" w:firstLineChars="200"/>
      </w:pPr>
      <w:r>
        <w:rPr>
          <w:rFonts w:hint="eastAsia" w:ascii="宋体" w:hAnsi="宋体"/>
          <w:bCs/>
          <w:color w:val="000000" w:themeColor="text1"/>
          <w:sz w:val="28"/>
          <w:szCs w:val="28"/>
          <w14:textFill>
            <w14:solidFill>
              <w14:schemeClr w14:val="tx1"/>
            </w14:solidFill>
          </w14:textFill>
        </w:rPr>
        <w:t>在投标截止时间之前，投标人可对已递交的投标文件进行撤回。在投标截止时间之后，投标人不得撤回投标文件。</w:t>
      </w:r>
    </w:p>
    <w:p>
      <w:pPr>
        <w:pStyle w:val="6"/>
        <w:numPr>
          <w:ilvl w:val="2"/>
          <w:numId w:val="3"/>
        </w:numPr>
        <w:rPr>
          <w:color w:val="auto"/>
        </w:rPr>
      </w:pPr>
      <w:r>
        <w:rPr>
          <w:rFonts w:hint="eastAsia"/>
          <w:color w:val="auto"/>
        </w:rPr>
        <w:t>电子投标文件的解密</w:t>
      </w:r>
    </w:p>
    <w:p>
      <w:pPr>
        <w:tabs>
          <w:tab w:val="left" w:pos="1134"/>
        </w:tabs>
        <w:spacing w:before="120" w:line="360" w:lineRule="auto"/>
        <w:ind w:firstLine="565" w:firstLineChars="202"/>
        <w:rPr>
          <w:rFonts w:ascii="宋体" w:hAnsi="宋体"/>
          <w:bCs/>
          <w:color w:val="000000" w:themeColor="text1"/>
          <w:sz w:val="28"/>
          <w:szCs w:val="28"/>
          <w14:textFill>
            <w14:solidFill>
              <w14:schemeClr w14:val="tx1"/>
            </w14:solidFill>
          </w14:textFill>
        </w:rPr>
      </w:pPr>
      <w:bookmarkStart w:id="82" w:name="_Toc183582231"/>
      <w:bookmarkStart w:id="83" w:name="_Toc77400782"/>
      <w:bookmarkStart w:id="84" w:name="_Toc217446056"/>
      <w:bookmarkStart w:id="85" w:name="_Toc183682368"/>
      <w:bookmarkStart w:id="86" w:name="_Toc89075878"/>
      <w:r>
        <w:rPr>
          <w:rFonts w:hint="eastAsia" w:ascii="宋体" w:hAnsi="宋体"/>
          <w:bCs/>
          <w:color w:val="000000" w:themeColor="text1"/>
          <w:sz w:val="28"/>
          <w:szCs w:val="28"/>
          <w14:textFill>
            <w14:solidFill>
              <w14:schemeClr w14:val="tx1"/>
            </w14:solidFill>
          </w14:textFill>
        </w:rPr>
        <w:t>投标人</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公资交易中心开启解密后，进行线上解密。</w:t>
      </w:r>
      <w:r>
        <w:rPr>
          <w:rFonts w:hint="eastAsia" w:ascii="宋体" w:hAnsi="宋体"/>
          <w:bCs/>
          <w:color w:val="000000" w:themeColor="text1"/>
          <w:sz w:val="28"/>
          <w:szCs w:val="28"/>
          <w14:textFill>
            <w14:solidFill>
              <w14:schemeClr w14:val="tx1"/>
            </w14:solidFill>
          </w14:textFill>
        </w:rPr>
        <w:t>除因</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w:t>
      </w:r>
      <w:r>
        <w:rPr>
          <w:rFonts w:hint="eastAsia" w:ascii="宋体" w:hAnsi="宋体"/>
          <w:bCs/>
          <w:color w:val="000000" w:themeColor="text1"/>
          <w:sz w:val="28"/>
          <w:szCs w:val="28"/>
          <w14:textFill>
            <w14:solidFill>
              <w14:schemeClr w14:val="tx1"/>
            </w14:solidFill>
          </w14:textFill>
        </w:rPr>
        <w:t>断电、断网、系统故障或其他不可抗力等因素，导致系统无法使用外，投标人在规定的解密时间内，未成功解密的投标文件将视为无效投标文件。</w:t>
      </w:r>
    </w:p>
    <w:p>
      <w:pPr>
        <w:pStyle w:val="5"/>
        <w:numPr>
          <w:ilvl w:val="1"/>
          <w:numId w:val="3"/>
        </w:numPr>
        <w:spacing w:before="0" w:after="0"/>
        <w:rPr>
          <w:color w:val="auto"/>
        </w:rPr>
      </w:pPr>
      <w:bookmarkStart w:id="87" w:name="_Toc15943"/>
      <w:r>
        <w:rPr>
          <w:rFonts w:hint="eastAsia"/>
          <w:color w:val="auto"/>
        </w:rPr>
        <w:t>开标、资格审查、评标和中标</w:t>
      </w:r>
      <w:bookmarkEnd w:id="82"/>
      <w:bookmarkEnd w:id="83"/>
      <w:bookmarkEnd w:id="84"/>
      <w:bookmarkEnd w:id="85"/>
      <w:bookmarkEnd w:id="86"/>
      <w:bookmarkEnd w:id="87"/>
    </w:p>
    <w:p>
      <w:pPr>
        <w:pStyle w:val="6"/>
        <w:numPr>
          <w:ilvl w:val="2"/>
          <w:numId w:val="3"/>
        </w:numPr>
        <w:ind w:left="0" w:firstLine="0"/>
        <w:rPr>
          <w:color w:val="auto"/>
        </w:rPr>
      </w:pPr>
      <w:bookmarkStart w:id="88" w:name="_Toc183582232"/>
      <w:bookmarkStart w:id="89" w:name="_Toc183682369"/>
      <w:bookmarkStart w:id="90" w:name="_Toc217446057"/>
      <w:r>
        <w:rPr>
          <w:rFonts w:hint="eastAsia"/>
          <w:color w:val="auto"/>
        </w:rPr>
        <w:t>开标</w:t>
      </w:r>
      <w:bookmarkEnd w:id="88"/>
      <w:bookmarkEnd w:id="89"/>
      <w:bookmarkEnd w:id="90"/>
      <w:r>
        <w:rPr>
          <w:rFonts w:hint="eastAsia"/>
          <w:color w:val="auto"/>
          <w:lang w:eastAsia="zh-CN"/>
        </w:rPr>
        <w:t>及开标程序</w:t>
      </w:r>
    </w:p>
    <w:p>
      <w:pPr>
        <w:pStyle w:val="25"/>
        <w:numPr>
          <w:ilvl w:val="0"/>
          <w:numId w:val="22"/>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本项目为不见面开标项目。递交电子投标文件的投标人不足3家的，不予开标。</w:t>
      </w:r>
    </w:p>
    <w:p>
      <w:pPr>
        <w:pStyle w:val="25"/>
        <w:numPr>
          <w:ilvl w:val="0"/>
          <w:numId w:val="22"/>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25"/>
        <w:numPr>
          <w:ilvl w:val="0"/>
          <w:numId w:val="22"/>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解密投标文件。等待</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公资交易中心开启解密后，投标人进行线上解密。开启解密后，投标人应在60分钟内，使用加密该投标文件的CA数字证书在线完成投标文件的解密。除因</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公资交易中心断电、断网、系统故障或其他不可抗力等因素，导致系统无法使用外，投标人在规定的解密时间内，未成功解密的投标文件将视为无效投标文件。</w:t>
      </w:r>
    </w:p>
    <w:p>
      <w:pPr>
        <w:pStyle w:val="25"/>
        <w:numPr>
          <w:ilvl w:val="0"/>
          <w:numId w:val="22"/>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25"/>
        <w:numPr>
          <w:ilvl w:val="0"/>
          <w:numId w:val="22"/>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投标人对开标过程和开标记录有疑义，以及认为采购人、</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公资交易中心相关工作人员有需要回避的情形的，及时向工作人员提出询问或者回避申请。采购人、</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公资交易中心对投标人提出的询问或者回避申请应当及时处理。</w:t>
      </w:r>
    </w:p>
    <w:p>
      <w:pPr>
        <w:pStyle w:val="25"/>
        <w:numPr>
          <w:ilvl w:val="0"/>
          <w:numId w:val="22"/>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25"/>
        <w:numPr>
          <w:ilvl w:val="0"/>
          <w:numId w:val="22"/>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公资交易中心断电、断网、系统故障或其他不可抗力等因素导致不见面开标系统无法正常运行的，开标活动中止或延迟，待系统恢复正常后继续进行开标活动。</w:t>
      </w:r>
    </w:p>
    <w:p>
      <w:pPr>
        <w:pStyle w:val="25"/>
        <w:numPr>
          <w:ilvl w:val="0"/>
          <w:numId w:val="22"/>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不见面开标过程中，各方主体均应遵守互联网有关规定，不得发表与交易活动无关的言论。</w:t>
      </w:r>
    </w:p>
    <w:p>
      <w:pPr>
        <w:pStyle w:val="6"/>
        <w:numPr>
          <w:ilvl w:val="2"/>
          <w:numId w:val="3"/>
        </w:numPr>
        <w:ind w:left="0" w:firstLine="0"/>
        <w:rPr>
          <w:color w:val="auto"/>
        </w:rPr>
      </w:pPr>
      <w:r>
        <w:rPr>
          <w:rFonts w:hint="eastAsia"/>
          <w:color w:val="auto"/>
        </w:rPr>
        <w:t>资格审查</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详见招标文件第5章。</w:t>
      </w:r>
    </w:p>
    <w:p>
      <w:pPr>
        <w:pStyle w:val="6"/>
        <w:numPr>
          <w:ilvl w:val="2"/>
          <w:numId w:val="3"/>
        </w:numPr>
        <w:ind w:left="0" w:firstLine="0"/>
        <w:rPr>
          <w:color w:val="auto"/>
        </w:rPr>
      </w:pPr>
      <w:r>
        <w:rPr>
          <w:rFonts w:hint="eastAsia"/>
          <w:color w:val="auto"/>
        </w:rPr>
        <w:t>评标</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详见招标文件第6章。</w:t>
      </w:r>
    </w:p>
    <w:p>
      <w:pPr>
        <w:pStyle w:val="6"/>
        <w:numPr>
          <w:ilvl w:val="2"/>
          <w:numId w:val="3"/>
        </w:numPr>
        <w:ind w:left="0" w:firstLine="0"/>
        <w:rPr>
          <w:color w:val="auto"/>
        </w:rPr>
      </w:pPr>
      <w:bookmarkStart w:id="91" w:name="_Toc183682375"/>
      <w:bookmarkStart w:id="92" w:name="_Toc183582238"/>
      <w:bookmarkStart w:id="93" w:name="_Toc217446063"/>
      <w:r>
        <w:rPr>
          <w:rFonts w:hint="eastAsia"/>
          <w:color w:val="auto"/>
        </w:rPr>
        <w:t>中标通知</w:t>
      </w:r>
      <w:bookmarkEnd w:id="91"/>
      <w:bookmarkEnd w:id="92"/>
      <w:r>
        <w:rPr>
          <w:rFonts w:hint="eastAsia"/>
          <w:color w:val="auto"/>
        </w:rPr>
        <w:t>书</w:t>
      </w:r>
      <w:bookmarkEnd w:id="93"/>
    </w:p>
    <w:p>
      <w:pPr>
        <w:widowControl/>
        <w:ind w:right="210" w:firstLine="560" w:firstLineChars="200"/>
        <w:jc w:val="left"/>
        <w:rPr>
          <w:rFonts w:ascii="宋体" w:hAnsi="宋体"/>
          <w:color w:val="000000" w:themeColor="text1"/>
          <w:sz w:val="28"/>
          <w:szCs w:val="28"/>
          <w14:textFill>
            <w14:solidFill>
              <w14:schemeClr w14:val="tx1"/>
            </w14:solidFill>
          </w14:textFill>
        </w:rPr>
      </w:pPr>
      <w:bookmarkStart w:id="94" w:name="_Toc217446064"/>
      <w:bookmarkStart w:id="95" w:name="_Toc183682377"/>
      <w:bookmarkStart w:id="96" w:name="_Toc183582240"/>
      <w:r>
        <w:rPr>
          <w:rFonts w:hint="eastAsia" w:ascii="宋体" w:hAnsi="宋体"/>
          <w:color w:val="000000" w:themeColor="text1"/>
          <w:sz w:val="28"/>
          <w:szCs w:val="28"/>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三、中标公告在四川政府采购网上公告后，中标供应商自行登录政府采购云平台下载中标通知书。</w:t>
      </w:r>
    </w:p>
    <w:p>
      <w:pPr>
        <w:pStyle w:val="5"/>
        <w:numPr>
          <w:ilvl w:val="1"/>
          <w:numId w:val="3"/>
        </w:numPr>
        <w:spacing w:before="0" w:after="0"/>
        <w:rPr>
          <w:color w:val="auto"/>
        </w:rPr>
      </w:pPr>
      <w:bookmarkStart w:id="97" w:name="_Toc7195"/>
      <w:r>
        <w:rPr>
          <w:rFonts w:hint="eastAsia"/>
          <w:color w:val="auto"/>
        </w:rPr>
        <w:t>签订及履行合同</w:t>
      </w:r>
      <w:bookmarkEnd w:id="94"/>
      <w:r>
        <w:rPr>
          <w:rFonts w:hint="eastAsia"/>
          <w:color w:val="auto"/>
        </w:rPr>
        <w:t>和验收</w:t>
      </w:r>
      <w:bookmarkEnd w:id="97"/>
    </w:p>
    <w:p>
      <w:pPr>
        <w:pStyle w:val="6"/>
        <w:numPr>
          <w:ilvl w:val="2"/>
          <w:numId w:val="3"/>
        </w:numPr>
        <w:ind w:left="0" w:firstLine="0"/>
        <w:rPr>
          <w:color w:val="auto"/>
        </w:rPr>
      </w:pPr>
      <w:bookmarkStart w:id="98" w:name="_Toc217446065"/>
      <w:r>
        <w:rPr>
          <w:rFonts w:hint="eastAsia"/>
          <w:color w:val="auto"/>
        </w:rPr>
        <w:t>签订合同</w:t>
      </w:r>
      <w:bookmarkEnd w:id="98"/>
    </w:p>
    <w:p>
      <w:pPr>
        <w:numPr>
          <w:ilvl w:val="0"/>
          <w:numId w:val="23"/>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bookmarkStart w:id="99" w:name="_Toc315871033"/>
      <w:bookmarkEnd w:id="99"/>
      <w:bookmarkStart w:id="100" w:name="_Toc217446066"/>
      <w:bookmarkStart w:id="101" w:name="_Toc217446069"/>
      <w:r>
        <w:rPr>
          <w:rFonts w:hint="eastAsia" w:ascii="宋体" w:hAnsi="宋体"/>
          <w:color w:val="000000" w:themeColor="text1"/>
          <w:sz w:val="28"/>
          <w:szCs w:val="28"/>
          <w14:textFill>
            <w14:solidFill>
              <w14:schemeClr w14:val="tx1"/>
            </w14:solidFill>
          </w14:textFill>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numPr>
          <w:ilvl w:val="0"/>
          <w:numId w:val="23"/>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采购人不得向中标人提出任何不合理的要求，作为签订合同的条件，不得与中标人私下订立背离合同实质性内容的任何协议，所签订的合同不得对招标文件和中标人投标文件作实质性修改。</w:t>
      </w:r>
    </w:p>
    <w:p>
      <w:pPr>
        <w:numPr>
          <w:ilvl w:val="0"/>
          <w:numId w:val="23"/>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招标文件、投标文件、中标通知书等一切与本项目评标结果有关且经责任主体确认的资料均为合同的有效组成部分。</w:t>
      </w:r>
    </w:p>
    <w:p>
      <w:pPr>
        <w:numPr>
          <w:ilvl w:val="0"/>
          <w:numId w:val="23"/>
        </w:numPr>
        <w:tabs>
          <w:tab w:val="left" w:pos="1134"/>
        </w:tabs>
        <w:spacing w:after="200"/>
        <w:ind w:left="0"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询问或者质疑事项可能影响中标、成交结果的，采购人应当暂停签订合同，已经签订合同的，应当中止履行合同。</w:t>
      </w:r>
    </w:p>
    <w:p>
      <w:pPr>
        <w:pStyle w:val="6"/>
        <w:numPr>
          <w:ilvl w:val="2"/>
          <w:numId w:val="3"/>
        </w:numPr>
        <w:ind w:left="0" w:firstLine="0"/>
        <w:rPr>
          <w:color w:val="auto"/>
        </w:rPr>
      </w:pPr>
      <w:r>
        <w:rPr>
          <w:rFonts w:hint="eastAsia"/>
          <w:color w:val="auto"/>
        </w:rPr>
        <w:t>合同分包</w:t>
      </w:r>
      <w:bookmarkEnd w:id="100"/>
      <w:r>
        <w:rPr>
          <w:rFonts w:hint="eastAsia"/>
          <w:color w:val="auto"/>
        </w:rPr>
        <w:t>和转包</w:t>
      </w:r>
    </w:p>
    <w:p>
      <w:pPr>
        <w:pStyle w:val="6"/>
        <w:numPr>
          <w:ilvl w:val="3"/>
          <w:numId w:val="3"/>
        </w:numPr>
        <w:ind w:left="1134" w:hanging="1134"/>
        <w:rPr>
          <w:color w:val="auto"/>
        </w:rPr>
      </w:pPr>
      <w:bookmarkStart w:id="102" w:name="_Toc217446067"/>
      <w:r>
        <w:rPr>
          <w:rFonts w:hint="eastAsia"/>
          <w:color w:val="auto"/>
        </w:rPr>
        <w:t>合同分包</w:t>
      </w:r>
    </w:p>
    <w:p>
      <w:pPr>
        <w:pStyle w:val="22"/>
        <w:spacing w:line="360" w:lineRule="auto"/>
        <w:ind w:firstLine="562" w:firstLineChars="200"/>
        <w:rPr>
          <w:rFonts w:cs="Times New Roman"/>
          <w:b/>
          <w:bCs/>
          <w:color w:val="000000" w:themeColor="text1"/>
          <w:sz w:val="28"/>
          <w:szCs w:val="28"/>
          <w:lang w:val="zh-CN"/>
          <w14:textFill>
            <w14:solidFill>
              <w14:schemeClr w14:val="tx1"/>
            </w14:solidFill>
          </w14:textFill>
        </w:rPr>
      </w:pPr>
      <w:r>
        <w:rPr>
          <w:rFonts w:hint="eastAsia" w:cs="Times New Roman"/>
          <w:b/>
          <w:bCs/>
          <w:color w:val="000000" w:themeColor="text1"/>
          <w:sz w:val="28"/>
          <w:szCs w:val="28"/>
          <w:lang w:val="zh-CN"/>
          <w14:textFill>
            <w14:solidFill>
              <w14:schemeClr w14:val="tx1"/>
            </w14:solidFill>
          </w14:textFill>
        </w:rPr>
        <w:t>本</w:t>
      </w:r>
      <w:r>
        <w:rPr>
          <w:rFonts w:cs="Times New Roman"/>
          <w:b/>
          <w:bCs/>
          <w:color w:val="000000" w:themeColor="text1"/>
          <w:sz w:val="28"/>
          <w:szCs w:val="28"/>
          <w:lang w:val="zh-CN"/>
          <w14:textFill>
            <w14:solidFill>
              <w14:schemeClr w14:val="tx1"/>
            </w14:solidFill>
          </w14:textFill>
        </w:rPr>
        <w:t>项目不允许分包</w:t>
      </w:r>
      <w:r>
        <w:rPr>
          <w:rFonts w:hint="eastAsia" w:cs="Times New Roman"/>
          <w:b/>
          <w:bCs/>
          <w:color w:val="000000" w:themeColor="text1"/>
          <w:sz w:val="28"/>
          <w:szCs w:val="28"/>
          <w:lang w:val="zh-CN"/>
          <w14:textFill>
            <w14:solidFill>
              <w14:schemeClr w14:val="tx1"/>
            </w14:solidFill>
          </w14:textFill>
        </w:rPr>
        <w:t xml:space="preserve"> 。</w:t>
      </w:r>
    </w:p>
    <w:p>
      <w:pPr>
        <w:pStyle w:val="6"/>
        <w:numPr>
          <w:ilvl w:val="3"/>
          <w:numId w:val="3"/>
        </w:numPr>
        <w:ind w:left="1134" w:hanging="1134"/>
        <w:rPr>
          <w:color w:val="auto"/>
        </w:rPr>
      </w:pPr>
      <w:r>
        <w:rPr>
          <w:rFonts w:hint="eastAsia"/>
          <w:color w:val="auto"/>
        </w:rPr>
        <w:t>合同转包</w:t>
      </w:r>
    </w:p>
    <w:p>
      <w:pPr>
        <w:ind w:firstLine="560" w:firstLineChars="200"/>
        <w:rPr>
          <w:rFonts w:ascii="宋体" w:hAnsi="宋体" w:cs="宋体"/>
          <w:color w:val="auto"/>
          <w:sz w:val="28"/>
          <w:szCs w:val="28"/>
        </w:rPr>
      </w:pPr>
      <w:r>
        <w:rPr>
          <w:rFonts w:hint="eastAsia" w:ascii="宋体" w:hAnsi="宋体"/>
          <w:color w:val="auto"/>
          <w:sz w:val="28"/>
          <w:szCs w:val="28"/>
        </w:rPr>
        <w:t>一、严禁中标供应商将本项目转包。本项目所称转包，是指</w:t>
      </w:r>
      <w:r>
        <w:rPr>
          <w:rFonts w:hint="eastAsia" w:ascii="宋体" w:hAnsi="宋体" w:cs="宋体"/>
          <w:color w:val="auto"/>
          <w:sz w:val="28"/>
          <w:szCs w:val="28"/>
        </w:rPr>
        <w:t xml:space="preserve">将本项目转给他人或者将本项目全部肢解以后以分包的名义分别转给他人的行为。 </w:t>
      </w:r>
    </w:p>
    <w:p>
      <w:pPr>
        <w:spacing w:line="360" w:lineRule="auto"/>
        <w:ind w:firstLine="495"/>
        <w:rPr>
          <w:rFonts w:ascii="宋体" w:hAnsi="宋体"/>
          <w:color w:val="auto"/>
          <w:sz w:val="28"/>
          <w:szCs w:val="28"/>
        </w:rPr>
      </w:pPr>
      <w:r>
        <w:rPr>
          <w:rFonts w:hint="eastAsia" w:ascii="宋体" w:hAnsi="宋体"/>
          <w:color w:val="auto"/>
          <w:sz w:val="28"/>
          <w:szCs w:val="28"/>
        </w:rPr>
        <w:t>二、中标供应商转包的，视同拒绝履行政府采购合同，将依法追究法律责任。</w:t>
      </w:r>
    </w:p>
    <w:p>
      <w:pPr>
        <w:pStyle w:val="6"/>
        <w:numPr>
          <w:ilvl w:val="2"/>
          <w:numId w:val="3"/>
        </w:numPr>
        <w:ind w:left="0" w:firstLine="0"/>
        <w:rPr>
          <w:color w:val="auto"/>
        </w:rPr>
      </w:pPr>
      <w:r>
        <w:rPr>
          <w:rFonts w:hint="eastAsia"/>
          <w:color w:val="auto"/>
        </w:rPr>
        <w:t>采购人增加合同标的的权</w:t>
      </w:r>
      <w:bookmarkEnd w:id="102"/>
      <w:r>
        <w:rPr>
          <w:rFonts w:hint="eastAsia"/>
          <w:color w:val="auto"/>
        </w:rPr>
        <w:t>利</w:t>
      </w:r>
    </w:p>
    <w:p>
      <w:pPr>
        <w:ind w:firstLine="560" w:firstLineChars="200"/>
        <w:rPr>
          <w:rFonts w:ascii="宋体" w:hAnsi="宋体"/>
          <w:color w:val="000000" w:themeColor="text1"/>
          <w:sz w:val="28"/>
          <w:szCs w:val="28"/>
          <w14:textFill>
            <w14:solidFill>
              <w14:schemeClr w14:val="tx1"/>
            </w14:solidFill>
          </w14:textFill>
        </w:rPr>
      </w:pPr>
      <w:bookmarkStart w:id="103" w:name="_Toc217446068"/>
      <w:r>
        <w:rPr>
          <w:rFonts w:hint="eastAsia" w:ascii="宋体" w:hAnsi="宋体"/>
          <w:color w:val="000000" w:themeColor="text1"/>
          <w:sz w:val="28"/>
          <w:szCs w:val="28"/>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pStyle w:val="6"/>
        <w:numPr>
          <w:ilvl w:val="2"/>
          <w:numId w:val="3"/>
        </w:numPr>
        <w:ind w:left="0" w:firstLine="0"/>
        <w:rPr>
          <w:color w:val="auto"/>
        </w:rPr>
      </w:pPr>
      <w:r>
        <w:rPr>
          <w:rFonts w:hint="eastAsia"/>
          <w:color w:val="auto"/>
        </w:rPr>
        <w:t>履约保证金</w:t>
      </w:r>
      <w:bookmarkEnd w:id="103"/>
    </w:p>
    <w:p>
      <w:pPr>
        <w:rPr>
          <w:rFonts w:hint="default" w:eastAsiaTheme="minorEastAsia"/>
          <w:b/>
          <w:bCs/>
          <w:color w:val="auto"/>
          <w:lang w:val="en-US" w:eastAsia="zh-CN"/>
        </w:rPr>
      </w:pPr>
      <w:r>
        <w:rPr>
          <w:rFonts w:hint="eastAsia"/>
          <w:color w:val="auto"/>
          <w:lang w:val="en-US" w:eastAsia="zh-CN"/>
        </w:rPr>
        <w:t xml:space="preserve">    </w:t>
      </w:r>
      <w:r>
        <w:rPr>
          <w:rFonts w:hint="eastAsia"/>
          <w:b/>
          <w:bCs/>
          <w:color w:val="auto"/>
          <w:lang w:val="en-US" w:eastAsia="zh-CN"/>
        </w:rPr>
        <w:t xml:space="preserve"> 本项目不收取履约保证金。</w:t>
      </w:r>
    </w:p>
    <w:p>
      <w:pPr>
        <w:pStyle w:val="6"/>
        <w:numPr>
          <w:ilvl w:val="2"/>
          <w:numId w:val="3"/>
        </w:numPr>
        <w:ind w:left="0" w:firstLine="0"/>
        <w:rPr>
          <w:color w:val="auto"/>
        </w:rPr>
      </w:pPr>
      <w:r>
        <w:rPr>
          <w:rFonts w:hint="eastAsia"/>
          <w:color w:val="auto"/>
        </w:rPr>
        <w:t>合同公告</w:t>
      </w:r>
    </w:p>
    <w:p>
      <w:pPr>
        <w:pStyle w:val="8"/>
        <w:spacing w:line="24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采购人应当自政府采购合同签订之日起2个工作日内，在四川政府采购网公告，但政府采购合同中涉及国家秘密、商业秘密的内容除外。</w:t>
      </w:r>
    </w:p>
    <w:p>
      <w:pPr>
        <w:pStyle w:val="6"/>
        <w:numPr>
          <w:ilvl w:val="2"/>
          <w:numId w:val="3"/>
        </w:numPr>
        <w:ind w:left="0" w:firstLine="0"/>
        <w:rPr>
          <w:color w:val="auto"/>
        </w:rPr>
      </w:pPr>
      <w:r>
        <w:rPr>
          <w:rFonts w:hint="eastAsia"/>
          <w:color w:val="auto"/>
        </w:rPr>
        <w:t>合同备案</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疫情防控期间，采购人原则上在5个工作日内与供应商签订政府采购合同及按</w:t>
      </w:r>
      <w:r>
        <w:rPr>
          <w:rFonts w:hint="eastAsia" w:ascii="宋体" w:hAnsi="宋体"/>
          <w:color w:val="000000" w:themeColor="text1"/>
          <w:sz w:val="28"/>
          <w:szCs w:val="28"/>
          <w:lang w:eastAsia="zh-CN"/>
          <w14:textFill>
            <w14:solidFill>
              <w14:schemeClr w14:val="tx1"/>
            </w14:solidFill>
          </w14:textFill>
        </w:rPr>
        <w:t>崇州</w:t>
      </w:r>
      <w:r>
        <w:rPr>
          <w:rFonts w:hint="eastAsia" w:ascii="宋体" w:hAnsi="宋体"/>
          <w:color w:val="000000" w:themeColor="text1"/>
          <w:sz w:val="28"/>
          <w:szCs w:val="28"/>
          <w14:textFill>
            <w14:solidFill>
              <w14:schemeClr w14:val="tx1"/>
            </w14:solidFill>
          </w14:textFill>
        </w:rPr>
        <w:t>市财政局的要求完成合同备案工作。</w:t>
      </w:r>
    </w:p>
    <w:p>
      <w:pPr>
        <w:pStyle w:val="6"/>
        <w:numPr>
          <w:ilvl w:val="2"/>
          <w:numId w:val="3"/>
        </w:numPr>
        <w:ind w:left="0" w:firstLine="0"/>
        <w:rPr>
          <w:color w:val="auto"/>
        </w:rPr>
      </w:pPr>
      <w:r>
        <w:rPr>
          <w:rFonts w:hint="eastAsia"/>
          <w:color w:val="auto"/>
        </w:rPr>
        <w:t>履行合同</w:t>
      </w:r>
      <w:bookmarkEnd w:id="101"/>
    </w:p>
    <w:p>
      <w:pPr>
        <w:widowControl w:val="0"/>
        <w:numPr>
          <w:ilvl w:val="0"/>
          <w:numId w:val="24"/>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合同一经签订，双方应严格履行合同规定的义务。</w:t>
      </w:r>
    </w:p>
    <w:p>
      <w:pPr>
        <w:widowControl w:val="0"/>
        <w:numPr>
          <w:ilvl w:val="0"/>
          <w:numId w:val="24"/>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在合同履行过程中，如发生合同纠纷，合同双方应按照《合同法》及合同条款的有关规定进行处理。</w:t>
      </w:r>
    </w:p>
    <w:p>
      <w:pPr>
        <w:pStyle w:val="6"/>
        <w:numPr>
          <w:ilvl w:val="2"/>
          <w:numId w:val="3"/>
        </w:numPr>
        <w:ind w:left="0" w:firstLine="0"/>
        <w:rPr>
          <w:color w:val="auto"/>
        </w:rPr>
      </w:pPr>
      <w:bookmarkStart w:id="104" w:name="_Toc217446070"/>
      <w:r>
        <w:rPr>
          <w:rFonts w:hint="eastAsia"/>
          <w:color w:val="auto"/>
        </w:rPr>
        <w:t>验收</w:t>
      </w:r>
      <w:r>
        <w:rPr>
          <w:rFonts w:hint="eastAsia"/>
          <w:color w:val="auto"/>
          <w:lang w:eastAsia="zh-CN"/>
        </w:rPr>
        <w:t>或考核</w:t>
      </w:r>
    </w:p>
    <w:p>
      <w:pPr>
        <w:pStyle w:val="8"/>
        <w:spacing w:after="0" w:line="240" w:lineRule="auto"/>
        <w:ind w:firstLine="560" w:firstLineChars="200"/>
        <w:rPr>
          <w:rFonts w:ascii="宋体" w:hAnsi="宋体"/>
          <w:b/>
          <w:color w:val="000000" w:themeColor="text1"/>
          <w14:textFill>
            <w14:solidFill>
              <w14:schemeClr w14:val="tx1"/>
            </w14:solidFill>
          </w14:textFill>
        </w:rPr>
      </w:pPr>
      <w:bookmarkStart w:id="105" w:name="_Toc217446071"/>
      <w:r>
        <w:rPr>
          <w:rFonts w:hint="eastAsia" w:ascii="宋体" w:hAnsi="宋体"/>
          <w:color w:val="000000" w:themeColor="text1"/>
          <w:sz w:val="28"/>
          <w:szCs w:val="28"/>
          <w14:textFill>
            <w14:solidFill>
              <w14:schemeClr w14:val="tx1"/>
            </w14:solidFill>
          </w14:textFill>
        </w:rPr>
        <w:t>采购人严格按照国家相关法律法规的要求组织验收或考核。</w:t>
      </w:r>
      <w:bookmarkEnd w:id="105"/>
    </w:p>
    <w:p>
      <w:pPr>
        <w:pStyle w:val="6"/>
        <w:numPr>
          <w:ilvl w:val="2"/>
          <w:numId w:val="3"/>
        </w:numPr>
        <w:ind w:left="0" w:firstLine="0"/>
        <w:rPr>
          <w:color w:val="auto"/>
        </w:rPr>
      </w:pPr>
      <w:r>
        <w:rPr>
          <w:rFonts w:hint="eastAsia"/>
          <w:color w:val="auto"/>
        </w:rPr>
        <w:t>资金支付</w:t>
      </w:r>
    </w:p>
    <w:p>
      <w:pPr>
        <w:pStyle w:val="13"/>
        <w:shd w:val="clear" w:color="auto" w:fill="FFFFFF"/>
        <w:spacing w:before="0" w:beforeAutospacing="0" w:after="0" w:afterAutospacing="0" w:line="360" w:lineRule="atLeast"/>
        <w:ind w:firstLine="570"/>
        <w:rPr>
          <w:rFonts w:cs="Helvetica"/>
          <w:color w:val="auto"/>
          <w:sz w:val="28"/>
          <w:szCs w:val="28"/>
        </w:rPr>
      </w:pPr>
      <w:r>
        <w:rPr>
          <w:rFonts w:hint="eastAsia" w:cs="Helvetica"/>
          <w:color w:val="auto"/>
          <w:sz w:val="28"/>
          <w:szCs w:val="28"/>
        </w:rPr>
        <w:t>采购人按财政部门的相关规定及采购合同的约定进行支付。</w:t>
      </w:r>
    </w:p>
    <w:bookmarkEnd w:id="95"/>
    <w:bookmarkEnd w:id="96"/>
    <w:bookmarkEnd w:id="104"/>
    <w:p>
      <w:pPr>
        <w:pStyle w:val="5"/>
        <w:numPr>
          <w:ilvl w:val="1"/>
          <w:numId w:val="3"/>
        </w:numPr>
        <w:spacing w:before="0" w:after="0"/>
        <w:rPr>
          <w:color w:val="auto"/>
        </w:rPr>
      </w:pPr>
      <w:bookmarkStart w:id="106" w:name="_Toc217446074"/>
      <w:bookmarkStart w:id="107" w:name="_Toc755"/>
      <w:bookmarkStart w:id="108" w:name="_Toc183582243"/>
      <w:bookmarkStart w:id="109" w:name="_Toc183682380"/>
      <w:r>
        <w:rPr>
          <w:rFonts w:hint="eastAsia"/>
          <w:color w:val="auto"/>
        </w:rPr>
        <w:t>投标纪律要求</w:t>
      </w:r>
      <w:bookmarkEnd w:id="106"/>
      <w:bookmarkEnd w:id="107"/>
    </w:p>
    <w:p>
      <w:pPr>
        <w:pStyle w:val="6"/>
        <w:numPr>
          <w:ilvl w:val="2"/>
          <w:numId w:val="3"/>
        </w:numPr>
        <w:ind w:left="0" w:firstLine="0"/>
        <w:rPr>
          <w:color w:val="auto"/>
        </w:rPr>
      </w:pPr>
      <w:bookmarkStart w:id="110" w:name="_Toc217446075"/>
      <w:r>
        <w:rPr>
          <w:rFonts w:hint="eastAsia"/>
          <w:color w:val="auto"/>
        </w:rPr>
        <w:t>投标人不得具有的情形</w:t>
      </w:r>
      <w:bookmarkEnd w:id="110"/>
    </w:p>
    <w:p>
      <w:pPr>
        <w:pStyle w:val="8"/>
        <w:spacing w:line="360" w:lineRule="auto"/>
        <w:ind w:firstLine="567"/>
        <w:rPr>
          <w:rFonts w:ascii="宋体" w:hAnsi="宋体"/>
          <w:color w:val="auto"/>
          <w:sz w:val="28"/>
          <w:szCs w:val="28"/>
        </w:rPr>
      </w:pPr>
      <w:bookmarkStart w:id="111" w:name="_Toc314574786"/>
      <w:r>
        <w:rPr>
          <w:rFonts w:hint="eastAsia" w:ascii="宋体" w:hAnsi="宋体"/>
          <w:color w:val="auto"/>
          <w:sz w:val="28"/>
          <w:szCs w:val="28"/>
        </w:rPr>
        <w:t>投标人参加投标不得有下列情形：</w:t>
      </w:r>
    </w:p>
    <w:p>
      <w:pPr>
        <w:widowControl w:val="0"/>
        <w:numPr>
          <w:ilvl w:val="1"/>
          <w:numId w:val="25"/>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有下列情形之一的，视为投标人串通投标：</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（一）不同投标人的投标文件由同一单位或者个人编制；</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（二）不同投标人委托同一单位或者个人办理投标事宜；</w:t>
      </w:r>
    </w:p>
    <w:p>
      <w:pPr>
        <w:tabs>
          <w:tab w:val="left" w:pos="1134"/>
        </w:tabs>
        <w:spacing w:line="360" w:lineRule="auto"/>
        <w:ind w:firstLine="425" w:firstLineChars="152"/>
        <w:rPr>
          <w:rFonts w:ascii="宋体" w:hAnsi="宋体"/>
          <w:color w:val="auto"/>
          <w:sz w:val="28"/>
          <w:szCs w:val="28"/>
        </w:rPr>
      </w:pPr>
      <w:r>
        <w:rPr>
          <w:rFonts w:hint="eastAsia" w:ascii="宋体" w:hAnsi="宋体"/>
          <w:color w:val="auto"/>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（四）不同投标人的投标文件异常一致或者投标报价呈规律性差异；</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（五）不同投标人的投标文件相互混装；</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（六）不同投标人的投标保证金从同一单位或者个人的账户转出；</w:t>
      </w:r>
    </w:p>
    <w:p>
      <w:pPr>
        <w:widowControl w:val="0"/>
        <w:numPr>
          <w:ilvl w:val="1"/>
          <w:numId w:val="25"/>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提供虚假材料谋取中标；</w:t>
      </w:r>
    </w:p>
    <w:p>
      <w:pPr>
        <w:widowControl w:val="0"/>
        <w:numPr>
          <w:ilvl w:val="1"/>
          <w:numId w:val="25"/>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采取不正当手段诋毁、排挤其他投标人；</w:t>
      </w:r>
    </w:p>
    <w:p>
      <w:pPr>
        <w:widowControl w:val="0"/>
        <w:numPr>
          <w:ilvl w:val="1"/>
          <w:numId w:val="25"/>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与采购人或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、其他投标人恶意串通；</w:t>
      </w:r>
    </w:p>
    <w:p>
      <w:pPr>
        <w:widowControl w:val="0"/>
        <w:numPr>
          <w:ilvl w:val="1"/>
          <w:numId w:val="25"/>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向采购人或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、评标委员会成员行贿或者提供其他不正当利益；</w:t>
      </w:r>
    </w:p>
    <w:p>
      <w:pPr>
        <w:widowControl w:val="0"/>
        <w:numPr>
          <w:ilvl w:val="1"/>
          <w:numId w:val="25"/>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在招标过程中与采购人或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进行协商谈判；</w:t>
      </w:r>
    </w:p>
    <w:p>
      <w:pPr>
        <w:widowControl w:val="0"/>
        <w:numPr>
          <w:ilvl w:val="1"/>
          <w:numId w:val="25"/>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中标后无正当理由拒不与采购人签订政府采购合同；</w:t>
      </w:r>
    </w:p>
    <w:p>
      <w:pPr>
        <w:widowControl w:val="0"/>
        <w:numPr>
          <w:ilvl w:val="1"/>
          <w:numId w:val="25"/>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未按照采购文件确定的事项签订政府采购合同；</w:t>
      </w:r>
    </w:p>
    <w:p>
      <w:pPr>
        <w:widowControl w:val="0"/>
        <w:numPr>
          <w:ilvl w:val="1"/>
          <w:numId w:val="25"/>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将政府采购合同转包或者违规分包；</w:t>
      </w:r>
    </w:p>
    <w:p>
      <w:pPr>
        <w:widowControl w:val="0"/>
        <w:numPr>
          <w:ilvl w:val="1"/>
          <w:numId w:val="25"/>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提供假冒伪劣产品；</w:t>
      </w:r>
    </w:p>
    <w:p>
      <w:pPr>
        <w:widowControl w:val="0"/>
        <w:numPr>
          <w:ilvl w:val="1"/>
          <w:numId w:val="25"/>
        </w:numPr>
        <w:tabs>
          <w:tab w:val="left" w:pos="1134"/>
          <w:tab w:val="left" w:pos="1418"/>
        </w:tabs>
        <w:spacing w:line="360" w:lineRule="auto"/>
        <w:ind w:left="0" w:firstLine="567"/>
        <w:jc w:val="both"/>
        <w:rPr>
          <w:rFonts w:ascii="宋体" w:hAnsi="宋体"/>
          <w:color w:val="auto"/>
          <w:sz w:val="28"/>
          <w:szCs w:val="28"/>
        </w:rPr>
      </w:pPr>
      <w:r>
        <w:rPr>
          <w:rFonts w:hint="eastAsia" w:ascii="宋体" w:hAnsi="宋体"/>
          <w:color w:val="auto"/>
          <w:sz w:val="28"/>
          <w:szCs w:val="28"/>
        </w:rPr>
        <w:t>擅自变更、中止或者终止政府采购合同；</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二、被列入失信被执行人、重大税收违法案件当事人名单、政府采购严重违法失信行为记录名单（如投标人在参加政府采购活动前被禁止在一定期限内参加政府采购活动，期限届满的，可以参加政府采购活动），参加政府采购活动前三年内，在经营活动中有重大违法记录（如投标人在参加政府采购活动前3年内因违法经营被禁止在一定期限内参加政府采购活动，期限届满的，可以参加政府采购活动）；</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hint="eastAsia" w:ascii="宋体" w:hAnsi="宋体"/>
          <w:color w:val="auto"/>
          <w:sz w:val="28"/>
          <w:szCs w:val="28"/>
        </w:rPr>
      </w:pPr>
      <w:r>
        <w:rPr>
          <w:rFonts w:hint="eastAsia" w:ascii="宋体" w:hAnsi="宋体"/>
          <w:color w:val="auto"/>
          <w:sz w:val="28"/>
          <w:szCs w:val="28"/>
        </w:rPr>
        <w:t>十四、处于被行政部门禁止参与政府采购活动的期限内；</w:t>
      </w:r>
    </w:p>
    <w:p>
      <w:pPr>
        <w:tabs>
          <w:tab w:val="left" w:pos="1134"/>
        </w:tabs>
        <w:spacing w:line="360" w:lineRule="auto"/>
        <w:ind w:firstLine="565" w:firstLineChars="202"/>
        <w:rPr>
          <w:rFonts w:ascii="宋体" w:hAnsi="宋体"/>
          <w:color w:val="auto"/>
          <w:sz w:val="28"/>
          <w:szCs w:val="28"/>
        </w:rPr>
      </w:pPr>
      <w:r>
        <w:rPr>
          <w:rFonts w:hint="eastAsia" w:ascii="宋体" w:hAnsi="宋体"/>
          <w:color w:val="auto"/>
          <w:sz w:val="28"/>
          <w:szCs w:val="28"/>
        </w:rPr>
        <w:t>十五、拒绝有关部门的监督检查或者向监督检查部门提供虚假情况；</w:t>
      </w:r>
    </w:p>
    <w:p>
      <w:pPr>
        <w:pStyle w:val="8"/>
        <w:spacing w:line="360" w:lineRule="auto"/>
        <w:ind w:firstLine="565" w:firstLineChars="202"/>
        <w:rPr>
          <w:rFonts w:ascii="宋体" w:hAnsi="宋体"/>
          <w:color w:val="auto"/>
          <w:sz w:val="28"/>
          <w:szCs w:val="28"/>
        </w:rPr>
      </w:pPr>
      <w:r>
        <w:rPr>
          <w:rFonts w:hint="eastAsia" w:ascii="宋体" w:hAnsi="宋体"/>
          <w:color w:val="auto"/>
          <w:sz w:val="28"/>
          <w:szCs w:val="28"/>
        </w:rPr>
        <w:t>十六、法律法规规定的其他情形。</w:t>
      </w:r>
    </w:p>
    <w:p>
      <w:pPr>
        <w:tabs>
          <w:tab w:val="left" w:pos="1134"/>
        </w:tabs>
        <w:spacing w:line="360" w:lineRule="auto"/>
        <w:ind w:firstLine="568" w:firstLineChars="202"/>
        <w:rPr>
          <w:rFonts w:ascii="宋体" w:hAnsi="宋体"/>
          <w:b/>
          <w:color w:val="auto"/>
          <w:sz w:val="28"/>
          <w:szCs w:val="28"/>
        </w:rPr>
      </w:pPr>
      <w:r>
        <w:rPr>
          <w:rFonts w:hint="eastAsia" w:ascii="宋体" w:hAnsi="宋体"/>
          <w:b/>
          <w:color w:val="auto"/>
          <w:sz w:val="28"/>
          <w:szCs w:val="28"/>
        </w:rPr>
        <w:t>投标人有上述情形的，按照规定追究法律责任，具备一至十四条情形之一的，同时将认定投标人投标无效或不确定其为中标人，或者取消中标资格或认定中标无效。</w:t>
      </w:r>
    </w:p>
    <w:p>
      <w:pPr>
        <w:pStyle w:val="6"/>
        <w:numPr>
          <w:ilvl w:val="2"/>
          <w:numId w:val="3"/>
        </w:numPr>
        <w:ind w:left="0" w:firstLine="0"/>
        <w:rPr>
          <w:color w:val="auto"/>
        </w:rPr>
      </w:pPr>
      <w:r>
        <w:rPr>
          <w:rFonts w:hint="eastAsia"/>
          <w:color w:val="auto"/>
        </w:rPr>
        <w:t>保密</w:t>
      </w:r>
      <w:bookmarkEnd w:id="111"/>
    </w:p>
    <w:p>
      <w:pPr>
        <w:pStyle w:val="8"/>
        <w:numPr>
          <w:ilvl w:val="0"/>
          <w:numId w:val="26"/>
        </w:numPr>
        <w:tabs>
          <w:tab w:val="left" w:pos="1134"/>
        </w:tabs>
        <w:spacing w:after="0" w:line="360" w:lineRule="auto"/>
        <w:ind w:left="0" w:firstLine="567"/>
        <w:rPr>
          <w:rFonts w:ascii="宋体" w:hAnsi="宋体"/>
          <w:color w:val="auto"/>
          <w:sz w:val="28"/>
          <w:szCs w:val="28"/>
        </w:rPr>
      </w:pPr>
      <w:r>
        <w:rPr>
          <w:rFonts w:hint="eastAsia" w:ascii="宋体" w:hAnsi="宋体"/>
          <w:color w:val="auto"/>
          <w:sz w:val="28"/>
          <w:szCs w:val="28"/>
        </w:rPr>
        <w:t>不得透露有关在系统中成功提交《采购文件获取登记表》的潜在投标人的任何情况。</w:t>
      </w:r>
    </w:p>
    <w:p>
      <w:pPr>
        <w:pStyle w:val="8"/>
        <w:numPr>
          <w:ilvl w:val="0"/>
          <w:numId w:val="26"/>
        </w:numPr>
        <w:tabs>
          <w:tab w:val="left" w:pos="1134"/>
        </w:tabs>
        <w:spacing w:after="0" w:line="360" w:lineRule="auto"/>
        <w:ind w:left="0" w:firstLine="567"/>
        <w:rPr>
          <w:rFonts w:ascii="宋体" w:hAnsi="宋体"/>
          <w:color w:val="auto"/>
          <w:sz w:val="28"/>
          <w:szCs w:val="28"/>
        </w:rPr>
      </w:pPr>
      <w:r>
        <w:rPr>
          <w:rFonts w:hint="eastAsia" w:ascii="宋体" w:hAnsi="宋体"/>
          <w:color w:val="auto"/>
          <w:sz w:val="28"/>
          <w:szCs w:val="28"/>
        </w:rPr>
        <w:t>有关投标文件的审查、澄清、评估和比较以及合同授予意向等情况都不得对外透露。</w:t>
      </w:r>
    </w:p>
    <w:p>
      <w:pPr>
        <w:pStyle w:val="6"/>
        <w:numPr>
          <w:ilvl w:val="2"/>
          <w:numId w:val="3"/>
        </w:numPr>
        <w:ind w:left="0" w:firstLine="0"/>
        <w:rPr>
          <w:color w:val="auto"/>
        </w:rPr>
      </w:pPr>
      <w:r>
        <w:rPr>
          <w:rFonts w:hint="eastAsia"/>
          <w:color w:val="auto"/>
        </w:rPr>
        <w:t>回避</w:t>
      </w:r>
    </w:p>
    <w:p>
      <w:pPr>
        <w:pStyle w:val="13"/>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在政府采购活动中，采购人员（</w:t>
      </w:r>
      <w:r>
        <w:rPr>
          <w:rFonts w:hint="eastAsia"/>
          <w:color w:val="auto"/>
          <w:sz w:val="28"/>
          <w:szCs w:val="28"/>
        </w:rPr>
        <w:t>在政府采购活动中需要依法回避的采购人员包括采购人内部负责采购项目的具体经办工作人员和直接分管采购项目的负责人，以及</w:t>
      </w:r>
      <w:r>
        <w:rPr>
          <w:rFonts w:hint="eastAsia"/>
          <w:color w:val="auto"/>
          <w:sz w:val="28"/>
          <w:szCs w:val="28"/>
          <w:lang w:eastAsia="zh-CN"/>
        </w:rPr>
        <w:t>崇</w:t>
      </w:r>
      <w:r>
        <w:rPr>
          <w:rFonts w:hint="eastAsia" w:cs="Arial"/>
          <w:color w:val="auto"/>
          <w:sz w:val="28"/>
          <w:szCs w:val="28"/>
        </w:rPr>
        <w:t>公资交易中心</w:t>
      </w:r>
      <w:r>
        <w:rPr>
          <w:rFonts w:hint="eastAsia"/>
          <w:color w:val="auto"/>
          <w:sz w:val="28"/>
          <w:szCs w:val="28"/>
        </w:rPr>
        <w:t>负责采购项目的具体经办工作人员和直接分管采购活动的负责人</w:t>
      </w:r>
      <w:r>
        <w:rPr>
          <w:rFonts w:hint="eastAsia" w:cs="Helvetica"/>
          <w:color w:val="auto"/>
          <w:sz w:val="28"/>
          <w:szCs w:val="28"/>
        </w:rPr>
        <w:t>）及相关人员与供应商有下列利害关系之一的，应当回避：</w:t>
      </w:r>
    </w:p>
    <w:p>
      <w:pPr>
        <w:pStyle w:val="13"/>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（一）参加采购活动前3年内与供应商存在劳动关系；</w:t>
      </w:r>
    </w:p>
    <w:p>
      <w:pPr>
        <w:pStyle w:val="13"/>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（二）参加采购活动前3年内担任供应商的董事、监事；</w:t>
      </w:r>
    </w:p>
    <w:p>
      <w:pPr>
        <w:pStyle w:val="13"/>
        <w:shd w:val="clear" w:color="auto" w:fill="FFFFFF"/>
        <w:spacing w:before="0" w:beforeAutospacing="0" w:after="0" w:afterAutospacing="0"/>
        <w:ind w:firstLine="562" w:firstLineChars="201"/>
        <w:rPr>
          <w:rFonts w:cs="Helvetica"/>
          <w:color w:val="auto"/>
          <w:sz w:val="28"/>
          <w:szCs w:val="28"/>
        </w:rPr>
      </w:pPr>
      <w:r>
        <w:rPr>
          <w:rFonts w:hint="eastAsia" w:cs="Helvetica"/>
          <w:color w:val="auto"/>
          <w:sz w:val="28"/>
          <w:szCs w:val="28"/>
        </w:rPr>
        <w:t>（三）参加采购活动前3年内是供应商的控股股东或者实际控制人；</w:t>
      </w:r>
    </w:p>
    <w:p>
      <w:pPr>
        <w:pStyle w:val="13"/>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（四）与供应商的法定代表人或者负责人有夫妻、直系血亲、三代以内旁系血亲或者近姻亲关系；</w:t>
      </w:r>
    </w:p>
    <w:p>
      <w:pPr>
        <w:pStyle w:val="13"/>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（五）与供应商有其他可能影响政府采购活动公平、公正进行的关系。</w:t>
      </w:r>
    </w:p>
    <w:p>
      <w:pPr>
        <w:pStyle w:val="13"/>
        <w:shd w:val="clear" w:color="auto" w:fill="FFFFFF"/>
        <w:spacing w:before="0" w:beforeAutospacing="0" w:after="0" w:afterAutospacing="0"/>
        <w:ind w:firstLine="560" w:firstLineChars="200"/>
        <w:rPr>
          <w:color w:val="auto"/>
          <w:sz w:val="28"/>
          <w:szCs w:val="28"/>
        </w:rPr>
      </w:pPr>
      <w:r>
        <w:rPr>
          <w:rFonts w:hint="eastAsia" w:cs="Helvetica"/>
          <w:color w:val="auto"/>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bookmarkEnd w:id="108"/>
    <w:bookmarkEnd w:id="109"/>
    <w:p>
      <w:pPr>
        <w:pStyle w:val="5"/>
        <w:numPr>
          <w:ilvl w:val="1"/>
          <w:numId w:val="3"/>
        </w:numPr>
        <w:spacing w:before="0" w:after="0"/>
        <w:ind w:left="993" w:hanging="993"/>
        <w:rPr>
          <w:color w:val="auto"/>
        </w:rPr>
      </w:pPr>
      <w:bookmarkStart w:id="112" w:name="_Toc446402234"/>
      <w:bookmarkStart w:id="113" w:name="_Toc217446078"/>
      <w:bookmarkStart w:id="114" w:name="_Toc861"/>
      <w:bookmarkStart w:id="115" w:name="_Toc379536619"/>
      <w:bookmarkStart w:id="116" w:name="_Toc374971122"/>
      <w:r>
        <w:rPr>
          <w:rFonts w:hint="eastAsia"/>
          <w:color w:val="auto"/>
        </w:rPr>
        <w:t>询问、质疑和投诉</w:t>
      </w:r>
      <w:bookmarkEnd w:id="112"/>
      <w:bookmarkEnd w:id="113"/>
      <w:bookmarkEnd w:id="114"/>
      <w:bookmarkStart w:id="117" w:name="_Toc217446079"/>
    </w:p>
    <w:bookmarkEnd w:id="117"/>
    <w:p>
      <w:pPr>
        <w:numPr>
          <w:ilvl w:val="0"/>
          <w:numId w:val="27"/>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14:textFill>
            <w14:solidFill>
              <w14:schemeClr w14:val="tx1"/>
            </w14:solidFill>
          </w14:textFill>
        </w:rPr>
        <w:t>87</w:t>
      </w:r>
      <w:r>
        <w:rPr>
          <w:rFonts w:hint="eastAsia"/>
          <w:color w:val="000000" w:themeColor="text1"/>
          <w:sz w:val="28"/>
          <w:szCs w:val="28"/>
          <w14:textFill>
            <w14:solidFill>
              <w14:schemeClr w14:val="tx1"/>
            </w14:solidFill>
          </w14:textFill>
        </w:rPr>
        <w:t>号令）和《政府采购质疑和投诉办法》（财政部</w:t>
      </w:r>
      <w:r>
        <w:rPr>
          <w:color w:val="000000" w:themeColor="text1"/>
          <w:sz w:val="28"/>
          <w:szCs w:val="28"/>
          <w14:textFill>
            <w14:solidFill>
              <w14:schemeClr w14:val="tx1"/>
            </w14:solidFill>
          </w14:textFill>
        </w:rPr>
        <w:t>94</w:t>
      </w:r>
      <w:r>
        <w:rPr>
          <w:rFonts w:hint="eastAsia"/>
          <w:color w:val="000000" w:themeColor="text1"/>
          <w:sz w:val="28"/>
          <w:szCs w:val="28"/>
          <w14:textFill>
            <w14:solidFill>
              <w14:schemeClr w14:val="tx1"/>
            </w14:solidFill>
          </w14:textFill>
        </w:rPr>
        <w:t>号令）的规定办理。</w:t>
      </w:r>
    </w:p>
    <w:p>
      <w:pPr>
        <w:numPr>
          <w:ilvl w:val="0"/>
          <w:numId w:val="27"/>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询问、质疑的对象</w:t>
      </w:r>
    </w:p>
    <w:p>
      <w:pPr>
        <w:numPr>
          <w:ilvl w:val="1"/>
          <w:numId w:val="28"/>
        </w:numPr>
        <w:tabs>
          <w:tab w:val="left" w:pos="0"/>
          <w:tab w:val="left" w:pos="1276"/>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对招标文件中</w:t>
      </w: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向采购人提出；</w:t>
      </w:r>
    </w:p>
    <w:p>
      <w:pPr>
        <w:numPr>
          <w:ilvl w:val="1"/>
          <w:numId w:val="28"/>
        </w:numPr>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供应商对除上述招标文件中的其他内容，采购过程及中标结果（除资格审查）提出询问或质疑的，应通过“政府采购云平台”向</w:t>
      </w:r>
      <w:r>
        <w:rPr>
          <w:rFonts w:hint="eastAsia"/>
          <w:color w:val="000000" w:themeColor="text1"/>
          <w:sz w:val="28"/>
          <w:szCs w:val="28"/>
          <w:lang w:eastAsia="zh-CN"/>
          <w14:textFill>
            <w14:solidFill>
              <w14:schemeClr w14:val="tx1"/>
            </w14:solidFill>
          </w14:textFill>
        </w:rPr>
        <w:t>崇</w:t>
      </w:r>
      <w:r>
        <w:rPr>
          <w:rFonts w:hint="eastAsia"/>
          <w:color w:val="000000" w:themeColor="text1"/>
          <w:sz w:val="28"/>
          <w:szCs w:val="28"/>
          <w14:textFill>
            <w14:solidFill>
              <w14:schemeClr w14:val="tx1"/>
            </w14:solidFill>
          </w14:textFill>
        </w:rPr>
        <w:t>公资交易中心提出</w:t>
      </w:r>
      <w:r>
        <w:rPr>
          <w:rFonts w:hint="eastAsia" w:ascii="宋体" w:hAnsi="宋体"/>
          <w:color w:val="000000" w:themeColor="text1"/>
          <w:sz w:val="28"/>
          <w:szCs w:val="28"/>
          <w14:textFill>
            <w14:solidFill>
              <w14:schemeClr w14:val="tx1"/>
            </w14:solidFill>
          </w14:textFill>
        </w:rPr>
        <w:t>。</w:t>
      </w:r>
    </w:p>
    <w:p>
      <w:pPr>
        <w:numPr>
          <w:ilvl w:val="0"/>
          <w:numId w:val="27"/>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numPr>
          <w:ilvl w:val="0"/>
          <w:numId w:val="27"/>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numPr>
          <w:ilvl w:val="0"/>
          <w:numId w:val="27"/>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pStyle w:val="13"/>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（一）质疑书正本1份；</w:t>
      </w:r>
    </w:p>
    <w:p>
      <w:pPr>
        <w:pStyle w:val="13"/>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（二）法定代表人授权委托书1份（委托代理人办理质疑事宜的需提供）；</w:t>
      </w:r>
    </w:p>
    <w:p>
      <w:pPr>
        <w:pStyle w:val="13"/>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（三）营业执照或法人证书复印件1份（加盖公章）；</w:t>
      </w:r>
    </w:p>
    <w:p>
      <w:pPr>
        <w:pStyle w:val="13"/>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（四）法定代表人身份证复印件1份；</w:t>
      </w:r>
    </w:p>
    <w:p>
      <w:pPr>
        <w:pStyle w:val="13"/>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（五）委托代理人身份证复印件1份（委托代理人办理质疑事宜的需提供）；</w:t>
      </w:r>
    </w:p>
    <w:p>
      <w:pPr>
        <w:pStyle w:val="13"/>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（六）针对质疑事项必要的证明材料。</w:t>
      </w:r>
    </w:p>
    <w:p>
      <w:pPr>
        <w:numPr>
          <w:ilvl w:val="0"/>
          <w:numId w:val="27"/>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供应商对采购人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公资交易中心的质疑答复不满意，或者采购人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公资交易中心未在规定期限内作出答复的，供应商可以在答复期满后15个工作日内向同级财政部门提起投诉。</w:t>
      </w:r>
    </w:p>
    <w:p>
      <w:pPr>
        <w:pStyle w:val="5"/>
        <w:numPr>
          <w:ilvl w:val="1"/>
          <w:numId w:val="3"/>
        </w:numPr>
        <w:spacing w:before="0" w:after="0"/>
        <w:rPr>
          <w:color w:val="auto"/>
          <w:sz w:val="36"/>
          <w:szCs w:val="36"/>
        </w:rPr>
      </w:pPr>
      <w:bookmarkStart w:id="118" w:name="_Toc379"/>
      <w:r>
        <w:rPr>
          <w:rFonts w:hint="eastAsia"/>
          <w:color w:val="auto"/>
        </w:rPr>
        <w:t>中小企业信用担保融资</w:t>
      </w:r>
      <w:bookmarkEnd w:id="115"/>
      <w:bookmarkEnd w:id="116"/>
      <w:bookmarkEnd w:id="118"/>
    </w:p>
    <w:p>
      <w:pPr>
        <w:numPr>
          <w:ilvl w:val="2"/>
          <w:numId w:val="29"/>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参与本次招标活动中标的中小企业投标人无需提供财产抵押或第三方担保，凭借政府采购合同可向融资机构申请融资。</w:t>
      </w:r>
    </w:p>
    <w:p>
      <w:pPr>
        <w:numPr>
          <w:ilvl w:val="2"/>
          <w:numId w:val="29"/>
        </w:numPr>
        <w:tabs>
          <w:tab w:val="left" w:pos="1134"/>
        </w:tabs>
        <w:spacing w:line="360" w:lineRule="auto"/>
        <w:ind w:left="0" w:firstLine="567"/>
        <w:jc w:val="both"/>
        <w:rPr>
          <w:rFonts w:ascii="宋体" w:hAnsi="宋体"/>
          <w:color w:val="auto"/>
          <w:spacing w:val="-20"/>
          <w:sz w:val="28"/>
          <w:szCs w:val="28"/>
        </w:rPr>
      </w:pPr>
      <w:r>
        <w:rPr>
          <w:rFonts w:hint="eastAsia" w:ascii="宋体" w:hAnsi="宋体"/>
          <w:color w:val="auto"/>
          <w:sz w:val="28"/>
          <w:szCs w:val="28"/>
        </w:rPr>
        <w:t>《成都市财政局中国人民银行成都分行营业管理部关于印发〈成都市中小企业政府采购信用融资暂行办法〉和〈成都市级支持中小企业政府采购信用融资实施方案〉的通知》（成财采[2019]17号）和《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s="Times New Roman"/>
          <w:color w:val="auto"/>
          <w:sz w:val="28"/>
          <w:szCs w:val="28"/>
        </w:rPr>
        <w:t>崇州市级政府采购信用融资信息一览表》</w:t>
      </w:r>
      <w:r>
        <w:rPr>
          <w:rFonts w:ascii="宋体" w:hAnsi="宋体"/>
          <w:color w:val="auto"/>
          <w:sz w:val="28"/>
          <w:szCs w:val="28"/>
        </w:rPr>
        <w:t>见附件</w:t>
      </w:r>
      <w:r>
        <w:rPr>
          <w:rFonts w:hint="eastAsia" w:ascii="宋体" w:hAnsi="宋体"/>
          <w:color w:val="auto"/>
          <w:sz w:val="28"/>
          <w:szCs w:val="28"/>
        </w:rPr>
        <w:t>。</w:t>
      </w: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rPr>
          <w:color w:val="auto"/>
        </w:rPr>
      </w:pPr>
      <w:r>
        <w:rPr>
          <w:rFonts w:hint="eastAsia"/>
          <w:color w:val="auto"/>
        </w:rPr>
        <w:br w:type="page"/>
      </w:r>
    </w:p>
    <w:p>
      <w:pPr>
        <w:pStyle w:val="4"/>
        <w:numPr>
          <w:ilvl w:val="0"/>
          <w:numId w:val="3"/>
        </w:numPr>
        <w:rPr>
          <w:color w:val="auto"/>
        </w:rPr>
      </w:pPr>
      <w:bookmarkStart w:id="119" w:name="_Toc28289"/>
      <w:r>
        <w:rPr>
          <w:rFonts w:hint="eastAsia"/>
          <w:color w:val="auto"/>
        </w:rPr>
        <w:t>投标文件格式</w:t>
      </w:r>
      <w:bookmarkEnd w:id="119"/>
    </w:p>
    <w:p>
      <w:pPr>
        <w:pStyle w:val="5"/>
        <w:numPr>
          <w:ilvl w:val="1"/>
          <w:numId w:val="3"/>
        </w:numPr>
        <w:rPr>
          <w:color w:val="auto"/>
        </w:rPr>
      </w:pPr>
      <w:bookmarkStart w:id="120" w:name="_Toc255"/>
      <w:bookmarkStart w:id="121" w:name="_Toc217446083"/>
      <w:bookmarkStart w:id="122" w:name="_Toc263768873"/>
      <w:bookmarkStart w:id="123" w:name="_Toc220299404"/>
      <w:bookmarkStart w:id="124" w:name="_Toc263753615"/>
      <w:r>
        <w:rPr>
          <w:rFonts w:hint="eastAsia"/>
          <w:color w:val="auto"/>
        </w:rPr>
        <w:t>投标文件封面格式</w:t>
      </w:r>
      <w:bookmarkEnd w:id="120"/>
    </w:p>
    <w:p>
      <w:pPr>
        <w:spacing w:line="360" w:lineRule="auto"/>
        <w:jc w:val="right"/>
        <w:rPr>
          <w:rFonts w:ascii="宋体" w:hAnsi="宋体"/>
          <w:color w:val="auto"/>
        </w:rPr>
      </w:pPr>
    </w:p>
    <w:p>
      <w:pPr>
        <w:spacing w:line="360" w:lineRule="auto"/>
        <w:jc w:val="center"/>
        <w:rPr>
          <w:rFonts w:ascii="宋体" w:hAnsi="宋体"/>
          <w:color w:val="auto"/>
          <w:spacing w:val="78"/>
          <w:sz w:val="120"/>
          <w:szCs w:val="120"/>
        </w:rPr>
      </w:pPr>
      <w:r>
        <w:rPr>
          <w:rFonts w:hint="eastAsia" w:ascii="宋体" w:hAnsi="宋体"/>
          <w:color w:val="auto"/>
          <w:spacing w:val="78"/>
          <w:sz w:val="120"/>
          <w:szCs w:val="120"/>
        </w:rPr>
        <w:t>投标文件</w:t>
      </w:r>
    </w:p>
    <w:p>
      <w:pPr>
        <w:spacing w:line="360" w:lineRule="auto"/>
        <w:jc w:val="center"/>
        <w:rPr>
          <w:rFonts w:ascii="宋体" w:hAnsi="宋体"/>
          <w:bCs/>
          <w:color w:val="auto"/>
          <w:sz w:val="36"/>
        </w:rPr>
      </w:pPr>
    </w:p>
    <w:p>
      <w:pPr>
        <w:spacing w:line="360" w:lineRule="auto"/>
        <w:jc w:val="center"/>
        <w:rPr>
          <w:rFonts w:ascii="宋体" w:hAnsi="宋体"/>
          <w:bCs/>
          <w:color w:val="auto"/>
          <w:sz w:val="36"/>
        </w:rPr>
      </w:pPr>
    </w:p>
    <w:p>
      <w:pPr>
        <w:tabs>
          <w:tab w:val="left" w:pos="2552"/>
        </w:tabs>
        <w:spacing w:line="360" w:lineRule="auto"/>
        <w:ind w:left="2210" w:leftChars="269" w:hanging="1564" w:hangingChars="487"/>
        <w:rPr>
          <w:rFonts w:hint="eastAsia" w:ascii="宋体" w:hAnsi="宋体" w:cs="Times New Roman"/>
          <w:b/>
          <w:bCs/>
          <w:color w:val="auto"/>
          <w:sz w:val="32"/>
          <w:szCs w:val="32"/>
          <w:lang w:eastAsia="zh-CN"/>
        </w:rPr>
      </w:pPr>
      <w:r>
        <w:rPr>
          <w:rFonts w:hint="eastAsia" w:ascii="宋体" w:hAnsi="宋体"/>
          <w:b/>
          <w:bCs/>
          <w:color w:val="auto"/>
          <w:sz w:val="32"/>
          <w:szCs w:val="32"/>
        </w:rPr>
        <w:t>项目名称：</w:t>
      </w:r>
      <w:r>
        <w:rPr>
          <w:rFonts w:hint="eastAsia" w:ascii="宋体" w:hAnsi="宋体" w:cs="Times New Roman"/>
          <w:b/>
          <w:bCs/>
          <w:color w:val="auto"/>
          <w:sz w:val="32"/>
          <w:szCs w:val="32"/>
          <w:lang w:eastAsia="zh-CN"/>
        </w:rPr>
        <w:t>崇州市现代教育技术服务中心LED显示屏采购项目</w:t>
      </w:r>
    </w:p>
    <w:p>
      <w:pPr>
        <w:widowControl w:val="0"/>
        <w:numPr>
          <w:ilvl w:val="0"/>
          <w:numId w:val="0"/>
        </w:numPr>
        <w:spacing w:line="360" w:lineRule="auto"/>
        <w:ind w:left="567" w:leftChars="0"/>
        <w:jc w:val="both"/>
        <w:rPr>
          <w:rFonts w:ascii="宋体" w:hAnsi="宋体"/>
          <w:b/>
          <w:bCs/>
          <w:color w:val="auto"/>
          <w:sz w:val="32"/>
          <w:szCs w:val="32"/>
        </w:rPr>
      </w:pPr>
    </w:p>
    <w:p>
      <w:pPr>
        <w:tabs>
          <w:tab w:val="left" w:pos="665"/>
        </w:tabs>
        <w:spacing w:line="360" w:lineRule="auto"/>
        <w:ind w:firstLine="565" w:firstLineChars="176"/>
        <w:rPr>
          <w:rFonts w:ascii="宋体" w:hAnsi="宋体"/>
          <w:b/>
          <w:bCs/>
          <w:color w:val="auto"/>
          <w:sz w:val="32"/>
          <w:szCs w:val="32"/>
        </w:rPr>
      </w:pPr>
      <w:r>
        <w:rPr>
          <w:rFonts w:hint="eastAsia" w:ascii="宋体" w:hAnsi="宋体"/>
          <w:b/>
          <w:bCs/>
          <w:color w:val="auto"/>
          <w:sz w:val="32"/>
          <w:szCs w:val="32"/>
        </w:rPr>
        <w:t>项目编号：</w:t>
      </w:r>
    </w:p>
    <w:p>
      <w:pPr>
        <w:spacing w:line="360" w:lineRule="auto"/>
        <w:ind w:left="2160" w:leftChars="900"/>
        <w:rPr>
          <w:rFonts w:ascii="宋体" w:hAnsi="宋体"/>
          <w:b/>
          <w:bCs/>
          <w:color w:val="auto"/>
          <w:sz w:val="32"/>
          <w:szCs w:val="32"/>
        </w:rPr>
      </w:pPr>
    </w:p>
    <w:p>
      <w:pPr>
        <w:spacing w:line="360" w:lineRule="auto"/>
        <w:rPr>
          <w:rFonts w:ascii="宋体" w:hAnsi="宋体"/>
          <w:b/>
          <w:bCs/>
          <w:color w:val="auto"/>
          <w:sz w:val="36"/>
        </w:rPr>
      </w:pPr>
    </w:p>
    <w:p>
      <w:pPr>
        <w:spacing w:line="360" w:lineRule="auto"/>
        <w:ind w:firstLine="630" w:firstLineChars="196"/>
        <w:rPr>
          <w:rFonts w:ascii="宋体" w:hAnsi="宋体"/>
          <w:b/>
          <w:bCs/>
          <w:color w:val="auto"/>
          <w:sz w:val="32"/>
          <w:szCs w:val="32"/>
          <w:u w:val="single"/>
        </w:rPr>
      </w:pPr>
      <w:r>
        <w:rPr>
          <w:rFonts w:hint="eastAsia" w:ascii="宋体" w:hAnsi="宋体"/>
          <w:b/>
          <w:bCs/>
          <w:color w:val="auto"/>
          <w:sz w:val="32"/>
          <w:szCs w:val="32"/>
        </w:rPr>
        <w:t>投标人名称：</w:t>
      </w:r>
      <w:r>
        <w:rPr>
          <w:rFonts w:hint="eastAsia" w:ascii="宋体" w:hAnsi="宋体"/>
          <w:b/>
          <w:color w:val="auto"/>
          <w:sz w:val="28"/>
          <w:szCs w:val="28"/>
          <w:u w:val="single"/>
        </w:rPr>
        <w:t>XXXXXXXXXX</w:t>
      </w:r>
    </w:p>
    <w:p>
      <w:pPr>
        <w:spacing w:line="360" w:lineRule="auto"/>
        <w:ind w:firstLine="630" w:firstLineChars="196"/>
        <w:rPr>
          <w:rFonts w:ascii="宋体" w:hAnsi="宋体"/>
          <w:b/>
          <w:bCs/>
          <w:color w:val="auto"/>
          <w:sz w:val="32"/>
          <w:szCs w:val="32"/>
          <w:u w:val="single"/>
        </w:rPr>
      </w:pPr>
    </w:p>
    <w:p>
      <w:pPr>
        <w:spacing w:line="360" w:lineRule="auto"/>
        <w:ind w:firstLine="569" w:firstLineChars="177"/>
        <w:rPr>
          <w:rFonts w:ascii="宋体" w:hAnsi="宋体"/>
          <w:b/>
          <w:bCs/>
          <w:color w:val="auto"/>
          <w:sz w:val="32"/>
          <w:szCs w:val="32"/>
        </w:rPr>
      </w:pPr>
      <w:r>
        <w:rPr>
          <w:rFonts w:hint="eastAsia" w:ascii="宋体" w:hAnsi="宋体"/>
          <w:b/>
          <w:bCs/>
          <w:color w:val="auto"/>
          <w:sz w:val="32"/>
          <w:szCs w:val="32"/>
        </w:rPr>
        <w:t>日       期：20XX年XX月XX日</w:t>
      </w:r>
    </w:p>
    <w:p>
      <w:pPr>
        <w:pStyle w:val="5"/>
        <w:rPr>
          <w:color w:val="auto"/>
        </w:rPr>
      </w:pPr>
      <w:bookmarkStart w:id="125" w:name="_Toc19910"/>
      <w:r>
        <w:rPr>
          <w:rFonts w:hint="eastAsia"/>
          <w:color w:val="auto"/>
        </w:rPr>
        <w:t>资格性审查部分</w:t>
      </w:r>
      <w:bookmarkEnd w:id="125"/>
    </w:p>
    <w:p>
      <w:pPr>
        <w:pStyle w:val="6"/>
        <w:rPr>
          <w:color w:val="auto"/>
        </w:rPr>
      </w:pPr>
      <w:r>
        <w:rPr>
          <w:rFonts w:hint="eastAsia"/>
          <w:color w:val="auto"/>
        </w:rPr>
        <w:t>关于投标人资格申明的函</w:t>
      </w:r>
    </w:p>
    <w:p>
      <w:pPr>
        <w:spacing w:line="360" w:lineRule="auto"/>
        <w:rPr>
          <w:rFonts w:ascii="宋体" w:hAnsi="宋体"/>
          <w:color w:val="auto"/>
          <w:sz w:val="28"/>
          <w:szCs w:val="28"/>
        </w:rPr>
      </w:pPr>
      <w:r>
        <w:rPr>
          <w:rFonts w:hint="eastAsia" w:ascii="宋体" w:hAnsi="宋体"/>
          <w:color w:val="auto"/>
          <w:sz w:val="28"/>
          <w:szCs w:val="28"/>
        </w:rPr>
        <w:t>致：</w:t>
      </w:r>
      <w:r>
        <w:rPr>
          <w:rFonts w:hint="eastAsia" w:ascii="宋体" w:hAnsi="宋体"/>
          <w:color w:val="auto"/>
          <w:sz w:val="28"/>
          <w:szCs w:val="28"/>
          <w:lang w:eastAsia="zh-CN"/>
        </w:rPr>
        <w:t>崇州</w:t>
      </w:r>
      <w:r>
        <w:rPr>
          <w:rFonts w:hint="eastAsia" w:ascii="宋体" w:hAnsi="宋体"/>
          <w:color w:val="auto"/>
          <w:sz w:val="28"/>
          <w:szCs w:val="28"/>
        </w:rPr>
        <w:t>市公共资源交易服务中心</w:t>
      </w:r>
    </w:p>
    <w:p>
      <w:pPr>
        <w:tabs>
          <w:tab w:val="left" w:pos="2552"/>
        </w:tabs>
        <w:spacing w:after="0" w:line="240" w:lineRule="auto"/>
        <w:ind w:left="0" w:leftChars="0" w:firstLine="0" w:firstLineChars="0"/>
        <w:jc w:val="left"/>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关于我方对</w:t>
      </w:r>
      <w:r>
        <w:rPr>
          <w:rFonts w:hint="eastAsia" w:ascii="宋体" w:hAnsi="宋体"/>
          <w:b/>
          <w:color w:val="auto"/>
          <w:sz w:val="28"/>
          <w:szCs w:val="28"/>
          <w:lang w:eastAsia="zh-CN"/>
        </w:rPr>
        <w:t>崇州市现代教育技术服务中心LED显示屏采购项目（</w:t>
      </w:r>
      <w:r>
        <w:rPr>
          <w:rFonts w:hint="eastAsia" w:ascii="宋体" w:hAnsi="宋体"/>
          <w:b/>
          <w:color w:val="auto"/>
          <w:sz w:val="28"/>
          <w:szCs w:val="28"/>
        </w:rPr>
        <w:t>项目编号：</w:t>
      </w:r>
      <w:r>
        <w:rPr>
          <w:rFonts w:hint="eastAsia" w:ascii="宋体" w:hAnsi="宋体"/>
          <w:b/>
          <w:color w:val="auto"/>
          <w:sz w:val="28"/>
          <w:szCs w:val="28"/>
          <w:lang w:eastAsia="zh-CN"/>
        </w:rPr>
        <w:t>ＸＸＸＸＸＸ</w:t>
      </w:r>
      <w:r>
        <w:rPr>
          <w:rFonts w:hint="eastAsia" w:ascii="宋体" w:hAnsi="宋体"/>
          <w:b/>
          <w:color w:val="auto"/>
          <w:sz w:val="28"/>
          <w:szCs w:val="28"/>
        </w:rPr>
        <w:t>）</w:t>
      </w:r>
      <w:r>
        <w:rPr>
          <w:rFonts w:hint="eastAsia" w:ascii="宋体" w:hAnsi="宋体"/>
          <w:color w:val="auto"/>
          <w:sz w:val="28"/>
          <w:szCs w:val="28"/>
        </w:rPr>
        <w:t>的公开招标，提交的下列文件和说明是准确的和真实的。</w:t>
      </w:r>
    </w:p>
    <w:p>
      <w:pPr>
        <w:numPr>
          <w:ilvl w:val="2"/>
          <w:numId w:val="30"/>
        </w:numPr>
        <w:spacing w:line="360" w:lineRule="auto"/>
        <w:ind w:left="0" w:firstLine="560" w:firstLineChars="200"/>
        <w:jc w:val="both"/>
        <w:rPr>
          <w:rFonts w:ascii="宋体" w:hAnsi="宋体"/>
          <w:color w:val="auto"/>
          <w:sz w:val="28"/>
          <w:szCs w:val="28"/>
        </w:rPr>
      </w:pPr>
      <w:r>
        <w:rPr>
          <w:rFonts w:hint="eastAsia" w:ascii="宋体" w:hAnsi="宋体"/>
          <w:color w:val="auto"/>
          <w:sz w:val="28"/>
          <w:szCs w:val="28"/>
        </w:rPr>
        <w:t>投标人名称及概况：</w:t>
      </w:r>
    </w:p>
    <w:p>
      <w:pPr>
        <w:numPr>
          <w:ilvl w:val="0"/>
          <w:numId w:val="31"/>
        </w:numPr>
        <w:spacing w:line="500" w:lineRule="exact"/>
        <w:ind w:left="0" w:firstLine="560" w:firstLineChars="200"/>
        <w:rPr>
          <w:rFonts w:ascii="宋体" w:hAnsi="宋体"/>
          <w:color w:val="auto"/>
          <w:sz w:val="28"/>
          <w:szCs w:val="28"/>
        </w:rPr>
      </w:pPr>
      <w:r>
        <w:rPr>
          <w:rFonts w:hint="eastAsia" w:ascii="宋体" w:hAnsi="宋体"/>
          <w:color w:val="auto"/>
          <w:sz w:val="28"/>
          <w:szCs w:val="28"/>
        </w:rPr>
        <w:t>投标人名称：XX</w:t>
      </w:r>
    </w:p>
    <w:p>
      <w:pPr>
        <w:numPr>
          <w:ilvl w:val="0"/>
          <w:numId w:val="31"/>
        </w:numPr>
        <w:spacing w:line="500" w:lineRule="exact"/>
        <w:ind w:left="0" w:firstLine="560" w:firstLineChars="200"/>
        <w:rPr>
          <w:rFonts w:ascii="宋体" w:hAnsi="宋体"/>
          <w:color w:val="auto"/>
          <w:sz w:val="28"/>
          <w:szCs w:val="28"/>
        </w:rPr>
      </w:pPr>
      <w:r>
        <w:rPr>
          <w:rFonts w:hint="eastAsia" w:ascii="宋体" w:hAnsi="宋体"/>
          <w:color w:val="auto"/>
          <w:sz w:val="28"/>
          <w:szCs w:val="28"/>
        </w:rPr>
        <w:t>地址：XX       邮编：XX</w:t>
      </w:r>
    </w:p>
    <w:p>
      <w:pPr>
        <w:spacing w:line="500" w:lineRule="exact"/>
        <w:ind w:left="1261"/>
        <w:rPr>
          <w:rFonts w:ascii="宋体" w:hAnsi="宋体"/>
          <w:color w:val="auto"/>
          <w:sz w:val="28"/>
          <w:szCs w:val="28"/>
          <w:u w:val="single"/>
        </w:rPr>
      </w:pPr>
      <w:r>
        <w:rPr>
          <w:rFonts w:hint="eastAsia" w:ascii="宋体" w:hAnsi="宋体"/>
          <w:color w:val="auto"/>
          <w:sz w:val="28"/>
          <w:szCs w:val="28"/>
        </w:rPr>
        <w:t>传真/电话： XX</w:t>
      </w:r>
    </w:p>
    <w:p>
      <w:pPr>
        <w:numPr>
          <w:ilvl w:val="0"/>
          <w:numId w:val="31"/>
        </w:numPr>
        <w:spacing w:line="500" w:lineRule="exact"/>
        <w:ind w:left="0" w:firstLine="560" w:firstLineChars="200"/>
        <w:rPr>
          <w:rFonts w:ascii="宋体" w:hAnsi="宋体"/>
          <w:color w:val="auto"/>
          <w:sz w:val="28"/>
          <w:szCs w:val="28"/>
        </w:rPr>
      </w:pPr>
      <w:r>
        <w:rPr>
          <w:rFonts w:hint="eastAsia" w:ascii="宋体" w:hAnsi="宋体"/>
          <w:color w:val="auto"/>
          <w:sz w:val="28"/>
          <w:szCs w:val="28"/>
        </w:rPr>
        <w:t>成立日期或注册日期：XX</w:t>
      </w:r>
    </w:p>
    <w:p>
      <w:pPr>
        <w:numPr>
          <w:ilvl w:val="0"/>
          <w:numId w:val="31"/>
        </w:numPr>
        <w:spacing w:line="500" w:lineRule="exact"/>
        <w:ind w:left="0" w:firstLine="560" w:firstLineChars="200"/>
        <w:rPr>
          <w:rFonts w:ascii="宋体" w:hAnsi="宋体"/>
          <w:color w:val="auto"/>
          <w:sz w:val="28"/>
          <w:szCs w:val="28"/>
          <w:u w:val="single"/>
        </w:rPr>
      </w:pPr>
      <w:r>
        <w:rPr>
          <w:rFonts w:hint="eastAsia" w:ascii="宋体" w:hAnsi="宋体"/>
          <w:color w:val="auto"/>
          <w:sz w:val="28"/>
          <w:szCs w:val="28"/>
        </w:rPr>
        <w:t>法定代表人姓名：XX</w:t>
      </w:r>
    </w:p>
    <w:p>
      <w:pPr>
        <w:numPr>
          <w:ilvl w:val="2"/>
          <w:numId w:val="30"/>
        </w:numPr>
        <w:tabs>
          <w:tab w:val="left" w:pos="1276"/>
        </w:tabs>
        <w:spacing w:line="360" w:lineRule="auto"/>
        <w:ind w:left="0" w:firstLine="567"/>
        <w:jc w:val="both"/>
        <w:rPr>
          <w:rFonts w:ascii="宋体" w:hAnsi="宋体"/>
          <w:color w:val="auto"/>
          <w:sz w:val="28"/>
          <w:szCs w:val="28"/>
        </w:rPr>
      </w:pPr>
      <w:r>
        <w:rPr>
          <w:rFonts w:hint="eastAsia" w:ascii="宋体" w:hAnsi="宋体"/>
          <w:color w:val="auto"/>
          <w:sz w:val="28"/>
          <w:szCs w:val="28"/>
        </w:rPr>
        <w:t>开户银行名称：XX</w:t>
      </w:r>
    </w:p>
    <w:p>
      <w:pPr>
        <w:spacing w:line="500" w:lineRule="exact"/>
        <w:ind w:firstLine="1260" w:firstLineChars="450"/>
        <w:rPr>
          <w:rFonts w:ascii="宋体" w:hAnsi="宋体"/>
          <w:color w:val="auto"/>
          <w:sz w:val="28"/>
          <w:szCs w:val="28"/>
          <w:u w:val="single"/>
        </w:rPr>
      </w:pPr>
      <w:r>
        <w:rPr>
          <w:rFonts w:hint="eastAsia" w:ascii="宋体" w:hAnsi="宋体"/>
          <w:color w:val="auto"/>
          <w:sz w:val="28"/>
          <w:szCs w:val="28"/>
        </w:rPr>
        <w:t>地址：XX</w:t>
      </w:r>
    </w:p>
    <w:p>
      <w:pPr>
        <w:spacing w:line="500" w:lineRule="exact"/>
        <w:ind w:firstLine="1260" w:firstLineChars="450"/>
        <w:rPr>
          <w:rFonts w:ascii="宋体" w:hAnsi="宋体"/>
          <w:color w:val="auto"/>
          <w:sz w:val="28"/>
          <w:szCs w:val="28"/>
        </w:rPr>
      </w:pPr>
      <w:r>
        <w:rPr>
          <w:rFonts w:hint="eastAsia" w:ascii="宋体" w:hAnsi="宋体"/>
          <w:color w:val="auto"/>
          <w:sz w:val="28"/>
          <w:szCs w:val="28"/>
        </w:rPr>
        <w:t>账号：XX</w:t>
      </w:r>
    </w:p>
    <w:p>
      <w:pPr>
        <w:spacing w:line="360" w:lineRule="auto"/>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XXXXXX</w:t>
      </w:r>
    </w:p>
    <w:p>
      <w:pPr>
        <w:spacing w:line="360" w:lineRule="auto"/>
        <w:ind w:left="324" w:leftChars="135" w:firstLine="280" w:firstLineChars="100"/>
        <w:rPr>
          <w:rFonts w:ascii="宋体" w:hAnsi="宋体"/>
          <w:bCs/>
          <w:color w:val="auto"/>
          <w:sz w:val="28"/>
        </w:rPr>
      </w:pPr>
      <w:r>
        <w:rPr>
          <w:rFonts w:hint="eastAsia" w:ascii="宋体" w:hAnsi="宋体"/>
          <w:bCs/>
          <w:color w:val="auto"/>
          <w:sz w:val="28"/>
          <w:szCs w:val="28"/>
        </w:rPr>
        <w:t>日    期：</w:t>
      </w:r>
      <w:r>
        <w:rPr>
          <w:rFonts w:hint="eastAsia" w:ascii="宋体" w:hAnsi="宋体"/>
          <w:bCs/>
          <w:color w:val="auto"/>
          <w:sz w:val="28"/>
        </w:rPr>
        <w:t>20XX年XX月XX日</w:t>
      </w:r>
    </w:p>
    <w:p>
      <w:pPr>
        <w:rPr>
          <w:color w:val="auto"/>
        </w:rPr>
      </w:pPr>
      <w:r>
        <w:rPr>
          <w:rFonts w:hint="eastAsia"/>
          <w:color w:val="auto"/>
        </w:rPr>
        <w:br w:type="page"/>
      </w:r>
    </w:p>
    <w:p>
      <w:pPr>
        <w:pStyle w:val="6"/>
        <w:rPr>
          <w:color w:val="auto"/>
        </w:rPr>
      </w:pPr>
      <w:r>
        <w:rPr>
          <w:rFonts w:hint="eastAsia"/>
          <w:color w:val="auto"/>
        </w:rPr>
        <w:t>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致：</w:t>
      </w:r>
      <w:r>
        <w:rPr>
          <w:rFonts w:hint="eastAsia" w:ascii="宋体" w:hAnsi="宋体"/>
          <w:color w:val="auto"/>
          <w:sz w:val="28"/>
          <w:szCs w:val="28"/>
          <w:lang w:eastAsia="zh-CN"/>
        </w:rPr>
        <w:t>崇州</w:t>
      </w:r>
      <w:r>
        <w:rPr>
          <w:rFonts w:hint="eastAsia" w:ascii="宋体" w:hAnsi="宋体"/>
          <w:color w:val="auto"/>
          <w:sz w:val="28"/>
          <w:szCs w:val="28"/>
        </w:rPr>
        <w:t>市公共资源交易服务中心</w:t>
      </w:r>
    </w:p>
    <w:p>
      <w:pPr>
        <w:widowControl w:val="0"/>
        <w:numPr>
          <w:ilvl w:val="0"/>
          <w:numId w:val="0"/>
        </w:numPr>
        <w:spacing w:line="240" w:lineRule="auto"/>
        <w:ind w:left="0" w:leftChars="0" w:firstLine="560" w:firstLineChars="200"/>
        <w:jc w:val="both"/>
        <w:rPr>
          <w:rFonts w:ascii="宋体" w:hAnsi="宋体"/>
          <w:color w:val="auto"/>
          <w:sz w:val="28"/>
          <w:szCs w:val="28"/>
        </w:rPr>
      </w:pPr>
      <w:r>
        <w:rPr>
          <w:rFonts w:hint="eastAsia" w:ascii="宋体" w:hAnsi="宋体"/>
          <w:color w:val="auto"/>
          <w:sz w:val="28"/>
          <w:szCs w:val="28"/>
        </w:rPr>
        <w:t>我单位作为</w:t>
      </w:r>
      <w:r>
        <w:rPr>
          <w:rFonts w:hint="eastAsia" w:ascii="宋体" w:hAnsi="宋体"/>
          <w:b/>
          <w:color w:val="auto"/>
          <w:sz w:val="28"/>
          <w:szCs w:val="28"/>
          <w:lang w:eastAsia="zh-CN"/>
        </w:rPr>
        <w:t>崇州市现代教育技术服务中心LED显示屏采购项目</w:t>
      </w:r>
      <w:r>
        <w:rPr>
          <w:rFonts w:hint="eastAsia" w:ascii="宋体" w:hAnsi="宋体"/>
          <w:color w:val="auto"/>
          <w:sz w:val="28"/>
          <w:szCs w:val="28"/>
        </w:rPr>
        <w:t>的投标人，在此郑重声明：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一、我单位参加政府采购活动前三年内，在经营活动中</w:t>
      </w:r>
      <w:r>
        <w:rPr>
          <w:rFonts w:hint="eastAsia" w:ascii="宋体" w:hAnsi="宋体"/>
          <w:b/>
          <w:color w:val="auto"/>
          <w:sz w:val="28"/>
          <w:szCs w:val="28"/>
          <w:u w:val="single"/>
        </w:rPr>
        <w:t>（说明：填写“没有”或“有”）</w:t>
      </w:r>
      <w:r>
        <w:rPr>
          <w:rFonts w:hint="eastAsia" w:ascii="宋体" w:hAnsi="宋体"/>
          <w:color w:val="auto"/>
          <w:sz w:val="28"/>
          <w:szCs w:val="28"/>
        </w:rPr>
        <w:t>重大违法记录。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二、我单位</w:t>
      </w:r>
      <w:r>
        <w:rPr>
          <w:rFonts w:hint="eastAsia" w:ascii="宋体" w:hAnsi="宋体"/>
          <w:b/>
          <w:color w:val="auto"/>
          <w:sz w:val="28"/>
          <w:szCs w:val="28"/>
          <w:u w:val="single"/>
        </w:rPr>
        <w:t>（说明：填写“具有”或“不具有”）</w:t>
      </w:r>
      <w:r>
        <w:rPr>
          <w:rFonts w:hint="eastAsia" w:ascii="宋体" w:hAnsi="宋体"/>
          <w:color w:val="auto"/>
          <w:sz w:val="28"/>
          <w:szCs w:val="28"/>
        </w:rPr>
        <w:t>良好的商业信誉。</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三、与我单位负责人为同一人或者存在直接控股、管理关系的相关供应商：</w:t>
      </w:r>
      <w:r>
        <w:rPr>
          <w:rFonts w:hint="eastAsia" w:ascii="宋体" w:hAnsi="宋体"/>
          <w:b/>
          <w:color w:val="auto"/>
          <w:sz w:val="28"/>
          <w:szCs w:val="28"/>
          <w:u w:val="single"/>
        </w:rPr>
        <w:t>　  （说明：填写“无”或“（一）供应商名称１；（二）供应商名称２；（三）……”）</w:t>
      </w:r>
      <w:r>
        <w:rPr>
          <w:rFonts w:hint="eastAsia" w:ascii="宋体" w:hAnsi="宋体"/>
          <w:color w:val="auto"/>
          <w:sz w:val="28"/>
          <w:szCs w:val="28"/>
        </w:rPr>
        <w:t xml:space="preserve"> 。</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四、在行贿犯罪信息查询期限内，我单位及我单位现任法定代表人、主要负责人</w:t>
      </w:r>
      <w:r>
        <w:rPr>
          <w:rFonts w:hint="eastAsia" w:ascii="宋体" w:hAnsi="宋体"/>
          <w:b/>
          <w:color w:val="auto"/>
          <w:sz w:val="28"/>
          <w:szCs w:val="28"/>
          <w:u w:val="single"/>
        </w:rPr>
        <w:t>（说明：填写“没有”或“有”）</w:t>
      </w:r>
      <w:r>
        <w:rPr>
          <w:rFonts w:hint="eastAsia" w:ascii="宋体" w:hAnsi="宋体"/>
          <w:color w:val="auto"/>
          <w:sz w:val="28"/>
          <w:szCs w:val="28"/>
        </w:rPr>
        <w:t>行贿犯罪记录。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五、我单位</w:t>
      </w:r>
      <w:r>
        <w:rPr>
          <w:rFonts w:hint="eastAsia" w:ascii="宋体" w:hAnsi="宋体"/>
          <w:b/>
          <w:color w:val="auto"/>
          <w:sz w:val="28"/>
          <w:szCs w:val="28"/>
          <w:u w:val="single"/>
        </w:rPr>
        <w:t>（说明：填写“未列入”或“被列入”）</w:t>
      </w:r>
      <w:r>
        <w:rPr>
          <w:rFonts w:hint="eastAsia" w:ascii="宋体" w:hAnsi="宋体"/>
          <w:color w:val="auto"/>
          <w:sz w:val="28"/>
          <w:szCs w:val="28"/>
        </w:rPr>
        <w:t>失信被执行人、重大税收违法案件当事人名单。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我单位</w:t>
      </w:r>
      <w:r>
        <w:rPr>
          <w:rFonts w:hint="eastAsia" w:ascii="宋体" w:hAnsi="宋体"/>
          <w:b/>
          <w:color w:val="auto"/>
          <w:sz w:val="28"/>
          <w:szCs w:val="28"/>
          <w:u w:val="single"/>
        </w:rPr>
        <w:t>（说明：填写“未列入”或“被列入”）</w:t>
      </w:r>
      <w:r>
        <w:rPr>
          <w:rFonts w:hint="eastAsia" w:ascii="宋体" w:hAnsi="宋体"/>
          <w:color w:val="auto"/>
          <w:sz w:val="28"/>
          <w:szCs w:val="28"/>
        </w:rPr>
        <w:t>政府采购严重违法失信行为记录名单。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六、</w:t>
      </w:r>
      <w:r>
        <w:rPr>
          <w:rFonts w:hint="eastAsia" w:ascii="宋体" w:hAnsi="宋体"/>
          <w:sz w:val="28"/>
          <w:szCs w:val="28"/>
        </w:rPr>
        <w:t>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r>
        <w:rPr>
          <w:rFonts w:hint="eastAsia" w:ascii="宋体" w:hAnsi="宋体"/>
          <w:color w:val="auto"/>
          <w:sz w:val="28"/>
          <w:szCs w:val="28"/>
        </w:rPr>
        <w:t>。</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特此声明。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XXXXXX</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日    期：20XX年XX月XX日</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说明： 1.对声明中第一条的说明：如投标人在参加政府采购活动前三年内，在经营活动中有重大违法记录的，应填写“有”，投标人将被认定投标无效或被取消中标资格（如投标人在参加政府采购活动前3年内因违法经营被禁止在一定期限内参加政府采购活动，期限届满的，可以参加政府采购活动的，该声明填“有”，但投标人应提供相关证明材料）；</w:t>
      </w:r>
    </w:p>
    <w:p>
      <w:pPr>
        <w:spacing w:line="360" w:lineRule="auto"/>
        <w:ind w:firstLine="560" w:firstLineChars="200"/>
        <w:rPr>
          <w:rFonts w:ascii="宋体" w:hAnsi="宋体"/>
          <w:color w:val="auto"/>
          <w:sz w:val="28"/>
          <w:szCs w:val="28"/>
        </w:rPr>
      </w:pPr>
      <w:r>
        <w:rPr>
          <w:rFonts w:hint="eastAsia" w:ascii="宋体" w:hAnsi="宋体"/>
          <w:color w:val="auto"/>
          <w:sz w:val="28"/>
          <w:szCs w:val="28"/>
        </w:rPr>
        <w:t>2.对声明中第二条的说明：投标人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投标人将被认定投标无效或被取消中标资格；</w:t>
      </w:r>
    </w:p>
    <w:p>
      <w:pPr>
        <w:spacing w:line="360" w:lineRule="auto"/>
        <w:ind w:firstLine="560" w:firstLineChars="200"/>
        <w:rPr>
          <w:rFonts w:ascii="宋体" w:hAnsi="宋体"/>
          <w:color w:val="auto"/>
          <w:sz w:val="28"/>
          <w:szCs w:val="28"/>
        </w:rPr>
      </w:pPr>
      <w:r>
        <w:rPr>
          <w:rFonts w:hint="eastAsia" w:ascii="宋体" w:hAnsi="宋体"/>
          <w:color w:val="auto"/>
          <w:sz w:val="28"/>
          <w:szCs w:val="28"/>
        </w:rPr>
        <w:t>3.对声明中第三条的说明：单位负责人为同一人或者存在直接控股、管理关系的不同供应商，不得参加同一合同项下的政府采购活动。</w:t>
      </w:r>
    </w:p>
    <w:p>
      <w:pPr>
        <w:spacing w:line="360" w:lineRule="auto"/>
        <w:ind w:firstLine="560" w:firstLineChars="200"/>
        <w:rPr>
          <w:rFonts w:ascii="宋体" w:hAnsi="宋体"/>
          <w:color w:val="auto"/>
          <w:sz w:val="28"/>
          <w:szCs w:val="28"/>
        </w:rPr>
      </w:pPr>
      <w:r>
        <w:rPr>
          <w:rFonts w:hint="eastAsia" w:ascii="宋体" w:hAnsi="宋体"/>
          <w:color w:val="auto"/>
          <w:sz w:val="28"/>
          <w:szCs w:val="28"/>
        </w:rPr>
        <w:t>4.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spacing w:line="360" w:lineRule="auto"/>
        <w:ind w:firstLine="560" w:firstLineChars="200"/>
        <w:rPr>
          <w:rFonts w:ascii="宋体" w:hAnsi="宋体"/>
          <w:color w:val="auto"/>
          <w:sz w:val="28"/>
          <w:szCs w:val="28"/>
        </w:rPr>
      </w:pPr>
      <w:r>
        <w:rPr>
          <w:rFonts w:hint="eastAsia" w:ascii="宋体" w:hAnsi="宋体"/>
          <w:color w:val="auto"/>
          <w:sz w:val="28"/>
          <w:szCs w:val="28"/>
        </w:rPr>
        <w:t>5.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如投标人在参加政府采购活动前被禁止在一定期限内参加政府采购活动，期限届满的可以参加政府采购活动，该声明填“被列入”，但投标人应提供相关证明材料）。</w:t>
      </w:r>
    </w:p>
    <w:p>
      <w:pPr>
        <w:tabs>
          <w:tab w:val="left" w:pos="1260"/>
        </w:tabs>
        <w:spacing w:line="560" w:lineRule="exact"/>
        <w:ind w:firstLine="560" w:firstLineChars="200"/>
        <w:rPr>
          <w:rFonts w:ascii="宋体" w:hAnsi="宋体"/>
          <w:sz w:val="28"/>
          <w:szCs w:val="28"/>
        </w:rPr>
      </w:pPr>
      <w:r>
        <w:rPr>
          <w:rFonts w:hint="eastAsia" w:ascii="宋体" w:hAnsi="宋体"/>
          <w:color w:val="auto"/>
          <w:sz w:val="28"/>
          <w:szCs w:val="28"/>
        </w:rPr>
        <w:t>6、</w:t>
      </w:r>
      <w:r>
        <w:rPr>
          <w:rFonts w:hint="eastAsia" w:ascii="宋体" w:hAnsi="宋体"/>
          <w:sz w:val="28"/>
          <w:szCs w:val="28"/>
        </w:rPr>
        <w:t>对声明中第六条的说明：如投标人处于被行政部门禁止参加政府采购活动期限内的，该声明填“处于”，投标人将被认定投标无效或被取消中标资格。</w:t>
      </w: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rPr>
          <w:rFonts w:ascii="宋体" w:hAnsi="宋体"/>
          <w:color w:val="auto"/>
          <w:sz w:val="28"/>
          <w:szCs w:val="28"/>
        </w:rPr>
      </w:pPr>
      <w:r>
        <w:rPr>
          <w:rFonts w:ascii="宋体" w:hAnsi="宋体"/>
          <w:color w:val="auto"/>
          <w:sz w:val="28"/>
          <w:szCs w:val="28"/>
        </w:rPr>
        <w:br w:type="page"/>
      </w:r>
    </w:p>
    <w:p>
      <w:pPr>
        <w:pStyle w:val="2"/>
        <w:numPr>
          <w:ilvl w:val="0"/>
          <w:numId w:val="0"/>
        </w:numPr>
        <w:ind w:leftChars="200"/>
      </w:pPr>
    </w:p>
    <w:p>
      <w:pPr>
        <w:pStyle w:val="2"/>
        <w:rPr>
          <w:rFonts w:hint="default" w:eastAsia="宋体"/>
          <w:lang w:val="en-US" w:eastAsia="zh-CN"/>
        </w:rPr>
      </w:pPr>
    </w:p>
    <w:p>
      <w:pPr>
        <w:pStyle w:val="6"/>
        <w:numPr>
          <w:ilvl w:val="2"/>
          <w:numId w:val="0"/>
        </w:numPr>
        <w:ind w:leftChars="0"/>
        <w:rPr>
          <w:color w:val="auto"/>
        </w:rPr>
      </w:pPr>
      <w:r>
        <w:rPr>
          <w:rFonts w:hint="default" w:ascii="Times New Roman" w:hAnsi="Times New Roman" w:cs="Times New Roman"/>
          <w:color w:val="auto"/>
          <w:lang w:val="en-US" w:eastAsia="zh-CN"/>
        </w:rPr>
        <w:t>3.2.</w:t>
      </w:r>
      <w:r>
        <w:rPr>
          <w:rFonts w:hint="eastAsia" w:ascii="Times New Roman" w:hAnsi="Times New Roman" w:cs="Times New Roman"/>
          <w:color w:val="auto"/>
          <w:lang w:val="en-US" w:eastAsia="zh-CN"/>
        </w:rPr>
        <w:t>3</w:t>
      </w:r>
      <w:r>
        <w:rPr>
          <w:rFonts w:hint="eastAsia"/>
          <w:color w:val="auto"/>
        </w:rPr>
        <w:t>投标人应提交的相关资格证明材料</w:t>
      </w:r>
    </w:p>
    <w:p>
      <w:pPr>
        <w:tabs>
          <w:tab w:val="left" w:pos="1134"/>
        </w:tabs>
        <w:spacing w:line="360" w:lineRule="auto"/>
        <w:rPr>
          <w:rFonts w:hint="default" w:ascii="宋体" w:hAnsi="宋体" w:eastAsiaTheme="minorEastAsia"/>
          <w:color w:val="auto"/>
          <w:sz w:val="28"/>
          <w:szCs w:val="28"/>
          <w:lang w:val="en-US" w:eastAsia="zh-CN"/>
        </w:rPr>
      </w:pPr>
      <w:r>
        <w:rPr>
          <w:rFonts w:hint="eastAsia" w:ascii="宋体" w:hAnsi="宋体"/>
          <w:color w:val="auto"/>
          <w:sz w:val="28"/>
          <w:szCs w:val="28"/>
          <w:lang w:eastAsia="zh-CN"/>
        </w:rPr>
        <w:t>具体资料要求详见招标文件第</w:t>
      </w:r>
      <w:r>
        <w:rPr>
          <w:rFonts w:hint="eastAsia" w:ascii="宋体" w:hAnsi="宋体"/>
          <w:color w:val="auto"/>
          <w:sz w:val="28"/>
          <w:szCs w:val="28"/>
          <w:lang w:val="en-US" w:eastAsia="zh-CN"/>
        </w:rPr>
        <w:t>5章。</w:t>
      </w:r>
    </w:p>
    <w:p>
      <w:pPr>
        <w:tabs>
          <w:tab w:val="left" w:pos="1134"/>
        </w:tabs>
        <w:spacing w:line="360" w:lineRule="auto"/>
        <w:rPr>
          <w:rFonts w:ascii="宋体" w:hAnsi="宋体"/>
          <w:color w:val="auto"/>
          <w:sz w:val="28"/>
          <w:szCs w:val="28"/>
        </w:rPr>
      </w:pPr>
    </w:p>
    <w:p>
      <w:pPr>
        <w:tabs>
          <w:tab w:val="left" w:pos="1134"/>
        </w:tabs>
        <w:spacing w:line="360" w:lineRule="auto"/>
        <w:rPr>
          <w:rFonts w:ascii="宋体" w:hAnsi="宋体"/>
          <w:color w:val="auto"/>
          <w:sz w:val="28"/>
          <w:szCs w:val="28"/>
        </w:rPr>
      </w:pPr>
    </w:p>
    <w:p>
      <w:pPr>
        <w:rPr>
          <w:color w:val="auto"/>
        </w:rPr>
      </w:pPr>
      <w:r>
        <w:rPr>
          <w:rFonts w:hint="eastAsia"/>
          <w:color w:val="auto"/>
        </w:rPr>
        <w:br w:type="page"/>
      </w:r>
    </w:p>
    <w:p>
      <w:pPr>
        <w:pStyle w:val="5"/>
        <w:rPr>
          <w:color w:val="auto"/>
        </w:rPr>
      </w:pPr>
      <w:bookmarkStart w:id="126" w:name="_Toc26588"/>
      <w:r>
        <w:rPr>
          <w:rFonts w:hint="eastAsia"/>
          <w:color w:val="auto"/>
        </w:rPr>
        <w:t>技术、服务、商务及其他要求响应部分</w:t>
      </w:r>
      <w:bookmarkEnd w:id="126"/>
    </w:p>
    <w:p>
      <w:pPr>
        <w:pStyle w:val="6"/>
        <w:rPr>
          <w:color w:val="auto"/>
        </w:rPr>
      </w:pPr>
      <w:r>
        <w:rPr>
          <w:rFonts w:hint="eastAsia"/>
          <w:color w:val="auto"/>
        </w:rPr>
        <w:t>投标函</w:t>
      </w:r>
    </w:p>
    <w:p>
      <w:pPr>
        <w:pStyle w:val="9"/>
        <w:spacing w:after="0" w:line="360" w:lineRule="auto"/>
        <w:ind w:left="0" w:leftChars="0"/>
        <w:rPr>
          <w:rFonts w:ascii="宋体" w:hAnsi="宋体"/>
          <w:bCs/>
          <w:color w:val="auto"/>
          <w:sz w:val="28"/>
          <w:szCs w:val="28"/>
        </w:rPr>
      </w:pPr>
      <w:r>
        <w:rPr>
          <w:rFonts w:hint="eastAsia" w:ascii="宋体" w:hAnsi="宋体"/>
          <w:bCs/>
          <w:color w:val="auto"/>
          <w:sz w:val="28"/>
          <w:szCs w:val="28"/>
          <w:lang w:eastAsia="zh-CN"/>
        </w:rPr>
        <w:t>崇州</w:t>
      </w:r>
      <w:r>
        <w:rPr>
          <w:rFonts w:hint="eastAsia" w:ascii="宋体" w:hAnsi="宋体"/>
          <w:bCs/>
          <w:color w:val="auto"/>
          <w:sz w:val="28"/>
          <w:szCs w:val="28"/>
        </w:rPr>
        <w:t>市公共资源交易服务中心：</w:t>
      </w:r>
    </w:p>
    <w:p>
      <w:pPr>
        <w:widowControl w:val="0"/>
        <w:numPr>
          <w:ilvl w:val="0"/>
          <w:numId w:val="0"/>
        </w:numPr>
        <w:spacing w:line="240" w:lineRule="auto"/>
        <w:ind w:left="0" w:leftChars="0" w:firstLine="560" w:firstLineChars="200"/>
        <w:jc w:val="both"/>
        <w:rPr>
          <w:rFonts w:ascii="宋体" w:hAnsi="宋体"/>
          <w:bCs/>
          <w:color w:val="auto"/>
          <w:sz w:val="28"/>
          <w:szCs w:val="28"/>
        </w:rPr>
      </w:pPr>
      <w:r>
        <w:rPr>
          <w:rFonts w:hint="eastAsia" w:ascii="宋体" w:hAnsi="宋体"/>
          <w:bCs/>
          <w:color w:val="auto"/>
          <w:sz w:val="28"/>
          <w:szCs w:val="28"/>
        </w:rPr>
        <w:t>我方全面研究了“</w:t>
      </w:r>
      <w:r>
        <w:rPr>
          <w:rFonts w:hint="eastAsia" w:ascii="宋体" w:hAnsi="宋体"/>
          <w:b/>
          <w:color w:val="auto"/>
          <w:sz w:val="28"/>
          <w:szCs w:val="28"/>
          <w:lang w:eastAsia="zh-CN"/>
        </w:rPr>
        <w:t>崇州市现代教育技术服务中心LED显示屏采购项目</w:t>
      </w:r>
      <w:r>
        <w:rPr>
          <w:rFonts w:hint="eastAsia" w:ascii="宋体" w:hAnsi="宋体"/>
          <w:b/>
          <w:bCs/>
          <w:color w:val="auto"/>
          <w:sz w:val="28"/>
          <w:szCs w:val="28"/>
        </w:rPr>
        <w:t>”（项目编号：</w:t>
      </w:r>
      <w:r>
        <w:rPr>
          <w:rFonts w:hint="eastAsia" w:ascii="宋体" w:hAnsi="宋体"/>
          <w:b/>
          <w:bCs/>
          <w:color w:val="auto"/>
          <w:sz w:val="28"/>
          <w:szCs w:val="28"/>
          <w:lang w:eastAsia="zh-CN"/>
        </w:rPr>
        <w:t>ＸＸＸＸＸＸ</w:t>
      </w:r>
      <w:r>
        <w:rPr>
          <w:rFonts w:hint="eastAsia" w:ascii="宋体" w:hAnsi="宋体"/>
          <w:b/>
          <w:bCs/>
          <w:color w:val="auto"/>
          <w:sz w:val="28"/>
          <w:szCs w:val="28"/>
        </w:rPr>
        <w:t>）</w:t>
      </w:r>
      <w:r>
        <w:rPr>
          <w:rFonts w:hint="eastAsia" w:ascii="宋体" w:hAnsi="宋体"/>
          <w:bCs/>
          <w:color w:val="auto"/>
          <w:sz w:val="28"/>
          <w:szCs w:val="28"/>
        </w:rPr>
        <w:t>招标文件，决定参加贵单位组织的本项目的投标。我方授权</w:t>
      </w:r>
      <w:r>
        <w:rPr>
          <w:rFonts w:hint="eastAsia" w:ascii="宋体" w:hAnsi="宋体"/>
          <w:bCs/>
          <w:color w:val="auto"/>
          <w:sz w:val="28"/>
          <w:szCs w:val="28"/>
          <w:u w:val="single"/>
        </w:rPr>
        <w:t xml:space="preserve">XXX（姓名、职务）   </w:t>
      </w:r>
      <w:r>
        <w:rPr>
          <w:rFonts w:hint="eastAsia" w:ascii="宋体" w:hAnsi="宋体"/>
          <w:bCs/>
          <w:color w:val="auto"/>
          <w:sz w:val="28"/>
          <w:szCs w:val="28"/>
        </w:rPr>
        <w:t>代表我方</w:t>
      </w:r>
      <w:r>
        <w:rPr>
          <w:rFonts w:hint="eastAsia" w:ascii="宋体" w:hAnsi="宋体"/>
          <w:bCs/>
          <w:color w:val="auto"/>
          <w:sz w:val="28"/>
          <w:szCs w:val="28"/>
          <w:u w:val="single"/>
        </w:rPr>
        <w:t xml:space="preserve">XXX（投标人名称）   </w:t>
      </w:r>
      <w:r>
        <w:rPr>
          <w:rFonts w:hint="eastAsia" w:ascii="宋体" w:hAnsi="宋体"/>
          <w:bCs/>
          <w:color w:val="auto"/>
          <w:sz w:val="28"/>
          <w:szCs w:val="28"/>
        </w:rPr>
        <w:t>全权处理本项目投标的有关事宜。</w:t>
      </w:r>
    </w:p>
    <w:p>
      <w:pPr>
        <w:widowControl w:val="0"/>
        <w:numPr>
          <w:ilvl w:val="1"/>
          <w:numId w:val="32"/>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我方自愿按照招标文件规定的各项要求向采购人提供所需</w:t>
      </w:r>
      <w:r>
        <w:rPr>
          <w:rFonts w:hint="eastAsia" w:ascii="宋体" w:hAnsi="宋体"/>
          <w:color w:val="auto"/>
          <w:sz w:val="28"/>
          <w:szCs w:val="28"/>
          <w:lang w:eastAsia="zh-CN"/>
        </w:rPr>
        <w:t>货物</w:t>
      </w:r>
      <w:r>
        <w:rPr>
          <w:rFonts w:hint="eastAsia" w:ascii="宋体" w:hAnsi="宋体"/>
          <w:color w:val="auto"/>
          <w:sz w:val="28"/>
          <w:szCs w:val="28"/>
        </w:rPr>
        <w:t>，</w:t>
      </w:r>
      <w:r>
        <w:rPr>
          <w:rFonts w:hint="eastAsia" w:ascii="宋体" w:hAnsi="宋体"/>
          <w:b/>
          <w:color w:val="auto"/>
          <w:sz w:val="28"/>
          <w:szCs w:val="28"/>
        </w:rPr>
        <w:t>投标报价以《</w:t>
      </w:r>
      <w:r>
        <w:rPr>
          <w:rFonts w:hint="eastAsia" w:ascii="宋体" w:hAnsi="宋体"/>
          <w:b/>
          <w:color w:val="auto"/>
          <w:sz w:val="28"/>
          <w:szCs w:val="28"/>
          <w:lang w:eastAsia="zh-CN"/>
        </w:rPr>
        <w:t>开标一览表</w:t>
      </w:r>
      <w:r>
        <w:rPr>
          <w:rFonts w:hint="eastAsia" w:ascii="宋体" w:hAnsi="宋体"/>
          <w:b/>
          <w:color w:val="auto"/>
          <w:sz w:val="28"/>
          <w:szCs w:val="28"/>
        </w:rPr>
        <w:t>》为准</w:t>
      </w:r>
      <w:r>
        <w:rPr>
          <w:rFonts w:hint="eastAsia" w:ascii="宋体" w:hAnsi="宋体"/>
          <w:color w:val="auto"/>
          <w:sz w:val="28"/>
          <w:szCs w:val="28"/>
        </w:rPr>
        <w:t>。</w:t>
      </w:r>
    </w:p>
    <w:p>
      <w:pPr>
        <w:widowControl w:val="0"/>
        <w:numPr>
          <w:ilvl w:val="1"/>
          <w:numId w:val="32"/>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如果我方中标，我方将严格履行合同规定的责任和义务，否则将承担由此产生的一切责任。</w:t>
      </w:r>
    </w:p>
    <w:p>
      <w:pPr>
        <w:widowControl w:val="0"/>
        <w:numPr>
          <w:ilvl w:val="1"/>
          <w:numId w:val="32"/>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我方已知晓全部招标文件的内容，包括修改文件（如有）以及全部相关资料和有关附件，并对上述文件均无异议。</w:t>
      </w:r>
    </w:p>
    <w:p>
      <w:pPr>
        <w:widowControl w:val="0"/>
        <w:numPr>
          <w:ilvl w:val="1"/>
          <w:numId w:val="32"/>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投标有效期为从投标截止之日起120天。</w:t>
      </w:r>
    </w:p>
    <w:p>
      <w:pPr>
        <w:widowControl w:val="0"/>
        <w:numPr>
          <w:ilvl w:val="1"/>
          <w:numId w:val="32"/>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我方愿意提供贵中心可能另外要求的，与投标有关的文件资料，并保证我方已提供和将要提供的文件资料是真实、准确的，并对此承担一切法律后果。</w:t>
      </w:r>
    </w:p>
    <w:p>
      <w:pPr>
        <w:widowControl w:val="0"/>
        <w:numPr>
          <w:ilvl w:val="1"/>
          <w:numId w:val="32"/>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我单位联系方式：</w:t>
      </w:r>
    </w:p>
    <w:p>
      <w:pPr>
        <w:pStyle w:val="9"/>
        <w:spacing w:after="0" w:line="360" w:lineRule="auto"/>
        <w:ind w:leftChars="0" w:firstLine="484" w:firstLineChars="202"/>
        <w:rPr>
          <w:rFonts w:ascii="宋体" w:hAnsi="宋体"/>
          <w:color w:val="auto"/>
          <w:sz w:val="24"/>
          <w:szCs w:val="24"/>
          <w:u w:val="single"/>
        </w:rPr>
      </w:pPr>
      <w:r>
        <w:rPr>
          <w:rFonts w:hint="eastAsia" w:ascii="宋体" w:hAnsi="宋体"/>
          <w:color w:val="auto"/>
          <w:sz w:val="24"/>
          <w:szCs w:val="24"/>
        </w:rPr>
        <w:t>地    址：</w:t>
      </w:r>
      <w:r>
        <w:rPr>
          <w:rFonts w:hint="eastAsia" w:ascii="宋体" w:hAnsi="宋体"/>
          <w:color w:val="auto"/>
          <w:sz w:val="24"/>
          <w:szCs w:val="24"/>
          <w:u w:val="single"/>
        </w:rPr>
        <w:t>XXXX</w:t>
      </w:r>
    </w:p>
    <w:p>
      <w:pPr>
        <w:pStyle w:val="9"/>
        <w:spacing w:after="0" w:line="360" w:lineRule="auto"/>
        <w:ind w:leftChars="0" w:firstLine="484" w:firstLineChars="202"/>
        <w:rPr>
          <w:rFonts w:ascii="宋体" w:hAnsi="宋体"/>
          <w:bCs/>
          <w:color w:val="auto"/>
          <w:sz w:val="24"/>
          <w:szCs w:val="24"/>
        </w:rPr>
      </w:pPr>
      <w:r>
        <w:rPr>
          <w:rFonts w:hint="eastAsia" w:ascii="宋体" w:hAnsi="宋体"/>
          <w:color w:val="auto"/>
          <w:sz w:val="24"/>
          <w:szCs w:val="24"/>
        </w:rPr>
        <w:t>邮政编码：</w:t>
      </w:r>
      <w:r>
        <w:rPr>
          <w:rFonts w:hint="eastAsia" w:ascii="宋体" w:hAnsi="宋体"/>
          <w:color w:val="auto"/>
          <w:sz w:val="24"/>
          <w:szCs w:val="24"/>
          <w:u w:val="single"/>
        </w:rPr>
        <w:t>XXXX</w:t>
      </w:r>
    </w:p>
    <w:p>
      <w:pPr>
        <w:pStyle w:val="9"/>
        <w:spacing w:after="0" w:line="360" w:lineRule="auto"/>
        <w:ind w:leftChars="0" w:firstLine="484" w:firstLineChars="202"/>
        <w:rPr>
          <w:rFonts w:ascii="宋体" w:hAnsi="宋体"/>
          <w:color w:val="auto"/>
          <w:sz w:val="24"/>
          <w:szCs w:val="24"/>
        </w:rPr>
      </w:pPr>
      <w:r>
        <w:rPr>
          <w:rFonts w:hint="eastAsia" w:ascii="宋体" w:hAnsi="宋体"/>
          <w:bCs/>
          <w:color w:val="auto"/>
          <w:sz w:val="24"/>
          <w:szCs w:val="24"/>
        </w:rPr>
        <w:t>投标人名称：</w:t>
      </w:r>
      <w:r>
        <w:rPr>
          <w:rFonts w:hint="eastAsia" w:ascii="宋体" w:hAnsi="宋体"/>
          <w:color w:val="auto"/>
          <w:sz w:val="24"/>
          <w:szCs w:val="24"/>
          <w:u w:val="single"/>
        </w:rPr>
        <w:t>XXXXXXXX</w:t>
      </w:r>
    </w:p>
    <w:p>
      <w:pPr>
        <w:pStyle w:val="9"/>
        <w:spacing w:after="0" w:line="360" w:lineRule="auto"/>
        <w:ind w:leftChars="0" w:firstLine="484" w:firstLineChars="202"/>
        <w:rPr>
          <w:rFonts w:ascii="宋体" w:hAnsi="宋体"/>
          <w:color w:val="auto"/>
          <w:sz w:val="24"/>
          <w:szCs w:val="24"/>
        </w:rPr>
      </w:pPr>
      <w:r>
        <w:rPr>
          <w:rFonts w:hint="eastAsia" w:ascii="宋体" w:hAnsi="宋体"/>
          <w:color w:val="auto"/>
          <w:sz w:val="24"/>
          <w:szCs w:val="24"/>
        </w:rPr>
        <w:t>日    期：XX年XX月XX日</w:t>
      </w:r>
    </w:p>
    <w:p>
      <w:pPr>
        <w:pStyle w:val="9"/>
        <w:spacing w:after="0" w:line="360" w:lineRule="auto"/>
        <w:ind w:leftChars="0" w:firstLine="484" w:firstLineChars="202"/>
        <w:rPr>
          <w:rFonts w:ascii="宋体" w:hAnsi="宋体"/>
          <w:color w:val="auto"/>
          <w:sz w:val="24"/>
          <w:szCs w:val="24"/>
        </w:rPr>
      </w:pPr>
    </w:p>
    <w:p>
      <w:pPr>
        <w:rPr>
          <w:color w:val="auto"/>
        </w:rPr>
      </w:pPr>
      <w:r>
        <w:rPr>
          <w:rFonts w:hint="eastAsia"/>
          <w:color w:val="auto"/>
        </w:rPr>
        <w:br w:type="page"/>
      </w:r>
    </w:p>
    <w:p>
      <w:pPr>
        <w:pStyle w:val="6"/>
        <w:rPr>
          <w:color w:val="auto"/>
        </w:rPr>
      </w:pPr>
      <w:r>
        <w:rPr>
          <w:rFonts w:hint="eastAsia"/>
          <w:color w:val="auto"/>
          <w:lang w:eastAsia="zh-CN"/>
        </w:rPr>
        <w:t>开标一览</w:t>
      </w:r>
      <w:r>
        <w:rPr>
          <w:rFonts w:hint="eastAsia"/>
          <w:color w:val="auto"/>
        </w:rPr>
        <w:t>表</w:t>
      </w:r>
    </w:p>
    <w:p>
      <w:pPr>
        <w:rPr>
          <w:rFonts w:hint="eastAsia" w:ascii="宋体" w:hAnsi="宋体"/>
          <w:b/>
          <w:color w:val="auto"/>
          <w:sz w:val="28"/>
          <w:szCs w:val="28"/>
          <w:lang w:eastAsia="zh-CN"/>
        </w:rPr>
      </w:pPr>
      <w:bookmarkStart w:id="127" w:name="投标报价商品表_1595402154213"/>
      <w:bookmarkStart w:id="128" w:name="投标报价商品表_1593588008200"/>
      <w:r>
        <w:rPr>
          <w:rFonts w:hint="eastAsia" w:eastAsiaTheme="minorEastAsia"/>
          <w:b/>
          <w:color w:val="auto"/>
          <w:sz w:val="28"/>
          <w:u w:val="none"/>
          <w:lang w:eastAsia="zh-CN"/>
        </w:rPr>
        <w:t>项目名称：</w:t>
      </w:r>
      <w:r>
        <w:rPr>
          <w:rFonts w:hint="eastAsia" w:ascii="宋体" w:hAnsi="宋体"/>
          <w:b/>
          <w:color w:val="auto"/>
          <w:sz w:val="28"/>
          <w:szCs w:val="28"/>
          <w:lang w:eastAsia="zh-CN"/>
        </w:rPr>
        <w:t>崇州市现代教育技术服务中心LED显示屏采购项目</w:t>
      </w:r>
    </w:p>
    <w:p>
      <w:pPr>
        <w:rPr>
          <w:rFonts w:hint="eastAsia" w:eastAsiaTheme="minorEastAsia"/>
          <w:b/>
          <w:color w:val="auto"/>
          <w:sz w:val="28"/>
          <w:u w:val="none"/>
          <w:lang w:eastAsia="zh-CN"/>
        </w:rPr>
      </w:pPr>
      <w:r>
        <w:rPr>
          <w:rFonts w:hint="eastAsia" w:eastAsiaTheme="minorEastAsia"/>
          <w:b/>
          <w:color w:val="auto"/>
          <w:sz w:val="28"/>
          <w:u w:val="none"/>
          <w:lang w:eastAsia="zh-CN"/>
        </w:rPr>
        <w:t>项目编号：</w:t>
      </w:r>
      <w:r>
        <w:rPr>
          <w:rFonts w:hint="eastAsia"/>
          <w:b/>
          <w:color w:val="auto"/>
          <w:sz w:val="28"/>
          <w:u w:val="none"/>
          <w:lang w:eastAsia="zh-CN"/>
        </w:rPr>
        <w:t>ＸＸＸＸ</w:t>
      </w:r>
    </w:p>
    <w:tbl>
      <w:tblPr>
        <w:tblStyle w:val="16"/>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Pr>
          <w:p>
            <w:pPr>
              <w:widowControl w:val="0"/>
              <w:tabs>
                <w:tab w:val="left" w:pos="1134"/>
              </w:tabs>
              <w:spacing w:line="560" w:lineRule="exact"/>
              <w:jc w:val="center"/>
              <w:rPr>
                <w:rFonts w:ascii="宋体" w:hAnsi="宋体"/>
                <w:kern w:val="0"/>
                <w:sz w:val="28"/>
                <w:szCs w:val="28"/>
              </w:rPr>
            </w:pPr>
            <w:r>
              <w:rPr>
                <w:rFonts w:hint="eastAsia" w:ascii="宋体" w:hAnsi="宋体"/>
                <w:kern w:val="0"/>
                <w:sz w:val="28"/>
                <w:szCs w:val="28"/>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Pr>
          <w:p>
            <w:pPr>
              <w:widowControl w:val="0"/>
              <w:tabs>
                <w:tab w:val="left" w:pos="1134"/>
              </w:tabs>
              <w:spacing w:line="560" w:lineRule="exact"/>
              <w:jc w:val="both"/>
              <w:rPr>
                <w:rFonts w:ascii="宋体" w:hAnsi="宋体"/>
                <w:kern w:val="0"/>
                <w:sz w:val="28"/>
                <w:szCs w:val="28"/>
              </w:rPr>
            </w:pPr>
          </w:p>
        </w:tc>
      </w:tr>
    </w:tbl>
    <w:p>
      <w:pPr>
        <w:rPr>
          <w:rFonts w:hint="eastAsia" w:eastAsiaTheme="minorEastAsia"/>
          <w:b w:val="0"/>
          <w:color w:val="auto"/>
          <w:sz w:val="28"/>
          <w:u w:val="none"/>
          <w:lang w:eastAsia="zh-CN"/>
        </w:rPr>
      </w:pPr>
    </w:p>
    <w:p>
      <w:pPr>
        <w:tabs>
          <w:tab w:val="left" w:pos="1134"/>
        </w:tabs>
        <w:spacing w:line="560" w:lineRule="exact"/>
        <w:ind w:firstLine="427" w:firstLineChars="152"/>
        <w:rPr>
          <w:rFonts w:ascii="宋体" w:hAnsi="宋体"/>
          <w:b/>
          <w:bCs/>
          <w:sz w:val="28"/>
        </w:rPr>
      </w:pPr>
      <w:r>
        <w:rPr>
          <w:rFonts w:ascii="宋体" w:hAnsi="宋体"/>
          <w:b/>
          <w:sz w:val="28"/>
          <w:szCs w:val="28"/>
        </w:rPr>
        <w:t>投标报价</w:t>
      </w:r>
      <w:r>
        <w:rPr>
          <w:rFonts w:hint="eastAsia" w:ascii="宋体" w:hAnsi="宋体"/>
          <w:b/>
          <w:sz w:val="28"/>
          <w:szCs w:val="28"/>
        </w:rPr>
        <w:t>以投标人</w:t>
      </w:r>
      <w:r>
        <w:rPr>
          <w:rFonts w:ascii="宋体" w:hAnsi="宋体"/>
          <w:b/>
          <w:sz w:val="28"/>
          <w:szCs w:val="28"/>
        </w:rPr>
        <w:t>在</w:t>
      </w:r>
      <w:r>
        <w:rPr>
          <w:rFonts w:hint="eastAsia" w:ascii="宋体" w:hAnsi="宋体"/>
          <w:b/>
          <w:sz w:val="28"/>
          <w:szCs w:val="28"/>
        </w:rPr>
        <w:t>政府采购</w:t>
      </w:r>
      <w:r>
        <w:rPr>
          <w:rFonts w:ascii="宋体" w:hAnsi="宋体"/>
          <w:b/>
          <w:sz w:val="28"/>
          <w:szCs w:val="28"/>
        </w:rPr>
        <w:t>云平台</w:t>
      </w:r>
      <w:r>
        <w:rPr>
          <w:rFonts w:hint="eastAsia" w:ascii="宋体" w:hAnsi="宋体"/>
          <w:b/>
          <w:sz w:val="28"/>
          <w:szCs w:val="28"/>
        </w:rPr>
        <w:t>开标</w:t>
      </w:r>
      <w:r>
        <w:rPr>
          <w:rFonts w:ascii="宋体" w:hAnsi="宋体"/>
          <w:b/>
          <w:sz w:val="28"/>
          <w:szCs w:val="28"/>
        </w:rPr>
        <w:t>一览表中填写的报价为准</w:t>
      </w:r>
      <w:r>
        <w:rPr>
          <w:rFonts w:hint="eastAsia" w:ascii="宋体" w:hAnsi="宋体"/>
          <w:b/>
          <w:sz w:val="28"/>
          <w:szCs w:val="28"/>
        </w:rPr>
        <w:t>。</w:t>
      </w:r>
    </w:p>
    <w:p>
      <w:pPr>
        <w:rPr>
          <w:rFonts w:hint="eastAsia" w:eastAsiaTheme="minorEastAsia"/>
          <w:b w:val="0"/>
          <w:color w:val="auto"/>
          <w:sz w:val="28"/>
          <w:u w:val="none"/>
          <w:lang w:eastAsia="zh-CN"/>
        </w:rPr>
      </w:pPr>
    </w:p>
    <w:p>
      <w:pPr>
        <w:rPr>
          <w:rFonts w:hint="eastAsia" w:eastAsiaTheme="minorEastAsia"/>
          <w:b w:val="0"/>
          <w:color w:val="auto"/>
          <w:sz w:val="28"/>
          <w:u w:val="none"/>
          <w:lang w:eastAsia="zh-CN"/>
        </w:rPr>
      </w:pPr>
    </w:p>
    <w:p>
      <w:pPr>
        <w:jc w:val="center"/>
        <w:rPr>
          <w:rFonts w:hint="eastAsia"/>
          <w:b w:val="0"/>
          <w:color w:val="auto"/>
          <w:sz w:val="28"/>
          <w:u w:val="none"/>
          <w:lang w:eastAsia="zh-CN"/>
        </w:rPr>
      </w:pPr>
      <w:r>
        <w:rPr>
          <w:rFonts w:hint="eastAsia"/>
          <w:b w:val="0"/>
          <w:color w:val="auto"/>
          <w:sz w:val="28"/>
          <w:u w:val="none"/>
          <w:lang w:eastAsia="zh-CN"/>
        </w:rPr>
        <w:t>　　　　　</w:t>
      </w:r>
    </w:p>
    <w:p>
      <w:pPr>
        <w:jc w:val="center"/>
        <w:rPr>
          <w:rFonts w:hint="eastAsia"/>
          <w:b w:val="0"/>
          <w:color w:val="auto"/>
          <w:sz w:val="28"/>
          <w:u w:val="none"/>
          <w:lang w:eastAsia="zh-CN"/>
        </w:rPr>
      </w:pPr>
    </w:p>
    <w:p>
      <w:pPr>
        <w:jc w:val="center"/>
        <w:rPr>
          <w:rFonts w:hint="eastAsia"/>
          <w:b w:val="0"/>
          <w:color w:val="auto"/>
          <w:sz w:val="28"/>
          <w:u w:val="none"/>
          <w:lang w:eastAsia="zh-CN"/>
        </w:rPr>
      </w:pPr>
    </w:p>
    <w:p>
      <w:pPr>
        <w:jc w:val="center"/>
        <w:rPr>
          <w:rFonts w:hint="eastAsia"/>
          <w:b w:val="0"/>
          <w:color w:val="auto"/>
          <w:sz w:val="28"/>
          <w:u w:val="none"/>
          <w:lang w:eastAsia="zh-CN"/>
        </w:rPr>
      </w:pPr>
    </w:p>
    <w:p>
      <w:pPr>
        <w:rPr>
          <w:rFonts w:hint="eastAsia" w:eastAsiaTheme="minorEastAsia"/>
          <w:b/>
          <w:color w:val="auto"/>
          <w:sz w:val="28"/>
          <w:u w:val="none"/>
          <w:lang w:eastAsia="zh-CN"/>
        </w:rPr>
      </w:pPr>
    </w:p>
    <w:bookmarkEnd w:id="127"/>
    <w:p>
      <w:pPr>
        <w:rPr>
          <w:rFonts w:hint="eastAsia" w:eastAsiaTheme="minorEastAsia"/>
          <w:b w:val="0"/>
          <w:color w:val="auto"/>
          <w:sz w:val="28"/>
          <w:u w:val="none"/>
          <w:lang w:eastAsia="zh-CN"/>
        </w:rPr>
      </w:pPr>
    </w:p>
    <w:bookmarkEnd w:id="128"/>
    <w:p>
      <w:pPr>
        <w:rPr>
          <w:color w:val="auto"/>
          <w:sz w:val="28"/>
        </w:rPr>
      </w:pPr>
    </w:p>
    <w:p>
      <w:pPr>
        <w:rPr>
          <w:color w:val="auto"/>
        </w:rPr>
      </w:pPr>
      <w:r>
        <w:rPr>
          <w:rFonts w:hint="eastAsia"/>
          <w:color w:val="auto"/>
        </w:rPr>
        <w:br w:type="page"/>
      </w:r>
    </w:p>
    <w:p>
      <w:pPr>
        <w:pStyle w:val="6"/>
        <w:rPr>
          <w:color w:val="auto"/>
        </w:rPr>
      </w:pPr>
      <w:r>
        <w:rPr>
          <w:rFonts w:hint="eastAsia"/>
          <w:color w:val="auto"/>
        </w:rPr>
        <w:t>分项报价明细表</w:t>
      </w:r>
    </w:p>
    <w:p>
      <w:pPr>
        <w:rPr>
          <w:rFonts w:ascii="宋体" w:hAnsi="宋体"/>
          <w:b/>
          <w:color w:val="auto"/>
          <w:sz w:val="28"/>
          <w:u w:val="single"/>
        </w:rPr>
      </w:pPr>
      <w:r>
        <w:rPr>
          <w:rFonts w:hint="eastAsia" w:ascii="宋体" w:hAnsi="宋体"/>
          <w:b/>
          <w:color w:val="auto"/>
          <w:sz w:val="28"/>
        </w:rPr>
        <w:t>项目名称：</w:t>
      </w:r>
      <w:r>
        <w:rPr>
          <w:rFonts w:hint="eastAsia" w:ascii="宋体" w:hAnsi="宋体"/>
          <w:b/>
          <w:color w:val="auto"/>
          <w:sz w:val="28"/>
          <w:szCs w:val="28"/>
          <w:lang w:eastAsia="zh-CN"/>
        </w:rPr>
        <w:t>崇州市现代教育技术服务中心LED显示屏采购项目</w:t>
      </w:r>
    </w:p>
    <w:p>
      <w:pPr>
        <w:pStyle w:val="8"/>
        <w:tabs>
          <w:tab w:val="left" w:pos="7560"/>
        </w:tabs>
        <w:spacing w:after="0" w:line="240" w:lineRule="auto"/>
        <w:ind w:firstLine="0" w:firstLineChars="0"/>
        <w:rPr>
          <w:rFonts w:hint="eastAsia" w:ascii="宋体" w:hAnsi="宋体" w:eastAsiaTheme="minorEastAsia"/>
          <w:b/>
          <w:color w:val="auto"/>
          <w:sz w:val="28"/>
          <w:u w:val="single"/>
          <w:lang w:eastAsia="zh-CN"/>
        </w:rPr>
      </w:pPr>
      <w:r>
        <w:rPr>
          <w:rFonts w:hint="eastAsia" w:ascii="宋体" w:hAnsi="宋体"/>
          <w:b/>
          <w:color w:val="auto"/>
          <w:sz w:val="28"/>
        </w:rPr>
        <w:t>项目编号：</w:t>
      </w:r>
      <w:r>
        <w:rPr>
          <w:rFonts w:hint="eastAsia" w:ascii="宋体" w:hAnsi="宋体"/>
          <w:b/>
          <w:color w:val="auto"/>
          <w:sz w:val="28"/>
          <w:lang w:eastAsia="zh-CN"/>
        </w:rPr>
        <w:t>ＸＸＸＸＸ</w:t>
      </w:r>
    </w:p>
    <w:p>
      <w:pPr>
        <w:widowControl w:val="0"/>
        <w:numPr>
          <w:ilvl w:val="0"/>
          <w:numId w:val="0"/>
        </w:numPr>
        <w:tabs>
          <w:tab w:val="left" w:pos="567"/>
          <w:tab w:val="left" w:pos="7560"/>
        </w:tabs>
        <w:spacing w:after="0" w:line="240" w:lineRule="auto"/>
        <w:ind w:leftChars="0"/>
        <w:jc w:val="both"/>
        <w:rPr>
          <w:rFonts w:ascii="宋体" w:hAnsi="宋体"/>
          <w:b/>
          <w:color w:val="auto"/>
          <w:sz w:val="28"/>
        </w:rPr>
      </w:pPr>
      <w:r>
        <w:rPr>
          <w:rFonts w:hint="eastAsia" w:ascii="宋体" w:hAnsi="宋体"/>
          <w:b/>
          <w:color w:val="auto"/>
          <w:sz w:val="28"/>
          <w:lang w:eastAsia="zh-CN"/>
        </w:rPr>
        <w:t>　　</w:t>
      </w:r>
      <w:r>
        <w:rPr>
          <w:rFonts w:hint="eastAsia" w:ascii="宋体" w:hAnsi="宋体"/>
          <w:b/>
          <w:color w:val="auto"/>
          <w:sz w:val="28"/>
        </w:rPr>
        <w:t>分项报价明细表（说明：投标人应根据其投标报价的构成提供详细的分项价格明细表。）</w:t>
      </w:r>
    </w:p>
    <w:tbl>
      <w:tblPr>
        <w:tblStyle w:val="15"/>
        <w:tblW w:w="93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935"/>
        <w:gridCol w:w="935"/>
        <w:gridCol w:w="935"/>
        <w:gridCol w:w="935"/>
        <w:gridCol w:w="935"/>
        <w:gridCol w:w="935"/>
        <w:gridCol w:w="935"/>
        <w:gridCol w:w="93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jc w:val="center"/>
        </w:trPr>
        <w:tc>
          <w:tcPr>
            <w:tcW w:w="935" w:type="dxa"/>
            <w:vAlign w:val="center"/>
          </w:tcPr>
          <w:p>
            <w:pPr>
              <w:keepNext w:val="0"/>
              <w:keepLines w:val="0"/>
              <w:pageBreakBefore w:val="0"/>
              <w:widowControl/>
              <w:kinsoku/>
              <w:wordWrap/>
              <w:overflowPunct/>
              <w:topLinePunct w:val="0"/>
              <w:autoSpaceDE/>
              <w:autoSpaceDN/>
              <w:bidi w:val="0"/>
              <w:adjustRightInd/>
              <w:snapToGrid/>
              <w:spacing w:after="0" w:line="280" w:lineRule="exact"/>
              <w:jc w:val="center"/>
              <w:textAlignment w:val="auto"/>
              <w:rPr>
                <w:rFonts w:ascii="宋体" w:hAnsi="宋体"/>
                <w:b/>
                <w:color w:val="auto"/>
                <w:sz w:val="28"/>
                <w:szCs w:val="28"/>
              </w:rPr>
            </w:pPr>
            <w:r>
              <w:rPr>
                <w:rFonts w:hint="eastAsia" w:ascii="宋体" w:hAnsi="宋体"/>
                <w:b/>
                <w:color w:val="auto"/>
                <w:sz w:val="28"/>
                <w:szCs w:val="28"/>
              </w:rPr>
              <w:t>序号</w:t>
            </w:r>
          </w:p>
        </w:tc>
        <w:tc>
          <w:tcPr>
            <w:tcW w:w="935" w:type="dxa"/>
            <w:vAlign w:val="center"/>
          </w:tcPr>
          <w:p>
            <w:pPr>
              <w:keepNext w:val="0"/>
              <w:keepLines w:val="0"/>
              <w:pageBreakBefore w:val="0"/>
              <w:widowControl/>
              <w:kinsoku/>
              <w:wordWrap/>
              <w:overflowPunct/>
              <w:topLinePunct w:val="0"/>
              <w:autoSpaceDE/>
              <w:autoSpaceDN/>
              <w:bidi w:val="0"/>
              <w:adjustRightInd/>
              <w:snapToGrid/>
              <w:spacing w:after="0" w:line="280" w:lineRule="exact"/>
              <w:jc w:val="center"/>
              <w:textAlignment w:val="auto"/>
              <w:rPr>
                <w:rFonts w:ascii="宋体" w:hAnsi="宋体"/>
                <w:b/>
                <w:color w:val="auto"/>
                <w:sz w:val="28"/>
                <w:szCs w:val="28"/>
              </w:rPr>
            </w:pPr>
            <w:r>
              <w:rPr>
                <w:rFonts w:hint="eastAsia" w:ascii="宋体" w:hAnsi="宋体"/>
                <w:b/>
                <w:color w:val="auto"/>
                <w:sz w:val="28"/>
                <w:szCs w:val="28"/>
              </w:rPr>
              <w:t>产品名称</w:t>
            </w:r>
          </w:p>
        </w:tc>
        <w:tc>
          <w:tcPr>
            <w:tcW w:w="935" w:type="dxa"/>
            <w:vAlign w:val="center"/>
          </w:tcPr>
          <w:p>
            <w:pPr>
              <w:keepNext w:val="0"/>
              <w:keepLines w:val="0"/>
              <w:pageBreakBefore w:val="0"/>
              <w:widowControl/>
              <w:kinsoku/>
              <w:wordWrap/>
              <w:overflowPunct/>
              <w:topLinePunct w:val="0"/>
              <w:autoSpaceDE/>
              <w:autoSpaceDN/>
              <w:bidi w:val="0"/>
              <w:adjustRightInd/>
              <w:snapToGrid/>
              <w:spacing w:after="0" w:line="280" w:lineRule="exact"/>
              <w:jc w:val="center"/>
              <w:textAlignment w:val="auto"/>
              <w:rPr>
                <w:rFonts w:ascii="宋体" w:hAnsi="宋体"/>
                <w:b/>
                <w:color w:val="auto"/>
                <w:sz w:val="28"/>
                <w:szCs w:val="28"/>
              </w:rPr>
            </w:pPr>
            <w:r>
              <w:rPr>
                <w:rFonts w:hint="eastAsia" w:ascii="宋体" w:hAnsi="宋体"/>
                <w:b/>
                <w:color w:val="auto"/>
                <w:sz w:val="28"/>
                <w:szCs w:val="28"/>
              </w:rPr>
              <w:t>品牌</w:t>
            </w:r>
          </w:p>
        </w:tc>
        <w:tc>
          <w:tcPr>
            <w:tcW w:w="935" w:type="dxa"/>
            <w:vAlign w:val="center"/>
          </w:tcPr>
          <w:p>
            <w:pPr>
              <w:keepNext w:val="0"/>
              <w:keepLines w:val="0"/>
              <w:pageBreakBefore w:val="0"/>
              <w:widowControl/>
              <w:kinsoku/>
              <w:wordWrap/>
              <w:overflowPunct/>
              <w:topLinePunct w:val="0"/>
              <w:autoSpaceDE/>
              <w:autoSpaceDN/>
              <w:bidi w:val="0"/>
              <w:adjustRightInd/>
              <w:snapToGrid/>
              <w:spacing w:after="0" w:line="280" w:lineRule="exact"/>
              <w:jc w:val="center"/>
              <w:textAlignment w:val="auto"/>
              <w:rPr>
                <w:rFonts w:ascii="宋体" w:hAnsi="宋体"/>
                <w:b/>
                <w:color w:val="auto"/>
                <w:sz w:val="28"/>
                <w:szCs w:val="28"/>
              </w:rPr>
            </w:pPr>
            <w:r>
              <w:rPr>
                <w:rFonts w:hint="eastAsia" w:ascii="宋体" w:hAnsi="宋体"/>
                <w:b/>
                <w:color w:val="auto"/>
                <w:sz w:val="28"/>
                <w:szCs w:val="28"/>
              </w:rPr>
              <w:t>规格型号</w:t>
            </w:r>
          </w:p>
        </w:tc>
        <w:tc>
          <w:tcPr>
            <w:tcW w:w="935" w:type="dxa"/>
            <w:vAlign w:val="center"/>
          </w:tcPr>
          <w:p>
            <w:pPr>
              <w:keepNext w:val="0"/>
              <w:keepLines w:val="0"/>
              <w:pageBreakBefore w:val="0"/>
              <w:widowControl/>
              <w:kinsoku/>
              <w:wordWrap/>
              <w:overflowPunct/>
              <w:topLinePunct w:val="0"/>
              <w:autoSpaceDE/>
              <w:autoSpaceDN/>
              <w:bidi w:val="0"/>
              <w:adjustRightInd/>
              <w:snapToGrid/>
              <w:spacing w:after="0" w:line="280" w:lineRule="exact"/>
              <w:jc w:val="both"/>
              <w:textAlignment w:val="auto"/>
              <w:rPr>
                <w:rFonts w:hint="eastAsia" w:ascii="宋体" w:hAnsi="宋体"/>
                <w:b/>
                <w:color w:val="auto"/>
                <w:sz w:val="28"/>
                <w:szCs w:val="28"/>
              </w:rPr>
            </w:pPr>
            <w:r>
              <w:rPr>
                <w:rFonts w:hint="eastAsia" w:ascii="宋体" w:hAnsi="宋体"/>
                <w:b/>
                <w:color w:val="auto"/>
                <w:sz w:val="28"/>
                <w:szCs w:val="28"/>
              </w:rPr>
              <w:t>生产</w:t>
            </w:r>
          </w:p>
          <w:p>
            <w:pPr>
              <w:keepNext w:val="0"/>
              <w:keepLines w:val="0"/>
              <w:pageBreakBefore w:val="0"/>
              <w:widowControl/>
              <w:kinsoku/>
              <w:wordWrap/>
              <w:overflowPunct/>
              <w:topLinePunct w:val="0"/>
              <w:autoSpaceDE/>
              <w:autoSpaceDN/>
              <w:bidi w:val="0"/>
              <w:adjustRightInd/>
              <w:snapToGrid/>
              <w:spacing w:after="0" w:line="280" w:lineRule="exact"/>
              <w:jc w:val="both"/>
              <w:textAlignment w:val="auto"/>
              <w:rPr>
                <w:rFonts w:ascii="宋体" w:hAnsi="宋体"/>
                <w:b/>
                <w:color w:val="auto"/>
                <w:sz w:val="28"/>
                <w:szCs w:val="28"/>
              </w:rPr>
            </w:pPr>
            <w:r>
              <w:rPr>
                <w:rFonts w:hint="eastAsia" w:ascii="宋体" w:hAnsi="宋体"/>
                <w:b/>
                <w:color w:val="auto"/>
                <w:sz w:val="28"/>
                <w:szCs w:val="28"/>
              </w:rPr>
              <w:t>厂商</w:t>
            </w:r>
          </w:p>
        </w:tc>
        <w:tc>
          <w:tcPr>
            <w:tcW w:w="935" w:type="dxa"/>
            <w:vAlign w:val="center"/>
          </w:tcPr>
          <w:p>
            <w:pPr>
              <w:keepNext w:val="0"/>
              <w:keepLines w:val="0"/>
              <w:pageBreakBefore w:val="0"/>
              <w:widowControl/>
              <w:kinsoku/>
              <w:wordWrap/>
              <w:overflowPunct/>
              <w:topLinePunct w:val="0"/>
              <w:autoSpaceDE/>
              <w:autoSpaceDN/>
              <w:bidi w:val="0"/>
              <w:adjustRightInd/>
              <w:snapToGrid/>
              <w:spacing w:after="0" w:line="280" w:lineRule="exact"/>
              <w:jc w:val="center"/>
              <w:textAlignment w:val="auto"/>
              <w:rPr>
                <w:rFonts w:hint="eastAsia" w:ascii="宋体" w:hAnsi="宋体" w:eastAsiaTheme="minorEastAsia"/>
                <w:b/>
                <w:color w:val="auto"/>
                <w:sz w:val="28"/>
                <w:szCs w:val="28"/>
                <w:lang w:eastAsia="zh-CN"/>
              </w:rPr>
            </w:pPr>
            <w:r>
              <w:rPr>
                <w:rFonts w:hint="eastAsia" w:ascii="宋体" w:hAnsi="宋体"/>
                <w:b/>
                <w:color w:val="auto"/>
                <w:sz w:val="28"/>
                <w:szCs w:val="28"/>
                <w:lang w:eastAsia="zh-CN"/>
              </w:rPr>
              <w:t>进口或国产</w:t>
            </w:r>
          </w:p>
        </w:tc>
        <w:tc>
          <w:tcPr>
            <w:tcW w:w="935" w:type="dxa"/>
            <w:vAlign w:val="center"/>
          </w:tcPr>
          <w:p>
            <w:pPr>
              <w:keepNext w:val="0"/>
              <w:keepLines w:val="0"/>
              <w:pageBreakBefore w:val="0"/>
              <w:widowControl/>
              <w:kinsoku/>
              <w:wordWrap/>
              <w:overflowPunct/>
              <w:topLinePunct w:val="0"/>
              <w:autoSpaceDE/>
              <w:autoSpaceDN/>
              <w:bidi w:val="0"/>
              <w:adjustRightInd/>
              <w:snapToGrid/>
              <w:spacing w:after="0" w:line="280" w:lineRule="exact"/>
              <w:jc w:val="center"/>
              <w:textAlignment w:val="auto"/>
              <w:rPr>
                <w:rFonts w:hint="eastAsia" w:ascii="宋体" w:hAnsi="宋体"/>
                <w:b/>
                <w:color w:val="auto"/>
                <w:sz w:val="28"/>
                <w:szCs w:val="28"/>
              </w:rPr>
            </w:pPr>
            <w:r>
              <w:rPr>
                <w:rFonts w:hint="eastAsia" w:ascii="宋体" w:hAnsi="宋体"/>
                <w:b/>
                <w:color w:val="auto"/>
                <w:sz w:val="28"/>
                <w:szCs w:val="28"/>
              </w:rPr>
              <w:t>数量</w:t>
            </w:r>
          </w:p>
        </w:tc>
        <w:tc>
          <w:tcPr>
            <w:tcW w:w="935" w:type="dxa"/>
            <w:vAlign w:val="center"/>
          </w:tcPr>
          <w:p>
            <w:pPr>
              <w:keepNext w:val="0"/>
              <w:keepLines w:val="0"/>
              <w:pageBreakBefore w:val="0"/>
              <w:widowControl/>
              <w:kinsoku/>
              <w:wordWrap/>
              <w:overflowPunct/>
              <w:topLinePunct w:val="0"/>
              <w:autoSpaceDE/>
              <w:autoSpaceDN/>
              <w:bidi w:val="0"/>
              <w:adjustRightInd/>
              <w:snapToGrid/>
              <w:spacing w:after="0" w:line="280" w:lineRule="exact"/>
              <w:jc w:val="center"/>
              <w:textAlignment w:val="auto"/>
              <w:rPr>
                <w:rFonts w:hint="eastAsia" w:ascii="宋体" w:hAnsi="宋体" w:eastAsiaTheme="minorEastAsia"/>
                <w:b/>
                <w:color w:val="auto"/>
                <w:sz w:val="28"/>
                <w:szCs w:val="28"/>
                <w:lang w:eastAsia="zh-CN"/>
              </w:rPr>
            </w:pPr>
            <w:r>
              <w:rPr>
                <w:rFonts w:hint="eastAsia" w:ascii="宋体" w:hAnsi="宋体"/>
                <w:b/>
                <w:color w:val="auto"/>
                <w:sz w:val="28"/>
                <w:szCs w:val="28"/>
                <w:lang w:eastAsia="zh-CN"/>
              </w:rPr>
              <w:t>单位</w:t>
            </w:r>
          </w:p>
        </w:tc>
        <w:tc>
          <w:tcPr>
            <w:tcW w:w="935" w:type="dxa"/>
            <w:vAlign w:val="center"/>
          </w:tcPr>
          <w:p>
            <w:pPr>
              <w:keepNext w:val="0"/>
              <w:keepLines w:val="0"/>
              <w:pageBreakBefore w:val="0"/>
              <w:widowControl/>
              <w:kinsoku/>
              <w:wordWrap/>
              <w:overflowPunct/>
              <w:topLinePunct w:val="0"/>
              <w:autoSpaceDE/>
              <w:autoSpaceDN/>
              <w:bidi w:val="0"/>
              <w:adjustRightInd/>
              <w:snapToGrid/>
              <w:spacing w:after="0" w:line="280" w:lineRule="exact"/>
              <w:jc w:val="center"/>
              <w:textAlignment w:val="auto"/>
              <w:rPr>
                <w:rFonts w:hint="eastAsia" w:ascii="宋体" w:hAnsi="宋体"/>
                <w:b/>
                <w:color w:val="auto"/>
                <w:sz w:val="28"/>
                <w:szCs w:val="28"/>
              </w:rPr>
            </w:pPr>
            <w:r>
              <w:rPr>
                <w:rFonts w:hint="eastAsia" w:ascii="宋体" w:hAnsi="宋体"/>
                <w:b/>
                <w:color w:val="auto"/>
                <w:sz w:val="28"/>
                <w:szCs w:val="28"/>
              </w:rPr>
              <w:t>单价</w:t>
            </w:r>
          </w:p>
        </w:tc>
        <w:tc>
          <w:tcPr>
            <w:tcW w:w="936" w:type="dxa"/>
            <w:vAlign w:val="center"/>
          </w:tcPr>
          <w:p>
            <w:pPr>
              <w:keepNext w:val="0"/>
              <w:keepLines w:val="0"/>
              <w:pageBreakBefore w:val="0"/>
              <w:widowControl/>
              <w:kinsoku/>
              <w:wordWrap/>
              <w:overflowPunct/>
              <w:topLinePunct w:val="0"/>
              <w:autoSpaceDE/>
              <w:autoSpaceDN/>
              <w:bidi w:val="0"/>
              <w:adjustRightInd/>
              <w:snapToGrid/>
              <w:spacing w:after="0" w:line="280" w:lineRule="exact"/>
              <w:jc w:val="center"/>
              <w:textAlignment w:val="auto"/>
              <w:rPr>
                <w:rFonts w:ascii="宋体" w:hAnsi="宋体"/>
                <w:b/>
                <w:color w:val="auto"/>
                <w:sz w:val="28"/>
                <w:szCs w:val="28"/>
              </w:rPr>
            </w:pPr>
            <w:r>
              <w:rPr>
                <w:rFonts w:hint="eastAsia" w:ascii="宋体" w:hAnsi="宋体"/>
                <w:b/>
                <w:color w:val="auto"/>
                <w:sz w:val="28"/>
                <w:szCs w:val="28"/>
              </w:rPr>
              <w:t>总价</w:t>
            </w:r>
            <w:r>
              <w:rPr>
                <w:rFonts w:hint="eastAsia" w:ascii="宋体" w:hAnsi="宋体"/>
                <w:b/>
                <w:szCs w:val="28"/>
              </w:rPr>
              <w:t>（元）</w:t>
            </w:r>
            <w:r>
              <w:rPr>
                <w:rFonts w:hint="eastAsia" w:ascii="宋体" w:hAnsi="宋体"/>
                <w:b/>
                <w:bCs/>
                <w:sz w:val="24"/>
                <w:szCs w:val="28"/>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935" w:type="dxa"/>
            <w:vAlign w:val="center"/>
          </w:tcPr>
          <w:p>
            <w:pPr>
              <w:snapToGrid w:val="0"/>
              <w:spacing w:line="360" w:lineRule="auto"/>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1</w:t>
            </w:r>
          </w:p>
        </w:tc>
        <w:tc>
          <w:tcPr>
            <w:tcW w:w="935" w:type="dxa"/>
            <w:vAlign w:val="center"/>
          </w:tcPr>
          <w:p>
            <w:pPr>
              <w:spacing w:line="480" w:lineRule="exact"/>
              <w:jc w:val="center"/>
              <w:rPr>
                <w:rFonts w:ascii="宋体" w:hAnsi="宋体"/>
                <w:color w:val="auto"/>
                <w:szCs w:val="21"/>
              </w:rPr>
            </w:pPr>
            <w:r>
              <w:rPr>
                <w:rFonts w:hint="eastAsia" w:ascii="宋体" w:hAnsi="宋体" w:cs="宋体"/>
                <w:kern w:val="0"/>
                <w:szCs w:val="21"/>
              </w:rPr>
              <w:t>1.2米机柜</w:t>
            </w: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3</w:t>
            </w:r>
          </w:p>
        </w:tc>
        <w:tc>
          <w:tcPr>
            <w:tcW w:w="935" w:type="dxa"/>
            <w:vAlign w:val="center"/>
          </w:tcPr>
          <w:p>
            <w:pPr>
              <w:spacing w:line="480" w:lineRule="exact"/>
              <w:jc w:val="center"/>
              <w:rPr>
                <w:rFonts w:hint="eastAsia" w:ascii="宋体" w:hAnsi="宋体" w:eastAsiaTheme="minorEastAsia"/>
                <w:color w:val="auto"/>
                <w:szCs w:val="21"/>
                <w:lang w:eastAsia="zh-CN"/>
              </w:rPr>
            </w:pPr>
            <w:r>
              <w:rPr>
                <w:rFonts w:hint="eastAsia" w:ascii="宋体" w:hAnsi="宋体"/>
                <w:color w:val="auto"/>
                <w:szCs w:val="21"/>
                <w:lang w:eastAsia="zh-CN"/>
              </w:rPr>
              <w:t>台</w:t>
            </w:r>
          </w:p>
        </w:tc>
        <w:tc>
          <w:tcPr>
            <w:tcW w:w="935" w:type="dxa"/>
            <w:vAlign w:val="center"/>
          </w:tcPr>
          <w:p>
            <w:pPr>
              <w:spacing w:line="480" w:lineRule="exact"/>
              <w:jc w:val="center"/>
              <w:rPr>
                <w:rFonts w:ascii="宋体" w:hAnsi="宋体"/>
                <w:color w:val="auto"/>
                <w:szCs w:val="21"/>
              </w:rPr>
            </w:pPr>
          </w:p>
        </w:tc>
        <w:tc>
          <w:tcPr>
            <w:tcW w:w="936"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935" w:type="dxa"/>
            <w:vAlign w:val="center"/>
          </w:tcPr>
          <w:p>
            <w:pPr>
              <w:snapToGrid w:val="0"/>
              <w:spacing w:line="360" w:lineRule="auto"/>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2</w:t>
            </w:r>
          </w:p>
        </w:tc>
        <w:tc>
          <w:tcPr>
            <w:tcW w:w="935" w:type="dxa"/>
            <w:vAlign w:val="center"/>
          </w:tcPr>
          <w:p>
            <w:pPr>
              <w:spacing w:line="480" w:lineRule="exact"/>
              <w:jc w:val="center"/>
              <w:rPr>
                <w:rFonts w:ascii="宋体" w:hAnsi="宋体"/>
                <w:color w:val="auto"/>
                <w:szCs w:val="21"/>
              </w:rPr>
            </w:pPr>
            <w:r>
              <w:rPr>
                <w:rFonts w:hint="eastAsia" w:ascii="宋体" w:hAnsi="宋体" w:cs="宋体"/>
                <w:kern w:val="0"/>
                <w:szCs w:val="21"/>
              </w:rPr>
              <w:t>图形工作站</w:t>
            </w: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3</w:t>
            </w:r>
          </w:p>
        </w:tc>
        <w:tc>
          <w:tcPr>
            <w:tcW w:w="935" w:type="dxa"/>
            <w:vAlign w:val="center"/>
          </w:tcPr>
          <w:p>
            <w:pPr>
              <w:spacing w:line="480" w:lineRule="exact"/>
              <w:jc w:val="center"/>
              <w:rPr>
                <w:rFonts w:hint="eastAsia" w:ascii="宋体" w:hAnsi="宋体" w:eastAsiaTheme="minorEastAsia"/>
                <w:color w:val="auto"/>
                <w:szCs w:val="21"/>
                <w:lang w:eastAsia="zh-CN"/>
              </w:rPr>
            </w:pPr>
            <w:r>
              <w:rPr>
                <w:rFonts w:hint="eastAsia" w:ascii="宋体" w:hAnsi="宋体"/>
                <w:color w:val="auto"/>
                <w:szCs w:val="21"/>
                <w:lang w:eastAsia="zh-CN"/>
              </w:rPr>
              <w:t>台</w:t>
            </w:r>
          </w:p>
        </w:tc>
        <w:tc>
          <w:tcPr>
            <w:tcW w:w="935" w:type="dxa"/>
            <w:vAlign w:val="center"/>
          </w:tcPr>
          <w:p>
            <w:pPr>
              <w:spacing w:line="480" w:lineRule="exact"/>
              <w:jc w:val="center"/>
              <w:rPr>
                <w:rFonts w:ascii="宋体" w:hAnsi="宋体"/>
                <w:color w:val="auto"/>
                <w:szCs w:val="21"/>
              </w:rPr>
            </w:pPr>
          </w:p>
        </w:tc>
        <w:tc>
          <w:tcPr>
            <w:tcW w:w="936"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935" w:type="dxa"/>
            <w:vAlign w:val="center"/>
          </w:tcPr>
          <w:p>
            <w:pPr>
              <w:snapToGrid w:val="0"/>
              <w:spacing w:line="360" w:lineRule="auto"/>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3</w:t>
            </w:r>
          </w:p>
        </w:tc>
        <w:tc>
          <w:tcPr>
            <w:tcW w:w="935" w:type="dxa"/>
            <w:vAlign w:val="center"/>
          </w:tcPr>
          <w:p>
            <w:pPr>
              <w:spacing w:line="480" w:lineRule="exact"/>
              <w:jc w:val="center"/>
              <w:rPr>
                <w:rFonts w:ascii="宋体" w:hAnsi="宋体"/>
                <w:color w:val="auto"/>
                <w:szCs w:val="21"/>
              </w:rPr>
            </w:pPr>
            <w:r>
              <w:rPr>
                <w:rFonts w:hint="eastAsia" w:ascii="宋体" w:hAnsi="宋体" w:cs="宋体"/>
                <w:kern w:val="0"/>
                <w:szCs w:val="21"/>
              </w:rPr>
              <w:t>P4全彩LED屏</w:t>
            </w: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130.5</w:t>
            </w:r>
          </w:p>
        </w:tc>
        <w:tc>
          <w:tcPr>
            <w:tcW w:w="935" w:type="dxa"/>
            <w:vAlign w:val="center"/>
          </w:tcPr>
          <w:p>
            <w:pPr>
              <w:spacing w:line="480" w:lineRule="exact"/>
              <w:jc w:val="center"/>
              <w:rPr>
                <w:rFonts w:hint="eastAsia" w:ascii="宋体" w:hAnsi="宋体" w:eastAsiaTheme="minorEastAsia"/>
                <w:color w:val="auto"/>
                <w:szCs w:val="21"/>
                <w:lang w:eastAsia="zh-CN"/>
              </w:rPr>
            </w:pPr>
            <w:r>
              <w:rPr>
                <w:rFonts w:hint="eastAsia" w:ascii="宋体" w:hAnsi="宋体"/>
                <w:color w:val="auto"/>
                <w:szCs w:val="21"/>
                <w:lang w:eastAsia="zh-CN"/>
              </w:rPr>
              <w:t>平方</w:t>
            </w:r>
          </w:p>
        </w:tc>
        <w:tc>
          <w:tcPr>
            <w:tcW w:w="935" w:type="dxa"/>
            <w:vAlign w:val="center"/>
          </w:tcPr>
          <w:p>
            <w:pPr>
              <w:spacing w:line="480" w:lineRule="exact"/>
              <w:jc w:val="center"/>
              <w:rPr>
                <w:rFonts w:ascii="宋体" w:hAnsi="宋体"/>
                <w:color w:val="auto"/>
                <w:szCs w:val="21"/>
              </w:rPr>
            </w:pPr>
          </w:p>
        </w:tc>
        <w:tc>
          <w:tcPr>
            <w:tcW w:w="936"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935" w:type="dxa"/>
            <w:vAlign w:val="center"/>
          </w:tcPr>
          <w:p>
            <w:pPr>
              <w:snapToGrid w:val="0"/>
              <w:spacing w:line="360" w:lineRule="auto"/>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4</w:t>
            </w:r>
          </w:p>
        </w:tc>
        <w:tc>
          <w:tcPr>
            <w:tcW w:w="935" w:type="dxa"/>
            <w:vAlign w:val="center"/>
          </w:tcPr>
          <w:p>
            <w:pPr>
              <w:spacing w:line="480" w:lineRule="exact"/>
              <w:jc w:val="center"/>
              <w:rPr>
                <w:rFonts w:hint="eastAsia" w:ascii="宋体" w:hAnsi="宋体" w:cs="宋体"/>
                <w:kern w:val="0"/>
                <w:szCs w:val="21"/>
              </w:rPr>
            </w:pPr>
            <w:r>
              <w:rPr>
                <w:rFonts w:hint="eastAsia" w:ascii="宋体" w:hAnsi="宋体" w:cs="宋体"/>
                <w:kern w:val="0"/>
                <w:szCs w:val="21"/>
              </w:rPr>
              <w:t>接收卡</w:t>
            </w: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hint="default" w:ascii="宋体" w:hAnsi="宋体"/>
                <w:color w:val="auto"/>
                <w:szCs w:val="21"/>
                <w:lang w:val="en-US" w:eastAsia="zh-CN"/>
              </w:rPr>
            </w:pPr>
            <w:r>
              <w:rPr>
                <w:rFonts w:hint="eastAsia" w:ascii="宋体" w:hAnsi="宋体"/>
                <w:color w:val="auto"/>
                <w:szCs w:val="21"/>
                <w:lang w:val="en-US" w:eastAsia="zh-CN"/>
              </w:rPr>
              <w:t>3</w:t>
            </w:r>
          </w:p>
        </w:tc>
        <w:tc>
          <w:tcPr>
            <w:tcW w:w="935" w:type="dxa"/>
            <w:vAlign w:val="center"/>
          </w:tcPr>
          <w:p>
            <w:pPr>
              <w:spacing w:line="480" w:lineRule="exact"/>
              <w:jc w:val="center"/>
              <w:rPr>
                <w:rFonts w:hint="eastAsia" w:ascii="宋体" w:hAnsi="宋体"/>
                <w:color w:val="auto"/>
                <w:szCs w:val="21"/>
                <w:lang w:eastAsia="zh-CN"/>
              </w:rPr>
            </w:pPr>
            <w:r>
              <w:rPr>
                <w:rFonts w:hint="eastAsia" w:ascii="宋体" w:hAnsi="宋体"/>
                <w:color w:val="auto"/>
                <w:szCs w:val="21"/>
                <w:lang w:eastAsia="zh-CN"/>
              </w:rPr>
              <w:t>套</w:t>
            </w:r>
          </w:p>
        </w:tc>
        <w:tc>
          <w:tcPr>
            <w:tcW w:w="935" w:type="dxa"/>
            <w:vAlign w:val="center"/>
          </w:tcPr>
          <w:p>
            <w:pPr>
              <w:spacing w:line="480" w:lineRule="exact"/>
              <w:jc w:val="center"/>
              <w:rPr>
                <w:rFonts w:ascii="宋体" w:hAnsi="宋体"/>
                <w:color w:val="auto"/>
                <w:szCs w:val="21"/>
              </w:rPr>
            </w:pPr>
          </w:p>
        </w:tc>
        <w:tc>
          <w:tcPr>
            <w:tcW w:w="936"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935" w:type="dxa"/>
            <w:vAlign w:val="center"/>
          </w:tcPr>
          <w:p>
            <w:pPr>
              <w:snapToGrid w:val="0"/>
              <w:spacing w:line="360" w:lineRule="auto"/>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5</w:t>
            </w:r>
          </w:p>
        </w:tc>
        <w:tc>
          <w:tcPr>
            <w:tcW w:w="935" w:type="dxa"/>
            <w:vAlign w:val="center"/>
          </w:tcPr>
          <w:p>
            <w:pPr>
              <w:spacing w:line="480" w:lineRule="exact"/>
              <w:jc w:val="center"/>
              <w:rPr>
                <w:rFonts w:hint="eastAsia" w:ascii="宋体" w:hAnsi="宋体" w:cs="宋体"/>
                <w:kern w:val="0"/>
                <w:szCs w:val="21"/>
              </w:rPr>
            </w:pPr>
            <w:r>
              <w:rPr>
                <w:rFonts w:hint="eastAsia" w:ascii="宋体" w:hAnsi="宋体" w:cs="宋体"/>
                <w:kern w:val="0"/>
                <w:szCs w:val="21"/>
              </w:rPr>
              <w:t>支架及箱体</w:t>
            </w: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hint="eastAsia" w:ascii="宋体" w:hAnsi="宋体"/>
                <w:color w:val="auto"/>
                <w:szCs w:val="21"/>
                <w:lang w:val="en-US" w:eastAsia="zh-CN"/>
              </w:rPr>
            </w:pPr>
            <w:r>
              <w:rPr>
                <w:rFonts w:hint="eastAsia" w:ascii="宋体" w:hAnsi="宋体"/>
                <w:color w:val="auto"/>
                <w:szCs w:val="21"/>
                <w:lang w:val="en-US" w:eastAsia="zh-CN"/>
              </w:rPr>
              <w:t>130.5</w:t>
            </w:r>
          </w:p>
        </w:tc>
        <w:tc>
          <w:tcPr>
            <w:tcW w:w="935" w:type="dxa"/>
            <w:vAlign w:val="center"/>
          </w:tcPr>
          <w:p>
            <w:pPr>
              <w:spacing w:line="480" w:lineRule="exact"/>
              <w:jc w:val="center"/>
              <w:rPr>
                <w:rFonts w:hint="eastAsia" w:ascii="宋体" w:hAnsi="宋体"/>
                <w:color w:val="auto"/>
                <w:szCs w:val="21"/>
                <w:lang w:eastAsia="zh-CN"/>
              </w:rPr>
            </w:pPr>
            <w:r>
              <w:rPr>
                <w:rFonts w:hint="eastAsia" w:ascii="宋体" w:hAnsi="宋体"/>
                <w:color w:val="auto"/>
                <w:szCs w:val="21"/>
                <w:lang w:eastAsia="zh-CN"/>
              </w:rPr>
              <w:t>平方</w:t>
            </w:r>
          </w:p>
        </w:tc>
        <w:tc>
          <w:tcPr>
            <w:tcW w:w="935" w:type="dxa"/>
            <w:vAlign w:val="center"/>
          </w:tcPr>
          <w:p>
            <w:pPr>
              <w:spacing w:line="480" w:lineRule="exact"/>
              <w:jc w:val="center"/>
              <w:rPr>
                <w:rFonts w:ascii="宋体" w:hAnsi="宋体"/>
                <w:color w:val="auto"/>
                <w:szCs w:val="21"/>
              </w:rPr>
            </w:pPr>
          </w:p>
        </w:tc>
        <w:tc>
          <w:tcPr>
            <w:tcW w:w="936"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935" w:type="dxa"/>
            <w:vAlign w:val="center"/>
          </w:tcPr>
          <w:p>
            <w:pPr>
              <w:snapToGrid w:val="0"/>
              <w:spacing w:line="360" w:lineRule="auto"/>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6</w:t>
            </w:r>
          </w:p>
        </w:tc>
        <w:tc>
          <w:tcPr>
            <w:tcW w:w="935" w:type="dxa"/>
            <w:vAlign w:val="center"/>
          </w:tcPr>
          <w:p>
            <w:pPr>
              <w:spacing w:line="480" w:lineRule="exact"/>
              <w:jc w:val="center"/>
              <w:rPr>
                <w:rFonts w:hint="eastAsia" w:ascii="宋体" w:hAnsi="宋体" w:cs="宋体"/>
                <w:kern w:val="0"/>
                <w:szCs w:val="21"/>
              </w:rPr>
            </w:pPr>
            <w:r>
              <w:rPr>
                <w:rFonts w:hint="eastAsia" w:ascii="宋体" w:hAnsi="宋体" w:cs="宋体"/>
                <w:kern w:val="0"/>
                <w:szCs w:val="21"/>
              </w:rPr>
              <w:t>视频处理器</w:t>
            </w: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hint="eastAsia" w:ascii="宋体" w:hAnsi="宋体"/>
                <w:color w:val="auto"/>
                <w:szCs w:val="21"/>
                <w:lang w:val="en-US" w:eastAsia="zh-CN"/>
              </w:rPr>
            </w:pPr>
            <w:r>
              <w:rPr>
                <w:rFonts w:hint="eastAsia" w:ascii="宋体" w:hAnsi="宋体"/>
                <w:color w:val="auto"/>
                <w:szCs w:val="21"/>
                <w:lang w:val="en-US" w:eastAsia="zh-CN"/>
              </w:rPr>
              <w:t>3</w:t>
            </w:r>
          </w:p>
        </w:tc>
        <w:tc>
          <w:tcPr>
            <w:tcW w:w="935" w:type="dxa"/>
            <w:vAlign w:val="center"/>
          </w:tcPr>
          <w:p>
            <w:pPr>
              <w:spacing w:line="480" w:lineRule="exact"/>
              <w:jc w:val="center"/>
              <w:rPr>
                <w:rFonts w:hint="eastAsia" w:ascii="宋体" w:hAnsi="宋体"/>
                <w:color w:val="auto"/>
                <w:szCs w:val="21"/>
                <w:lang w:eastAsia="zh-CN"/>
              </w:rPr>
            </w:pPr>
            <w:r>
              <w:rPr>
                <w:rFonts w:hint="eastAsia" w:ascii="宋体" w:hAnsi="宋体"/>
                <w:color w:val="auto"/>
                <w:szCs w:val="21"/>
                <w:lang w:eastAsia="zh-CN"/>
              </w:rPr>
              <w:t>台</w:t>
            </w:r>
          </w:p>
        </w:tc>
        <w:tc>
          <w:tcPr>
            <w:tcW w:w="935" w:type="dxa"/>
            <w:vAlign w:val="center"/>
          </w:tcPr>
          <w:p>
            <w:pPr>
              <w:spacing w:line="480" w:lineRule="exact"/>
              <w:jc w:val="center"/>
              <w:rPr>
                <w:rFonts w:ascii="宋体" w:hAnsi="宋体"/>
                <w:color w:val="auto"/>
                <w:szCs w:val="21"/>
              </w:rPr>
            </w:pPr>
          </w:p>
        </w:tc>
        <w:tc>
          <w:tcPr>
            <w:tcW w:w="936"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935" w:type="dxa"/>
            <w:vAlign w:val="center"/>
          </w:tcPr>
          <w:p>
            <w:pPr>
              <w:snapToGrid w:val="0"/>
              <w:spacing w:line="360" w:lineRule="auto"/>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7</w:t>
            </w:r>
          </w:p>
        </w:tc>
        <w:tc>
          <w:tcPr>
            <w:tcW w:w="935" w:type="dxa"/>
            <w:vAlign w:val="center"/>
          </w:tcPr>
          <w:p>
            <w:pPr>
              <w:spacing w:line="480" w:lineRule="exact"/>
              <w:jc w:val="center"/>
              <w:rPr>
                <w:rFonts w:hint="eastAsia" w:ascii="宋体" w:hAnsi="宋体" w:cs="宋体"/>
                <w:kern w:val="0"/>
                <w:szCs w:val="21"/>
              </w:rPr>
            </w:pPr>
            <w:r>
              <w:rPr>
                <w:rFonts w:hint="eastAsia" w:ascii="宋体" w:hAnsi="宋体" w:cs="宋体"/>
                <w:kern w:val="0"/>
                <w:szCs w:val="21"/>
              </w:rPr>
              <w:t>音箱系统</w:t>
            </w: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hint="eastAsia" w:ascii="宋体" w:hAnsi="宋体"/>
                <w:color w:val="auto"/>
                <w:szCs w:val="21"/>
                <w:lang w:val="en-US" w:eastAsia="zh-CN"/>
              </w:rPr>
            </w:pPr>
            <w:r>
              <w:rPr>
                <w:rFonts w:hint="eastAsia" w:ascii="宋体" w:hAnsi="宋体"/>
                <w:color w:val="auto"/>
                <w:szCs w:val="21"/>
                <w:lang w:val="en-US" w:eastAsia="zh-CN"/>
              </w:rPr>
              <w:t>3</w:t>
            </w:r>
          </w:p>
        </w:tc>
        <w:tc>
          <w:tcPr>
            <w:tcW w:w="935" w:type="dxa"/>
            <w:vAlign w:val="center"/>
          </w:tcPr>
          <w:p>
            <w:pPr>
              <w:spacing w:line="480" w:lineRule="exact"/>
              <w:jc w:val="center"/>
              <w:rPr>
                <w:rFonts w:hint="eastAsia" w:ascii="宋体" w:hAnsi="宋体"/>
                <w:color w:val="auto"/>
                <w:szCs w:val="21"/>
                <w:lang w:eastAsia="zh-CN"/>
              </w:rPr>
            </w:pPr>
            <w:r>
              <w:rPr>
                <w:rFonts w:hint="eastAsia" w:ascii="宋体" w:hAnsi="宋体"/>
                <w:color w:val="auto"/>
                <w:szCs w:val="21"/>
                <w:lang w:eastAsia="zh-CN"/>
              </w:rPr>
              <w:t>套</w:t>
            </w:r>
          </w:p>
        </w:tc>
        <w:tc>
          <w:tcPr>
            <w:tcW w:w="935" w:type="dxa"/>
            <w:vAlign w:val="center"/>
          </w:tcPr>
          <w:p>
            <w:pPr>
              <w:spacing w:line="480" w:lineRule="exact"/>
              <w:jc w:val="center"/>
              <w:rPr>
                <w:rFonts w:ascii="宋体" w:hAnsi="宋体"/>
                <w:color w:val="auto"/>
                <w:szCs w:val="21"/>
              </w:rPr>
            </w:pPr>
          </w:p>
        </w:tc>
        <w:tc>
          <w:tcPr>
            <w:tcW w:w="936"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935" w:type="dxa"/>
            <w:vAlign w:val="center"/>
          </w:tcPr>
          <w:p>
            <w:pPr>
              <w:snapToGrid w:val="0"/>
              <w:spacing w:line="360" w:lineRule="auto"/>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8</w:t>
            </w:r>
          </w:p>
        </w:tc>
        <w:tc>
          <w:tcPr>
            <w:tcW w:w="935" w:type="dxa"/>
            <w:vAlign w:val="center"/>
          </w:tcPr>
          <w:p>
            <w:pPr>
              <w:spacing w:line="480" w:lineRule="exact"/>
              <w:jc w:val="center"/>
              <w:rPr>
                <w:rFonts w:hint="eastAsia" w:ascii="宋体" w:hAnsi="宋体" w:cs="宋体"/>
                <w:kern w:val="0"/>
                <w:szCs w:val="21"/>
              </w:rPr>
            </w:pPr>
            <w:r>
              <w:rPr>
                <w:rFonts w:hint="eastAsia" w:ascii="宋体" w:hAnsi="宋体" w:cs="宋体"/>
                <w:kern w:val="0"/>
                <w:szCs w:val="21"/>
              </w:rPr>
              <w:t>散热系统</w:t>
            </w: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hint="eastAsia" w:ascii="宋体" w:hAnsi="宋体"/>
                <w:color w:val="auto"/>
                <w:szCs w:val="21"/>
                <w:lang w:val="en-US" w:eastAsia="zh-CN"/>
              </w:rPr>
            </w:pPr>
            <w:r>
              <w:rPr>
                <w:rFonts w:hint="eastAsia" w:ascii="宋体" w:hAnsi="宋体"/>
                <w:color w:val="auto"/>
                <w:szCs w:val="21"/>
                <w:lang w:val="en-US" w:eastAsia="zh-CN"/>
              </w:rPr>
              <w:t>3</w:t>
            </w:r>
          </w:p>
        </w:tc>
        <w:tc>
          <w:tcPr>
            <w:tcW w:w="935" w:type="dxa"/>
            <w:vAlign w:val="center"/>
          </w:tcPr>
          <w:p>
            <w:pPr>
              <w:spacing w:line="480" w:lineRule="exact"/>
              <w:jc w:val="center"/>
              <w:rPr>
                <w:rFonts w:hint="eastAsia" w:ascii="宋体" w:hAnsi="宋体"/>
                <w:color w:val="auto"/>
                <w:szCs w:val="21"/>
                <w:lang w:eastAsia="zh-CN"/>
              </w:rPr>
            </w:pPr>
            <w:r>
              <w:rPr>
                <w:rFonts w:hint="eastAsia" w:ascii="宋体" w:hAnsi="宋体"/>
                <w:color w:val="auto"/>
                <w:szCs w:val="21"/>
                <w:lang w:eastAsia="zh-CN"/>
              </w:rPr>
              <w:t>套</w:t>
            </w:r>
          </w:p>
        </w:tc>
        <w:tc>
          <w:tcPr>
            <w:tcW w:w="935" w:type="dxa"/>
            <w:vAlign w:val="center"/>
          </w:tcPr>
          <w:p>
            <w:pPr>
              <w:spacing w:line="480" w:lineRule="exact"/>
              <w:jc w:val="center"/>
              <w:rPr>
                <w:rFonts w:ascii="宋体" w:hAnsi="宋体"/>
                <w:color w:val="auto"/>
                <w:szCs w:val="21"/>
              </w:rPr>
            </w:pPr>
          </w:p>
        </w:tc>
        <w:tc>
          <w:tcPr>
            <w:tcW w:w="936"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935" w:type="dxa"/>
            <w:vAlign w:val="center"/>
          </w:tcPr>
          <w:p>
            <w:pPr>
              <w:snapToGrid w:val="0"/>
              <w:spacing w:line="360" w:lineRule="auto"/>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9</w:t>
            </w:r>
          </w:p>
        </w:tc>
        <w:tc>
          <w:tcPr>
            <w:tcW w:w="935" w:type="dxa"/>
            <w:vAlign w:val="center"/>
          </w:tcPr>
          <w:p>
            <w:pPr>
              <w:spacing w:line="480" w:lineRule="exact"/>
              <w:jc w:val="center"/>
              <w:rPr>
                <w:rFonts w:hint="eastAsia" w:ascii="宋体" w:hAnsi="宋体" w:cs="宋体"/>
                <w:kern w:val="0"/>
                <w:szCs w:val="21"/>
              </w:rPr>
            </w:pPr>
            <w:r>
              <w:rPr>
                <w:rFonts w:hint="eastAsia" w:ascii="宋体" w:hAnsi="宋体" w:cs="宋体"/>
                <w:kern w:val="0"/>
                <w:szCs w:val="21"/>
              </w:rPr>
              <w:t>防雷系统</w:t>
            </w: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hint="eastAsia" w:ascii="宋体" w:hAnsi="宋体"/>
                <w:color w:val="auto"/>
                <w:szCs w:val="21"/>
                <w:lang w:val="en-US" w:eastAsia="zh-CN"/>
              </w:rPr>
            </w:pPr>
            <w:r>
              <w:rPr>
                <w:rFonts w:hint="eastAsia" w:ascii="宋体" w:hAnsi="宋体"/>
                <w:color w:val="auto"/>
                <w:szCs w:val="21"/>
                <w:lang w:val="en-US" w:eastAsia="zh-CN"/>
              </w:rPr>
              <w:t>3</w:t>
            </w:r>
          </w:p>
        </w:tc>
        <w:tc>
          <w:tcPr>
            <w:tcW w:w="935" w:type="dxa"/>
            <w:vAlign w:val="center"/>
          </w:tcPr>
          <w:p>
            <w:pPr>
              <w:spacing w:line="480" w:lineRule="exact"/>
              <w:jc w:val="center"/>
              <w:rPr>
                <w:rFonts w:hint="eastAsia" w:ascii="宋体" w:hAnsi="宋体"/>
                <w:color w:val="auto"/>
                <w:szCs w:val="21"/>
                <w:lang w:eastAsia="zh-CN"/>
              </w:rPr>
            </w:pPr>
            <w:r>
              <w:rPr>
                <w:rFonts w:hint="eastAsia" w:ascii="宋体" w:hAnsi="宋体"/>
                <w:color w:val="auto"/>
                <w:szCs w:val="21"/>
                <w:lang w:eastAsia="zh-CN"/>
              </w:rPr>
              <w:t>套</w:t>
            </w:r>
          </w:p>
        </w:tc>
        <w:tc>
          <w:tcPr>
            <w:tcW w:w="935" w:type="dxa"/>
            <w:vAlign w:val="center"/>
          </w:tcPr>
          <w:p>
            <w:pPr>
              <w:spacing w:line="480" w:lineRule="exact"/>
              <w:jc w:val="center"/>
              <w:rPr>
                <w:rFonts w:ascii="宋体" w:hAnsi="宋体"/>
                <w:color w:val="auto"/>
                <w:szCs w:val="21"/>
              </w:rPr>
            </w:pPr>
          </w:p>
        </w:tc>
        <w:tc>
          <w:tcPr>
            <w:tcW w:w="936"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93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10</w:t>
            </w:r>
          </w:p>
        </w:tc>
        <w:tc>
          <w:tcPr>
            <w:tcW w:w="935" w:type="dxa"/>
            <w:vAlign w:val="center"/>
          </w:tcPr>
          <w:p>
            <w:pPr>
              <w:spacing w:line="480" w:lineRule="exact"/>
              <w:jc w:val="center"/>
              <w:rPr>
                <w:rFonts w:hint="eastAsia" w:ascii="宋体" w:hAnsi="宋体" w:cs="宋体"/>
                <w:kern w:val="0"/>
                <w:szCs w:val="21"/>
              </w:rPr>
            </w:pPr>
            <w:r>
              <w:rPr>
                <w:rFonts w:hint="eastAsia" w:ascii="宋体" w:hAnsi="宋体" w:cs="宋体"/>
                <w:kern w:val="0"/>
                <w:szCs w:val="21"/>
              </w:rPr>
              <w:t>配电系统</w:t>
            </w: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hint="eastAsia" w:ascii="宋体" w:hAnsi="宋体"/>
                <w:color w:val="auto"/>
                <w:szCs w:val="21"/>
                <w:lang w:val="en-US" w:eastAsia="zh-CN"/>
              </w:rPr>
            </w:pPr>
            <w:r>
              <w:rPr>
                <w:rFonts w:hint="eastAsia" w:ascii="宋体" w:hAnsi="宋体"/>
                <w:color w:val="auto"/>
                <w:szCs w:val="21"/>
                <w:lang w:val="en-US" w:eastAsia="zh-CN"/>
              </w:rPr>
              <w:t>3</w:t>
            </w:r>
          </w:p>
        </w:tc>
        <w:tc>
          <w:tcPr>
            <w:tcW w:w="935" w:type="dxa"/>
            <w:vAlign w:val="center"/>
          </w:tcPr>
          <w:p>
            <w:pPr>
              <w:spacing w:line="480" w:lineRule="exact"/>
              <w:jc w:val="center"/>
              <w:rPr>
                <w:rFonts w:hint="eastAsia" w:ascii="宋体" w:hAnsi="宋体"/>
                <w:color w:val="auto"/>
                <w:szCs w:val="21"/>
                <w:lang w:eastAsia="zh-CN"/>
              </w:rPr>
            </w:pPr>
            <w:r>
              <w:rPr>
                <w:rFonts w:hint="eastAsia" w:ascii="宋体" w:hAnsi="宋体"/>
                <w:color w:val="auto"/>
                <w:szCs w:val="21"/>
                <w:lang w:eastAsia="zh-CN"/>
              </w:rPr>
              <w:t>套</w:t>
            </w:r>
          </w:p>
        </w:tc>
        <w:tc>
          <w:tcPr>
            <w:tcW w:w="935" w:type="dxa"/>
            <w:vAlign w:val="center"/>
          </w:tcPr>
          <w:p>
            <w:pPr>
              <w:spacing w:line="480" w:lineRule="exact"/>
              <w:jc w:val="center"/>
              <w:rPr>
                <w:rFonts w:ascii="宋体" w:hAnsi="宋体"/>
                <w:color w:val="auto"/>
                <w:szCs w:val="21"/>
              </w:rPr>
            </w:pPr>
          </w:p>
        </w:tc>
        <w:tc>
          <w:tcPr>
            <w:tcW w:w="936"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93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11</w:t>
            </w:r>
          </w:p>
        </w:tc>
        <w:tc>
          <w:tcPr>
            <w:tcW w:w="935" w:type="dxa"/>
            <w:vAlign w:val="center"/>
          </w:tcPr>
          <w:p>
            <w:pPr>
              <w:widowControl/>
              <w:spacing w:after="0" w:line="240" w:lineRule="auto"/>
              <w:jc w:val="center"/>
              <w:rPr>
                <w:rFonts w:hint="eastAsia" w:ascii="宋体" w:hAnsi="宋体" w:cs="宋体"/>
                <w:kern w:val="0"/>
                <w:szCs w:val="21"/>
              </w:rPr>
            </w:pPr>
            <w:r>
              <w:rPr>
                <w:rFonts w:hint="eastAsia" w:ascii="宋体" w:hAnsi="宋体" w:cs="宋体"/>
                <w:kern w:val="0"/>
                <w:szCs w:val="21"/>
              </w:rPr>
              <w:t>电源线缆</w:t>
            </w: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widowControl/>
              <w:spacing w:after="0" w:line="240" w:lineRule="auto"/>
              <w:jc w:val="center"/>
              <w:rPr>
                <w:rFonts w:hint="eastAsia" w:ascii="宋体" w:hAnsi="宋体"/>
                <w:color w:val="auto"/>
                <w:szCs w:val="21"/>
                <w:lang w:val="en-US" w:eastAsia="zh-CN"/>
              </w:rPr>
            </w:pPr>
            <w:r>
              <w:rPr>
                <w:rFonts w:hint="eastAsia" w:ascii="宋体" w:hAnsi="宋体" w:cs="宋体"/>
                <w:kern w:val="0"/>
                <w:szCs w:val="21"/>
              </w:rPr>
              <w:t>700</w:t>
            </w:r>
          </w:p>
        </w:tc>
        <w:tc>
          <w:tcPr>
            <w:tcW w:w="935" w:type="dxa"/>
            <w:vAlign w:val="center"/>
          </w:tcPr>
          <w:p>
            <w:pPr>
              <w:widowControl/>
              <w:spacing w:after="0" w:line="240" w:lineRule="auto"/>
              <w:jc w:val="center"/>
              <w:rPr>
                <w:rFonts w:hint="eastAsia" w:ascii="宋体" w:hAnsi="宋体"/>
                <w:color w:val="auto"/>
                <w:szCs w:val="21"/>
                <w:lang w:eastAsia="zh-CN"/>
              </w:rPr>
            </w:pPr>
            <w:r>
              <w:rPr>
                <w:rFonts w:hint="eastAsia" w:ascii="宋体" w:hAnsi="宋体" w:cs="宋体"/>
                <w:kern w:val="0"/>
                <w:szCs w:val="21"/>
              </w:rPr>
              <w:t>米</w:t>
            </w:r>
          </w:p>
        </w:tc>
        <w:tc>
          <w:tcPr>
            <w:tcW w:w="935" w:type="dxa"/>
            <w:vAlign w:val="center"/>
          </w:tcPr>
          <w:p>
            <w:pPr>
              <w:spacing w:line="480" w:lineRule="exact"/>
              <w:jc w:val="center"/>
              <w:rPr>
                <w:rFonts w:ascii="宋体" w:hAnsi="宋体"/>
                <w:color w:val="auto"/>
                <w:szCs w:val="21"/>
              </w:rPr>
            </w:pPr>
          </w:p>
        </w:tc>
        <w:tc>
          <w:tcPr>
            <w:tcW w:w="936"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93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12</w:t>
            </w:r>
          </w:p>
        </w:tc>
        <w:tc>
          <w:tcPr>
            <w:tcW w:w="935" w:type="dxa"/>
            <w:vAlign w:val="center"/>
          </w:tcPr>
          <w:p>
            <w:pPr>
              <w:widowControl/>
              <w:spacing w:after="0" w:line="240" w:lineRule="auto"/>
              <w:jc w:val="center"/>
              <w:rPr>
                <w:rFonts w:hint="eastAsia" w:ascii="宋体" w:hAnsi="宋体" w:cs="宋体"/>
                <w:kern w:val="0"/>
                <w:szCs w:val="21"/>
              </w:rPr>
            </w:pPr>
            <w:r>
              <w:rPr>
                <w:rFonts w:hint="eastAsia" w:ascii="宋体" w:hAnsi="宋体" w:cs="宋体"/>
                <w:kern w:val="0"/>
                <w:szCs w:val="21"/>
              </w:rPr>
              <w:t>信号线缆</w:t>
            </w: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spacing w:line="480" w:lineRule="exact"/>
              <w:jc w:val="center"/>
              <w:rPr>
                <w:rFonts w:ascii="宋体" w:hAnsi="宋体"/>
                <w:color w:val="auto"/>
                <w:szCs w:val="21"/>
              </w:rPr>
            </w:pPr>
          </w:p>
        </w:tc>
        <w:tc>
          <w:tcPr>
            <w:tcW w:w="935" w:type="dxa"/>
            <w:vAlign w:val="center"/>
          </w:tcPr>
          <w:p>
            <w:pPr>
              <w:widowControl/>
              <w:spacing w:after="0" w:line="240" w:lineRule="auto"/>
              <w:jc w:val="center"/>
              <w:rPr>
                <w:rFonts w:hint="eastAsia" w:ascii="宋体" w:hAnsi="宋体"/>
                <w:color w:val="auto"/>
                <w:szCs w:val="21"/>
                <w:lang w:val="en-US" w:eastAsia="zh-CN"/>
              </w:rPr>
            </w:pPr>
            <w:r>
              <w:rPr>
                <w:rFonts w:hint="eastAsia" w:ascii="宋体" w:hAnsi="宋体" w:cs="宋体"/>
                <w:kern w:val="0"/>
                <w:szCs w:val="21"/>
              </w:rPr>
              <w:t>700</w:t>
            </w:r>
          </w:p>
        </w:tc>
        <w:tc>
          <w:tcPr>
            <w:tcW w:w="935" w:type="dxa"/>
            <w:vAlign w:val="center"/>
          </w:tcPr>
          <w:p>
            <w:pPr>
              <w:widowControl/>
              <w:spacing w:after="0" w:line="240" w:lineRule="auto"/>
              <w:jc w:val="center"/>
              <w:rPr>
                <w:rFonts w:hint="eastAsia" w:ascii="宋体" w:hAnsi="宋体"/>
                <w:color w:val="auto"/>
                <w:szCs w:val="21"/>
                <w:lang w:eastAsia="zh-CN"/>
              </w:rPr>
            </w:pPr>
            <w:r>
              <w:rPr>
                <w:rFonts w:hint="eastAsia" w:ascii="宋体" w:hAnsi="宋体" w:cs="宋体"/>
                <w:kern w:val="0"/>
                <w:szCs w:val="21"/>
              </w:rPr>
              <w:t>米</w:t>
            </w:r>
          </w:p>
        </w:tc>
        <w:tc>
          <w:tcPr>
            <w:tcW w:w="935" w:type="dxa"/>
            <w:vAlign w:val="center"/>
          </w:tcPr>
          <w:p>
            <w:pPr>
              <w:spacing w:line="480" w:lineRule="exact"/>
              <w:jc w:val="center"/>
              <w:rPr>
                <w:rFonts w:ascii="宋体" w:hAnsi="宋体"/>
                <w:color w:val="auto"/>
                <w:szCs w:val="21"/>
              </w:rPr>
            </w:pPr>
          </w:p>
        </w:tc>
        <w:tc>
          <w:tcPr>
            <w:tcW w:w="936" w:type="dxa"/>
            <w:vAlign w:val="center"/>
          </w:tcPr>
          <w:p>
            <w:pPr>
              <w:spacing w:line="480" w:lineRule="exact"/>
              <w:jc w:val="center"/>
              <w:rPr>
                <w:rFonts w:ascii="宋体" w:hAnsi="宋体"/>
                <w:color w:val="auto"/>
                <w:szCs w:val="21"/>
              </w:rPr>
            </w:pPr>
          </w:p>
        </w:tc>
      </w:tr>
    </w:tbl>
    <w:p>
      <w:pPr>
        <w:spacing w:line="360" w:lineRule="auto"/>
        <w:ind w:firstLine="419" w:firstLineChars="149"/>
        <w:rPr>
          <w:rFonts w:ascii="宋体" w:hAnsi="宋体"/>
          <w:b/>
          <w:sz w:val="28"/>
          <w:szCs w:val="28"/>
        </w:rPr>
      </w:pPr>
      <w:r>
        <w:rPr>
          <w:rFonts w:hint="eastAsia" w:ascii="宋体" w:hAnsi="宋体"/>
          <w:b/>
          <w:sz w:val="28"/>
          <w:szCs w:val="28"/>
        </w:rPr>
        <w:t>说明：</w:t>
      </w:r>
    </w:p>
    <w:p>
      <w:pPr>
        <w:spacing w:line="360" w:lineRule="auto"/>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360" w:lineRule="auto"/>
        <w:ind w:firstLine="422" w:firstLineChars="150"/>
        <w:rPr>
          <w:rFonts w:ascii="宋体" w:hAnsi="宋体"/>
          <w:b/>
          <w:sz w:val="28"/>
          <w:szCs w:val="28"/>
        </w:rPr>
      </w:pPr>
      <w:r>
        <w:rPr>
          <w:rFonts w:ascii="宋体" w:hAnsi="宋体"/>
          <w:b/>
          <w:sz w:val="28"/>
          <w:szCs w:val="28"/>
        </w:rPr>
        <w:t>2</w:t>
      </w:r>
      <w:r>
        <w:rPr>
          <w:rFonts w:hint="eastAsia" w:ascii="宋体" w:hAnsi="宋体"/>
          <w:b/>
          <w:sz w:val="28"/>
          <w:szCs w:val="28"/>
        </w:rPr>
        <w:t>、分项报价明细表格式中要求填写品牌、规格型号、制造商、进口或国产的，投标人必须载明其投标产品的品牌、规格型号、制造商、进口或国产。</w:t>
      </w:r>
    </w:p>
    <w:p>
      <w:pPr>
        <w:spacing w:line="360" w:lineRule="auto"/>
        <w:ind w:firstLine="422" w:firstLineChars="150"/>
        <w:rPr>
          <w:rFonts w:ascii="宋体" w:hAnsi="宋体"/>
          <w:b/>
          <w:sz w:val="28"/>
          <w:szCs w:val="28"/>
        </w:rPr>
      </w:pPr>
      <w:r>
        <w:rPr>
          <w:rFonts w:hint="eastAsia" w:ascii="宋体" w:hAnsi="宋体"/>
          <w:b/>
          <w:sz w:val="28"/>
          <w:szCs w:val="28"/>
        </w:rPr>
        <w:t>3.报价</w:t>
      </w:r>
      <w:r>
        <w:rPr>
          <w:rFonts w:ascii="宋体" w:hAnsi="宋体"/>
          <w:b/>
          <w:sz w:val="28"/>
          <w:szCs w:val="28"/>
        </w:rPr>
        <w:t>明细以投标人在政府采购云平台</w:t>
      </w:r>
      <w:r>
        <w:rPr>
          <w:rFonts w:hint="eastAsia" w:ascii="宋体" w:hAnsi="宋体"/>
          <w:b/>
          <w:sz w:val="28"/>
          <w:szCs w:val="28"/>
        </w:rPr>
        <w:t>报价</w:t>
      </w:r>
      <w:r>
        <w:rPr>
          <w:rFonts w:ascii="宋体" w:hAnsi="宋体"/>
          <w:b/>
          <w:sz w:val="28"/>
          <w:szCs w:val="28"/>
        </w:rPr>
        <w:t>明细表中填写的</w:t>
      </w:r>
      <w:r>
        <w:rPr>
          <w:rFonts w:hint="eastAsia" w:ascii="宋体" w:hAnsi="宋体"/>
          <w:b/>
          <w:sz w:val="28"/>
          <w:szCs w:val="28"/>
        </w:rPr>
        <w:t>为准</w:t>
      </w:r>
      <w:r>
        <w:rPr>
          <w:rFonts w:ascii="宋体" w:hAnsi="宋体"/>
          <w:b/>
          <w:sz w:val="28"/>
          <w:szCs w:val="28"/>
        </w:rPr>
        <w:t>。</w:t>
      </w:r>
    </w:p>
    <w:p>
      <w:pPr>
        <w:tabs>
          <w:tab w:val="left" w:pos="630"/>
          <w:tab w:val="left" w:pos="7560"/>
        </w:tabs>
        <w:spacing w:line="360" w:lineRule="auto"/>
        <w:rPr>
          <w:rFonts w:ascii="宋体" w:hAnsi="宋体"/>
          <w:color w:val="auto"/>
          <w:sz w:val="28"/>
          <w:szCs w:val="28"/>
        </w:rPr>
      </w:pPr>
    </w:p>
    <w:p>
      <w:pPr>
        <w:pStyle w:val="8"/>
        <w:ind w:firstLine="565" w:firstLineChars="202"/>
        <w:rPr>
          <w:rFonts w:ascii="宋体" w:hAnsi="宋体"/>
          <w:color w:val="auto"/>
          <w:sz w:val="28"/>
        </w:rPr>
      </w:pPr>
    </w:p>
    <w:p>
      <w:pPr>
        <w:pStyle w:val="6"/>
        <w:rPr>
          <w:color w:val="auto"/>
        </w:rPr>
      </w:pPr>
      <w:r>
        <w:rPr>
          <w:rFonts w:hint="eastAsia"/>
          <w:color w:val="auto"/>
        </w:rPr>
        <w:t>中小企业声明函</w:t>
      </w:r>
    </w:p>
    <w:p>
      <w:pPr>
        <w:spacing w:line="440" w:lineRule="exact"/>
        <w:ind w:firstLine="574" w:firstLineChars="196"/>
        <w:jc w:val="center"/>
        <w:rPr>
          <w:rFonts w:ascii="宋体" w:hAnsi="宋体"/>
          <w:b/>
          <w:sz w:val="28"/>
          <w:szCs w:val="28"/>
        </w:rPr>
      </w:pPr>
      <w:r>
        <w:rPr>
          <w:rFonts w:hint="eastAsia" w:ascii="宋体" w:hAnsi="宋体"/>
          <w:b/>
          <w:spacing w:val="6"/>
          <w:sz w:val="28"/>
          <w:szCs w:val="28"/>
        </w:rPr>
        <w:t>中小企业声明函</w:t>
      </w:r>
    </w:p>
    <w:p>
      <w:pPr>
        <w:spacing w:after="0" w:line="240" w:lineRule="auto"/>
        <w:jc w:val="left"/>
        <w:rPr>
          <w:rFonts w:ascii="宋体" w:hAnsi="宋体"/>
          <w:sz w:val="28"/>
          <w:szCs w:val="28"/>
        </w:rPr>
      </w:pPr>
      <w:r>
        <w:rPr>
          <w:rFonts w:hint="eastAsia" w:ascii="宋体" w:hAnsi="宋体"/>
          <w:sz w:val="28"/>
          <w:szCs w:val="28"/>
        </w:rPr>
        <w:t>本公司郑重声明，根据《政府采购促进中小企业发展管理办法》（财库﹝2020﹞46 号）的规定，本公司参加</w:t>
      </w:r>
      <w:r>
        <w:rPr>
          <w:rFonts w:hint="eastAsia" w:ascii="宋体" w:hAnsi="宋体"/>
          <w:b/>
          <w:sz w:val="28"/>
          <w:szCs w:val="28"/>
          <w:u w:val="single"/>
          <w:lang w:eastAsia="zh-CN"/>
        </w:rPr>
        <w:t>崇州市现代教育技术服务中心</w:t>
      </w:r>
      <w:r>
        <w:rPr>
          <w:rFonts w:hint="eastAsia" w:ascii="宋体" w:hAnsi="宋体"/>
          <w:sz w:val="28"/>
          <w:szCs w:val="28"/>
        </w:rPr>
        <w:t>（单位名称）的</w:t>
      </w:r>
      <w:r>
        <w:rPr>
          <w:rFonts w:hint="eastAsia" w:ascii="宋体" w:hAnsi="宋体"/>
          <w:b/>
          <w:sz w:val="28"/>
          <w:szCs w:val="28"/>
          <w:u w:val="single"/>
          <w:lang w:eastAsia="zh-CN"/>
        </w:rPr>
        <w:t>崇州市现代教育技术服务中心LED显示屏采购项目</w:t>
      </w:r>
      <w:r>
        <w:rPr>
          <w:rFonts w:hint="eastAsia" w:ascii="宋体" w:hAnsi="宋体"/>
          <w:sz w:val="28"/>
          <w:szCs w:val="28"/>
        </w:rPr>
        <w:t>（项目名称）采购活动，</w:t>
      </w:r>
      <w:r>
        <w:rPr>
          <w:rFonts w:hint="eastAsia" w:ascii="宋体" w:hAnsi="宋体"/>
          <w:b/>
          <w:sz w:val="28"/>
          <w:szCs w:val="28"/>
        </w:rPr>
        <w:t>提供的货物全部由符合政策要求的中小企业制造。</w:t>
      </w:r>
      <w:r>
        <w:rPr>
          <w:rFonts w:hint="eastAsia" w:ascii="宋体" w:hAnsi="宋体"/>
          <w:sz w:val="28"/>
          <w:szCs w:val="28"/>
        </w:rPr>
        <w:t>相关企业的具体情况如下：</w:t>
      </w:r>
    </w:p>
    <w:p>
      <w:pPr>
        <w:spacing w:line="480" w:lineRule="exact"/>
        <w:ind w:firstLine="561"/>
        <w:rPr>
          <w:rFonts w:ascii="宋体" w:hAnsi="宋体"/>
          <w:sz w:val="28"/>
          <w:szCs w:val="28"/>
        </w:rPr>
      </w:pPr>
      <w:r>
        <w:rPr>
          <w:rFonts w:hint="eastAsia" w:ascii="宋体" w:hAnsi="宋体"/>
          <w:sz w:val="28"/>
          <w:szCs w:val="28"/>
        </w:rPr>
        <w:t xml:space="preserve"> 1.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w:t>
      </w:r>
      <w:r>
        <w:rPr>
          <w:rFonts w:hint="eastAsia" w:ascii="宋体" w:hAnsi="宋体"/>
          <w:sz w:val="28"/>
          <w:szCs w:val="28"/>
          <w:u w:val="single"/>
          <w:lang w:eastAsia="zh-CN"/>
        </w:rPr>
        <w:t>其他电子设备制造</w:t>
      </w:r>
      <w:r>
        <w:rPr>
          <w:rFonts w:hint="eastAsia" w:ascii="宋体" w:hAnsi="宋体"/>
          <w:sz w:val="28"/>
          <w:szCs w:val="28"/>
          <w:u w:val="single"/>
        </w:rPr>
        <w:t>____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hint="eastAsia" w:ascii="宋体" w:hAnsi="宋体"/>
          <w:sz w:val="28"/>
          <w:szCs w:val="28"/>
        </w:rPr>
        <w:t xml:space="preserve">2.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hint="eastAsia" w:ascii="宋体" w:hAnsi="宋体"/>
          <w:sz w:val="28"/>
          <w:szCs w:val="28"/>
        </w:rPr>
        <w:t>…………</w:t>
      </w:r>
    </w:p>
    <w:p>
      <w:pPr>
        <w:spacing w:line="480" w:lineRule="exact"/>
        <w:ind w:firstLine="561"/>
        <w:rPr>
          <w:rFonts w:ascii="宋体" w:hAnsi="宋体"/>
          <w:sz w:val="28"/>
          <w:szCs w:val="28"/>
        </w:rPr>
      </w:pPr>
      <w:r>
        <w:rPr>
          <w:rFonts w:hint="eastAsia" w:ascii="宋体" w:hAnsi="宋体"/>
          <w:sz w:val="28"/>
          <w:szCs w:val="28"/>
        </w:rPr>
        <w:t>以上企业，不属于大企业的分支机构，不存在控股股东 为大企业的情形，也不存在与大企业的负责人为同一人的情形。</w:t>
      </w:r>
    </w:p>
    <w:p>
      <w:pPr>
        <w:spacing w:line="480" w:lineRule="exact"/>
        <w:ind w:firstLine="561"/>
        <w:rPr>
          <w:rFonts w:ascii="宋体" w:hAnsi="宋体"/>
          <w:sz w:val="28"/>
          <w:szCs w:val="28"/>
        </w:rPr>
      </w:pPr>
      <w:r>
        <w:rPr>
          <w:rFonts w:hint="eastAsia" w:ascii="宋体" w:hAnsi="宋体"/>
          <w:sz w:val="28"/>
          <w:szCs w:val="28"/>
        </w:rPr>
        <w:t>本企业对上述声明内容的真实性负责。如有虚假，将依法承担相应责任。</w:t>
      </w:r>
    </w:p>
    <w:p>
      <w:pPr>
        <w:spacing w:line="480" w:lineRule="exact"/>
        <w:ind w:right="280" w:firstLine="561"/>
        <w:jc w:val="right"/>
        <w:rPr>
          <w:rFonts w:ascii="宋体" w:hAnsi="宋体"/>
          <w:sz w:val="28"/>
          <w:szCs w:val="28"/>
        </w:rPr>
      </w:pPr>
      <w:r>
        <w:rPr>
          <w:rFonts w:hint="eastAsia" w:ascii="宋体" w:hAnsi="宋体"/>
          <w:sz w:val="28"/>
          <w:szCs w:val="28"/>
        </w:rPr>
        <w:t>企业名称：</w:t>
      </w:r>
      <w:r>
        <w:rPr>
          <w:rFonts w:hint="eastAsia" w:ascii="宋体" w:hAnsi="宋体"/>
          <w:sz w:val="28"/>
          <w:szCs w:val="28"/>
          <w:u w:val="single"/>
        </w:rPr>
        <w:t>___XXXX____</w:t>
      </w:r>
    </w:p>
    <w:p>
      <w:pPr>
        <w:spacing w:line="480" w:lineRule="exact"/>
        <w:ind w:firstLine="561"/>
        <w:rPr>
          <w:rFonts w:ascii="宋体" w:hAnsi="宋体"/>
          <w:sz w:val="28"/>
          <w:szCs w:val="28"/>
        </w:rPr>
      </w:pPr>
      <w:r>
        <w:rPr>
          <w:rFonts w:hint="eastAsia" w:ascii="宋体" w:hAnsi="宋体"/>
          <w:sz w:val="28"/>
          <w:szCs w:val="28"/>
        </w:rPr>
        <w:t xml:space="preserve">                                日 期：202X年XX月XX日</w:t>
      </w:r>
    </w:p>
    <w:p>
      <w:pPr>
        <w:pStyle w:val="25"/>
        <w:tabs>
          <w:tab w:val="left" w:pos="567"/>
          <w:tab w:val="left" w:pos="709"/>
          <w:tab w:val="left" w:pos="851"/>
        </w:tabs>
        <w:spacing w:line="520" w:lineRule="exact"/>
        <w:ind w:firstLine="0" w:firstLineChars="0"/>
        <w:rPr>
          <w:rFonts w:ascii="宋体" w:hAnsi="宋体" w:eastAsia="宋体"/>
          <w:b/>
          <w:sz w:val="28"/>
          <w:szCs w:val="28"/>
        </w:rPr>
      </w:pPr>
    </w:p>
    <w:p>
      <w:pPr>
        <w:pStyle w:val="25"/>
        <w:tabs>
          <w:tab w:val="left" w:pos="567"/>
          <w:tab w:val="left" w:pos="709"/>
          <w:tab w:val="left" w:pos="851"/>
        </w:tabs>
        <w:spacing w:line="520" w:lineRule="exact"/>
        <w:ind w:firstLine="0" w:firstLineChars="0"/>
        <w:rPr>
          <w:rFonts w:ascii="宋体" w:hAnsi="宋体" w:eastAsia="宋体"/>
          <w:b/>
          <w:sz w:val="28"/>
          <w:szCs w:val="28"/>
        </w:rPr>
      </w:pPr>
      <w:r>
        <w:rPr>
          <w:rFonts w:hint="eastAsia" w:ascii="宋体" w:hAnsi="宋体" w:eastAsia="宋体"/>
          <w:b/>
          <w:sz w:val="28"/>
          <w:szCs w:val="28"/>
        </w:rPr>
        <w:t>说明：</w:t>
      </w:r>
      <w:r>
        <w:rPr>
          <w:rFonts w:hint="eastAsia" w:ascii="宋体" w:hAnsi="宋体" w:eastAsia="宋体"/>
          <w:b/>
          <w:sz w:val="28"/>
          <w:szCs w:val="28"/>
          <w:vertAlign w:val="superscript"/>
        </w:rPr>
        <w:t>1</w:t>
      </w:r>
      <w:r>
        <w:rPr>
          <w:rFonts w:hint="eastAsia" w:ascii="宋体" w:hAnsi="宋体" w:eastAsia="宋体"/>
          <w:b/>
          <w:sz w:val="28"/>
          <w:szCs w:val="28"/>
        </w:rPr>
        <w:t>从业人员、营业收入、资产总额填报上一年度数据，无上一年度数据的新成立企业可不填报。</w:t>
      </w:r>
    </w:p>
    <w:p>
      <w:pPr>
        <w:spacing w:line="440" w:lineRule="exact"/>
        <w:rPr>
          <w:rFonts w:ascii="宋体" w:hAnsi="宋体"/>
          <w:color w:val="auto"/>
          <w:sz w:val="28"/>
          <w:szCs w:val="28"/>
        </w:rPr>
      </w:pPr>
    </w:p>
    <w:p>
      <w:pPr>
        <w:rPr>
          <w:color w:val="auto"/>
        </w:rPr>
      </w:pPr>
      <w:r>
        <w:rPr>
          <w:rFonts w:hint="eastAsia"/>
          <w:color w:val="auto"/>
        </w:rPr>
        <w:br w:type="page"/>
      </w:r>
    </w:p>
    <w:p>
      <w:pPr>
        <w:pStyle w:val="6"/>
        <w:rPr>
          <w:color w:val="auto"/>
        </w:rPr>
      </w:pPr>
      <w:r>
        <w:rPr>
          <w:rFonts w:hint="eastAsia"/>
          <w:color w:val="auto"/>
        </w:rPr>
        <w:t>残疾人福利性单位声明函</w:t>
      </w:r>
    </w:p>
    <w:p>
      <w:pPr>
        <w:spacing w:line="588" w:lineRule="exact"/>
        <w:ind w:firstLine="562" w:firstLineChars="200"/>
        <w:jc w:val="center"/>
        <w:rPr>
          <w:b/>
          <w:color w:val="auto"/>
          <w:sz w:val="28"/>
          <w:szCs w:val="28"/>
        </w:rPr>
      </w:pPr>
      <w:r>
        <w:rPr>
          <w:rFonts w:hint="eastAsia"/>
          <w:b/>
          <w:color w:val="auto"/>
          <w:sz w:val="28"/>
          <w:szCs w:val="28"/>
        </w:rPr>
        <w:t>残疾人福利性单位声明函</w:t>
      </w:r>
    </w:p>
    <w:p>
      <w:pPr>
        <w:spacing w:line="588" w:lineRule="exact"/>
        <w:ind w:firstLine="584" w:firstLineChars="200"/>
        <w:rPr>
          <w:rFonts w:ascii="宋体" w:hAnsi="宋体"/>
          <w:color w:val="auto"/>
          <w:spacing w:val="6"/>
          <w:sz w:val="28"/>
          <w:szCs w:val="28"/>
        </w:rPr>
      </w:pPr>
      <w:r>
        <w:rPr>
          <w:rFonts w:hint="eastAsia" w:ascii="宋体" w:hAnsi="宋体"/>
          <w:color w:val="auto"/>
          <w:spacing w:val="6"/>
          <w:sz w:val="28"/>
          <w:szCs w:val="28"/>
        </w:rPr>
        <w:t>本单位郑重声明，根据《财政部 民政部 中国残疾人联合会关于促进残疾人就业政府采购政策的通知》（财库〔2017〕141号）的规定，本单位参加</w:t>
      </w:r>
      <w:r>
        <w:rPr>
          <w:rFonts w:hint="eastAsia" w:ascii="宋体" w:hAnsi="宋体"/>
          <w:color w:val="auto"/>
          <w:spacing w:val="6"/>
          <w:sz w:val="28"/>
          <w:szCs w:val="28"/>
          <w:u w:val="single"/>
        </w:rPr>
        <w:t>_XXXX__</w:t>
      </w:r>
      <w:r>
        <w:rPr>
          <w:rFonts w:hint="eastAsia" w:ascii="宋体" w:hAnsi="宋体"/>
          <w:color w:val="auto"/>
          <w:spacing w:val="6"/>
          <w:sz w:val="28"/>
          <w:szCs w:val="28"/>
        </w:rPr>
        <w:t>单位的</w:t>
      </w:r>
      <w:r>
        <w:rPr>
          <w:rFonts w:hint="eastAsia" w:ascii="宋体" w:hAnsi="宋体"/>
          <w:color w:val="auto"/>
          <w:spacing w:val="6"/>
          <w:sz w:val="28"/>
          <w:szCs w:val="28"/>
          <w:u w:val="single"/>
        </w:rPr>
        <w:t>__XXXXX_</w:t>
      </w:r>
      <w:r>
        <w:rPr>
          <w:rFonts w:hint="eastAsia" w:ascii="宋体" w:hAnsi="宋体"/>
          <w:color w:val="auto"/>
          <w:spacing w:val="6"/>
          <w:sz w:val="28"/>
          <w:szCs w:val="28"/>
        </w:rPr>
        <w:t>项目采购活动提供</w:t>
      </w:r>
      <w:r>
        <w:rPr>
          <w:rFonts w:hint="eastAsia" w:ascii="宋体" w:hAnsi="宋体"/>
          <w:color w:val="auto"/>
          <w:spacing w:val="6"/>
          <w:sz w:val="28"/>
          <w:szCs w:val="28"/>
          <w:u w:val="single"/>
        </w:rPr>
        <w:t>XXXX</w:t>
      </w:r>
      <w:r>
        <w:rPr>
          <w:rFonts w:hint="eastAsia" w:ascii="宋体" w:hAnsi="宋体"/>
          <w:color w:val="auto"/>
          <w:spacing w:val="6"/>
          <w:sz w:val="28"/>
          <w:szCs w:val="28"/>
        </w:rPr>
        <w:t>（请填写：本单位或XX单位或本单位、XX单位）制造的货物，该单位为符合条件的残疾人福利性单位，不包括使用非残疾人福利性单位注册商标的货物。</w:t>
      </w:r>
    </w:p>
    <w:p>
      <w:pPr>
        <w:spacing w:line="588" w:lineRule="exact"/>
        <w:ind w:firstLine="584" w:firstLineChars="200"/>
        <w:rPr>
          <w:rFonts w:ascii="宋体" w:hAnsi="宋体"/>
          <w:color w:val="auto"/>
          <w:spacing w:val="6"/>
          <w:sz w:val="28"/>
          <w:szCs w:val="28"/>
        </w:rPr>
      </w:pPr>
      <w:r>
        <w:rPr>
          <w:rFonts w:hint="eastAsia" w:ascii="宋体" w:hAnsi="宋体"/>
          <w:color w:val="auto"/>
          <w:spacing w:val="6"/>
          <w:sz w:val="28"/>
          <w:szCs w:val="28"/>
        </w:rPr>
        <w:t>本单位对上述声明的真实性负责。如有虚假，将依法承担相应责任。</w:t>
      </w:r>
    </w:p>
    <w:p>
      <w:pPr>
        <w:tabs>
          <w:tab w:val="left" w:pos="3969"/>
        </w:tabs>
        <w:spacing w:line="588" w:lineRule="exact"/>
        <w:ind w:right="-58"/>
        <w:rPr>
          <w:rFonts w:hint="eastAsia"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r>
        <w:rPr>
          <w:rFonts w:hint="eastAsia" w:ascii="宋体" w:hAnsi="宋体"/>
          <w:color w:val="auto"/>
          <w:spacing w:val="6"/>
          <w:sz w:val="28"/>
          <w:szCs w:val="28"/>
        </w:rPr>
        <w:t>投标人名称：</w:t>
      </w:r>
      <w:r>
        <w:rPr>
          <w:rFonts w:hint="eastAsia" w:ascii="宋体" w:hAnsi="宋体"/>
          <w:color w:val="auto"/>
          <w:sz w:val="28"/>
          <w:u w:val="single"/>
          <w:lang w:val="zh-CN"/>
        </w:rPr>
        <w:t>XXXXXXXX</w:t>
      </w:r>
    </w:p>
    <w:p>
      <w:pPr>
        <w:tabs>
          <w:tab w:val="left" w:pos="3969"/>
        </w:tabs>
        <w:spacing w:line="588" w:lineRule="exact"/>
        <w:ind w:right="-58"/>
        <w:rPr>
          <w:rFonts w:ascii="宋体" w:hAnsi="宋体"/>
          <w:color w:val="auto"/>
          <w:spacing w:val="6"/>
          <w:sz w:val="28"/>
          <w:szCs w:val="28"/>
        </w:rPr>
      </w:pPr>
      <w:r>
        <w:rPr>
          <w:rFonts w:hint="eastAsia" w:ascii="宋体" w:hAnsi="宋体"/>
          <w:color w:val="auto"/>
          <w:spacing w:val="6"/>
          <w:sz w:val="28"/>
          <w:szCs w:val="28"/>
        </w:rPr>
        <w:t>日  期：</w:t>
      </w:r>
      <w:r>
        <w:rPr>
          <w:rFonts w:hint="eastAsia" w:ascii="宋体" w:hAnsi="宋体"/>
          <w:bCs/>
          <w:color w:val="auto"/>
          <w:sz w:val="28"/>
        </w:rPr>
        <w:t>20XX年XX月XX日</w:t>
      </w:r>
    </w:p>
    <w:p>
      <w:pPr>
        <w:spacing w:line="588" w:lineRule="exact"/>
        <w:ind w:firstLine="563"/>
        <w:rPr>
          <w:rFonts w:ascii="宋体" w:hAnsi="宋体"/>
          <w:color w:val="auto"/>
          <w:sz w:val="28"/>
          <w:szCs w:val="28"/>
        </w:rPr>
      </w:pPr>
      <w:r>
        <w:rPr>
          <w:rFonts w:hint="eastAsia" w:ascii="宋体" w:hAnsi="宋体"/>
          <w:b/>
          <w:color w:val="auto"/>
          <w:spacing w:val="6"/>
          <w:sz w:val="28"/>
          <w:szCs w:val="28"/>
        </w:rPr>
        <w:t>说明：</w:t>
      </w:r>
      <w:r>
        <w:rPr>
          <w:rFonts w:hint="eastAsia" w:ascii="宋体" w:hAnsi="宋体"/>
          <w:color w:val="auto"/>
          <w:spacing w:val="6"/>
          <w:sz w:val="28"/>
          <w:szCs w:val="28"/>
        </w:rPr>
        <w:t>1、</w:t>
      </w:r>
      <w:r>
        <w:rPr>
          <w:rFonts w:hint="eastAsia" w:ascii="宋体" w:hAnsi="宋体"/>
          <w:color w:val="auto"/>
          <w:sz w:val="28"/>
          <w:szCs w:val="28"/>
        </w:rPr>
        <w:t>如未提供残疾人福利性单位声明函，则其投标产品中的残疾人福利性单位生产的产品不能享受招标文件规定的价格扣除，但不影响投标人投标文件的有效性。</w:t>
      </w:r>
    </w:p>
    <w:p>
      <w:pPr>
        <w:numPr>
          <w:ilvl w:val="0"/>
          <w:numId w:val="5"/>
        </w:numPr>
        <w:spacing w:line="588" w:lineRule="exact"/>
        <w:ind w:left="568" w:leftChars="0" w:firstLine="560" w:firstLineChars="200"/>
        <w:rPr>
          <w:rFonts w:hint="eastAsia" w:ascii="宋体" w:hAnsi="宋体"/>
          <w:color w:val="auto"/>
          <w:sz w:val="28"/>
          <w:szCs w:val="28"/>
        </w:rPr>
      </w:pPr>
      <w:r>
        <w:rPr>
          <w:rFonts w:hint="eastAsia" w:ascii="宋体" w:hAnsi="宋体"/>
          <w:color w:val="auto"/>
          <w:sz w:val="28"/>
          <w:szCs w:val="28"/>
        </w:rPr>
        <w:t>如残疾人福利性单位声明函中制造货物的企业名称，与投标产品的生产厂商名称不一致的，则该部分投标产品不能享受招标文件规定的价格扣除，但不影响投标人投标文件的有效性。</w:t>
      </w:r>
    </w:p>
    <w:p>
      <w:pPr>
        <w:keepNext/>
        <w:keepLines/>
        <w:numPr>
          <w:ilvl w:val="0"/>
          <w:numId w:val="0"/>
        </w:numPr>
        <w:spacing w:line="360" w:lineRule="auto"/>
        <w:ind w:leftChars="0"/>
        <w:outlineLvl w:val="2"/>
        <w:rPr>
          <w:rFonts w:ascii="宋体" w:hAnsi="宋体"/>
          <w:sz w:val="28"/>
        </w:rPr>
      </w:pPr>
      <w:r>
        <w:rPr>
          <w:rFonts w:hint="default" w:ascii="Times New Roman" w:hAnsi="Times New Roman" w:cs="Times New Roman"/>
          <w:b/>
          <w:sz w:val="28"/>
          <w:szCs w:val="28"/>
          <w:lang w:val="en-US" w:eastAsia="zh-CN"/>
        </w:rPr>
        <w:t>3.</w:t>
      </w:r>
      <w:r>
        <w:rPr>
          <w:rFonts w:hint="eastAsia" w:cs="Times New Roman"/>
          <w:b/>
          <w:sz w:val="28"/>
          <w:szCs w:val="28"/>
          <w:lang w:val="en-US" w:eastAsia="zh-CN"/>
        </w:rPr>
        <w:t>3</w:t>
      </w:r>
      <w:r>
        <w:rPr>
          <w:rFonts w:hint="default" w:ascii="Times New Roman" w:hAnsi="Times New Roman" w:cs="Times New Roman"/>
          <w:b/>
          <w:sz w:val="28"/>
          <w:szCs w:val="28"/>
          <w:lang w:val="en-US" w:eastAsia="zh-CN"/>
        </w:rPr>
        <w:t>.</w:t>
      </w:r>
      <w:r>
        <w:rPr>
          <w:rFonts w:hint="eastAsia" w:cs="Times New Roman"/>
          <w:b/>
          <w:sz w:val="28"/>
          <w:szCs w:val="28"/>
          <w:lang w:val="en-US" w:eastAsia="zh-CN"/>
        </w:rPr>
        <w:t>6</w:t>
      </w:r>
      <w:r>
        <w:rPr>
          <w:rFonts w:hint="eastAsia" w:ascii="宋体" w:hAnsi="宋体"/>
          <w:b/>
          <w:sz w:val="28"/>
          <w:szCs w:val="28"/>
        </w:rPr>
        <w:t>投标产品</w:t>
      </w:r>
      <w:r>
        <w:rPr>
          <w:rFonts w:ascii="宋体" w:hAnsi="宋体"/>
          <w:b/>
          <w:sz w:val="28"/>
          <w:szCs w:val="28"/>
        </w:rPr>
        <w:t>制造商属于监狱企业的证明文件复印件</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firstLine="708" w:firstLineChars="253"/>
        <w:rPr>
          <w:rFonts w:ascii="宋体" w:hAnsi="宋体"/>
          <w:spacing w:val="6"/>
          <w:sz w:val="28"/>
          <w:szCs w:val="28"/>
        </w:rPr>
      </w:pPr>
      <w:r>
        <w:rPr>
          <w:rFonts w:hint="eastAsia"/>
          <w:sz w:val="28"/>
          <w:szCs w:val="28"/>
        </w:rPr>
        <w:t>投标</w:t>
      </w:r>
      <w:r>
        <w:rPr>
          <w:sz w:val="28"/>
          <w:szCs w:val="28"/>
        </w:rPr>
        <w:t>投标产品中为监狱企业制造的货物应提供由省级以上监狱管理局、戒毒管理局（含新疆生产建设兵团）出具的制造商属于监狱企业的证明文件复印件</w:t>
      </w:r>
      <w:r>
        <w:rPr>
          <w:rFonts w:hint="eastAsia"/>
          <w:sz w:val="28"/>
          <w:szCs w:val="28"/>
        </w:rPr>
        <w:t>。</w:t>
      </w:r>
    </w:p>
    <w:p>
      <w:pPr>
        <w:rPr>
          <w:color w:val="auto"/>
        </w:rPr>
      </w:pPr>
      <w:r>
        <w:rPr>
          <w:rFonts w:hint="eastAsia"/>
          <w:color w:val="auto"/>
        </w:rPr>
        <w:br w:type="page"/>
      </w:r>
    </w:p>
    <w:p>
      <w:pPr>
        <w:pStyle w:val="6"/>
        <w:numPr>
          <w:ilvl w:val="2"/>
          <w:numId w:val="0"/>
        </w:numPr>
        <w:ind w:leftChars="0"/>
        <w:rPr>
          <w:color w:val="auto"/>
        </w:rPr>
      </w:pPr>
      <w:r>
        <w:rPr>
          <w:rFonts w:hint="eastAsia" w:ascii="Times New Roman" w:hAnsi="Times New Roman" w:eastAsia="华文细黑" w:cs="Times New Roman"/>
          <w:color w:val="auto"/>
          <w:lang w:val="en-US" w:eastAsia="zh-CN"/>
        </w:rPr>
        <w:t>3.3.7</w:t>
      </w:r>
      <w:r>
        <w:rPr>
          <w:rFonts w:hint="eastAsia"/>
          <w:color w:val="auto"/>
        </w:rPr>
        <w:t>法定代表人身份证明书</w:t>
      </w:r>
    </w:p>
    <w:p>
      <w:pPr>
        <w:tabs>
          <w:tab w:val="left" w:pos="6300"/>
        </w:tabs>
        <w:spacing w:line="360" w:lineRule="auto"/>
        <w:ind w:firstLine="573"/>
        <w:rPr>
          <w:rFonts w:ascii="宋体" w:hAnsi="宋体"/>
          <w:color w:val="auto"/>
          <w:sz w:val="28"/>
          <w:u w:val="single"/>
          <w:lang w:val="zh-CN"/>
        </w:rPr>
      </w:pPr>
    </w:p>
    <w:p>
      <w:pPr>
        <w:tabs>
          <w:tab w:val="left" w:pos="6300"/>
        </w:tabs>
        <w:spacing w:line="360" w:lineRule="auto"/>
        <w:ind w:firstLine="573"/>
        <w:rPr>
          <w:rFonts w:ascii="宋体" w:hAnsi="宋体"/>
          <w:color w:val="auto"/>
          <w:sz w:val="28"/>
          <w:lang w:val="zh-CN"/>
        </w:rPr>
      </w:pP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（法定代表人姓名）   </w:t>
      </w:r>
      <w:r>
        <w:rPr>
          <w:rFonts w:hint="eastAsia" w:ascii="宋体" w:hAnsi="宋体"/>
          <w:color w:val="auto"/>
          <w:sz w:val="28"/>
          <w:lang w:val="zh-CN"/>
        </w:rPr>
        <w:t>在</w:t>
      </w: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 （投标人名称）  </w:t>
      </w:r>
      <w:r>
        <w:rPr>
          <w:rFonts w:hint="eastAsia" w:ascii="宋体" w:hAnsi="宋体"/>
          <w:color w:val="auto"/>
          <w:sz w:val="28"/>
          <w:lang w:val="zh-CN"/>
        </w:rPr>
        <w:t>处任</w:t>
      </w:r>
      <w:r>
        <w:rPr>
          <w:rFonts w:hint="eastAsia" w:ascii="宋体" w:hAnsi="宋体"/>
          <w:color w:val="auto"/>
          <w:sz w:val="28"/>
          <w:u w:val="single"/>
          <w:lang w:val="zh-CN"/>
        </w:rPr>
        <w:t xml:space="preserve">         （职务名称）        </w:t>
      </w:r>
      <w:r>
        <w:rPr>
          <w:rFonts w:hint="eastAsia" w:ascii="宋体" w:hAnsi="宋体"/>
          <w:color w:val="auto"/>
          <w:sz w:val="28"/>
          <w:lang w:val="zh-CN"/>
        </w:rPr>
        <w:t>职务，是</w:t>
      </w: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（投标人名称）    </w:t>
      </w:r>
      <w:r>
        <w:rPr>
          <w:rFonts w:hint="eastAsia" w:ascii="宋体" w:hAnsi="宋体"/>
          <w:color w:val="auto"/>
          <w:sz w:val="28"/>
          <w:lang w:val="zh-CN"/>
        </w:rPr>
        <w:t>的法定代表人。</w:t>
      </w: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r>
        <w:rPr>
          <w:rFonts w:hint="eastAsia" w:ascii="宋体" w:hAnsi="宋体"/>
          <w:color w:val="auto"/>
          <w:sz w:val="28"/>
          <w:lang w:val="zh-CN"/>
        </w:rPr>
        <w:t>特此证明。</w:t>
      </w: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spacing w:line="360" w:lineRule="auto"/>
        <w:rPr>
          <w:rFonts w:ascii="宋体" w:hAnsi="宋体"/>
          <w:color w:val="auto"/>
          <w:sz w:val="28"/>
          <w:lang w:val="zh-CN"/>
        </w:rPr>
      </w:pPr>
      <w:r>
        <w:rPr>
          <w:rFonts w:hint="eastAsia" w:ascii="宋体" w:hAnsi="宋体"/>
          <w:color w:val="auto"/>
          <w:sz w:val="28"/>
          <w:lang w:val="zh-CN"/>
        </w:rPr>
        <w:t>投标人名称：</w:t>
      </w:r>
      <w:r>
        <w:rPr>
          <w:rFonts w:hint="eastAsia" w:ascii="宋体" w:hAnsi="宋体"/>
          <w:color w:val="auto"/>
          <w:sz w:val="28"/>
          <w:szCs w:val="28"/>
          <w:u w:val="single"/>
        </w:rPr>
        <w:t>XXXXXXXX</w:t>
      </w:r>
    </w:p>
    <w:p>
      <w:pPr>
        <w:spacing w:line="360" w:lineRule="auto"/>
        <w:rPr>
          <w:rFonts w:ascii="宋体" w:hAnsi="宋体"/>
          <w:color w:val="auto"/>
          <w:sz w:val="28"/>
          <w:szCs w:val="28"/>
        </w:rPr>
      </w:pPr>
      <w:r>
        <w:rPr>
          <w:rFonts w:hint="eastAsia" w:ascii="宋体" w:hAnsi="宋体"/>
          <w:color w:val="auto"/>
          <w:sz w:val="28"/>
        </w:rPr>
        <w:t>日期：</w:t>
      </w:r>
      <w:r>
        <w:rPr>
          <w:rFonts w:hint="eastAsia" w:ascii="宋体" w:hAnsi="宋体"/>
          <w:color w:val="auto"/>
          <w:sz w:val="28"/>
          <w:szCs w:val="28"/>
          <w:u w:val="single"/>
        </w:rPr>
        <w:t>20XX</w:t>
      </w:r>
      <w:r>
        <w:rPr>
          <w:rFonts w:hint="eastAsia" w:ascii="宋体" w:hAnsi="宋体"/>
          <w:color w:val="auto"/>
          <w:sz w:val="28"/>
          <w:u w:val="single"/>
        </w:rPr>
        <w:t xml:space="preserve"> </w:t>
      </w:r>
      <w:r>
        <w:rPr>
          <w:rFonts w:hint="eastAsia" w:ascii="宋体" w:hAnsi="宋体"/>
          <w:color w:val="auto"/>
          <w:sz w:val="28"/>
        </w:rPr>
        <w:t>年</w:t>
      </w:r>
      <w:r>
        <w:rPr>
          <w:rFonts w:hint="eastAsia" w:ascii="宋体" w:hAnsi="宋体"/>
          <w:color w:val="auto"/>
          <w:sz w:val="28"/>
          <w:szCs w:val="28"/>
          <w:u w:val="single"/>
        </w:rPr>
        <w:t>XX</w:t>
      </w:r>
      <w:r>
        <w:rPr>
          <w:rFonts w:hint="eastAsia" w:ascii="宋体" w:hAnsi="宋体"/>
          <w:color w:val="auto"/>
          <w:sz w:val="28"/>
        </w:rPr>
        <w:t>月</w:t>
      </w:r>
      <w:r>
        <w:rPr>
          <w:rFonts w:hint="eastAsia" w:ascii="宋体" w:hAnsi="宋体"/>
          <w:color w:val="auto"/>
          <w:sz w:val="28"/>
          <w:szCs w:val="28"/>
          <w:u w:val="single"/>
        </w:rPr>
        <w:t>XX</w:t>
      </w:r>
      <w:r>
        <w:rPr>
          <w:rFonts w:hint="eastAsia" w:ascii="宋体" w:hAnsi="宋体"/>
          <w:color w:val="auto"/>
          <w:sz w:val="28"/>
        </w:rPr>
        <w:t>日</w:t>
      </w:r>
    </w:p>
    <w:p>
      <w:pPr>
        <w:tabs>
          <w:tab w:val="left" w:pos="6300"/>
        </w:tabs>
        <w:spacing w:line="360" w:lineRule="auto"/>
        <w:rPr>
          <w:rFonts w:ascii="宋体" w:hAnsi="宋体"/>
          <w:b/>
          <w:color w:val="auto"/>
          <w:sz w:val="28"/>
          <w:u w:val="single"/>
          <w:lang w:val="zh-CN"/>
        </w:rPr>
      </w:pPr>
    </w:p>
    <w:p>
      <w:pPr>
        <w:pStyle w:val="8"/>
        <w:ind w:firstLine="565" w:firstLineChars="202"/>
        <w:rPr>
          <w:rFonts w:ascii="宋体" w:hAnsi="宋体"/>
          <w:b/>
          <w:color w:val="auto"/>
          <w:sz w:val="28"/>
          <w:szCs w:val="28"/>
        </w:rPr>
      </w:pPr>
      <w:r>
        <w:rPr>
          <w:rFonts w:hint="eastAsia" w:ascii="宋体" w:hAnsi="宋体"/>
          <w:color w:val="auto"/>
          <w:sz w:val="28"/>
          <w:szCs w:val="28"/>
        </w:rPr>
        <w:t xml:space="preserve"> </w:t>
      </w:r>
      <w:r>
        <w:rPr>
          <w:rFonts w:hint="eastAsia" w:ascii="宋体" w:hAnsi="宋体"/>
          <w:b/>
          <w:color w:val="auto"/>
          <w:sz w:val="28"/>
          <w:szCs w:val="28"/>
        </w:rPr>
        <w:t>说明：上述证明文件在投标文件中附有法定代表人身份证复印件（身份证两面均应复印）或护照复印件（供应商的法定代表人为外籍人士的，则提供护照复印件）时才能生效。</w:t>
      </w:r>
    </w:p>
    <w:p>
      <w:pPr>
        <w:rPr>
          <w:color w:val="auto"/>
        </w:rPr>
      </w:pPr>
      <w:r>
        <w:rPr>
          <w:rFonts w:hint="eastAsia"/>
          <w:color w:val="auto"/>
        </w:rPr>
        <w:br w:type="page"/>
      </w:r>
    </w:p>
    <w:p>
      <w:pPr>
        <w:pStyle w:val="6"/>
        <w:numPr>
          <w:ilvl w:val="2"/>
          <w:numId w:val="0"/>
        </w:numPr>
        <w:ind w:leftChars="0"/>
        <w:rPr>
          <w:color w:val="auto"/>
        </w:rPr>
      </w:pPr>
      <w:r>
        <w:rPr>
          <w:rFonts w:hint="eastAsia" w:ascii="Times New Roman" w:hAnsi="Times New Roman" w:eastAsia="宋体" w:cs="Times New Roman"/>
          <w:color w:val="auto"/>
          <w:lang w:val="en-US" w:eastAsia="zh-CN"/>
        </w:rPr>
        <w:t>3.3.8</w:t>
      </w:r>
      <w:r>
        <w:rPr>
          <w:rFonts w:hint="eastAsia"/>
          <w:color w:val="auto"/>
        </w:rPr>
        <w:t>投标人基本情况表</w:t>
      </w:r>
    </w:p>
    <w:tbl>
      <w:tblPr>
        <w:tblStyle w:val="15"/>
        <w:tblW w:w="8520"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63"/>
        <w:gridCol w:w="1005"/>
        <w:gridCol w:w="939"/>
        <w:gridCol w:w="1248"/>
        <w:gridCol w:w="8"/>
        <w:gridCol w:w="1318"/>
        <w:gridCol w:w="372"/>
        <w:gridCol w:w="800"/>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double" w:color="auto" w:sz="4"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投标人名称</w:t>
            </w:r>
          </w:p>
        </w:tc>
        <w:tc>
          <w:tcPr>
            <w:tcW w:w="6757" w:type="dxa"/>
            <w:gridSpan w:val="8"/>
            <w:tcBorders>
              <w:top w:val="double" w:color="auto" w:sz="4"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注册地址</w:t>
            </w:r>
          </w:p>
        </w:tc>
        <w:tc>
          <w:tcPr>
            <w:tcW w:w="3200" w:type="dxa"/>
            <w:gridSpan w:val="4"/>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vMerge w:val="restart"/>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联系方式</w:t>
            </w: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联系人</w:t>
            </w:r>
          </w:p>
        </w:tc>
        <w:tc>
          <w:tcPr>
            <w:tcW w:w="2187"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35" w:hRule="atLeast"/>
          <w:jc w:val="center"/>
        </w:trPr>
        <w:tc>
          <w:tcPr>
            <w:tcW w:w="1763" w:type="dxa"/>
            <w:vMerge w:val="continue"/>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传真</w:t>
            </w:r>
          </w:p>
        </w:tc>
        <w:tc>
          <w:tcPr>
            <w:tcW w:w="2187"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单位性质</w:t>
            </w:r>
          </w:p>
        </w:tc>
        <w:tc>
          <w:tcPr>
            <w:tcW w:w="6757"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法定代表人</w:t>
            </w: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763" w:type="dxa"/>
            <w:tcBorders>
              <w:top w:val="single" w:color="auto" w:sz="6" w:space="0"/>
              <w:left w:val="double" w:color="auto" w:sz="4"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技术负责人</w:t>
            </w:r>
          </w:p>
        </w:tc>
        <w:tc>
          <w:tcPr>
            <w:tcW w:w="1005"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763" w:type="dxa"/>
            <w:tcBorders>
              <w:top w:val="single" w:color="auto" w:sz="4"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财务负责人</w:t>
            </w:r>
          </w:p>
        </w:tc>
        <w:tc>
          <w:tcPr>
            <w:tcW w:w="1005"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成立时间</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ind w:firstLine="1680" w:firstLineChars="700"/>
              <w:jc w:val="center"/>
              <w:textAlignment w:val="auto"/>
              <w:rPr>
                <w:rFonts w:ascii="宋体" w:hAnsi="宋体"/>
                <w:color w:val="auto"/>
                <w:szCs w:val="21"/>
              </w:rPr>
            </w:pPr>
            <w:r>
              <w:rPr>
                <w:rFonts w:hint="eastAsia" w:ascii="宋体" w:hAnsi="宋体"/>
                <w:color w:val="auto"/>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企业资质等级</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其中</w:t>
            </w: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项目经理</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营业执照号</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高级职称人员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注册资金</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中级职称人员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开户银行</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初级职称人员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账号</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技工</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67"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经营范围</w:t>
            </w:r>
          </w:p>
        </w:tc>
        <w:tc>
          <w:tcPr>
            <w:tcW w:w="6757"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763" w:type="dxa"/>
            <w:tcBorders>
              <w:top w:val="single" w:color="auto" w:sz="6" w:space="0"/>
              <w:left w:val="double" w:color="auto" w:sz="4" w:space="0"/>
              <w:bottom w:val="doub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备注</w:t>
            </w:r>
          </w:p>
        </w:tc>
        <w:tc>
          <w:tcPr>
            <w:tcW w:w="6757" w:type="dxa"/>
            <w:gridSpan w:val="8"/>
            <w:tcBorders>
              <w:top w:val="single" w:color="auto" w:sz="6" w:space="0"/>
              <w:left w:val="single" w:color="auto" w:sz="6" w:space="0"/>
              <w:bottom w:val="double" w:color="auto" w:sz="4"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bl>
    <w:p>
      <w:pPr>
        <w:adjustRightInd w:val="0"/>
        <w:spacing w:line="400" w:lineRule="exact"/>
        <w:rPr>
          <w:rFonts w:ascii="宋体" w:hAnsi="宋体"/>
          <w:bCs/>
          <w:color w:val="auto"/>
          <w:sz w:val="28"/>
          <w:szCs w:val="28"/>
        </w:rPr>
      </w:pPr>
    </w:p>
    <w:p>
      <w:pPr>
        <w:pStyle w:val="9"/>
        <w:spacing w:line="360" w:lineRule="auto"/>
        <w:ind w:left="480" w:firstLine="288" w:firstLineChars="103"/>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XXXXXXXX</w:t>
      </w:r>
    </w:p>
    <w:p>
      <w:pPr>
        <w:adjustRightInd w:val="0"/>
        <w:spacing w:line="400" w:lineRule="exact"/>
        <w:ind w:firstLine="700" w:firstLineChars="250"/>
        <w:rPr>
          <w:color w:val="auto"/>
        </w:rPr>
      </w:pPr>
      <w:r>
        <w:rPr>
          <w:rFonts w:hint="eastAsia" w:ascii="宋体" w:hAnsi="宋体"/>
          <w:color w:val="auto"/>
          <w:sz w:val="28"/>
        </w:rPr>
        <w:t>日期：</w:t>
      </w:r>
      <w:r>
        <w:rPr>
          <w:rFonts w:hint="eastAsia" w:ascii="宋体" w:hAnsi="宋体"/>
          <w:bCs/>
          <w:color w:val="auto"/>
          <w:sz w:val="28"/>
        </w:rPr>
        <w:t>20XX年XX月XX日</w:t>
      </w:r>
      <w:r>
        <w:rPr>
          <w:rFonts w:hint="eastAsia"/>
          <w:color w:val="auto"/>
        </w:rPr>
        <w:br w:type="page"/>
      </w:r>
    </w:p>
    <w:p>
      <w:pPr>
        <w:pStyle w:val="6"/>
        <w:numPr>
          <w:ilvl w:val="2"/>
          <w:numId w:val="0"/>
        </w:numPr>
        <w:ind w:leftChars="0"/>
        <w:rPr>
          <w:color w:val="auto"/>
        </w:rPr>
      </w:pPr>
      <w:r>
        <w:rPr>
          <w:rFonts w:hint="eastAsia" w:ascii="Times New Roman" w:hAnsi="Times New Roman" w:eastAsia="宋体" w:cs="Times New Roman"/>
          <w:color w:val="auto"/>
          <w:lang w:val="en-US" w:eastAsia="zh-CN"/>
        </w:rPr>
        <w:t>3.3.9</w:t>
      </w:r>
      <w:r>
        <w:rPr>
          <w:rFonts w:hint="eastAsia"/>
          <w:color w:val="auto"/>
        </w:rPr>
        <w:t>投标产品技术性能、技术参数和配置的详细描述</w:t>
      </w:r>
    </w:p>
    <w:p>
      <w:pPr>
        <w:rPr>
          <w:rFonts w:ascii="宋体" w:hAnsi="宋体"/>
          <w:b/>
          <w:color w:val="auto"/>
          <w:sz w:val="28"/>
          <w:u w:val="single"/>
        </w:rPr>
      </w:pPr>
      <w:r>
        <w:rPr>
          <w:rFonts w:hint="eastAsia" w:ascii="宋体" w:hAnsi="宋体"/>
          <w:b/>
          <w:color w:val="auto"/>
          <w:sz w:val="28"/>
        </w:rPr>
        <w:t>项目名称：</w:t>
      </w:r>
      <w:r>
        <w:rPr>
          <w:rFonts w:hint="eastAsia" w:ascii="宋体" w:hAnsi="宋体"/>
          <w:b/>
          <w:color w:val="auto"/>
          <w:sz w:val="28"/>
          <w:szCs w:val="28"/>
          <w:lang w:eastAsia="zh-CN"/>
        </w:rPr>
        <w:t>崇州市现代教育技术服务中心LED显示屏采购项目</w:t>
      </w:r>
    </w:p>
    <w:p>
      <w:pPr>
        <w:snapToGrid w:val="0"/>
        <w:spacing w:line="360" w:lineRule="auto"/>
        <w:ind w:right="-713" w:rightChars="-297"/>
        <w:rPr>
          <w:rFonts w:hint="eastAsia" w:ascii="宋体" w:hAnsi="宋体" w:eastAsiaTheme="minorEastAsia"/>
          <w:b/>
          <w:color w:val="auto"/>
          <w:sz w:val="28"/>
          <w:u w:val="single"/>
          <w:lang w:eastAsia="zh-CN"/>
        </w:rPr>
      </w:pPr>
      <w:r>
        <w:rPr>
          <w:rFonts w:hint="eastAsia" w:ascii="宋体" w:hAnsi="宋体"/>
          <w:b/>
          <w:color w:val="auto"/>
          <w:sz w:val="28"/>
        </w:rPr>
        <w:t>项目编号：</w:t>
      </w:r>
      <w:r>
        <w:rPr>
          <w:rFonts w:hint="eastAsia" w:ascii="宋体" w:hAnsi="宋体"/>
          <w:b/>
          <w:color w:val="auto"/>
          <w:sz w:val="28"/>
          <w:lang w:eastAsia="zh-CN"/>
        </w:rPr>
        <w:t>ＸＸＸ</w:t>
      </w:r>
    </w:p>
    <w:p>
      <w:pPr>
        <w:adjustRightInd w:val="0"/>
        <w:spacing w:line="360" w:lineRule="auto"/>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pStyle w:val="9"/>
        <w:spacing w:line="360" w:lineRule="auto"/>
        <w:ind w:left="48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XXXXXXXX</w:t>
      </w:r>
    </w:p>
    <w:p>
      <w:pPr>
        <w:adjustRightInd w:val="0"/>
        <w:spacing w:line="400" w:lineRule="exact"/>
        <w:ind w:firstLine="420" w:firstLineChars="150"/>
        <w:rPr>
          <w:rFonts w:ascii="宋体" w:hAnsi="宋体"/>
          <w:color w:val="auto"/>
          <w:sz w:val="28"/>
          <w:szCs w:val="20"/>
        </w:rPr>
      </w:pPr>
      <w:r>
        <w:rPr>
          <w:rFonts w:hint="eastAsia" w:ascii="宋体" w:hAnsi="宋体"/>
          <w:color w:val="auto"/>
          <w:sz w:val="28"/>
        </w:rPr>
        <w:t>日期：</w:t>
      </w:r>
      <w:r>
        <w:rPr>
          <w:rFonts w:hint="eastAsia" w:ascii="宋体" w:hAnsi="宋体"/>
          <w:bCs/>
          <w:color w:val="auto"/>
          <w:sz w:val="28"/>
        </w:rPr>
        <w:t>20XX年XX月XX日</w:t>
      </w:r>
    </w:p>
    <w:p>
      <w:pPr>
        <w:rPr>
          <w:rFonts w:ascii="Times New Roman" w:hAnsi="Times New Roman"/>
          <w:color w:val="auto"/>
          <w:sz w:val="24"/>
          <w:szCs w:val="24"/>
        </w:rPr>
      </w:pPr>
      <w:r>
        <w:rPr>
          <w:rFonts w:hint="eastAsia"/>
          <w:bCs w:val="0"/>
          <w:color w:val="auto"/>
        </w:rPr>
        <w:br w:type="page"/>
      </w:r>
    </w:p>
    <w:p>
      <w:pPr>
        <w:pStyle w:val="6"/>
        <w:numPr>
          <w:ilvl w:val="2"/>
          <w:numId w:val="0"/>
        </w:numPr>
        <w:ind w:leftChars="0"/>
        <w:rPr>
          <w:rFonts w:ascii="Times New Roman" w:hAnsi="Times New Roman"/>
          <w:color w:val="auto"/>
          <w:sz w:val="24"/>
          <w:szCs w:val="24"/>
        </w:rPr>
      </w:pPr>
      <w:r>
        <w:rPr>
          <w:rFonts w:hint="eastAsia" w:ascii="Times New Roman" w:hAnsi="Times New Roman" w:eastAsia="宋体" w:cs="Times New Roman"/>
          <w:bCs w:val="0"/>
          <w:color w:val="auto"/>
          <w:lang w:val="en-US" w:eastAsia="zh-CN"/>
        </w:rPr>
        <w:t>3.3.10</w:t>
      </w:r>
      <w:r>
        <w:rPr>
          <w:rFonts w:hint="eastAsia"/>
          <w:bCs w:val="0"/>
          <w:color w:val="auto"/>
        </w:rPr>
        <w:t>项目实施方案</w:t>
      </w:r>
    </w:p>
    <w:p>
      <w:pPr>
        <w:widowControl w:val="0"/>
        <w:numPr>
          <w:ilvl w:val="0"/>
          <w:numId w:val="0"/>
        </w:numPr>
        <w:spacing w:line="360" w:lineRule="auto"/>
        <w:jc w:val="both"/>
        <w:rPr>
          <w:rFonts w:ascii="宋体" w:hAnsi="宋体"/>
          <w:b/>
          <w:color w:val="auto"/>
          <w:sz w:val="28"/>
          <w:u w:val="single"/>
        </w:rPr>
      </w:pPr>
      <w:r>
        <w:rPr>
          <w:rFonts w:hint="eastAsia" w:ascii="宋体" w:hAnsi="宋体"/>
          <w:b/>
          <w:color w:val="auto"/>
          <w:sz w:val="28"/>
        </w:rPr>
        <w:t>项目名称：</w:t>
      </w:r>
      <w:r>
        <w:rPr>
          <w:rFonts w:hint="eastAsia" w:ascii="宋体" w:hAnsi="宋体"/>
          <w:b/>
          <w:color w:val="auto"/>
          <w:sz w:val="28"/>
          <w:szCs w:val="28"/>
          <w:lang w:eastAsia="zh-CN"/>
        </w:rPr>
        <w:t>崇州市现代教育技术服务中心LED显示屏采购项目</w:t>
      </w:r>
    </w:p>
    <w:p>
      <w:pPr>
        <w:snapToGrid w:val="0"/>
        <w:spacing w:line="360" w:lineRule="auto"/>
        <w:ind w:right="-713" w:rightChars="-297"/>
        <w:rPr>
          <w:rFonts w:hint="eastAsia" w:ascii="宋体" w:hAnsi="宋体" w:eastAsiaTheme="minorEastAsia"/>
          <w:b/>
          <w:color w:val="auto"/>
          <w:sz w:val="28"/>
          <w:u w:val="single"/>
          <w:lang w:eastAsia="zh-CN"/>
        </w:rPr>
      </w:pPr>
      <w:r>
        <w:rPr>
          <w:rFonts w:hint="eastAsia" w:ascii="宋体" w:hAnsi="宋体"/>
          <w:b/>
          <w:color w:val="auto"/>
          <w:sz w:val="28"/>
        </w:rPr>
        <w:t>项目编号：</w:t>
      </w:r>
      <w:r>
        <w:rPr>
          <w:rFonts w:hint="eastAsia" w:ascii="宋体" w:hAnsi="宋体"/>
          <w:b/>
          <w:color w:val="auto"/>
          <w:sz w:val="28"/>
          <w:lang w:eastAsia="zh-CN"/>
        </w:rPr>
        <w:t>ＸＸＸ</w:t>
      </w:r>
    </w:p>
    <w:p>
      <w:pPr>
        <w:snapToGrid w:val="0"/>
        <w:spacing w:line="360" w:lineRule="auto"/>
        <w:ind w:right="-713" w:rightChars="-297" w:firstLine="562" w:firstLineChars="200"/>
        <w:rPr>
          <w:rFonts w:hint="eastAsia" w:ascii="宋体" w:hAnsi="宋体" w:eastAsiaTheme="minorEastAsia"/>
          <w:b/>
          <w:color w:val="auto"/>
          <w:sz w:val="28"/>
          <w:u w:val="single"/>
          <w:lang w:eastAsia="zh-CN"/>
        </w:rPr>
      </w:pPr>
    </w:p>
    <w:p>
      <w:pPr>
        <w:adjustRightInd w:val="0"/>
        <w:spacing w:line="360" w:lineRule="auto"/>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pStyle w:val="9"/>
        <w:spacing w:line="360" w:lineRule="auto"/>
        <w:ind w:left="480"/>
        <w:rPr>
          <w:rFonts w:ascii="宋体" w:hAnsi="宋体"/>
          <w:bCs/>
          <w:color w:val="auto"/>
          <w:sz w:val="28"/>
          <w:szCs w:val="28"/>
          <w:u w:val="single"/>
        </w:rPr>
      </w:pPr>
      <w:r>
        <w:rPr>
          <w:rFonts w:hint="eastAsia" w:ascii="宋体" w:hAnsi="宋体"/>
          <w:bCs/>
          <w:color w:val="auto"/>
          <w:sz w:val="28"/>
          <w:szCs w:val="28"/>
        </w:rPr>
        <w:t>投标人名称：</w:t>
      </w:r>
      <w:r>
        <w:rPr>
          <w:rFonts w:ascii="宋体" w:hAnsi="宋体"/>
          <w:bCs/>
          <w:color w:val="auto"/>
          <w:sz w:val="28"/>
          <w:szCs w:val="28"/>
          <w:u w:val="single"/>
        </w:rPr>
        <w:t>XXXXXXXX</w:t>
      </w:r>
    </w:p>
    <w:p>
      <w:pPr>
        <w:pStyle w:val="9"/>
        <w:spacing w:line="360" w:lineRule="auto"/>
        <w:ind w:left="480"/>
        <w:rPr>
          <w:rFonts w:ascii="宋体" w:hAnsi="宋体"/>
          <w:color w:val="auto"/>
          <w:sz w:val="28"/>
          <w:szCs w:val="20"/>
        </w:rPr>
      </w:pPr>
      <w:r>
        <w:rPr>
          <w:rFonts w:hint="eastAsia" w:ascii="宋体" w:hAnsi="宋体"/>
          <w:color w:val="auto"/>
          <w:sz w:val="28"/>
        </w:rPr>
        <w:t>日期：</w:t>
      </w:r>
      <w:r>
        <w:rPr>
          <w:rFonts w:ascii="宋体" w:hAnsi="宋体"/>
          <w:bCs/>
          <w:color w:val="auto"/>
          <w:sz w:val="28"/>
        </w:rPr>
        <w:t>20XX年XX月XX日</w:t>
      </w:r>
    </w:p>
    <w:p>
      <w:pPr>
        <w:rPr>
          <w:color w:val="auto"/>
        </w:rPr>
      </w:pPr>
      <w:r>
        <w:rPr>
          <w:rFonts w:hint="eastAsia"/>
          <w:color w:val="auto"/>
        </w:rPr>
        <w:br w:type="page"/>
      </w:r>
    </w:p>
    <w:p>
      <w:pPr>
        <w:pStyle w:val="6"/>
        <w:numPr>
          <w:ilvl w:val="2"/>
          <w:numId w:val="0"/>
        </w:numPr>
        <w:ind w:leftChars="0"/>
        <w:rPr>
          <w:color w:val="auto"/>
        </w:rPr>
      </w:pPr>
      <w:r>
        <w:rPr>
          <w:rFonts w:hint="eastAsia" w:ascii="Times New Roman" w:hAnsi="Times New Roman" w:eastAsia="宋体" w:cs="Times New Roman"/>
          <w:color w:val="auto"/>
          <w:lang w:val="en-US" w:eastAsia="zh-CN"/>
        </w:rPr>
        <w:t>3.3.11</w:t>
      </w:r>
      <w:r>
        <w:rPr>
          <w:rFonts w:hint="eastAsia"/>
          <w:color w:val="auto"/>
        </w:rPr>
        <w:t>承诺函</w:t>
      </w:r>
    </w:p>
    <w:p>
      <w:pPr>
        <w:widowControl w:val="0"/>
        <w:numPr>
          <w:ilvl w:val="0"/>
          <w:numId w:val="0"/>
        </w:numPr>
        <w:spacing w:line="360" w:lineRule="auto"/>
        <w:ind w:left="567" w:leftChars="0"/>
        <w:jc w:val="both"/>
        <w:rPr>
          <w:b/>
          <w:color w:val="auto"/>
          <w:sz w:val="28"/>
          <w:u w:val="none"/>
        </w:rPr>
      </w:pPr>
      <w:r>
        <w:rPr>
          <w:rFonts w:hint="eastAsia" w:ascii="宋体" w:hAnsi="宋体"/>
          <w:b/>
          <w:color w:val="auto"/>
          <w:spacing w:val="-20"/>
          <w:sz w:val="28"/>
          <w:szCs w:val="28"/>
        </w:rPr>
        <w:t>项目名称：</w:t>
      </w:r>
      <w:r>
        <w:rPr>
          <w:rFonts w:hint="eastAsia" w:ascii="宋体" w:hAnsi="宋体"/>
          <w:b/>
          <w:color w:val="auto"/>
          <w:sz w:val="28"/>
          <w:szCs w:val="28"/>
          <w:lang w:eastAsia="zh-CN"/>
        </w:rPr>
        <w:t>崇州市现代教育技术服务中心LED显示屏采购项目</w:t>
      </w:r>
    </w:p>
    <w:p>
      <w:pPr>
        <w:snapToGrid w:val="0"/>
        <w:spacing w:line="360" w:lineRule="auto"/>
        <w:ind w:firstLine="562" w:firstLineChars="200"/>
        <w:rPr>
          <w:rFonts w:hint="eastAsia" w:ascii="宋体" w:hAnsi="宋体" w:eastAsiaTheme="minorEastAsia"/>
          <w:b/>
          <w:color w:val="auto"/>
          <w:sz w:val="28"/>
          <w:szCs w:val="28"/>
          <w:lang w:val="en-US" w:eastAsia="zh-CN"/>
        </w:rPr>
      </w:pPr>
      <w:r>
        <w:rPr>
          <w:rFonts w:hint="eastAsia" w:ascii="宋体" w:hAnsi="宋体"/>
          <w:b/>
          <w:color w:val="auto"/>
          <w:sz w:val="28"/>
          <w:szCs w:val="28"/>
        </w:rPr>
        <w:t>项目编号：</w:t>
      </w:r>
      <w:r>
        <w:rPr>
          <w:rFonts w:hint="eastAsia" w:ascii="宋体" w:hAnsi="宋体"/>
          <w:b/>
          <w:color w:val="auto"/>
          <w:sz w:val="28"/>
          <w:szCs w:val="28"/>
          <w:lang w:eastAsia="zh-CN"/>
        </w:rPr>
        <w:t>ＸＸＸ</w:t>
      </w:r>
    </w:p>
    <w:p>
      <w:pPr>
        <w:snapToGrid w:val="0"/>
        <w:spacing w:line="560" w:lineRule="exact"/>
        <w:ind w:firstLine="560" w:firstLineChars="200"/>
        <w:rPr>
          <w:rFonts w:ascii="宋体" w:hAnsi="宋体"/>
          <w:sz w:val="28"/>
        </w:rPr>
      </w:pPr>
      <w:r>
        <w:rPr>
          <w:rFonts w:hint="eastAsia" w:ascii="宋体" w:hAnsi="宋体"/>
          <w:sz w:val="28"/>
        </w:rPr>
        <w:t>我公司作为参加本项目的投标人，在此郑重承诺：</w:t>
      </w:r>
    </w:p>
    <w:p>
      <w:pPr>
        <w:pStyle w:val="24"/>
        <w:numPr>
          <w:ilvl w:val="0"/>
          <w:numId w:val="33"/>
        </w:numPr>
        <w:tabs>
          <w:tab w:val="left" w:pos="1134"/>
        </w:tabs>
        <w:snapToGrid w:val="0"/>
        <w:spacing w:before="60" w:after="200" w:line="560" w:lineRule="exact"/>
        <w:ind w:left="0" w:right="210" w:firstLine="567" w:firstLineChars="0"/>
        <w:rPr>
          <w:rFonts w:ascii="宋体" w:hAnsi="宋体"/>
          <w:sz w:val="28"/>
          <w:szCs w:val="28"/>
        </w:rPr>
      </w:pPr>
      <w:r>
        <w:rPr>
          <w:rFonts w:hint="eastAsia" w:ascii="宋体" w:hAnsi="宋体"/>
          <w:sz w:val="28"/>
          <w:szCs w:val="28"/>
        </w:rPr>
        <w:t>为本项目提供的所有产品、辅材中</w:t>
      </w:r>
      <w:r>
        <w:rPr>
          <w:rFonts w:ascii="宋体" w:hAnsi="宋体" w:cs="宋体"/>
          <w:kern w:val="0"/>
          <w:sz w:val="28"/>
          <w:szCs w:val="28"/>
        </w:rPr>
        <w:t>属于《国家强制性产品认证目录》范围内产品的，均通过国家强制性产品认证并取得认证证书。</w:t>
      </w:r>
    </w:p>
    <w:p>
      <w:pPr>
        <w:pStyle w:val="24"/>
        <w:numPr>
          <w:ilvl w:val="0"/>
          <w:numId w:val="33"/>
        </w:numPr>
        <w:tabs>
          <w:tab w:val="left" w:pos="1134"/>
        </w:tabs>
        <w:snapToGrid w:val="0"/>
        <w:spacing w:before="60" w:after="200" w:line="560" w:lineRule="exact"/>
        <w:ind w:left="0" w:right="210" w:firstLine="567" w:firstLineChars="0"/>
        <w:rPr>
          <w:rFonts w:ascii="宋体" w:hAnsi="宋体" w:cs="宋体"/>
          <w:kern w:val="0"/>
          <w:sz w:val="28"/>
          <w:szCs w:val="28"/>
        </w:rPr>
      </w:pPr>
      <w:r>
        <w:rPr>
          <w:rFonts w:hint="eastAsia" w:ascii="宋体" w:hAnsi="宋体"/>
          <w:sz w:val="28"/>
          <w:szCs w:val="28"/>
        </w:rPr>
        <w:t>为本项目提供的所有产品、辅材符合现行的强制性国家相关标准、行业标准。</w:t>
      </w:r>
    </w:p>
    <w:p>
      <w:pPr>
        <w:pStyle w:val="24"/>
        <w:numPr>
          <w:ilvl w:val="0"/>
          <w:numId w:val="33"/>
        </w:numPr>
        <w:tabs>
          <w:tab w:val="left" w:pos="1134"/>
        </w:tabs>
        <w:snapToGrid w:val="0"/>
        <w:spacing w:before="60" w:after="200" w:line="560" w:lineRule="exact"/>
        <w:ind w:left="0" w:right="210" w:firstLine="567" w:firstLineChars="0"/>
        <w:rPr>
          <w:rFonts w:ascii="宋体" w:hAnsi="宋体"/>
          <w:sz w:val="28"/>
          <w:szCs w:val="28"/>
        </w:rPr>
      </w:pPr>
      <w:r>
        <w:rPr>
          <w:rFonts w:hint="eastAsia" w:ascii="宋体" w:hAnsi="宋体"/>
          <w:sz w:val="28"/>
          <w:szCs w:val="28"/>
        </w:rPr>
        <w:t>我方为本项目提供的所有产品中属于节能产品政府采购品目清单中的政府强制采购产品的，均应具有国家确定的认证机构出具的有效期内的节能产品认证证书。</w:t>
      </w:r>
    </w:p>
    <w:p>
      <w:pPr>
        <w:snapToGrid w:val="0"/>
        <w:spacing w:line="560" w:lineRule="exact"/>
        <w:ind w:firstLine="560" w:firstLineChars="200"/>
      </w:pPr>
      <w:r>
        <w:rPr>
          <w:rFonts w:hint="eastAsia" w:ascii="宋体" w:hAnsi="宋体"/>
          <w:sz w:val="28"/>
          <w:szCs w:val="28"/>
        </w:rPr>
        <w:t>特此承诺。</w:t>
      </w:r>
    </w:p>
    <w:p>
      <w:pPr>
        <w:pStyle w:val="2"/>
        <w:rPr>
          <w:rFonts w:hint="eastAsia"/>
          <w:lang w:eastAsia="zh-CN"/>
        </w:rPr>
      </w:pPr>
    </w:p>
    <w:p>
      <w:pPr>
        <w:snapToGrid w:val="0"/>
        <w:spacing w:line="360" w:lineRule="auto"/>
        <w:ind w:firstLine="560" w:firstLineChars="200"/>
        <w:rPr>
          <w:rFonts w:hint="eastAsia" w:ascii="宋体" w:hAnsi="宋体"/>
          <w:color w:val="auto"/>
          <w:sz w:val="28"/>
        </w:rPr>
      </w:pPr>
      <w:r>
        <w:rPr>
          <w:rFonts w:hint="eastAsia" w:ascii="宋体" w:hAnsi="宋体"/>
          <w:color w:val="auto"/>
          <w:sz w:val="28"/>
        </w:rPr>
        <w:tab/>
      </w:r>
    </w:p>
    <w:p>
      <w:pPr>
        <w:snapToGrid w:val="0"/>
        <w:spacing w:line="480" w:lineRule="exact"/>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u w:val="single"/>
          <w:lang w:val="zh-CN"/>
        </w:rPr>
        <w:t>XXXXXXXX</w:t>
      </w:r>
    </w:p>
    <w:p>
      <w:pPr>
        <w:snapToGrid w:val="0"/>
        <w:spacing w:line="480" w:lineRule="exact"/>
        <w:ind w:firstLine="560" w:firstLineChars="200"/>
        <w:rPr>
          <w:rFonts w:ascii="宋体" w:hAnsi="宋体"/>
          <w:color w:val="auto"/>
          <w:sz w:val="28"/>
        </w:rPr>
      </w:pPr>
      <w:r>
        <w:rPr>
          <w:rFonts w:ascii="宋体" w:hAnsi="宋体"/>
          <w:color w:val="auto"/>
          <w:sz w:val="28"/>
        </w:rPr>
        <w:t>日期：</w:t>
      </w:r>
      <w:r>
        <w:rPr>
          <w:rFonts w:hint="eastAsia" w:ascii="宋体" w:hAnsi="宋体"/>
          <w:color w:val="auto"/>
          <w:sz w:val="28"/>
        </w:rPr>
        <w:t>20XX</w:t>
      </w:r>
      <w:r>
        <w:rPr>
          <w:rFonts w:ascii="宋体" w:hAnsi="宋体"/>
          <w:color w:val="auto"/>
          <w:sz w:val="28"/>
        </w:rPr>
        <w:t>年</w:t>
      </w:r>
      <w:r>
        <w:rPr>
          <w:rFonts w:hint="eastAsia" w:ascii="宋体" w:hAnsi="宋体"/>
          <w:color w:val="auto"/>
          <w:sz w:val="28"/>
        </w:rPr>
        <w:t>XX</w:t>
      </w:r>
      <w:r>
        <w:rPr>
          <w:rFonts w:ascii="宋体" w:hAnsi="宋体"/>
          <w:color w:val="auto"/>
          <w:sz w:val="28"/>
        </w:rPr>
        <w:t>月</w:t>
      </w:r>
      <w:r>
        <w:rPr>
          <w:rFonts w:hint="eastAsia" w:ascii="宋体" w:hAnsi="宋体"/>
          <w:color w:val="auto"/>
          <w:sz w:val="28"/>
        </w:rPr>
        <w:t>XX</w:t>
      </w:r>
      <w:r>
        <w:rPr>
          <w:rFonts w:ascii="宋体" w:hAnsi="宋体"/>
          <w:color w:val="auto"/>
          <w:sz w:val="28"/>
        </w:rPr>
        <w:t>日</w:t>
      </w:r>
    </w:p>
    <w:p>
      <w:pPr>
        <w:snapToGrid w:val="0"/>
        <w:ind w:firstLine="560" w:firstLineChars="200"/>
        <w:rPr>
          <w:rFonts w:ascii="宋体" w:hAnsi="宋体"/>
          <w:color w:val="auto"/>
          <w:sz w:val="28"/>
        </w:rPr>
      </w:pPr>
    </w:p>
    <w:p>
      <w:pPr>
        <w:snapToGrid w:val="0"/>
        <w:ind w:firstLine="560" w:firstLineChars="200"/>
        <w:rPr>
          <w:rFonts w:ascii="宋体" w:hAnsi="宋体"/>
          <w:color w:val="auto"/>
          <w:sz w:val="28"/>
        </w:rPr>
      </w:pPr>
    </w:p>
    <w:p>
      <w:pPr>
        <w:snapToGrid w:val="0"/>
        <w:ind w:firstLine="560" w:firstLineChars="200"/>
        <w:rPr>
          <w:rFonts w:ascii="宋体" w:hAnsi="宋体"/>
          <w:color w:val="auto"/>
          <w:sz w:val="28"/>
        </w:rPr>
      </w:pPr>
    </w:p>
    <w:p>
      <w:pPr>
        <w:snapToGrid w:val="0"/>
        <w:ind w:firstLine="560" w:firstLineChars="200"/>
        <w:rPr>
          <w:rFonts w:ascii="宋体" w:hAnsi="宋体"/>
          <w:color w:val="auto"/>
          <w:sz w:val="28"/>
        </w:rPr>
      </w:pPr>
    </w:p>
    <w:p>
      <w:pPr>
        <w:pStyle w:val="6"/>
        <w:numPr>
          <w:ilvl w:val="2"/>
          <w:numId w:val="0"/>
        </w:numPr>
        <w:ind w:leftChars="0"/>
        <w:rPr>
          <w:color w:val="auto"/>
        </w:rPr>
      </w:pPr>
      <w:r>
        <w:rPr>
          <w:rFonts w:hint="eastAsia" w:ascii="Times New Roman" w:hAnsi="Times New Roman" w:eastAsia="宋体" w:cs="Times New Roman"/>
          <w:color w:val="auto"/>
          <w:sz w:val="28"/>
          <w:szCs w:val="28"/>
          <w:lang w:val="en-US" w:eastAsia="zh-CN"/>
        </w:rPr>
        <w:t>3.3.12</w:t>
      </w:r>
      <w:r>
        <w:rPr>
          <w:rFonts w:hint="eastAsia" w:asciiTheme="minorEastAsia" w:hAnsiTheme="minorEastAsia"/>
          <w:color w:val="auto"/>
          <w:sz w:val="28"/>
          <w:szCs w:val="28"/>
        </w:rPr>
        <w:t>售后服务方案</w:t>
      </w:r>
    </w:p>
    <w:p>
      <w:pPr>
        <w:widowControl w:val="0"/>
        <w:numPr>
          <w:ilvl w:val="0"/>
          <w:numId w:val="0"/>
        </w:numPr>
        <w:spacing w:line="360" w:lineRule="auto"/>
        <w:ind w:left="567" w:leftChars="0"/>
        <w:jc w:val="both"/>
        <w:rPr>
          <w:rFonts w:ascii="宋体" w:hAnsi="宋体"/>
          <w:b/>
          <w:color w:val="auto"/>
          <w:sz w:val="28"/>
        </w:rPr>
      </w:pPr>
      <w:r>
        <w:rPr>
          <w:rFonts w:hint="eastAsia" w:ascii="宋体" w:hAnsi="宋体"/>
          <w:b/>
          <w:color w:val="auto"/>
          <w:sz w:val="28"/>
        </w:rPr>
        <w:t>项目名称：</w:t>
      </w:r>
      <w:r>
        <w:rPr>
          <w:rFonts w:hint="eastAsia" w:ascii="宋体" w:hAnsi="宋体"/>
          <w:b/>
          <w:color w:val="auto"/>
          <w:sz w:val="28"/>
          <w:szCs w:val="28"/>
          <w:lang w:eastAsia="zh-CN"/>
        </w:rPr>
        <w:t>崇州市现代教育技术服务中心LED显示屏采购项目</w:t>
      </w:r>
    </w:p>
    <w:p>
      <w:pPr>
        <w:pStyle w:val="8"/>
        <w:tabs>
          <w:tab w:val="left" w:pos="7560"/>
        </w:tabs>
        <w:spacing w:line="400" w:lineRule="exact"/>
        <w:ind w:firstLine="562" w:firstLineChars="200"/>
        <w:rPr>
          <w:rFonts w:hint="eastAsia" w:ascii="宋体" w:hAnsi="宋体" w:eastAsiaTheme="minorEastAsia"/>
          <w:b/>
          <w:color w:val="auto"/>
          <w:sz w:val="28"/>
          <w:u w:val="single"/>
          <w:lang w:eastAsia="zh-CN"/>
        </w:rPr>
      </w:pPr>
      <w:r>
        <w:rPr>
          <w:rFonts w:hint="eastAsia" w:ascii="宋体" w:hAnsi="宋体"/>
          <w:b/>
          <w:color w:val="auto"/>
          <w:sz w:val="28"/>
        </w:rPr>
        <w:t>项目编号：</w:t>
      </w:r>
      <w:r>
        <w:rPr>
          <w:rFonts w:hint="eastAsia" w:ascii="宋体" w:hAnsi="宋体"/>
          <w:b/>
          <w:color w:val="auto"/>
          <w:sz w:val="28"/>
          <w:lang w:eastAsia="zh-CN"/>
        </w:rPr>
        <w:t>ＸＸＸ</w:t>
      </w:r>
    </w:p>
    <w:p>
      <w:pPr>
        <w:pStyle w:val="8"/>
        <w:tabs>
          <w:tab w:val="left" w:pos="7560"/>
        </w:tabs>
        <w:spacing w:line="400" w:lineRule="exact"/>
        <w:ind w:firstLine="0"/>
        <w:rPr>
          <w:rFonts w:ascii="宋体" w:hAnsi="宋体"/>
          <w:b/>
          <w:color w:val="auto"/>
          <w:sz w:val="28"/>
          <w:u w:val="single"/>
        </w:rPr>
      </w:pPr>
    </w:p>
    <w:p>
      <w:pPr>
        <w:ind w:firstLine="565" w:firstLineChars="202"/>
        <w:rPr>
          <w:rFonts w:ascii="宋体" w:hAnsi="宋体"/>
          <w:color w:val="auto"/>
          <w:sz w:val="28"/>
        </w:rPr>
      </w:pPr>
    </w:p>
    <w:p>
      <w:pPr>
        <w:pStyle w:val="2"/>
        <w:rPr>
          <w:rFonts w:ascii="宋体" w:hAnsi="宋体"/>
          <w:color w:val="auto"/>
          <w:sz w:val="28"/>
        </w:rPr>
      </w:pPr>
    </w:p>
    <w:p>
      <w:pPr>
        <w:pStyle w:val="14"/>
        <w:rPr>
          <w:rFonts w:ascii="宋体" w:hAnsi="宋体"/>
          <w:color w:val="auto"/>
          <w:sz w:val="28"/>
        </w:rPr>
      </w:pPr>
    </w:p>
    <w:p>
      <w:pPr>
        <w:pStyle w:val="14"/>
        <w:rPr>
          <w:rFonts w:ascii="宋体" w:hAnsi="宋体"/>
          <w:color w:val="auto"/>
          <w:sz w:val="28"/>
        </w:rPr>
      </w:pPr>
    </w:p>
    <w:p>
      <w:pPr>
        <w:pStyle w:val="14"/>
        <w:rPr>
          <w:rFonts w:ascii="宋体" w:hAnsi="宋体"/>
          <w:color w:val="auto"/>
          <w:sz w:val="28"/>
        </w:rPr>
      </w:pPr>
    </w:p>
    <w:p>
      <w:pPr>
        <w:pStyle w:val="14"/>
        <w:rPr>
          <w:rFonts w:ascii="宋体" w:hAnsi="宋体"/>
          <w:color w:val="auto"/>
          <w:sz w:val="28"/>
        </w:rPr>
      </w:pPr>
    </w:p>
    <w:p>
      <w:pPr>
        <w:pStyle w:val="14"/>
        <w:rPr>
          <w:rFonts w:ascii="宋体" w:hAnsi="宋体"/>
          <w:color w:val="auto"/>
          <w:sz w:val="28"/>
        </w:rPr>
      </w:pPr>
    </w:p>
    <w:p>
      <w:pPr>
        <w:pStyle w:val="14"/>
        <w:rPr>
          <w:rFonts w:ascii="宋体" w:hAnsi="宋体"/>
          <w:color w:val="auto"/>
          <w:sz w:val="28"/>
        </w:rPr>
      </w:pPr>
    </w:p>
    <w:p>
      <w:pPr>
        <w:pStyle w:val="14"/>
        <w:rPr>
          <w:rFonts w:ascii="宋体" w:hAnsi="宋体"/>
          <w:color w:val="auto"/>
          <w:sz w:val="28"/>
        </w:rPr>
      </w:pPr>
    </w:p>
    <w:p>
      <w:pPr>
        <w:pStyle w:val="14"/>
        <w:rPr>
          <w:rFonts w:ascii="宋体" w:hAnsi="宋体"/>
          <w:color w:val="auto"/>
          <w:sz w:val="28"/>
        </w:rPr>
      </w:pPr>
    </w:p>
    <w:p>
      <w:pPr>
        <w:pStyle w:val="9"/>
        <w:spacing w:line="360" w:lineRule="auto"/>
        <w:ind w:left="48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color w:val="auto"/>
          <w:sz w:val="28"/>
          <w:u w:val="single"/>
          <w:lang w:val="zh-CN"/>
        </w:rPr>
        <w:t>XXXXXXXX</w:t>
      </w:r>
    </w:p>
    <w:p>
      <w:pPr>
        <w:adjustRightInd w:val="0"/>
        <w:spacing w:line="400" w:lineRule="exact"/>
        <w:ind w:firstLine="420" w:firstLineChars="150"/>
        <w:rPr>
          <w:rFonts w:hint="eastAsia" w:ascii="宋体" w:hAnsi="宋体"/>
          <w:bCs/>
          <w:color w:val="auto"/>
          <w:sz w:val="28"/>
        </w:rPr>
      </w:pPr>
      <w:r>
        <w:rPr>
          <w:rFonts w:ascii="宋体" w:hAnsi="宋体"/>
          <w:color w:val="auto"/>
          <w:sz w:val="28"/>
        </w:rPr>
        <w:t>日期：</w:t>
      </w:r>
      <w:r>
        <w:rPr>
          <w:rFonts w:hint="eastAsia" w:ascii="宋体" w:hAnsi="宋体"/>
          <w:bCs/>
          <w:color w:val="auto"/>
          <w:sz w:val="28"/>
        </w:rPr>
        <w:t>20XX年XX月XX日</w:t>
      </w:r>
    </w:p>
    <w:p>
      <w:pPr>
        <w:pStyle w:val="5"/>
        <w:numPr>
          <w:ilvl w:val="1"/>
          <w:numId w:val="0"/>
        </w:numPr>
        <w:ind w:leftChars="0"/>
        <w:rPr>
          <w:color w:val="auto"/>
        </w:rPr>
      </w:pPr>
    </w:p>
    <w:bookmarkEnd w:id="121"/>
    <w:bookmarkEnd w:id="122"/>
    <w:bookmarkEnd w:id="123"/>
    <w:bookmarkEnd w:id="124"/>
    <w:p>
      <w:pPr>
        <w:pStyle w:val="4"/>
        <w:numPr>
          <w:ilvl w:val="0"/>
          <w:numId w:val="3"/>
        </w:numPr>
        <w:spacing w:before="0" w:after="0" w:line="360" w:lineRule="auto"/>
        <w:ind w:left="0" w:firstLine="0"/>
        <w:rPr>
          <w:color w:val="auto"/>
        </w:rPr>
      </w:pPr>
      <w:bookmarkStart w:id="129" w:name="_Toc217446093"/>
      <w:bookmarkStart w:id="130" w:name="_Toc12487"/>
      <w:bookmarkStart w:id="131" w:name="_Toc316292231"/>
      <w:bookmarkStart w:id="132" w:name="_Toc321382057"/>
      <w:r>
        <w:rPr>
          <w:rFonts w:hint="eastAsia"/>
          <w:color w:val="auto"/>
        </w:rPr>
        <w:t>招标项目技术、服务、商务及其他要求</w:t>
      </w:r>
      <w:bookmarkEnd w:id="129"/>
      <w:bookmarkEnd w:id="130"/>
    </w:p>
    <w:bookmarkEnd w:id="131"/>
    <w:bookmarkEnd w:id="132"/>
    <w:p>
      <w:pPr>
        <w:pStyle w:val="5"/>
        <w:spacing w:line="400" w:lineRule="exact"/>
        <w:rPr>
          <w:rFonts w:ascii="宋体" w:hAnsi="宋体" w:eastAsia="宋体"/>
          <w:sz w:val="24"/>
        </w:rPr>
      </w:pPr>
      <w:r>
        <w:rPr>
          <w:rFonts w:hint="eastAsia" w:ascii="宋体" w:hAnsi="宋体" w:eastAsia="宋体"/>
          <w:sz w:val="24"/>
        </w:rPr>
        <w:t xml:space="preserve"> </w:t>
      </w:r>
      <w:bookmarkStart w:id="133" w:name="_Toc1836"/>
      <w:r>
        <w:rPr>
          <w:rFonts w:hint="eastAsia" w:ascii="宋体" w:hAnsi="宋体" w:eastAsia="宋体"/>
          <w:sz w:val="24"/>
        </w:rPr>
        <w:t>项目概况</w:t>
      </w:r>
      <w:bookmarkEnd w:id="133"/>
    </w:p>
    <w:p>
      <w:pPr>
        <w:spacing w:after="0" w:line="500" w:lineRule="exact"/>
        <w:ind w:firstLine="424" w:firstLineChars="177"/>
        <w:rPr>
          <w:rFonts w:ascii="宋体" w:hAnsi="宋体"/>
          <w:sz w:val="24"/>
        </w:rPr>
      </w:pPr>
      <w:r>
        <w:rPr>
          <w:rFonts w:hint="eastAsia" w:ascii="宋体" w:hAnsi="宋体"/>
          <w:sz w:val="24"/>
        </w:rPr>
        <w:t>采购内容为明湖小学、明湖中学、城北学校三所新建校的户外LED显示屏系统</w:t>
      </w:r>
      <w:r>
        <w:rPr>
          <w:rFonts w:ascii="宋体" w:hAnsi="宋体"/>
          <w:sz w:val="24"/>
        </w:rPr>
        <w:t>设备</w:t>
      </w:r>
      <w:r>
        <w:rPr>
          <w:rFonts w:hint="eastAsia" w:ascii="宋体" w:hAnsi="宋体"/>
          <w:sz w:val="24"/>
        </w:rPr>
        <w:t>，满足202</w:t>
      </w:r>
      <w:r>
        <w:rPr>
          <w:rFonts w:ascii="宋体" w:hAnsi="宋体"/>
          <w:sz w:val="24"/>
        </w:rPr>
        <w:t>1</w:t>
      </w:r>
      <w:r>
        <w:rPr>
          <w:rFonts w:hint="eastAsia" w:ascii="宋体" w:hAnsi="宋体"/>
          <w:sz w:val="24"/>
        </w:rPr>
        <w:t>年9月学校开学基本教学需要。</w:t>
      </w:r>
    </w:p>
    <w:p>
      <w:pPr>
        <w:spacing w:after="0" w:line="500" w:lineRule="exact"/>
        <w:ind w:firstLine="424" w:firstLineChars="177"/>
        <w:rPr>
          <w:rFonts w:ascii="宋体" w:hAnsi="宋体"/>
          <w:sz w:val="24"/>
        </w:rPr>
      </w:pPr>
      <w:r>
        <w:rPr>
          <w:rFonts w:hint="eastAsia" w:ascii="宋体" w:hAnsi="宋体"/>
          <w:sz w:val="24"/>
        </w:rPr>
        <w:t>进行如下采购工作：</w:t>
      </w:r>
    </w:p>
    <w:p>
      <w:pPr>
        <w:spacing w:after="0" w:line="500" w:lineRule="exact"/>
        <w:ind w:firstLine="424" w:firstLineChars="177"/>
        <w:rPr>
          <w:rFonts w:ascii="宋体" w:hAnsi="宋体"/>
          <w:sz w:val="24"/>
        </w:rPr>
      </w:pPr>
      <w:r>
        <w:rPr>
          <w:rFonts w:hint="eastAsia" w:ascii="宋体" w:hAnsi="宋体"/>
          <w:sz w:val="24"/>
        </w:rPr>
        <w:t>1、</w:t>
      </w:r>
      <w:r>
        <w:rPr>
          <w:rFonts w:ascii="宋体" w:hAnsi="宋体"/>
          <w:sz w:val="24"/>
        </w:rPr>
        <w:t>采购崇州市“</w:t>
      </w:r>
      <w:r>
        <w:rPr>
          <w:rFonts w:hint="eastAsia" w:ascii="宋体" w:hAnsi="宋体"/>
          <w:sz w:val="24"/>
        </w:rPr>
        <w:t>明湖小学、明湖中学、城北学校</w:t>
      </w:r>
      <w:r>
        <w:rPr>
          <w:rFonts w:ascii="宋体" w:hAnsi="宋体"/>
          <w:sz w:val="24"/>
        </w:rPr>
        <w:t>”的</w:t>
      </w:r>
      <w:r>
        <w:rPr>
          <w:rFonts w:hint="eastAsia" w:ascii="宋体" w:hAnsi="宋体"/>
          <w:sz w:val="24"/>
        </w:rPr>
        <w:t>户外LED显示屏系统</w:t>
      </w:r>
      <w:r>
        <w:rPr>
          <w:rFonts w:ascii="宋体" w:hAnsi="宋体"/>
          <w:sz w:val="24"/>
        </w:rPr>
        <w:t>设备一批</w:t>
      </w:r>
      <w:r>
        <w:rPr>
          <w:rFonts w:hint="eastAsia" w:ascii="宋体" w:hAnsi="宋体"/>
          <w:sz w:val="24"/>
        </w:rPr>
        <w:t>；</w:t>
      </w:r>
    </w:p>
    <w:p>
      <w:pPr>
        <w:spacing w:after="0" w:line="500" w:lineRule="exact"/>
        <w:ind w:firstLine="424" w:firstLineChars="177"/>
        <w:rPr>
          <w:rFonts w:ascii="宋体" w:hAnsi="宋体"/>
          <w:sz w:val="24"/>
        </w:rPr>
      </w:pPr>
      <w:r>
        <w:rPr>
          <w:rFonts w:hint="eastAsia" w:ascii="宋体" w:hAnsi="宋体"/>
          <w:sz w:val="24"/>
        </w:rPr>
        <w:t>项目预算</w:t>
      </w:r>
      <w:r>
        <w:rPr>
          <w:rFonts w:ascii="宋体" w:hAnsi="宋体"/>
          <w:sz w:val="24"/>
        </w:rPr>
        <w:t>¥153.5</w:t>
      </w:r>
      <w:r>
        <w:rPr>
          <w:rFonts w:hint="eastAsia" w:ascii="宋体" w:hAnsi="宋体"/>
          <w:sz w:val="24"/>
        </w:rPr>
        <w:t>万元。</w:t>
      </w:r>
    </w:p>
    <w:p>
      <w:pPr>
        <w:pStyle w:val="5"/>
        <w:spacing w:line="400" w:lineRule="exact"/>
        <w:rPr>
          <w:rFonts w:ascii="宋体" w:hAnsi="宋体" w:eastAsia="宋体"/>
          <w:sz w:val="24"/>
          <w:szCs w:val="24"/>
        </w:rPr>
      </w:pPr>
      <w:bookmarkStart w:id="134" w:name="_Toc217446095"/>
      <w:r>
        <w:rPr>
          <w:rFonts w:hint="eastAsia" w:ascii="宋体" w:hAnsi="宋体" w:eastAsia="宋体"/>
          <w:sz w:val="24"/>
          <w:szCs w:val="24"/>
        </w:rPr>
        <w:t xml:space="preserve"> </w:t>
      </w:r>
      <w:bookmarkStart w:id="135" w:name="_Toc19580"/>
      <w:r>
        <w:rPr>
          <w:rFonts w:hint="eastAsia" w:ascii="宋体" w:hAnsi="宋体" w:eastAsia="宋体"/>
          <w:sz w:val="24"/>
          <w:szCs w:val="24"/>
        </w:rPr>
        <w:t>商务要求</w:t>
      </w:r>
      <w:r>
        <w:rPr>
          <w:rFonts w:hint="eastAsia" w:ascii="宋体" w:hAnsi="宋体" w:eastAsia="宋体"/>
          <w:sz w:val="24"/>
        </w:rPr>
        <w:t>（本节为通用商务条款，对本章“技术参数及其它要求”中未明确的设备适用，如“技术参数及其它要求”中有明确规定，以其规定为准。）</w:t>
      </w:r>
      <w:bookmarkEnd w:id="135"/>
    </w:p>
    <w:p>
      <w:pPr>
        <w:spacing w:after="0" w:line="500" w:lineRule="exact"/>
        <w:rPr>
          <w:rFonts w:ascii="宋体" w:hAnsi="宋体"/>
          <w:sz w:val="24"/>
        </w:rPr>
      </w:pPr>
      <w:r>
        <w:rPr>
          <w:rFonts w:hint="eastAsia" w:ascii="宋体" w:hAnsi="宋体"/>
          <w:sz w:val="24"/>
        </w:rPr>
        <w:t>★【一】交货时间：合同签定后</w:t>
      </w:r>
      <w:r>
        <w:rPr>
          <w:rFonts w:hint="eastAsia" w:ascii="宋体" w:hAnsi="宋体"/>
          <w:sz w:val="24"/>
          <w:lang w:val="en-US" w:eastAsia="zh-CN"/>
        </w:rPr>
        <w:t>30</w:t>
      </w:r>
      <w:r>
        <w:rPr>
          <w:rFonts w:hint="eastAsia" w:ascii="宋体" w:hAnsi="宋体"/>
          <w:sz w:val="24"/>
        </w:rPr>
        <w:t>个日历日内完成交付使用。</w:t>
      </w:r>
    </w:p>
    <w:p>
      <w:pPr>
        <w:spacing w:after="0" w:line="500" w:lineRule="exact"/>
        <w:rPr>
          <w:rFonts w:ascii="宋体" w:hAnsi="宋体"/>
          <w:sz w:val="24"/>
        </w:rPr>
      </w:pPr>
      <w:r>
        <w:rPr>
          <w:rFonts w:hint="eastAsia" w:ascii="宋体" w:hAnsi="宋体"/>
          <w:sz w:val="24"/>
        </w:rPr>
        <w:t>★【二】交货地点：采购人指定地点。</w:t>
      </w:r>
    </w:p>
    <w:p>
      <w:pPr>
        <w:spacing w:after="0" w:line="500" w:lineRule="exact"/>
        <w:rPr>
          <w:rFonts w:ascii="宋体" w:hAnsi="宋体"/>
          <w:sz w:val="24"/>
        </w:rPr>
      </w:pPr>
      <w:r>
        <w:rPr>
          <w:rFonts w:hint="eastAsia" w:ascii="宋体" w:hAnsi="宋体"/>
          <w:sz w:val="24"/>
        </w:rPr>
        <w:t>★【三】付款方式：1、签订合同后，中标人按照合同约定时间内完成本项目的设备安装调试工作，并通知采购人组织验收，经验收小组验收合格，且应支付合同款的95%划拨到采购人账户后，采购人在 10个工作日内将应支付合同款的95%全额支付给中标人；本项目验收合格满12个月且无质量和服务问题，且应支付合同款的5%划拨到采购人账户后，采购人在10个工作日内支付合同款的5%。</w:t>
      </w:r>
    </w:p>
    <w:p>
      <w:pPr>
        <w:spacing w:after="0" w:line="500" w:lineRule="exact"/>
        <w:rPr>
          <w:rFonts w:ascii="宋体" w:hAnsi="宋体"/>
          <w:sz w:val="24"/>
        </w:rPr>
      </w:pPr>
      <w:r>
        <w:rPr>
          <w:rFonts w:hint="eastAsia" w:ascii="宋体" w:hAnsi="宋体"/>
          <w:sz w:val="24"/>
        </w:rPr>
        <w:t>2、中标人须向采购人出具合法有效完整的完税发票及凭证资料进行支付结算。</w:t>
      </w:r>
    </w:p>
    <w:p>
      <w:pPr>
        <w:spacing w:after="0" w:line="500" w:lineRule="exact"/>
        <w:rPr>
          <w:rFonts w:ascii="宋体" w:hAnsi="宋体"/>
          <w:sz w:val="24"/>
        </w:rPr>
      </w:pPr>
      <w:r>
        <w:rPr>
          <w:rFonts w:hint="eastAsia" w:ascii="宋体" w:hAnsi="宋体"/>
          <w:sz w:val="24"/>
        </w:rPr>
        <w:t>★【四】质量保证期限：项目整体履约验收合格之日起，整体质保不低于36个月。</w:t>
      </w:r>
    </w:p>
    <w:p>
      <w:pPr>
        <w:spacing w:after="0" w:line="500" w:lineRule="exact"/>
        <w:rPr>
          <w:rFonts w:ascii="宋体" w:hAnsi="宋体"/>
          <w:sz w:val="24"/>
        </w:rPr>
      </w:pPr>
      <w:r>
        <w:rPr>
          <w:rFonts w:hint="eastAsia" w:ascii="宋体" w:hAnsi="宋体"/>
          <w:sz w:val="24"/>
        </w:rPr>
        <w:t>★【五】验收要求：在中标人完成自检、校级验收、质量检测后，采购人按照</w:t>
      </w:r>
      <w:r>
        <w:rPr>
          <w:rFonts w:hint="eastAsia" w:ascii="宋体" w:hAnsi="宋体"/>
          <w:bCs/>
          <w:sz w:val="24"/>
        </w:rPr>
        <w:t>《关于进一步加强政府采购需求和履约验收管理的指导意见》（财库〔2016)205号）</w:t>
      </w:r>
      <w:r>
        <w:rPr>
          <w:rFonts w:hint="eastAsia" w:ascii="宋体" w:hAnsi="宋体"/>
          <w:sz w:val="24"/>
        </w:rPr>
        <w:t>的要求进行验收；</w:t>
      </w:r>
    </w:p>
    <w:p>
      <w:pPr>
        <w:spacing w:after="0" w:line="500" w:lineRule="exact"/>
        <w:rPr>
          <w:rFonts w:ascii="宋体" w:hAnsi="宋体"/>
          <w:sz w:val="24"/>
        </w:rPr>
      </w:pPr>
      <w:r>
        <w:rPr>
          <w:rFonts w:hint="eastAsia" w:ascii="宋体" w:hAnsi="宋体"/>
          <w:sz w:val="24"/>
        </w:rPr>
        <w:t>【六】其他要求：投标人的报价应含运杂费、税费、安装调试费等所有其他费用，并负责运送至采购人指定位置，安装调试合格；投标人在投标前做好现场勘察工作，应充分考虑交付地作息情况、工期要求、交叉作业等诸多因素，以此充分了解项目实施情况</w:t>
      </w:r>
      <w:r>
        <w:rPr>
          <w:rFonts w:ascii="宋体" w:hAnsi="宋体"/>
          <w:sz w:val="24"/>
        </w:rPr>
        <w:t>。</w:t>
      </w:r>
      <w:r>
        <w:rPr>
          <w:rFonts w:hint="eastAsia" w:ascii="宋体" w:hAnsi="宋体"/>
          <w:sz w:val="24"/>
        </w:rPr>
        <w:t xml:space="preserve"> </w:t>
      </w:r>
    </w:p>
    <w:p>
      <w:pPr>
        <w:spacing w:after="0" w:line="500" w:lineRule="exact"/>
        <w:rPr>
          <w:rFonts w:ascii="宋体" w:hAnsi="宋体"/>
          <w:sz w:val="24"/>
        </w:rPr>
      </w:pPr>
      <w:r>
        <w:rPr>
          <w:rFonts w:hint="eastAsia" w:ascii="宋体" w:hAnsi="宋体"/>
          <w:sz w:val="24"/>
        </w:rPr>
        <w:t>★【七】施工要求</w:t>
      </w:r>
    </w:p>
    <w:p>
      <w:pPr>
        <w:spacing w:after="0" w:line="500" w:lineRule="exact"/>
        <w:rPr>
          <w:rFonts w:ascii="宋体" w:hAnsi="宋体"/>
          <w:sz w:val="24"/>
        </w:rPr>
      </w:pPr>
      <w:r>
        <w:rPr>
          <w:rFonts w:hint="eastAsia" w:ascii="宋体" w:hAnsi="宋体"/>
          <w:sz w:val="24"/>
        </w:rPr>
        <w:t>1、</w:t>
      </w:r>
      <w:r>
        <w:rPr>
          <w:rFonts w:hint="eastAsia" w:ascii="宋体" w:hAnsi="宋体"/>
          <w:sz w:val="24"/>
        </w:rPr>
        <w:tab/>
      </w:r>
      <w:r>
        <w:rPr>
          <w:rFonts w:hint="eastAsia" w:ascii="宋体" w:hAnsi="宋体"/>
          <w:sz w:val="24"/>
        </w:rPr>
        <w:t>施工计划：投标人须结合本采购项目交货时间及项目校作息时间安排，制定切实可行的施工计划，杜绝有与项目正常教学发生冲突的情况发生；</w:t>
      </w:r>
    </w:p>
    <w:p>
      <w:pPr>
        <w:spacing w:after="0" w:line="500" w:lineRule="exact"/>
        <w:rPr>
          <w:rFonts w:ascii="宋体" w:hAnsi="宋体"/>
          <w:sz w:val="24"/>
        </w:rPr>
      </w:pPr>
      <w:r>
        <w:rPr>
          <w:rFonts w:hint="eastAsia" w:ascii="宋体" w:hAnsi="宋体"/>
          <w:sz w:val="24"/>
        </w:rPr>
        <w:t>2、投标人在本项目外屏立柱部分验收时需向采购人提供安全施工相关资料，如钢材合格证、结构设计及施工人员资格证、第三方检测机构出具的结构安全报告。</w:t>
      </w:r>
    </w:p>
    <w:p>
      <w:pPr>
        <w:spacing w:after="0" w:line="500" w:lineRule="exact"/>
        <w:rPr>
          <w:rFonts w:ascii="宋体" w:hAnsi="宋体"/>
          <w:sz w:val="24"/>
        </w:rPr>
      </w:pPr>
      <w:r>
        <w:rPr>
          <w:rFonts w:hint="eastAsia" w:ascii="宋体" w:hAnsi="宋体"/>
          <w:sz w:val="24"/>
        </w:rPr>
        <w:t>3、</w:t>
      </w:r>
      <w:r>
        <w:rPr>
          <w:rFonts w:hint="eastAsia" w:ascii="宋体" w:hAnsi="宋体"/>
          <w:sz w:val="24"/>
        </w:rPr>
        <w:tab/>
      </w:r>
      <w:r>
        <w:rPr>
          <w:rFonts w:hint="eastAsia" w:ascii="宋体" w:hAnsi="宋体"/>
          <w:sz w:val="24"/>
        </w:rPr>
        <w:t>弱电线路敷设：室外LED显示系统设备所有设备线路均为暗敷，主干强弱电线路走线间距不得低于30cm，网络线缆采用国产品牌超五类产品（</w:t>
      </w:r>
      <w:r>
        <w:rPr>
          <w:rFonts w:hint="eastAsia" w:ascii="宋体" w:hAnsi="宋体"/>
          <w:sz w:val="24"/>
          <w:lang w:eastAsia="zh-CN"/>
        </w:rPr>
        <w:t>验收时提供</w:t>
      </w:r>
      <w:r>
        <w:rPr>
          <w:rFonts w:hint="eastAsia" w:ascii="宋体" w:hAnsi="宋体"/>
          <w:sz w:val="24"/>
        </w:rPr>
        <w:t>质量检测报告），水晶头采用国产品牌厂家产品，且两端水晶头制作均需加装水晶头专用防尘套。系统设备电源均由总配电柜输出，不允许就地取电或搭接照明、空调电源线路，室外LED供电所需三相电源，其三相负荷需均衡配置，暗敷设备电源线为正规厂家产品，主干线路规格不低于YJV 4</w:t>
      </w:r>
      <w:r>
        <w:rPr>
          <w:rFonts w:ascii="宋体" w:hAnsi="宋体"/>
          <w:sz w:val="24"/>
        </w:rPr>
        <w:t>*</w:t>
      </w:r>
      <w:r>
        <w:rPr>
          <w:rFonts w:hint="eastAsia" w:ascii="宋体" w:hAnsi="宋体"/>
          <w:sz w:val="24"/>
        </w:rPr>
        <w:t>6+1</w:t>
      </w:r>
      <w:r>
        <w:rPr>
          <w:rFonts w:ascii="宋体" w:hAnsi="宋体"/>
          <w:sz w:val="24"/>
        </w:rPr>
        <w:t>*</w:t>
      </w:r>
      <w:r>
        <w:rPr>
          <w:rFonts w:hint="eastAsia" w:ascii="宋体" w:hAnsi="宋体"/>
          <w:sz w:val="24"/>
        </w:rPr>
        <w:t>3, 所有线路均需穿管敷设，无明线外露。符合国家强电相关规范要求，主干线路验收时提供有资质检测单位出具的质量检测报告。</w:t>
      </w:r>
    </w:p>
    <w:p>
      <w:pPr>
        <w:spacing w:after="0" w:line="500" w:lineRule="exact"/>
        <w:rPr>
          <w:rFonts w:ascii="宋体" w:hAnsi="宋体"/>
          <w:sz w:val="24"/>
        </w:rPr>
      </w:pPr>
      <w:r>
        <w:rPr>
          <w:rFonts w:hint="eastAsia" w:ascii="宋体" w:hAnsi="宋体"/>
          <w:sz w:val="24"/>
        </w:rPr>
        <w:t>4、</w:t>
      </w:r>
      <w:r>
        <w:rPr>
          <w:rFonts w:hint="eastAsia" w:ascii="宋体" w:hAnsi="宋体"/>
          <w:sz w:val="24"/>
        </w:rPr>
        <w:tab/>
      </w:r>
      <w:r>
        <w:rPr>
          <w:rFonts w:hint="eastAsia" w:ascii="宋体" w:hAnsi="宋体"/>
          <w:sz w:val="24"/>
        </w:rPr>
        <w:t>暗埋破路、系统立柱、壁挂要求：针对LED显示系统存在异地控制等需求，所有控制及弱电线路暗敷、展示屏体主体施工时需按以下要求进行施工：：</w:t>
      </w:r>
    </w:p>
    <w:p>
      <w:pPr>
        <w:spacing w:after="0" w:line="500" w:lineRule="exact"/>
        <w:rPr>
          <w:rFonts w:ascii="宋体" w:hAnsi="宋体"/>
          <w:sz w:val="24"/>
        </w:rPr>
      </w:pPr>
      <w:r>
        <w:rPr>
          <w:rFonts w:hint="eastAsia" w:ascii="宋体" w:hAnsi="宋体"/>
          <w:sz w:val="24"/>
        </w:rPr>
        <w:t>a)</w:t>
      </w:r>
      <w:r>
        <w:rPr>
          <w:rFonts w:hint="eastAsia" w:ascii="宋体" w:hAnsi="宋体"/>
          <w:sz w:val="24"/>
        </w:rPr>
        <w:tab/>
      </w:r>
      <w:r>
        <w:rPr>
          <w:rFonts w:hint="eastAsia" w:ascii="宋体" w:hAnsi="宋体"/>
          <w:sz w:val="24"/>
        </w:rPr>
        <w:t>主干线路过绿化带暗敷时，挖沟深度不低于40cm，采用PVC穿管敷设，PVC管径大小不得小于线缆线径3倍，恢复绿化带时应保持原有绿化带整洁；</w:t>
      </w:r>
    </w:p>
    <w:p>
      <w:pPr>
        <w:spacing w:after="0" w:line="500" w:lineRule="exact"/>
        <w:rPr>
          <w:rFonts w:ascii="宋体" w:hAnsi="宋体"/>
          <w:sz w:val="24"/>
        </w:rPr>
      </w:pPr>
      <w:r>
        <w:rPr>
          <w:rFonts w:hint="eastAsia" w:ascii="宋体" w:hAnsi="宋体"/>
          <w:sz w:val="24"/>
        </w:rPr>
        <w:t>b)</w:t>
      </w:r>
      <w:r>
        <w:rPr>
          <w:rFonts w:hint="eastAsia" w:ascii="宋体" w:hAnsi="宋体"/>
          <w:sz w:val="24"/>
        </w:rPr>
        <w:tab/>
      </w:r>
      <w:r>
        <w:rPr>
          <w:rFonts w:hint="eastAsia" w:ascii="宋体" w:hAnsi="宋体"/>
          <w:sz w:val="24"/>
        </w:rPr>
        <w:t>主干线路过柏油、水泥路面时，挖沟深度不低于20cm，采用镀锌钢管穿管敷设，恢复路面时应采用原路面同等材料进行恢复；</w:t>
      </w:r>
    </w:p>
    <w:p>
      <w:pPr>
        <w:spacing w:after="0" w:line="500" w:lineRule="exact"/>
        <w:rPr>
          <w:rFonts w:ascii="宋体" w:hAnsi="宋体"/>
          <w:sz w:val="24"/>
        </w:rPr>
      </w:pPr>
      <w:r>
        <w:rPr>
          <w:rFonts w:hint="eastAsia" w:ascii="宋体" w:hAnsi="宋体"/>
          <w:sz w:val="24"/>
        </w:rPr>
        <w:t>c)</w:t>
      </w:r>
      <w:r>
        <w:rPr>
          <w:rFonts w:hint="eastAsia" w:ascii="宋体" w:hAnsi="宋体"/>
          <w:sz w:val="24"/>
        </w:rPr>
        <w:tab/>
      </w:r>
      <w:r>
        <w:rPr>
          <w:rFonts w:hint="eastAsia" w:ascii="宋体" w:hAnsi="宋体"/>
          <w:sz w:val="24"/>
        </w:rPr>
        <w:t>暗敷线路从地面上墙采用镀锌钢管垂直安装，钢管高度不低于2.5米，且做好管道内防积水、防鼠处理；</w:t>
      </w:r>
    </w:p>
    <w:p>
      <w:pPr>
        <w:spacing w:after="0" w:line="500" w:lineRule="exact"/>
        <w:rPr>
          <w:rFonts w:ascii="宋体" w:hAnsi="宋体"/>
          <w:sz w:val="24"/>
        </w:rPr>
      </w:pPr>
      <w:r>
        <w:rPr>
          <w:rFonts w:hint="eastAsia" w:ascii="宋体" w:hAnsi="宋体"/>
          <w:sz w:val="24"/>
        </w:rPr>
        <w:t>d)</w:t>
      </w:r>
      <w:r>
        <w:rPr>
          <w:rFonts w:hint="eastAsia" w:ascii="宋体" w:hAnsi="宋体"/>
          <w:sz w:val="24"/>
        </w:rPr>
        <w:tab/>
      </w:r>
      <w:r>
        <w:rPr>
          <w:rFonts w:hint="eastAsia" w:ascii="宋体" w:hAnsi="宋体"/>
          <w:sz w:val="24"/>
        </w:rPr>
        <w:t>室外显示屏立柱时，单柱应采用钢板卷板制成，管径不低于60cm，双柱管径不低于40cm，外体涂刷防锈漆，检修爬梯最低阶梯高度距地面不得低于2.5M，立柱地笼深度立柱深度不低于2M，并做好配合防雷接地处理。</w:t>
      </w:r>
    </w:p>
    <w:p>
      <w:pPr>
        <w:spacing w:after="0" w:line="500" w:lineRule="exact"/>
        <w:rPr>
          <w:rFonts w:ascii="宋体" w:hAnsi="宋体"/>
          <w:sz w:val="24"/>
        </w:rPr>
      </w:pPr>
      <w:r>
        <w:rPr>
          <w:rFonts w:hint="eastAsia" w:ascii="宋体" w:hAnsi="宋体"/>
          <w:sz w:val="24"/>
        </w:rPr>
        <w:t>e)</w:t>
      </w:r>
      <w:r>
        <w:rPr>
          <w:rFonts w:hint="eastAsia" w:ascii="宋体" w:hAnsi="宋体"/>
          <w:sz w:val="24"/>
        </w:rPr>
        <w:tab/>
      </w:r>
      <w:r>
        <w:rPr>
          <w:rFonts w:hint="eastAsia" w:ascii="宋体" w:hAnsi="宋体"/>
          <w:sz w:val="24"/>
        </w:rPr>
        <w:t>室外屏体防水处理：对室外屏体顶部应做好防水处理，应尽量采用斜顶，并在屏体边缘做好雨檐。屏体采用不锈钢包边，表面光滑，无金属倒刺。在师生能触碰到的安装学校，散热控制系统外机应置于屏体内部，并做好封闭处理，屏体外预留散热百叶窗。</w:t>
      </w:r>
    </w:p>
    <w:p>
      <w:pPr>
        <w:spacing w:after="0" w:line="500" w:lineRule="exact"/>
        <w:rPr>
          <w:rFonts w:ascii="宋体" w:hAnsi="宋体"/>
          <w:sz w:val="24"/>
        </w:rPr>
      </w:pPr>
      <w:r>
        <w:rPr>
          <w:rFonts w:hint="eastAsia" w:ascii="宋体" w:hAnsi="宋体"/>
          <w:sz w:val="24"/>
        </w:rPr>
        <w:t>5、</w:t>
      </w:r>
      <w:r>
        <w:rPr>
          <w:rFonts w:hint="eastAsia" w:ascii="宋体" w:hAnsi="宋体"/>
          <w:sz w:val="24"/>
        </w:rPr>
        <w:tab/>
      </w:r>
      <w:r>
        <w:rPr>
          <w:rFonts w:hint="eastAsia" w:ascii="宋体" w:hAnsi="宋体"/>
          <w:sz w:val="24"/>
        </w:rPr>
        <w:t>设备安装：LED屏体模组的安装应尽量避免间隙过大，不允许出现搓灯情况，设备组装线缆均需采用尼龙扎带规范捆扎。</w:t>
      </w:r>
    </w:p>
    <w:p>
      <w:pPr>
        <w:spacing w:after="0" w:line="500" w:lineRule="exact"/>
        <w:rPr>
          <w:rFonts w:ascii="宋体" w:hAnsi="宋体"/>
          <w:sz w:val="24"/>
        </w:rPr>
      </w:pPr>
      <w:r>
        <w:rPr>
          <w:rFonts w:hint="eastAsia" w:ascii="宋体" w:hAnsi="宋体"/>
          <w:sz w:val="24"/>
        </w:rPr>
        <w:t>6、</w:t>
      </w:r>
      <w:r>
        <w:rPr>
          <w:rFonts w:hint="eastAsia" w:ascii="宋体" w:hAnsi="宋体"/>
          <w:sz w:val="24"/>
        </w:rPr>
        <w:tab/>
      </w:r>
      <w:r>
        <w:rPr>
          <w:rFonts w:hint="eastAsia" w:ascii="宋体" w:hAnsi="宋体"/>
          <w:sz w:val="24"/>
        </w:rPr>
        <w:t>标识标牌：须采用机打或成品标识符，于线缆两端300mm内对应设置标签、于设备正面或其他易识别的区别进行标识；标识符表示内容应清晰、材质具有耐磨、附着力强等性能；</w:t>
      </w:r>
    </w:p>
    <w:p>
      <w:pPr>
        <w:spacing w:after="0" w:line="500" w:lineRule="exact"/>
        <w:rPr>
          <w:rFonts w:ascii="宋体" w:hAnsi="宋体"/>
          <w:sz w:val="24"/>
        </w:rPr>
      </w:pPr>
      <w:r>
        <w:rPr>
          <w:rFonts w:hint="eastAsia" w:ascii="宋体" w:hAnsi="宋体"/>
          <w:sz w:val="24"/>
        </w:rPr>
        <w:t>7、</w:t>
      </w:r>
      <w:r>
        <w:rPr>
          <w:rFonts w:hint="eastAsia" w:ascii="宋体" w:hAnsi="宋体"/>
          <w:sz w:val="24"/>
        </w:rPr>
        <w:tab/>
      </w:r>
      <w:r>
        <w:rPr>
          <w:rFonts w:hint="eastAsia" w:ascii="宋体" w:hAnsi="宋体"/>
          <w:sz w:val="24"/>
        </w:rPr>
        <w:t>防雷接地要求：本次项目系统采用三级防雷要求进行制作，在LED内部采用铜排制作等电位和均压环，对地电阻≤4Ω，所有设备及机柜均进行良好接地处理，验收时提供由防雷检测资质的单位或者机构组织防雷验收测试，并出具合格的检测报告。</w:t>
      </w:r>
    </w:p>
    <w:p>
      <w:pPr>
        <w:spacing w:after="0" w:line="500" w:lineRule="exact"/>
        <w:rPr>
          <w:rFonts w:ascii="宋体" w:hAnsi="宋体"/>
          <w:sz w:val="24"/>
        </w:rPr>
      </w:pPr>
      <w:r>
        <w:rPr>
          <w:rFonts w:hint="eastAsia" w:ascii="宋体" w:hAnsi="宋体"/>
          <w:sz w:val="24"/>
        </w:rPr>
        <w:t>8、</w:t>
      </w:r>
      <w:r>
        <w:rPr>
          <w:rFonts w:hint="eastAsia" w:ascii="宋体" w:hAnsi="宋体"/>
          <w:sz w:val="24"/>
        </w:rPr>
        <w:tab/>
      </w:r>
      <w:r>
        <w:rPr>
          <w:rFonts w:hint="eastAsia" w:ascii="宋体" w:hAnsi="宋体"/>
          <w:sz w:val="24"/>
        </w:rPr>
        <w:t>隐蔽工程施工：对LED钢结构内部进行主干线路敷设时，应保留隐蔽工程施工照片，验收时一并放入验收报告，采用优质线槽、管等辅助施工材料；</w:t>
      </w:r>
    </w:p>
    <w:p>
      <w:pPr>
        <w:spacing w:after="0" w:line="500" w:lineRule="exact"/>
        <w:rPr>
          <w:rFonts w:ascii="宋体" w:hAnsi="宋体"/>
          <w:sz w:val="24"/>
        </w:rPr>
      </w:pPr>
      <w:r>
        <w:rPr>
          <w:rFonts w:hint="eastAsia" w:ascii="宋体" w:hAnsi="宋体"/>
          <w:sz w:val="24"/>
        </w:rPr>
        <w:t>9、</w:t>
      </w:r>
      <w:r>
        <w:rPr>
          <w:rFonts w:hint="eastAsia" w:ascii="宋体" w:hAnsi="宋体"/>
          <w:sz w:val="24"/>
        </w:rPr>
        <w:tab/>
      </w:r>
      <w:r>
        <w:rPr>
          <w:rFonts w:hint="eastAsia" w:ascii="宋体" w:hAnsi="宋体"/>
          <w:sz w:val="24"/>
        </w:rPr>
        <w:t>文案归档：项目施工整体结束，包括但不限于提供核心设备账号及密码、系统拓扑图、点位布局图、中心设备连接示意图、线路标识文本、隐蔽工程照片、系统操作流程展板等，以上材料均将作为验收材料附件；</w:t>
      </w:r>
    </w:p>
    <w:p>
      <w:pPr>
        <w:spacing w:after="0" w:line="500" w:lineRule="exact"/>
        <w:rPr>
          <w:rFonts w:ascii="宋体" w:hAnsi="宋体"/>
          <w:sz w:val="24"/>
        </w:rPr>
      </w:pPr>
      <w:r>
        <w:rPr>
          <w:rFonts w:hint="eastAsia" w:ascii="宋体" w:hAnsi="宋体"/>
          <w:sz w:val="24"/>
        </w:rPr>
        <w:t>10、质量检测：中标人全面完成项目建设后，采购人有权需委托第三方质检机构对本项目进行质量检测，一次性检测合格所产生的检测费用由采购人支付；出现整改引起的检测费用由中标人承担，出现多次整改采购人有权拒收货物，情节严重将终止合同并追究相关责任。</w:t>
      </w:r>
    </w:p>
    <w:p>
      <w:pPr>
        <w:spacing w:after="0" w:line="500" w:lineRule="exact"/>
        <w:rPr>
          <w:rFonts w:hint="eastAsia" w:ascii="宋体" w:hAnsi="宋体" w:eastAsiaTheme="minorEastAsia"/>
          <w:sz w:val="24"/>
          <w:lang w:eastAsia="zh-CN"/>
        </w:rPr>
      </w:pPr>
      <w:r>
        <w:rPr>
          <w:rFonts w:hint="eastAsia" w:ascii="宋体" w:hAnsi="宋体"/>
          <w:sz w:val="24"/>
        </w:rPr>
        <w:t>【八】</w:t>
      </w:r>
      <w:r>
        <w:rPr>
          <w:rFonts w:hint="eastAsia" w:ascii="宋体" w:hAnsi="宋体"/>
          <w:sz w:val="24"/>
          <w:lang w:eastAsia="zh-CN"/>
        </w:rPr>
        <w:t>售后服务方案</w:t>
      </w:r>
    </w:p>
    <w:p>
      <w:pPr>
        <w:spacing w:after="0" w:line="500" w:lineRule="exact"/>
        <w:rPr>
          <w:rFonts w:ascii="宋体" w:hAnsi="宋体"/>
          <w:sz w:val="24"/>
        </w:rPr>
      </w:pPr>
      <w:r>
        <w:rPr>
          <w:rFonts w:hint="eastAsia" w:ascii="宋体" w:hAnsi="宋体"/>
          <w:sz w:val="24"/>
        </w:rPr>
        <w:t>1、培训方案：中标人须对项目校管理人员进行现场培训，直至可独立熟练操作为止。</w:t>
      </w:r>
    </w:p>
    <w:p>
      <w:pPr>
        <w:spacing w:after="0" w:line="500" w:lineRule="exact"/>
        <w:rPr>
          <w:rFonts w:ascii="宋体" w:hAnsi="宋体"/>
          <w:sz w:val="24"/>
        </w:rPr>
      </w:pPr>
      <w:r>
        <w:rPr>
          <w:rFonts w:hint="eastAsia" w:ascii="宋体" w:hAnsi="宋体"/>
          <w:sz w:val="24"/>
        </w:rPr>
        <w:t>2、响应机制及时间：质保期内出现质量问题，乙方在接到通知后须立即响应、4小时内到场、24小时内完成维修或提供备件；12个月内同一设备故障达3次（含）以上，必须更换全新的同等设备。</w:t>
      </w:r>
    </w:p>
    <w:p>
      <w:pPr>
        <w:spacing w:after="0" w:line="500" w:lineRule="exact"/>
        <w:rPr>
          <w:rFonts w:ascii="宋体" w:hAnsi="宋体"/>
          <w:sz w:val="24"/>
        </w:rPr>
      </w:pPr>
      <w:r>
        <w:rPr>
          <w:rFonts w:hint="eastAsia" w:ascii="宋体" w:hAnsi="宋体"/>
          <w:sz w:val="24"/>
        </w:rPr>
        <w:t>3、现场巡检：项目完工并通过验收后，中标人至少提供不低于三次现场技术指导服务，培训人员不低于一名。</w:t>
      </w:r>
    </w:p>
    <w:p>
      <w:pPr>
        <w:spacing w:after="0" w:line="500" w:lineRule="exact"/>
        <w:rPr>
          <w:rFonts w:ascii="宋体" w:hAnsi="宋体"/>
          <w:sz w:val="24"/>
        </w:rPr>
      </w:pPr>
      <w:r>
        <w:rPr>
          <w:rFonts w:hint="eastAsia" w:ascii="宋体" w:hAnsi="宋体"/>
          <w:sz w:val="24"/>
        </w:rPr>
        <w:t>4、备品/备件供应：质保期内，若遇重大活动安排，中标人须提供系统相应的备品、备件，以确保设备在出现突发性故障时能及时更换，保障系统的正常进行。</w:t>
      </w:r>
    </w:p>
    <w:p>
      <w:pPr>
        <w:spacing w:after="0" w:line="500" w:lineRule="exact"/>
        <w:rPr>
          <w:rFonts w:ascii="宋体" w:hAnsi="宋体"/>
          <w:sz w:val="24"/>
        </w:rPr>
      </w:pPr>
      <w:r>
        <w:rPr>
          <w:rFonts w:hint="eastAsia" w:ascii="宋体" w:hAnsi="宋体"/>
          <w:sz w:val="24"/>
        </w:rPr>
        <w:t>5、响应保障：针对本项目提供响应保障人员名单和联系方式及保障措施；质保期内，若因项目校人事变动等引起的继续培训服务需求，中标人须无偿提供继续培训服务。</w:t>
      </w:r>
    </w:p>
    <w:p>
      <w:pPr>
        <w:spacing w:line="500" w:lineRule="exact"/>
        <w:rPr>
          <w:rFonts w:ascii="宋体" w:hAnsi="宋体"/>
          <w:b/>
          <w:bCs/>
          <w:sz w:val="24"/>
        </w:rPr>
      </w:pPr>
      <w:r>
        <w:rPr>
          <w:rFonts w:hint="eastAsia" w:ascii="宋体" w:hAnsi="宋体"/>
          <w:sz w:val="24"/>
        </w:rPr>
        <w:t>★</w:t>
      </w:r>
      <w:r>
        <w:rPr>
          <w:rFonts w:hint="eastAsia" w:ascii="宋体" w:hAnsi="宋体"/>
          <w:b/>
          <w:bCs/>
          <w:sz w:val="24"/>
        </w:rPr>
        <w:t>【九】违约责任：</w:t>
      </w:r>
    </w:p>
    <w:p>
      <w:pPr>
        <w:spacing w:line="500" w:lineRule="exact"/>
        <w:rPr>
          <w:rFonts w:ascii="宋体" w:hAnsi="宋体"/>
          <w:sz w:val="24"/>
        </w:rPr>
      </w:pPr>
      <w:r>
        <w:rPr>
          <w:rFonts w:ascii="宋体" w:hAnsi="宋体"/>
          <w:sz w:val="24"/>
        </w:rPr>
        <w:t>1</w:t>
      </w:r>
      <w:r>
        <w:rPr>
          <w:rFonts w:hint="eastAsia" w:ascii="宋体" w:hAnsi="宋体"/>
          <w:sz w:val="24"/>
        </w:rPr>
        <w:t>、中标人违约责任</w:t>
      </w:r>
    </w:p>
    <w:p>
      <w:pPr>
        <w:spacing w:line="500" w:lineRule="exact"/>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中标人交付的货物质量不符合合同规定的，中标人应向采购人支付合同总价的百分之叁的违约金，并须在合同规定的交货时间内更换合格的货物给采购人，否则，视作中标人不能交付货物而违约，按本条本款下述第“（</w:t>
      </w:r>
      <w:r>
        <w:rPr>
          <w:rFonts w:ascii="宋体" w:hAnsi="宋体"/>
          <w:sz w:val="24"/>
        </w:rPr>
        <w:t>2</w:t>
      </w:r>
      <w:r>
        <w:rPr>
          <w:rFonts w:hint="eastAsia" w:ascii="宋体" w:hAnsi="宋体"/>
          <w:sz w:val="24"/>
        </w:rPr>
        <w:t>）”项规定由中标人偿付违约赔偿金给采购人。</w:t>
      </w:r>
    </w:p>
    <w:p>
      <w:pPr>
        <w:spacing w:line="500" w:lineRule="exact"/>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）中标人不能交付货物或逾期交付货物而违约的，除应及时交足货物外，应向采购人偿付逾期交货部分货款总额的万分之壹</w:t>
      </w:r>
      <w:r>
        <w:rPr>
          <w:rFonts w:ascii="宋体" w:hAnsi="宋体"/>
          <w:sz w:val="24"/>
        </w:rPr>
        <w:t>/</w:t>
      </w:r>
      <w:r>
        <w:rPr>
          <w:rFonts w:hint="eastAsia" w:ascii="宋体" w:hAnsi="宋体"/>
          <w:sz w:val="24"/>
        </w:rPr>
        <w:t>天的违约金；逾期交货超过</w:t>
      </w:r>
      <w:r>
        <w:rPr>
          <w:rFonts w:ascii="宋体" w:hAnsi="宋体"/>
          <w:sz w:val="24"/>
        </w:rPr>
        <w:t>30</w:t>
      </w:r>
      <w:r>
        <w:rPr>
          <w:rFonts w:hint="eastAsia" w:ascii="宋体" w:hAnsi="宋体"/>
          <w:sz w:val="24"/>
        </w:rPr>
        <w:t>天，采购人有权终止合同，中标人则应按合同总价的百分之叁的款额向采购人偿付赔偿金，并须全额退还采购人已经付给中标人的货款及其利息。</w:t>
      </w:r>
    </w:p>
    <w:p>
      <w:pPr>
        <w:spacing w:line="500" w:lineRule="exact"/>
        <w:rPr>
          <w:rFonts w:ascii="宋体" w:hAnsi="宋体"/>
          <w:sz w:val="24"/>
        </w:rPr>
      </w:pPr>
      <w:r>
        <w:rPr>
          <w:rFonts w:hint="eastAsia" w:ascii="宋体" w:hAnsi="宋体"/>
          <w:sz w:val="24"/>
        </w:rPr>
        <w:t>（</w:t>
      </w:r>
      <w:r>
        <w:rPr>
          <w:rFonts w:hint="eastAsia" w:ascii="宋体" w:hAnsi="宋体"/>
          <w:sz w:val="24"/>
          <w:lang w:val="en-US" w:eastAsia="zh-CN"/>
        </w:rPr>
        <w:t>3</w:t>
      </w:r>
      <w:r>
        <w:rPr>
          <w:rFonts w:hint="eastAsia" w:ascii="宋体" w:hAnsi="宋体"/>
          <w:sz w:val="24"/>
        </w:rPr>
        <w:t>）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p>
    <w:p>
      <w:pPr>
        <w:rPr>
          <w:rFonts w:ascii="宋体" w:hAnsi="宋体"/>
        </w:rPr>
      </w:pPr>
      <w:r>
        <w:rPr>
          <w:rFonts w:hint="eastAsia" w:ascii="宋体" w:hAnsi="宋体"/>
          <w:sz w:val="24"/>
        </w:rPr>
        <w:t>（</w:t>
      </w:r>
      <w:r>
        <w:rPr>
          <w:rFonts w:hint="eastAsia" w:ascii="宋体" w:hAnsi="宋体"/>
          <w:sz w:val="24"/>
          <w:lang w:val="en-US" w:eastAsia="zh-CN"/>
        </w:rPr>
        <w:t>4</w:t>
      </w:r>
      <w:r>
        <w:rPr>
          <w:rFonts w:hint="eastAsia" w:ascii="宋体" w:hAnsi="宋体"/>
          <w:sz w:val="24"/>
        </w:rPr>
        <w:t>）中标人偿付的违约金不足以弥补采购人损失的，还应按采购人损失尚未弥补的部分，支付赔偿金给采购人。</w:t>
      </w:r>
    </w:p>
    <w:bookmarkEnd w:id="134"/>
    <w:p>
      <w:pPr>
        <w:pStyle w:val="5"/>
        <w:spacing w:line="400" w:lineRule="exact"/>
        <w:rPr>
          <w:rFonts w:ascii="宋体" w:hAnsi="宋体" w:eastAsia="宋体"/>
          <w:sz w:val="24"/>
        </w:rPr>
      </w:pPr>
      <w:r>
        <w:rPr>
          <w:rFonts w:hint="eastAsia" w:ascii="宋体" w:hAnsi="宋体" w:eastAsia="宋体"/>
          <w:sz w:val="24"/>
        </w:rPr>
        <w:t xml:space="preserve"> </w:t>
      </w:r>
      <w:bookmarkStart w:id="136" w:name="_Toc20293"/>
      <w:r>
        <w:rPr>
          <w:rFonts w:hint="eastAsia" w:ascii="宋体" w:hAnsi="宋体" w:eastAsia="宋体"/>
          <w:sz w:val="24"/>
        </w:rPr>
        <w:t>技术参数及其它要求</w:t>
      </w:r>
      <w:bookmarkEnd w:id="136"/>
    </w:p>
    <w:p>
      <w:pPr>
        <w:rPr>
          <w:rFonts w:ascii="宋体" w:hAnsi="宋体"/>
          <w:sz w:val="24"/>
        </w:rPr>
      </w:pPr>
      <w:r>
        <w:rPr>
          <w:rFonts w:hint="eastAsia" w:ascii="宋体" w:hAnsi="宋体"/>
          <w:sz w:val="24"/>
        </w:rPr>
        <w:t>1、本项目的核心产品：图形工作站、P4全彩LED屏。</w:t>
      </w:r>
    </w:p>
    <w:p>
      <w:pPr>
        <w:rPr>
          <w:rFonts w:ascii="宋体" w:hAnsi="宋体"/>
          <w:sz w:val="24"/>
        </w:rPr>
      </w:pPr>
      <w:r>
        <w:rPr>
          <w:rFonts w:hint="eastAsia" w:ascii="宋体" w:hAnsi="宋体" w:cs="宋体"/>
          <w:kern w:val="0"/>
          <w:szCs w:val="21"/>
        </w:rPr>
        <w:t>★</w:t>
      </w:r>
      <w:r>
        <w:rPr>
          <w:rFonts w:hint="eastAsia" w:ascii="宋体" w:hAnsi="宋体"/>
          <w:sz w:val="24"/>
        </w:rPr>
        <w:t>2、针对“显示器”，投标人须提供国家确定的认证机构出具的、处于有效期之内的《中国节能产品认证证书》复印件并加盖投标人公章。</w:t>
      </w:r>
    </w:p>
    <w:p>
      <w:pPr>
        <w:rPr>
          <w:rFonts w:ascii="宋体" w:hAnsi="宋体"/>
          <w:sz w:val="24"/>
        </w:rPr>
      </w:pPr>
      <w:r>
        <w:rPr>
          <w:rFonts w:hint="eastAsia" w:ascii="宋体" w:hAnsi="宋体" w:cs="宋体"/>
          <w:kern w:val="0"/>
          <w:szCs w:val="21"/>
        </w:rPr>
        <w:t>★</w:t>
      </w:r>
      <w:r>
        <w:rPr>
          <w:rFonts w:hint="eastAsia" w:ascii="宋体" w:hAnsi="宋体"/>
          <w:sz w:val="24"/>
        </w:rPr>
        <w:t>3、投标产品中，“P4全彩LED屏、视频处理器”的生产制造商须为同一生产制造商。</w:t>
      </w:r>
    </w:p>
    <w:tbl>
      <w:tblPr>
        <w:tblStyle w:val="15"/>
        <w:tblW w:w="8880" w:type="dxa"/>
        <w:jc w:val="center"/>
        <w:tblInd w:w="0" w:type="dxa"/>
        <w:tblLayout w:type="fixed"/>
        <w:tblCellMar>
          <w:top w:w="0" w:type="dxa"/>
          <w:left w:w="108" w:type="dxa"/>
          <w:bottom w:w="0" w:type="dxa"/>
          <w:right w:w="108" w:type="dxa"/>
        </w:tblCellMar>
      </w:tblPr>
      <w:tblGrid>
        <w:gridCol w:w="704"/>
        <w:gridCol w:w="1134"/>
        <w:gridCol w:w="5602"/>
        <w:gridCol w:w="780"/>
        <w:gridCol w:w="660"/>
      </w:tblGrid>
      <w:tr>
        <w:tblPrEx>
          <w:tblLayout w:type="fixed"/>
          <w:tblCellMar>
            <w:top w:w="0" w:type="dxa"/>
            <w:left w:w="108" w:type="dxa"/>
            <w:bottom w:w="0" w:type="dxa"/>
            <w:right w:w="108" w:type="dxa"/>
          </w:tblCellMar>
        </w:tblPrEx>
        <w:trPr>
          <w:trHeight w:val="460" w:hRule="atLeast"/>
          <w:jc w:val="center"/>
        </w:trPr>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b/>
                <w:bCs/>
                <w:kern w:val="0"/>
                <w:szCs w:val="21"/>
              </w:rPr>
            </w:pPr>
            <w:r>
              <w:rPr>
                <w:rFonts w:hint="eastAsia" w:ascii="宋体" w:hAnsi="宋体" w:cs="宋体"/>
                <w:b/>
                <w:bCs/>
                <w:kern w:val="0"/>
                <w:szCs w:val="21"/>
              </w:rPr>
              <w:t>序号</w:t>
            </w:r>
          </w:p>
        </w:tc>
        <w:tc>
          <w:tcPr>
            <w:tcW w:w="1134"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b/>
                <w:bCs/>
                <w:kern w:val="0"/>
                <w:szCs w:val="21"/>
              </w:rPr>
            </w:pPr>
            <w:r>
              <w:rPr>
                <w:rFonts w:hint="eastAsia" w:ascii="宋体" w:hAnsi="宋体" w:cs="宋体"/>
                <w:b/>
                <w:bCs/>
                <w:kern w:val="0"/>
                <w:szCs w:val="21"/>
              </w:rPr>
              <w:t>设备名称</w:t>
            </w:r>
          </w:p>
        </w:tc>
        <w:tc>
          <w:tcPr>
            <w:tcW w:w="5602"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b/>
                <w:bCs/>
                <w:kern w:val="0"/>
                <w:szCs w:val="21"/>
              </w:rPr>
            </w:pPr>
            <w:r>
              <w:rPr>
                <w:rFonts w:hint="eastAsia" w:ascii="宋体" w:hAnsi="宋体" w:cs="宋体"/>
                <w:b/>
                <w:bCs/>
                <w:kern w:val="0"/>
                <w:szCs w:val="21"/>
              </w:rPr>
              <w:t>技术参数</w:t>
            </w:r>
          </w:p>
        </w:tc>
        <w:tc>
          <w:tcPr>
            <w:tcW w:w="780"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b/>
                <w:bCs/>
                <w:kern w:val="0"/>
                <w:szCs w:val="21"/>
              </w:rPr>
            </w:pPr>
            <w:r>
              <w:rPr>
                <w:rFonts w:hint="eastAsia" w:ascii="宋体" w:hAnsi="宋体" w:cs="宋体"/>
                <w:b/>
                <w:bCs/>
                <w:kern w:val="0"/>
                <w:szCs w:val="21"/>
              </w:rPr>
              <w:t>数量</w:t>
            </w:r>
          </w:p>
        </w:tc>
        <w:tc>
          <w:tcPr>
            <w:tcW w:w="660"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b/>
                <w:bCs/>
                <w:kern w:val="0"/>
                <w:szCs w:val="21"/>
              </w:rPr>
            </w:pPr>
            <w:r>
              <w:rPr>
                <w:rFonts w:hint="eastAsia" w:ascii="宋体" w:hAnsi="宋体" w:cs="宋体"/>
                <w:b/>
                <w:bCs/>
                <w:kern w:val="0"/>
                <w:szCs w:val="21"/>
              </w:rPr>
              <w:t>单位</w:t>
            </w:r>
          </w:p>
        </w:tc>
      </w:tr>
      <w:tr>
        <w:tblPrEx>
          <w:tblLayout w:type="fixed"/>
          <w:tblCellMar>
            <w:top w:w="0" w:type="dxa"/>
            <w:left w:w="108" w:type="dxa"/>
            <w:bottom w:w="0" w:type="dxa"/>
            <w:right w:w="108" w:type="dxa"/>
          </w:tblCellMar>
        </w:tblPrEx>
        <w:trPr>
          <w:trHeight w:val="460" w:hRule="atLeast"/>
          <w:jc w:val="center"/>
        </w:trPr>
        <w:tc>
          <w:tcPr>
            <w:tcW w:w="70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w:t>
            </w:r>
          </w:p>
        </w:tc>
        <w:tc>
          <w:tcPr>
            <w:tcW w:w="113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1.2米机柜</w:t>
            </w:r>
          </w:p>
        </w:tc>
        <w:tc>
          <w:tcPr>
            <w:tcW w:w="5602"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1、规格：高</w:t>
            </w:r>
            <w:r>
              <w:rPr>
                <w:rFonts w:ascii="宋体" w:hAnsi="宋体" w:cs="宋体"/>
                <w:kern w:val="0"/>
                <w:szCs w:val="21"/>
              </w:rPr>
              <w:t>*</w:t>
            </w:r>
            <w:r>
              <w:rPr>
                <w:rFonts w:hint="eastAsia" w:ascii="宋体" w:hAnsi="宋体" w:cs="宋体"/>
                <w:kern w:val="0"/>
                <w:szCs w:val="21"/>
              </w:rPr>
              <w:t>深</w:t>
            </w:r>
            <w:r>
              <w:rPr>
                <w:rFonts w:ascii="宋体" w:hAnsi="宋体" w:cs="宋体"/>
                <w:kern w:val="0"/>
                <w:szCs w:val="21"/>
              </w:rPr>
              <w:t>*</w:t>
            </w:r>
            <w:r>
              <w:rPr>
                <w:rFonts w:hint="eastAsia" w:ascii="宋体" w:hAnsi="宋体" w:cs="宋体"/>
                <w:kern w:val="0"/>
                <w:szCs w:val="21"/>
              </w:rPr>
              <w:t>宽=1200</w:t>
            </w:r>
            <w:r>
              <w:rPr>
                <w:rFonts w:ascii="宋体" w:hAnsi="宋体" w:cs="宋体"/>
                <w:kern w:val="0"/>
                <w:szCs w:val="21"/>
              </w:rPr>
              <w:t>*</w:t>
            </w:r>
            <w:r>
              <w:rPr>
                <w:rFonts w:hint="eastAsia" w:ascii="宋体" w:hAnsi="宋体" w:cs="宋体"/>
                <w:kern w:val="0"/>
                <w:szCs w:val="21"/>
              </w:rPr>
              <w:t>800</w:t>
            </w:r>
            <w:r>
              <w:rPr>
                <w:rFonts w:ascii="宋体" w:hAnsi="宋体" w:cs="宋体"/>
                <w:kern w:val="0"/>
                <w:szCs w:val="21"/>
              </w:rPr>
              <w:t>*</w:t>
            </w:r>
            <w:r>
              <w:rPr>
                <w:rFonts w:hint="eastAsia" w:ascii="宋体" w:hAnsi="宋体" w:cs="宋体"/>
                <w:kern w:val="0"/>
                <w:szCs w:val="21"/>
              </w:rPr>
              <w:t>600mm；</w:t>
            </w:r>
            <w:r>
              <w:rPr>
                <w:rFonts w:hint="eastAsia" w:ascii="宋体" w:hAnsi="宋体" w:cs="宋体"/>
                <w:kern w:val="0"/>
                <w:szCs w:val="21"/>
              </w:rPr>
              <w:br w:type="textWrapping"/>
            </w:r>
            <w:r>
              <w:rPr>
                <w:rFonts w:hint="eastAsia" w:ascii="宋体" w:hAnsi="宋体" w:cs="宋体"/>
                <w:kern w:val="0"/>
                <w:szCs w:val="21"/>
              </w:rPr>
              <w:t>2、材质：厚度方孔条2.0mm，安装梁1.5mm，其它1.2mm；</w:t>
            </w:r>
            <w:r>
              <w:rPr>
                <w:rFonts w:hint="eastAsia" w:ascii="宋体" w:hAnsi="宋体" w:cs="宋体"/>
                <w:kern w:val="0"/>
                <w:szCs w:val="21"/>
              </w:rPr>
              <w:br w:type="textWrapping"/>
            </w:r>
            <w:r>
              <w:rPr>
                <w:rFonts w:hint="eastAsia" w:ascii="宋体" w:hAnsi="宋体" w:cs="宋体"/>
                <w:kern w:val="0"/>
                <w:szCs w:val="21"/>
              </w:rPr>
              <w:t>3、工艺：方孔条镀蓝锌；其余：脱脂、磷化、静电喷塑；</w:t>
            </w:r>
            <w:r>
              <w:rPr>
                <w:rFonts w:hint="eastAsia" w:ascii="宋体" w:hAnsi="宋体" w:cs="宋体"/>
                <w:kern w:val="0"/>
                <w:szCs w:val="21"/>
              </w:rPr>
              <w:br w:type="textWrapping"/>
            </w:r>
            <w:r>
              <w:rPr>
                <w:rFonts w:hint="eastAsia" w:ascii="宋体" w:hAnsi="宋体" w:cs="宋体"/>
                <w:kern w:val="0"/>
                <w:szCs w:val="21"/>
              </w:rPr>
              <w:t>4、辅件：10位PDU</w:t>
            </w:r>
            <w:r>
              <w:rPr>
                <w:rFonts w:ascii="宋体" w:hAnsi="宋体" w:cs="宋体"/>
                <w:kern w:val="0"/>
                <w:szCs w:val="21"/>
              </w:rPr>
              <w:t>*</w:t>
            </w:r>
            <w:r>
              <w:rPr>
                <w:rFonts w:hint="eastAsia" w:ascii="宋体" w:hAnsi="宋体" w:cs="宋体"/>
                <w:kern w:val="0"/>
                <w:szCs w:val="21"/>
              </w:rPr>
              <w:t>1，隔板</w:t>
            </w:r>
            <w:r>
              <w:rPr>
                <w:rFonts w:ascii="宋体" w:hAnsi="宋体" w:cs="宋体"/>
                <w:kern w:val="0"/>
                <w:szCs w:val="21"/>
              </w:rPr>
              <w:t>*</w:t>
            </w:r>
            <w:r>
              <w:rPr>
                <w:rFonts w:hint="eastAsia" w:ascii="宋体" w:hAnsi="宋体" w:cs="宋体"/>
                <w:kern w:val="0"/>
                <w:szCs w:val="21"/>
              </w:rPr>
              <w:t>2，理线架。</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0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w:t>
            </w:r>
          </w:p>
        </w:tc>
        <w:tc>
          <w:tcPr>
            <w:tcW w:w="113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图形工作站</w:t>
            </w:r>
          </w:p>
        </w:tc>
        <w:tc>
          <w:tcPr>
            <w:tcW w:w="5602"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1、商用图形工作站；</w:t>
            </w:r>
            <w:r>
              <w:rPr>
                <w:rFonts w:hint="eastAsia" w:ascii="宋体" w:hAnsi="宋体" w:cs="宋体"/>
                <w:kern w:val="0"/>
                <w:szCs w:val="21"/>
              </w:rPr>
              <w:br w:type="textWrapping"/>
            </w:r>
            <w:r>
              <w:rPr>
                <w:rFonts w:hint="eastAsia" w:ascii="宋体" w:hAnsi="宋体" w:cs="宋体"/>
                <w:kern w:val="0"/>
                <w:szCs w:val="21"/>
              </w:rPr>
              <w:t>★2、CPU：≥8核/16线程/2.9GHz主频/16MB三级缓存；</w:t>
            </w:r>
            <w:r>
              <w:rPr>
                <w:rFonts w:hint="eastAsia" w:ascii="宋体" w:hAnsi="宋体" w:cs="宋体"/>
                <w:kern w:val="0"/>
                <w:szCs w:val="21"/>
              </w:rPr>
              <w:br w:type="textWrapping"/>
            </w:r>
            <w:r>
              <w:rPr>
                <w:rFonts w:hint="eastAsia" w:ascii="宋体" w:hAnsi="宋体" w:cs="宋体"/>
                <w:kern w:val="0"/>
                <w:szCs w:val="21"/>
              </w:rPr>
              <w:t>★3、内存：≥16G/DDR4 2666MHz；</w:t>
            </w:r>
            <w:r>
              <w:rPr>
                <w:rFonts w:hint="eastAsia" w:ascii="宋体" w:hAnsi="宋体" w:cs="宋体"/>
                <w:kern w:val="0"/>
                <w:szCs w:val="21"/>
              </w:rPr>
              <w:br w:type="textWrapping"/>
            </w:r>
            <w:r>
              <w:rPr>
                <w:rFonts w:hint="eastAsia" w:ascii="宋体" w:hAnsi="宋体" w:cs="宋体"/>
                <w:kern w:val="0"/>
                <w:szCs w:val="21"/>
              </w:rPr>
              <w:t>★4、硬盘：≥2T机械硬盘+256G固态硬盘；</w:t>
            </w:r>
            <w:r>
              <w:rPr>
                <w:rFonts w:hint="eastAsia" w:ascii="宋体" w:hAnsi="宋体" w:cs="宋体"/>
                <w:kern w:val="0"/>
                <w:szCs w:val="21"/>
              </w:rPr>
              <w:br w:type="textWrapping"/>
            </w:r>
            <w:r>
              <w:rPr>
                <w:rFonts w:hint="eastAsia" w:ascii="宋体" w:hAnsi="宋体" w:cs="宋体"/>
                <w:kern w:val="0"/>
                <w:szCs w:val="21"/>
              </w:rPr>
              <w:t>5、显卡：≥2G/独立显卡；</w:t>
            </w:r>
            <w:r>
              <w:rPr>
                <w:rFonts w:hint="eastAsia" w:ascii="宋体" w:hAnsi="宋体" w:cs="宋体"/>
                <w:kern w:val="0"/>
                <w:szCs w:val="21"/>
              </w:rPr>
              <w:br w:type="textWrapping"/>
            </w:r>
            <w:r>
              <w:rPr>
                <w:rFonts w:hint="eastAsia" w:ascii="宋体" w:hAnsi="宋体" w:cs="宋体"/>
                <w:kern w:val="0"/>
                <w:szCs w:val="21"/>
              </w:rPr>
              <w:t>6、声卡：≥2个音频接口，支持5.1声道；</w:t>
            </w:r>
            <w:r>
              <w:rPr>
                <w:rFonts w:hint="eastAsia" w:ascii="宋体" w:hAnsi="宋体" w:cs="宋体"/>
                <w:kern w:val="0"/>
                <w:szCs w:val="21"/>
              </w:rPr>
              <w:br w:type="textWrapping"/>
            </w:r>
            <w:r>
              <w:rPr>
                <w:rFonts w:hint="eastAsia" w:ascii="宋体" w:hAnsi="宋体" w:cs="宋体"/>
                <w:kern w:val="0"/>
                <w:szCs w:val="21"/>
              </w:rPr>
              <w:t>7、接口：≥8个USB(前置≥2个USB 3.1)/HDMI接口；</w:t>
            </w:r>
            <w:r>
              <w:rPr>
                <w:rFonts w:hint="eastAsia" w:ascii="宋体" w:hAnsi="宋体" w:cs="宋体"/>
                <w:kern w:val="0"/>
                <w:szCs w:val="21"/>
              </w:rPr>
              <w:br w:type="textWrapping"/>
            </w:r>
            <w:r>
              <w:rPr>
                <w:rFonts w:hint="eastAsia" w:ascii="宋体" w:hAnsi="宋体" w:cs="宋体"/>
                <w:kern w:val="0"/>
                <w:szCs w:val="21"/>
              </w:rPr>
              <w:t>8、辅材：原厂有线USB光电套件；</w:t>
            </w:r>
            <w:r>
              <w:rPr>
                <w:rFonts w:hint="eastAsia" w:ascii="宋体" w:hAnsi="宋体" w:cs="宋体"/>
                <w:kern w:val="0"/>
                <w:szCs w:val="21"/>
              </w:rPr>
              <w:br w:type="textWrapping"/>
            </w:r>
            <w:r>
              <w:rPr>
                <w:rFonts w:hint="eastAsia" w:ascii="宋体" w:hAnsi="宋体" w:cs="宋体"/>
                <w:kern w:val="0"/>
                <w:szCs w:val="21"/>
              </w:rPr>
              <w:t>9、软件性能：正版视窗图形系统；</w:t>
            </w:r>
            <w:r>
              <w:rPr>
                <w:rFonts w:hint="eastAsia" w:ascii="宋体" w:hAnsi="宋体" w:cs="宋体"/>
                <w:kern w:val="0"/>
                <w:szCs w:val="21"/>
              </w:rPr>
              <w:br w:type="textWrapping"/>
            </w:r>
            <w:r>
              <w:rPr>
                <w:rFonts w:hint="eastAsia" w:ascii="宋体" w:hAnsi="宋体" w:cs="宋体"/>
                <w:kern w:val="0"/>
                <w:szCs w:val="21"/>
              </w:rPr>
              <w:t>★10、显示器：≥21吋，分辨率≥1920</w:t>
            </w:r>
            <w:r>
              <w:rPr>
                <w:rFonts w:ascii="宋体" w:hAnsi="宋体" w:cs="宋体"/>
                <w:kern w:val="0"/>
                <w:szCs w:val="21"/>
              </w:rPr>
              <w:t>*</w:t>
            </w:r>
            <w:r>
              <w:rPr>
                <w:rFonts w:hint="eastAsia" w:ascii="宋体" w:hAnsi="宋体" w:cs="宋体"/>
                <w:kern w:val="0"/>
                <w:szCs w:val="21"/>
              </w:rPr>
              <w:t>1080，响应时间≤2ms；</w:t>
            </w:r>
          </w:p>
          <w:p>
            <w:pPr>
              <w:pStyle w:val="2"/>
              <w:rPr>
                <w:rFonts w:ascii="宋体" w:hAnsi="宋体" w:cs="宋体"/>
                <w:sz w:val="21"/>
                <w:szCs w:val="21"/>
              </w:rPr>
            </w:pPr>
            <w:r>
              <w:rPr>
                <w:rFonts w:ascii="宋体" w:hAnsi="宋体" w:cs="宋体"/>
                <w:sz w:val="21"/>
                <w:szCs w:val="21"/>
              </w:rPr>
              <w:t>11、预装</w:t>
            </w:r>
            <w:r>
              <w:rPr>
                <w:rFonts w:hint="eastAsia" w:ascii="宋体" w:hAnsi="宋体" w:cs="宋体"/>
                <w:sz w:val="21"/>
                <w:szCs w:val="21"/>
              </w:rPr>
              <w:t>L</w:t>
            </w:r>
            <w:r>
              <w:rPr>
                <w:rFonts w:ascii="宋体" w:hAnsi="宋体" w:cs="宋体"/>
                <w:sz w:val="21"/>
                <w:szCs w:val="21"/>
              </w:rPr>
              <w:t>ED控制系统软件</w:t>
            </w:r>
            <w:r>
              <w:rPr>
                <w:rFonts w:hint="eastAsia" w:ascii="宋体" w:hAnsi="宋体" w:cs="宋体"/>
                <w:sz w:val="21"/>
                <w:szCs w:val="21"/>
              </w:rPr>
              <w:t>。</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0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113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P4全彩LED屏</w:t>
            </w:r>
          </w:p>
        </w:tc>
        <w:tc>
          <w:tcPr>
            <w:tcW w:w="5602"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★1、像素点间距：≤4mm；</w:t>
            </w:r>
            <w:r>
              <w:rPr>
                <w:rFonts w:hint="eastAsia" w:ascii="宋体" w:hAnsi="宋体" w:cs="宋体"/>
                <w:kern w:val="0"/>
                <w:szCs w:val="21"/>
              </w:rPr>
              <w:br w:type="textWrapping"/>
            </w:r>
            <w:r>
              <w:rPr>
                <w:rFonts w:hint="eastAsia" w:ascii="宋体" w:hAnsi="宋体" w:cs="宋体"/>
                <w:kern w:val="0"/>
                <w:szCs w:val="21"/>
              </w:rPr>
              <w:t>2、灯管封装：2525；</w:t>
            </w:r>
            <w:r>
              <w:rPr>
                <w:rFonts w:hint="eastAsia" w:ascii="宋体" w:hAnsi="宋体" w:cs="宋体"/>
                <w:kern w:val="0"/>
                <w:szCs w:val="21"/>
              </w:rPr>
              <w:br w:type="textWrapping"/>
            </w:r>
            <w:r>
              <w:rPr>
                <w:rFonts w:hint="eastAsia" w:ascii="宋体" w:hAnsi="宋体" w:cs="宋体"/>
                <w:kern w:val="0"/>
                <w:szCs w:val="21"/>
              </w:rPr>
              <w:t>3、屏屏幕水平视角：140°±10度，屏幕垂直视角：130°±10度</w:t>
            </w:r>
            <w:r>
              <w:rPr>
                <w:rFonts w:hint="eastAsia" w:ascii="宋体" w:hAnsi="宋体" w:cs="宋体"/>
                <w:kern w:val="0"/>
                <w:szCs w:val="21"/>
              </w:rPr>
              <w:br w:type="textWrapping"/>
            </w:r>
            <w:r>
              <w:rPr>
                <w:rFonts w:hint="eastAsia" w:ascii="宋体" w:hAnsi="宋体" w:cs="宋体"/>
                <w:kern w:val="0"/>
                <w:szCs w:val="21"/>
              </w:rPr>
              <w:t>4、工作温度：-20℃～+40℃ ，工作湿度：10%～90%RH；</w:t>
            </w:r>
            <w:r>
              <w:rPr>
                <w:rFonts w:hint="eastAsia" w:ascii="宋体" w:hAnsi="宋体" w:cs="宋体"/>
                <w:kern w:val="0"/>
                <w:szCs w:val="21"/>
              </w:rPr>
              <w:br w:type="textWrapping"/>
            </w:r>
            <w:r>
              <w:rPr>
                <w:rFonts w:hint="eastAsia" w:ascii="宋体" w:hAnsi="宋体" w:cs="宋体"/>
                <w:kern w:val="0"/>
                <w:szCs w:val="21"/>
              </w:rPr>
              <w:t>5、换帧频率：≥60帧/秒；</w:t>
            </w:r>
            <w:r>
              <w:rPr>
                <w:rFonts w:hint="eastAsia" w:ascii="宋体" w:hAnsi="宋体" w:cs="宋体"/>
                <w:kern w:val="0"/>
                <w:szCs w:val="21"/>
              </w:rPr>
              <w:br w:type="textWrapping"/>
            </w:r>
            <w:r>
              <w:rPr>
                <w:rFonts w:hint="eastAsia" w:ascii="宋体" w:hAnsi="宋体" w:cs="宋体"/>
                <w:kern w:val="0"/>
                <w:szCs w:val="21"/>
              </w:rPr>
              <w:t>★6、刷新频率：≥1920Hz；</w:t>
            </w:r>
            <w:r>
              <w:rPr>
                <w:rFonts w:hint="eastAsia" w:ascii="宋体" w:hAnsi="宋体" w:cs="宋体"/>
                <w:kern w:val="0"/>
                <w:szCs w:val="21"/>
              </w:rPr>
              <w:br w:type="textWrapping"/>
            </w:r>
            <w:r>
              <w:rPr>
                <w:rFonts w:hint="eastAsia" w:ascii="宋体" w:hAnsi="宋体" w:cs="宋体"/>
                <w:kern w:val="0"/>
                <w:szCs w:val="21"/>
              </w:rPr>
              <w:t>7、亮度：≥4200cd/㎡；</w:t>
            </w:r>
            <w:r>
              <w:rPr>
                <w:rFonts w:hint="eastAsia" w:ascii="宋体" w:hAnsi="宋体" w:cs="宋体"/>
                <w:kern w:val="0"/>
                <w:szCs w:val="21"/>
              </w:rPr>
              <w:br w:type="textWrapping"/>
            </w:r>
            <w:r>
              <w:rPr>
                <w:rFonts w:hint="eastAsia" w:ascii="宋体" w:hAnsi="宋体" w:cs="宋体"/>
                <w:kern w:val="0"/>
                <w:szCs w:val="21"/>
              </w:rPr>
              <w:t>8、亮度调节：256级手动/自动；</w:t>
            </w:r>
            <w:r>
              <w:rPr>
                <w:rFonts w:hint="eastAsia" w:ascii="宋体" w:hAnsi="宋体" w:cs="宋体"/>
                <w:kern w:val="0"/>
                <w:szCs w:val="21"/>
              </w:rPr>
              <w:br w:type="textWrapping"/>
            </w:r>
            <w:r>
              <w:rPr>
                <w:rFonts w:hint="eastAsia" w:ascii="宋体" w:hAnsi="宋体" w:cs="宋体"/>
                <w:kern w:val="0"/>
                <w:szCs w:val="21"/>
              </w:rPr>
              <w:t>9、盲点率：＜0.0003；</w:t>
            </w:r>
            <w:r>
              <w:rPr>
                <w:rFonts w:hint="eastAsia" w:ascii="宋体" w:hAnsi="宋体" w:cs="宋体"/>
                <w:kern w:val="0"/>
                <w:szCs w:val="21"/>
              </w:rPr>
              <w:br w:type="textWrapping"/>
            </w:r>
            <w:r>
              <w:rPr>
                <w:rFonts w:hint="eastAsia" w:ascii="宋体" w:hAnsi="宋体" w:cs="宋体"/>
                <w:kern w:val="0"/>
                <w:szCs w:val="21"/>
              </w:rPr>
              <w:t>10、使用寿命：≥10万小时；</w:t>
            </w:r>
            <w:r>
              <w:rPr>
                <w:rFonts w:hint="eastAsia" w:ascii="宋体" w:hAnsi="宋体" w:cs="宋体"/>
                <w:kern w:val="0"/>
                <w:szCs w:val="21"/>
              </w:rPr>
              <w:br w:type="textWrapping"/>
            </w:r>
            <w:r>
              <w:rPr>
                <w:rFonts w:hint="eastAsia" w:ascii="宋体" w:hAnsi="宋体" w:cs="宋体"/>
                <w:kern w:val="0"/>
                <w:szCs w:val="21"/>
              </w:rPr>
              <w:t>11、扫描方式：1/10扫恒流驱动；</w:t>
            </w:r>
            <w:r>
              <w:rPr>
                <w:rFonts w:hint="eastAsia" w:ascii="宋体" w:hAnsi="宋体" w:cs="宋体"/>
                <w:kern w:val="0"/>
                <w:szCs w:val="21"/>
              </w:rPr>
              <w:br w:type="textWrapping"/>
            </w:r>
            <w:r>
              <w:rPr>
                <w:rFonts w:hint="eastAsia" w:ascii="宋体" w:hAnsi="宋体" w:cs="宋体"/>
                <w:kern w:val="0"/>
                <w:szCs w:val="21"/>
              </w:rPr>
              <w:t>12、像素构成：1R1G1B；</w:t>
            </w:r>
            <w:r>
              <w:rPr>
                <w:rFonts w:hint="eastAsia" w:ascii="宋体" w:hAnsi="宋体" w:cs="宋体"/>
                <w:kern w:val="0"/>
                <w:szCs w:val="21"/>
              </w:rPr>
              <w:br w:type="textWrapping"/>
            </w:r>
            <w:r>
              <w:rPr>
                <w:rFonts w:hint="eastAsia" w:ascii="宋体" w:hAnsi="宋体" w:cs="宋体"/>
                <w:kern w:val="0"/>
                <w:szCs w:val="21"/>
              </w:rPr>
              <w:t xml:space="preserve">13、含配套开关电源。 </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130.5</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hint="eastAsia" w:ascii="宋体" w:hAnsi="宋体" w:cs="宋体" w:eastAsiaTheme="minorEastAsia"/>
                <w:kern w:val="0"/>
                <w:szCs w:val="21"/>
                <w:lang w:eastAsia="zh-CN"/>
              </w:rPr>
            </w:pPr>
            <w:r>
              <w:rPr>
                <w:rFonts w:hint="eastAsia" w:ascii="宋体" w:hAnsi="宋体" w:cs="宋体"/>
                <w:kern w:val="0"/>
                <w:szCs w:val="21"/>
              </w:rPr>
              <w:t>平方</w:t>
            </w:r>
            <w:r>
              <w:rPr>
                <w:rFonts w:hint="eastAsia" w:ascii="宋体" w:hAnsi="宋体" w:cs="宋体"/>
                <w:kern w:val="0"/>
                <w:szCs w:val="21"/>
                <w:lang w:eastAsia="zh-CN"/>
              </w:rPr>
              <w:t>米</w:t>
            </w:r>
          </w:p>
        </w:tc>
      </w:tr>
      <w:tr>
        <w:tblPrEx>
          <w:tblLayout w:type="fixed"/>
          <w:tblCellMar>
            <w:top w:w="0" w:type="dxa"/>
            <w:left w:w="108" w:type="dxa"/>
            <w:bottom w:w="0" w:type="dxa"/>
            <w:right w:w="108" w:type="dxa"/>
          </w:tblCellMar>
        </w:tblPrEx>
        <w:trPr>
          <w:trHeight w:val="460" w:hRule="atLeast"/>
          <w:jc w:val="center"/>
        </w:trPr>
        <w:tc>
          <w:tcPr>
            <w:tcW w:w="70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4</w:t>
            </w:r>
          </w:p>
        </w:tc>
        <w:tc>
          <w:tcPr>
            <w:tcW w:w="113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接收卡</w:t>
            </w:r>
          </w:p>
        </w:tc>
        <w:tc>
          <w:tcPr>
            <w:tcW w:w="5602" w:type="dxa"/>
            <w:tcBorders>
              <w:top w:val="nil"/>
              <w:left w:val="nil"/>
              <w:bottom w:val="single" w:color="auto" w:sz="4" w:space="0"/>
              <w:right w:val="single" w:color="auto" w:sz="4" w:space="0"/>
            </w:tcBorders>
            <w:shd w:val="clear" w:color="000000" w:fill="FFFFFF"/>
            <w:vAlign w:val="center"/>
          </w:tcPr>
          <w:p>
            <w:pPr>
              <w:widowControl/>
              <w:numPr>
                <w:ilvl w:val="0"/>
                <w:numId w:val="34"/>
              </w:numPr>
              <w:spacing w:after="0" w:line="240" w:lineRule="auto"/>
              <w:jc w:val="left"/>
              <w:rPr>
                <w:rFonts w:ascii="宋体" w:hAnsi="宋体" w:cs="宋体"/>
                <w:kern w:val="0"/>
                <w:szCs w:val="21"/>
              </w:rPr>
            </w:pPr>
            <w:r>
              <w:rPr>
                <w:rFonts w:hint="eastAsia" w:ascii="宋体" w:hAnsi="宋体" w:cs="宋体"/>
                <w:kern w:val="0"/>
                <w:szCs w:val="21"/>
              </w:rPr>
              <w:t>集成≥16个标准HUB75 接口，免接HUB；</w:t>
            </w:r>
            <w:r>
              <w:rPr>
                <w:rFonts w:hint="eastAsia" w:ascii="宋体" w:hAnsi="宋体" w:cs="宋体"/>
                <w:kern w:val="0"/>
                <w:szCs w:val="21"/>
              </w:rPr>
              <w:br w:type="textWrapping"/>
            </w:r>
            <w:r>
              <w:rPr>
                <w:rFonts w:hint="eastAsia" w:ascii="宋体" w:hAnsi="宋体" w:cs="宋体"/>
                <w:kern w:val="0"/>
                <w:szCs w:val="21"/>
              </w:rPr>
              <w:t>2、支持32 扫；</w:t>
            </w:r>
            <w:r>
              <w:rPr>
                <w:rFonts w:hint="eastAsia" w:ascii="宋体" w:hAnsi="宋体" w:cs="宋体"/>
                <w:kern w:val="0"/>
                <w:szCs w:val="21"/>
              </w:rPr>
              <w:br w:type="textWrapping"/>
            </w:r>
            <w:r>
              <w:rPr>
                <w:rFonts w:hint="eastAsia" w:ascii="宋体" w:hAnsi="宋体" w:cs="宋体"/>
                <w:kern w:val="0"/>
                <w:szCs w:val="21"/>
              </w:rPr>
              <w:t>3、单卡输出 RGB 数据32组；</w:t>
            </w:r>
            <w:r>
              <w:rPr>
                <w:rFonts w:hint="eastAsia" w:ascii="宋体" w:hAnsi="宋体" w:cs="宋体"/>
                <w:kern w:val="0"/>
                <w:szCs w:val="21"/>
              </w:rPr>
              <w:br w:type="textWrapping"/>
            </w:r>
            <w:r>
              <w:rPr>
                <w:rFonts w:hint="eastAsia" w:ascii="宋体" w:hAnsi="宋体" w:cs="宋体"/>
                <w:kern w:val="0"/>
                <w:szCs w:val="21"/>
              </w:rPr>
              <w:t>4、单卡带载像素：≥512×256；</w:t>
            </w:r>
            <w:r>
              <w:rPr>
                <w:rFonts w:hint="eastAsia" w:ascii="宋体" w:hAnsi="宋体" w:cs="宋体"/>
                <w:kern w:val="0"/>
                <w:szCs w:val="21"/>
              </w:rPr>
              <w:br w:type="textWrapping"/>
            </w:r>
            <w:r>
              <w:rPr>
                <w:rFonts w:hint="eastAsia" w:ascii="宋体" w:hAnsi="宋体" w:cs="宋体"/>
                <w:kern w:val="0"/>
                <w:szCs w:val="21"/>
              </w:rPr>
              <w:t>5、支持配置文件回读；</w:t>
            </w:r>
            <w:r>
              <w:rPr>
                <w:rFonts w:hint="eastAsia" w:ascii="宋体" w:hAnsi="宋体" w:cs="宋体"/>
                <w:kern w:val="0"/>
                <w:szCs w:val="21"/>
              </w:rPr>
              <w:br w:type="textWrapping"/>
            </w:r>
            <w:r>
              <w:rPr>
                <w:rFonts w:hint="eastAsia" w:ascii="宋体" w:hAnsi="宋体" w:cs="宋体"/>
                <w:kern w:val="0"/>
                <w:szCs w:val="21"/>
              </w:rPr>
              <w:t>6、具备热备份和任意换卡(双网线备份,双dvi备份)功能；</w:t>
            </w:r>
            <w:r>
              <w:rPr>
                <w:rFonts w:hint="eastAsia" w:ascii="宋体" w:hAnsi="宋体" w:cs="宋体"/>
                <w:kern w:val="0"/>
                <w:szCs w:val="21"/>
              </w:rPr>
              <w:br w:type="textWrapping"/>
            </w:r>
            <w:r>
              <w:rPr>
                <w:rFonts w:hint="eastAsia" w:ascii="宋体" w:hAnsi="宋体" w:cs="宋体"/>
                <w:kern w:val="0"/>
                <w:szCs w:val="21"/>
              </w:rPr>
              <w:t>7、支持温度监控；</w:t>
            </w:r>
            <w:r>
              <w:rPr>
                <w:rFonts w:hint="eastAsia" w:ascii="宋体" w:hAnsi="宋体" w:cs="宋体"/>
                <w:kern w:val="0"/>
                <w:szCs w:val="21"/>
              </w:rPr>
              <w:br w:type="textWrapping"/>
            </w:r>
            <w:r>
              <w:rPr>
                <w:rFonts w:hint="eastAsia" w:ascii="宋体" w:hAnsi="宋体" w:cs="宋体"/>
                <w:kern w:val="0"/>
                <w:szCs w:val="21"/>
              </w:rPr>
              <w:t>8、支持网线通讯状态检测；</w:t>
            </w:r>
            <w:r>
              <w:rPr>
                <w:rFonts w:hint="eastAsia" w:ascii="宋体" w:hAnsi="宋体" w:cs="宋体"/>
                <w:kern w:val="0"/>
                <w:szCs w:val="21"/>
              </w:rPr>
              <w:br w:type="textWrapping"/>
            </w:r>
            <w:r>
              <w:rPr>
                <w:rFonts w:hint="eastAsia" w:ascii="宋体" w:hAnsi="宋体" w:cs="宋体"/>
                <w:kern w:val="0"/>
                <w:szCs w:val="21"/>
              </w:rPr>
              <w:t>9、支持发送卡状态检测；</w:t>
            </w:r>
            <w:r>
              <w:rPr>
                <w:rFonts w:hint="eastAsia" w:ascii="宋体" w:hAnsi="宋体" w:cs="宋体"/>
                <w:kern w:val="0"/>
                <w:szCs w:val="21"/>
              </w:rPr>
              <w:br w:type="textWrapping"/>
            </w:r>
            <w:r>
              <w:rPr>
                <w:rFonts w:hint="eastAsia" w:ascii="宋体" w:hAnsi="宋体" w:cs="宋体"/>
                <w:kern w:val="0"/>
                <w:szCs w:val="21"/>
              </w:rPr>
              <w:t>10、支持DVI信号检测；</w:t>
            </w:r>
            <w:r>
              <w:rPr>
                <w:rFonts w:hint="eastAsia" w:ascii="宋体" w:hAnsi="宋体" w:cs="宋体"/>
                <w:kern w:val="0"/>
                <w:szCs w:val="21"/>
              </w:rPr>
              <w:br w:type="textWrapping"/>
            </w:r>
            <w:r>
              <w:rPr>
                <w:rFonts w:hint="eastAsia" w:ascii="宋体" w:hAnsi="宋体" w:cs="宋体"/>
                <w:kern w:val="0"/>
                <w:szCs w:val="21"/>
              </w:rPr>
              <w:t>11、支持供电电压检测；</w:t>
            </w:r>
            <w:r>
              <w:rPr>
                <w:rFonts w:hint="eastAsia" w:ascii="宋体" w:hAnsi="宋体" w:cs="宋体"/>
                <w:kern w:val="0"/>
                <w:szCs w:val="21"/>
              </w:rPr>
              <w:br w:type="textWrapping"/>
            </w:r>
            <w:r>
              <w:rPr>
                <w:rFonts w:hint="eastAsia" w:ascii="宋体" w:hAnsi="宋体" w:cs="宋体"/>
                <w:kern w:val="0"/>
                <w:szCs w:val="21"/>
              </w:rPr>
              <w:t>12、支持高灰度高刷新；</w:t>
            </w:r>
            <w:r>
              <w:rPr>
                <w:rFonts w:hint="eastAsia" w:ascii="宋体" w:hAnsi="宋体" w:cs="宋体"/>
                <w:kern w:val="0"/>
                <w:szCs w:val="21"/>
              </w:rPr>
              <w:br w:type="textWrapping"/>
            </w:r>
            <w:r>
              <w:rPr>
                <w:rFonts w:hint="eastAsia" w:ascii="宋体" w:hAnsi="宋体" w:cs="宋体"/>
                <w:kern w:val="0"/>
                <w:szCs w:val="21"/>
              </w:rPr>
              <w:t>13、支持逐点亮色度校正；</w:t>
            </w:r>
            <w:r>
              <w:rPr>
                <w:rFonts w:hint="eastAsia" w:ascii="宋体" w:hAnsi="宋体" w:cs="宋体"/>
                <w:kern w:val="0"/>
                <w:szCs w:val="21"/>
              </w:rPr>
              <w:br w:type="textWrapping"/>
            </w:r>
            <w:r>
              <w:rPr>
                <w:rFonts w:hint="eastAsia" w:ascii="宋体" w:hAnsi="宋体" w:cs="宋体"/>
                <w:kern w:val="0"/>
                <w:szCs w:val="21"/>
              </w:rPr>
              <w:t>14、支持接收卡预存画面设置；</w:t>
            </w:r>
            <w:r>
              <w:rPr>
                <w:rFonts w:hint="eastAsia" w:ascii="宋体" w:hAnsi="宋体" w:cs="宋体"/>
                <w:kern w:val="0"/>
                <w:szCs w:val="21"/>
              </w:rPr>
              <w:br w:type="textWrapping"/>
            </w:r>
            <w:r>
              <w:rPr>
                <w:rFonts w:hint="eastAsia" w:ascii="宋体" w:hAnsi="宋体" w:cs="宋体"/>
                <w:kern w:val="0"/>
                <w:szCs w:val="21"/>
              </w:rPr>
              <w:t>15、支持灯板Flash管理；</w:t>
            </w:r>
            <w:r>
              <w:rPr>
                <w:rFonts w:hint="eastAsia" w:ascii="宋体" w:hAnsi="宋体" w:cs="宋体"/>
                <w:kern w:val="0"/>
                <w:szCs w:val="21"/>
              </w:rPr>
              <w:br w:type="textWrapping"/>
            </w:r>
            <w:r>
              <w:rPr>
                <w:rFonts w:hint="eastAsia" w:ascii="宋体" w:hAnsi="宋体" w:cs="宋体"/>
                <w:kern w:val="0"/>
                <w:szCs w:val="21"/>
              </w:rPr>
              <w:t>16、支持5pin液晶模块；</w:t>
            </w:r>
          </w:p>
          <w:p>
            <w:pPr>
              <w:widowControl/>
              <w:spacing w:after="0" w:line="240" w:lineRule="auto"/>
              <w:jc w:val="left"/>
              <w:rPr>
                <w:rFonts w:ascii="宋体" w:hAnsi="宋体" w:cs="宋体"/>
                <w:kern w:val="0"/>
                <w:szCs w:val="21"/>
              </w:rPr>
            </w:pPr>
            <w:r>
              <w:rPr>
                <w:rFonts w:hint="eastAsia" w:ascii="宋体" w:hAnsi="宋体" w:cs="宋体"/>
                <w:kern w:val="0"/>
                <w:szCs w:val="21"/>
              </w:rPr>
              <w:t>17、支持固件程序版本回读。</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套</w:t>
            </w:r>
          </w:p>
        </w:tc>
      </w:tr>
      <w:tr>
        <w:tblPrEx>
          <w:tblLayout w:type="fixed"/>
          <w:tblCellMar>
            <w:top w:w="0" w:type="dxa"/>
            <w:left w:w="108" w:type="dxa"/>
            <w:bottom w:w="0" w:type="dxa"/>
            <w:right w:w="108" w:type="dxa"/>
          </w:tblCellMar>
        </w:tblPrEx>
        <w:trPr>
          <w:trHeight w:val="460" w:hRule="atLeast"/>
          <w:jc w:val="center"/>
        </w:trPr>
        <w:tc>
          <w:tcPr>
            <w:tcW w:w="70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5</w:t>
            </w:r>
          </w:p>
        </w:tc>
        <w:tc>
          <w:tcPr>
            <w:tcW w:w="113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支架及箱体</w:t>
            </w:r>
          </w:p>
        </w:tc>
        <w:tc>
          <w:tcPr>
            <w:tcW w:w="5602"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1、安装于操场旗台，采用双立柱或壁挂式承重方式；</w:t>
            </w:r>
            <w:r>
              <w:rPr>
                <w:rFonts w:hint="eastAsia" w:ascii="宋体" w:hAnsi="宋体" w:cs="宋体"/>
                <w:kern w:val="0"/>
                <w:szCs w:val="21"/>
              </w:rPr>
              <w:br w:type="textWrapping"/>
            </w:r>
            <w:r>
              <w:rPr>
                <w:rFonts w:hint="eastAsia" w:ascii="宋体" w:hAnsi="宋体" w:cs="宋体"/>
                <w:kern w:val="0"/>
                <w:szCs w:val="21"/>
              </w:rPr>
              <w:t>2、双立柱管径分别不得小于40cm；</w:t>
            </w:r>
            <w:r>
              <w:rPr>
                <w:rFonts w:hint="eastAsia" w:ascii="宋体" w:hAnsi="宋体" w:cs="宋体"/>
                <w:kern w:val="0"/>
                <w:szCs w:val="21"/>
              </w:rPr>
              <w:br w:type="textWrapping"/>
            </w:r>
            <w:r>
              <w:rPr>
                <w:rFonts w:hint="eastAsia" w:ascii="宋体" w:hAnsi="宋体" w:cs="宋体"/>
                <w:kern w:val="0"/>
                <w:szCs w:val="21"/>
              </w:rPr>
              <w:t>3、屏体采用4m</w:t>
            </w:r>
            <w:r>
              <w:rPr>
                <w:rFonts w:ascii="宋体" w:hAnsi="宋体" w:cs="宋体"/>
                <w:kern w:val="0"/>
                <w:szCs w:val="21"/>
              </w:rPr>
              <w:t>*</w:t>
            </w:r>
            <w:r>
              <w:rPr>
                <w:rFonts w:hint="eastAsia" w:ascii="宋体" w:hAnsi="宋体" w:cs="宋体"/>
                <w:kern w:val="0"/>
                <w:szCs w:val="21"/>
              </w:rPr>
              <w:t>4cm和4cm</w:t>
            </w:r>
            <w:r>
              <w:rPr>
                <w:rFonts w:ascii="宋体" w:hAnsi="宋体" w:cs="宋体"/>
                <w:kern w:val="0"/>
                <w:szCs w:val="21"/>
              </w:rPr>
              <w:t>*</w:t>
            </w:r>
            <w:r>
              <w:rPr>
                <w:rFonts w:hint="eastAsia" w:ascii="宋体" w:hAnsi="宋体" w:cs="宋体"/>
                <w:kern w:val="0"/>
                <w:szCs w:val="21"/>
              </w:rPr>
              <w:t>2cm镀锌矩管进行现场定制；</w:t>
            </w:r>
            <w:r>
              <w:rPr>
                <w:rFonts w:hint="eastAsia" w:ascii="宋体" w:hAnsi="宋体" w:cs="宋体"/>
                <w:kern w:val="0"/>
                <w:szCs w:val="21"/>
              </w:rPr>
              <w:br w:type="textWrapping"/>
            </w:r>
            <w:r>
              <w:rPr>
                <w:rFonts w:hint="eastAsia" w:ascii="宋体" w:hAnsi="宋体" w:cs="宋体"/>
                <w:kern w:val="0"/>
                <w:szCs w:val="21"/>
              </w:rPr>
              <w:t>4、钢构框架材质：国标热镀锌方管；</w:t>
            </w:r>
            <w:r>
              <w:rPr>
                <w:rFonts w:hint="eastAsia" w:ascii="宋体" w:hAnsi="宋体" w:cs="宋体"/>
                <w:kern w:val="0"/>
                <w:szCs w:val="21"/>
              </w:rPr>
              <w:br w:type="textWrapping"/>
            </w:r>
            <w:r>
              <w:rPr>
                <w:rFonts w:hint="eastAsia" w:ascii="宋体" w:hAnsi="宋体" w:cs="宋体"/>
                <w:kern w:val="0"/>
                <w:szCs w:val="21"/>
              </w:rPr>
              <w:t>5、四周包边材质：铝塑板，装饰做好防水、排水等处理；</w:t>
            </w:r>
            <w:r>
              <w:rPr>
                <w:rFonts w:hint="eastAsia" w:ascii="宋体" w:hAnsi="宋体" w:cs="宋体"/>
                <w:kern w:val="0"/>
                <w:szCs w:val="21"/>
              </w:rPr>
              <w:br w:type="textWrapping"/>
            </w:r>
            <w:r>
              <w:rPr>
                <w:rFonts w:hint="eastAsia" w:ascii="宋体" w:hAnsi="宋体" w:cs="宋体"/>
                <w:kern w:val="0"/>
                <w:szCs w:val="21"/>
              </w:rPr>
              <w:t>6、结构件具有防锈，防腐功能，保证屏体通风散热，屏体方便维护；</w:t>
            </w:r>
            <w:r>
              <w:rPr>
                <w:rFonts w:hint="eastAsia" w:ascii="宋体" w:hAnsi="宋体" w:cs="宋体"/>
                <w:kern w:val="0"/>
                <w:szCs w:val="21"/>
              </w:rPr>
              <w:br w:type="textWrapping"/>
            </w:r>
            <w:r>
              <w:rPr>
                <w:rFonts w:hint="eastAsia" w:ascii="宋体" w:hAnsi="宋体" w:cs="宋体"/>
                <w:kern w:val="0"/>
                <w:szCs w:val="21"/>
              </w:rPr>
              <w:t>7、屏体顶部采用倾斜避雨处理，防止顶棚积水，并制作屏体雨檐；</w:t>
            </w:r>
            <w:r>
              <w:rPr>
                <w:rFonts w:hint="eastAsia" w:ascii="宋体" w:hAnsi="宋体" w:cs="宋体"/>
                <w:kern w:val="0"/>
                <w:szCs w:val="21"/>
              </w:rPr>
              <w:br w:type="textWrapping"/>
            </w:r>
            <w:r>
              <w:rPr>
                <w:rFonts w:hint="eastAsia" w:ascii="宋体" w:hAnsi="宋体" w:cs="宋体"/>
                <w:kern w:val="0"/>
                <w:szCs w:val="21"/>
              </w:rPr>
              <w:t>8、壁挂式屏体底边与旗台背景墙上沿平台完全契合；</w:t>
            </w:r>
            <w:r>
              <w:rPr>
                <w:rFonts w:hint="eastAsia" w:ascii="宋体" w:hAnsi="宋体" w:cs="宋体"/>
                <w:kern w:val="0"/>
                <w:szCs w:val="21"/>
              </w:rPr>
              <w:br w:type="textWrapping"/>
            </w:r>
            <w:r>
              <w:rPr>
                <w:rFonts w:hint="eastAsia" w:ascii="宋体" w:hAnsi="宋体" w:cs="宋体"/>
                <w:kern w:val="0"/>
                <w:szCs w:val="21"/>
              </w:rPr>
              <w:t>9、具备抗强风、抗震等特性。</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130.5</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hint="eastAsia" w:ascii="宋体" w:hAnsi="宋体" w:cs="宋体" w:eastAsiaTheme="minorEastAsia"/>
                <w:kern w:val="0"/>
                <w:szCs w:val="21"/>
                <w:lang w:eastAsia="zh-CN"/>
              </w:rPr>
            </w:pPr>
            <w:r>
              <w:rPr>
                <w:rFonts w:hint="eastAsia" w:ascii="宋体" w:hAnsi="宋体" w:cs="宋体"/>
                <w:kern w:val="0"/>
                <w:szCs w:val="21"/>
              </w:rPr>
              <w:t>平</w:t>
            </w:r>
            <w:bookmarkStart w:id="247" w:name="_GoBack"/>
            <w:bookmarkEnd w:id="247"/>
            <w:r>
              <w:rPr>
                <w:rFonts w:hint="eastAsia" w:ascii="宋体" w:hAnsi="宋体" w:cs="宋体"/>
                <w:kern w:val="0"/>
                <w:szCs w:val="21"/>
              </w:rPr>
              <w:t>方</w:t>
            </w:r>
            <w:r>
              <w:rPr>
                <w:rFonts w:hint="eastAsia" w:ascii="宋体" w:hAnsi="宋体" w:cs="宋体"/>
                <w:kern w:val="0"/>
                <w:szCs w:val="21"/>
                <w:lang w:eastAsia="zh-CN"/>
              </w:rPr>
              <w:t>米</w:t>
            </w:r>
          </w:p>
        </w:tc>
      </w:tr>
      <w:tr>
        <w:tblPrEx>
          <w:tblLayout w:type="fixed"/>
          <w:tblCellMar>
            <w:top w:w="0" w:type="dxa"/>
            <w:left w:w="108" w:type="dxa"/>
            <w:bottom w:w="0" w:type="dxa"/>
            <w:right w:w="108" w:type="dxa"/>
          </w:tblCellMar>
        </w:tblPrEx>
        <w:trPr>
          <w:trHeight w:val="460" w:hRule="atLeast"/>
          <w:jc w:val="center"/>
        </w:trPr>
        <w:tc>
          <w:tcPr>
            <w:tcW w:w="70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6</w:t>
            </w:r>
          </w:p>
        </w:tc>
        <w:tc>
          <w:tcPr>
            <w:tcW w:w="113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视频处理器</w:t>
            </w:r>
          </w:p>
        </w:tc>
        <w:tc>
          <w:tcPr>
            <w:tcW w:w="5602"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★1、提供≥1路3G-SDI、≥2 路 HDMI1.3、≥1路DVI、≥1路USB播放；</w:t>
            </w:r>
            <w:r>
              <w:rPr>
                <w:rFonts w:hint="eastAsia" w:ascii="宋体" w:hAnsi="宋体" w:cs="宋体"/>
                <w:kern w:val="0"/>
                <w:szCs w:val="21"/>
              </w:rPr>
              <w:br w:type="textWrapping"/>
            </w:r>
            <w:r>
              <w:rPr>
                <w:rFonts w:hint="eastAsia" w:ascii="宋体" w:hAnsi="宋体" w:cs="宋体"/>
                <w:kern w:val="0"/>
                <w:szCs w:val="21"/>
              </w:rPr>
              <w:t>★2、分辨率1920</w:t>
            </w:r>
            <w:r>
              <w:rPr>
                <w:rFonts w:ascii="宋体" w:hAnsi="宋体" w:cs="宋体"/>
                <w:kern w:val="0"/>
                <w:szCs w:val="21"/>
              </w:rPr>
              <w:t>*</w:t>
            </w:r>
            <w:r>
              <w:rPr>
                <w:rFonts w:hint="eastAsia" w:ascii="宋体" w:hAnsi="宋体" w:cs="宋体"/>
                <w:kern w:val="0"/>
                <w:szCs w:val="21"/>
              </w:rPr>
              <w:t>1200@60Hz，支持分辨率任意设置；</w:t>
            </w:r>
            <w:r>
              <w:rPr>
                <w:rFonts w:hint="eastAsia" w:ascii="宋体" w:hAnsi="宋体" w:cs="宋体"/>
                <w:kern w:val="0"/>
                <w:szCs w:val="21"/>
              </w:rPr>
              <w:br w:type="textWrapping"/>
            </w:r>
            <w:r>
              <w:rPr>
                <w:rFonts w:hint="eastAsia" w:ascii="宋体" w:hAnsi="宋体" w:cs="宋体"/>
                <w:kern w:val="0"/>
                <w:szCs w:val="21"/>
              </w:rPr>
              <w:t>3、带载满足单屏52平方P4全彩LED屏像素；</w:t>
            </w:r>
            <w:r>
              <w:rPr>
                <w:rFonts w:hint="eastAsia" w:ascii="宋体" w:hAnsi="宋体" w:cs="宋体"/>
                <w:kern w:val="0"/>
                <w:szCs w:val="21"/>
              </w:rPr>
              <w:br w:type="textWrapping"/>
            </w:r>
            <w:r>
              <w:rPr>
                <w:rFonts w:hint="eastAsia" w:ascii="宋体" w:hAnsi="宋体" w:cs="宋体"/>
                <w:kern w:val="0"/>
                <w:szCs w:val="21"/>
              </w:rPr>
              <w:t>4、能进行视频源任意切换、任意缩放；</w:t>
            </w:r>
            <w:r>
              <w:rPr>
                <w:rFonts w:hint="eastAsia" w:ascii="宋体" w:hAnsi="宋体" w:cs="宋体"/>
                <w:kern w:val="0"/>
                <w:szCs w:val="21"/>
              </w:rPr>
              <w:br w:type="textWrapping"/>
            </w:r>
            <w:r>
              <w:rPr>
                <w:rFonts w:hint="eastAsia" w:ascii="宋体" w:hAnsi="宋体" w:cs="宋体"/>
                <w:kern w:val="0"/>
                <w:szCs w:val="21"/>
              </w:rPr>
              <w:t>5、支持三画面显示，位置、大小可按需调节；</w:t>
            </w:r>
            <w:r>
              <w:rPr>
                <w:rFonts w:hint="eastAsia" w:ascii="宋体" w:hAnsi="宋体" w:cs="宋体"/>
                <w:kern w:val="0"/>
                <w:szCs w:val="21"/>
              </w:rPr>
              <w:br w:type="textWrapping"/>
            </w:r>
            <w:r>
              <w:rPr>
                <w:rFonts w:hint="eastAsia" w:ascii="宋体" w:hAnsi="宋体" w:cs="宋体"/>
                <w:kern w:val="0"/>
                <w:szCs w:val="21"/>
              </w:rPr>
              <w:t>6、USB2.0通讯接口，适用于电脑调试和主控间任意级联。</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0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7</w:t>
            </w:r>
          </w:p>
        </w:tc>
        <w:tc>
          <w:tcPr>
            <w:tcW w:w="113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音箱系统</w:t>
            </w:r>
          </w:p>
        </w:tc>
        <w:tc>
          <w:tcPr>
            <w:tcW w:w="5602"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1、功放：数量1台；额定输出功率≥360W，总音量和独立的音量的控制；具有输出短路，过载，过热等多种保护和警告功能；</w:t>
            </w:r>
            <w:r>
              <w:rPr>
                <w:rFonts w:hint="eastAsia" w:ascii="宋体" w:hAnsi="宋体" w:cs="宋体"/>
                <w:kern w:val="0"/>
                <w:szCs w:val="21"/>
              </w:rPr>
              <w:br w:type="textWrapping"/>
            </w:r>
            <w:r>
              <w:rPr>
                <w:rFonts w:hint="eastAsia" w:ascii="宋体" w:hAnsi="宋体" w:cs="宋体"/>
                <w:kern w:val="0"/>
                <w:szCs w:val="21"/>
              </w:rPr>
              <w:t>2、音箱：数量2只；具备防水单元,额定功率≥120W/100V，声压级：115±2dB；频率范围：80Hz ~16kHz。</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套</w:t>
            </w:r>
          </w:p>
        </w:tc>
      </w:tr>
      <w:tr>
        <w:tblPrEx>
          <w:tblLayout w:type="fixed"/>
          <w:tblCellMar>
            <w:top w:w="0" w:type="dxa"/>
            <w:left w:w="108" w:type="dxa"/>
            <w:bottom w:w="0" w:type="dxa"/>
            <w:right w:w="108" w:type="dxa"/>
          </w:tblCellMar>
        </w:tblPrEx>
        <w:trPr>
          <w:trHeight w:val="460" w:hRule="atLeast"/>
          <w:jc w:val="center"/>
        </w:trPr>
        <w:tc>
          <w:tcPr>
            <w:tcW w:w="70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8</w:t>
            </w:r>
          </w:p>
        </w:tc>
        <w:tc>
          <w:tcPr>
            <w:tcW w:w="113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散热系统</w:t>
            </w:r>
          </w:p>
        </w:tc>
        <w:tc>
          <w:tcPr>
            <w:tcW w:w="5602"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1、结合实际箱体规格制定满足整套LED显示系统通风散要求；</w:t>
            </w:r>
            <w:r>
              <w:rPr>
                <w:rFonts w:hint="eastAsia" w:ascii="宋体" w:hAnsi="宋体" w:cs="宋体"/>
                <w:kern w:val="0"/>
                <w:szCs w:val="21"/>
              </w:rPr>
              <w:br w:type="textWrapping"/>
            </w:r>
            <w:r>
              <w:rPr>
                <w:rFonts w:hint="eastAsia" w:ascii="宋体" w:hAnsi="宋体" w:cs="宋体"/>
                <w:kern w:val="0"/>
                <w:szCs w:val="21"/>
              </w:rPr>
              <w:t>2、进/出气孔需采用百叶窗并设置过滤网，杜绝杂物进入箱体；</w:t>
            </w:r>
            <w:r>
              <w:rPr>
                <w:rFonts w:hint="eastAsia" w:ascii="宋体" w:hAnsi="宋体" w:cs="宋体"/>
                <w:kern w:val="0"/>
                <w:szCs w:val="21"/>
              </w:rPr>
              <w:br w:type="textWrapping"/>
            </w:r>
            <w:r>
              <w:rPr>
                <w:rFonts w:hint="eastAsia" w:ascii="宋体" w:hAnsi="宋体" w:cs="宋体"/>
                <w:kern w:val="0"/>
                <w:szCs w:val="21"/>
              </w:rPr>
              <w:t>3、需确保进气口与排气口远离，杜绝重复使用冷却空气；</w:t>
            </w:r>
            <w:r>
              <w:rPr>
                <w:rFonts w:hint="eastAsia" w:ascii="宋体" w:hAnsi="宋体" w:cs="宋体"/>
                <w:kern w:val="0"/>
                <w:szCs w:val="21"/>
              </w:rPr>
              <w:br w:type="textWrapping"/>
            </w:r>
            <w:r>
              <w:rPr>
                <w:rFonts w:hint="eastAsia" w:ascii="宋体" w:hAnsi="宋体" w:cs="宋体"/>
                <w:kern w:val="0"/>
                <w:szCs w:val="21"/>
              </w:rPr>
              <w:t>4、具备来电自起功能，保证箱体内温度整体不超过25度工作环境。</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套</w:t>
            </w:r>
          </w:p>
        </w:tc>
      </w:tr>
      <w:tr>
        <w:tblPrEx>
          <w:tblLayout w:type="fixed"/>
          <w:tblCellMar>
            <w:top w:w="0" w:type="dxa"/>
            <w:left w:w="108" w:type="dxa"/>
            <w:bottom w:w="0" w:type="dxa"/>
            <w:right w:w="108" w:type="dxa"/>
          </w:tblCellMar>
        </w:tblPrEx>
        <w:trPr>
          <w:trHeight w:val="460" w:hRule="atLeast"/>
          <w:jc w:val="center"/>
        </w:trPr>
        <w:tc>
          <w:tcPr>
            <w:tcW w:w="70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9</w:t>
            </w:r>
          </w:p>
        </w:tc>
        <w:tc>
          <w:tcPr>
            <w:tcW w:w="113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防雷系统</w:t>
            </w:r>
          </w:p>
        </w:tc>
        <w:tc>
          <w:tcPr>
            <w:tcW w:w="5602"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1、满足整套系统防雷的电源防雷模块；</w:t>
            </w:r>
            <w:r>
              <w:rPr>
                <w:rFonts w:hint="eastAsia" w:ascii="宋体" w:hAnsi="宋体" w:cs="宋体"/>
                <w:kern w:val="0"/>
                <w:szCs w:val="21"/>
              </w:rPr>
              <w:br w:type="textWrapping"/>
            </w:r>
            <w:r>
              <w:rPr>
                <w:rFonts w:hint="eastAsia" w:ascii="宋体" w:hAnsi="宋体" w:cs="宋体"/>
                <w:kern w:val="0"/>
                <w:szCs w:val="21"/>
              </w:rPr>
              <w:t>2、其中电源防雷模块≥20KA，防雷插座≥10KA；</w:t>
            </w:r>
            <w:r>
              <w:rPr>
                <w:rFonts w:hint="eastAsia" w:ascii="宋体" w:hAnsi="宋体" w:cs="宋体"/>
                <w:kern w:val="0"/>
                <w:szCs w:val="21"/>
              </w:rPr>
              <w:br w:type="textWrapping"/>
            </w:r>
            <w:r>
              <w:rPr>
                <w:rFonts w:hint="eastAsia" w:ascii="宋体" w:hAnsi="宋体" w:cs="宋体"/>
                <w:kern w:val="0"/>
                <w:szCs w:val="21"/>
              </w:rPr>
              <w:t>3、含配套线路铺设及接地；</w:t>
            </w:r>
            <w:r>
              <w:rPr>
                <w:rFonts w:hint="eastAsia" w:ascii="宋体" w:hAnsi="宋体" w:cs="宋体"/>
                <w:kern w:val="0"/>
                <w:szCs w:val="21"/>
              </w:rPr>
              <w:br w:type="textWrapping"/>
            </w:r>
            <w:r>
              <w:rPr>
                <w:rFonts w:hint="eastAsia" w:ascii="宋体" w:hAnsi="宋体" w:cs="宋体"/>
                <w:kern w:val="0"/>
                <w:szCs w:val="21"/>
              </w:rPr>
              <w:t>4、要求防雷接地电阻≤4欧。</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套</w:t>
            </w:r>
          </w:p>
        </w:tc>
      </w:tr>
      <w:tr>
        <w:tblPrEx>
          <w:tblLayout w:type="fixed"/>
          <w:tblCellMar>
            <w:top w:w="0" w:type="dxa"/>
            <w:left w:w="108" w:type="dxa"/>
            <w:bottom w:w="0" w:type="dxa"/>
            <w:right w:w="108" w:type="dxa"/>
          </w:tblCellMar>
        </w:tblPrEx>
        <w:trPr>
          <w:trHeight w:val="460" w:hRule="atLeast"/>
          <w:jc w:val="center"/>
        </w:trPr>
        <w:tc>
          <w:tcPr>
            <w:tcW w:w="70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10</w:t>
            </w:r>
          </w:p>
        </w:tc>
        <w:tc>
          <w:tcPr>
            <w:tcW w:w="113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配电系统</w:t>
            </w:r>
          </w:p>
        </w:tc>
        <w:tc>
          <w:tcPr>
            <w:tcW w:w="5602"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1、实现信号输出及时对大屏供电，中断信号及时对大屏断电；</w:t>
            </w:r>
            <w:r>
              <w:rPr>
                <w:rFonts w:hint="eastAsia" w:ascii="宋体" w:hAnsi="宋体" w:cs="宋体"/>
                <w:kern w:val="0"/>
                <w:szCs w:val="21"/>
              </w:rPr>
              <w:br w:type="textWrapping"/>
            </w:r>
            <w:r>
              <w:rPr>
                <w:rFonts w:hint="eastAsia" w:ascii="宋体" w:hAnsi="宋体" w:cs="宋体"/>
                <w:kern w:val="0"/>
                <w:szCs w:val="21"/>
              </w:rPr>
              <w:t>2、内置继电器，分步对大屏各组电源进行上电；</w:t>
            </w:r>
            <w:r>
              <w:rPr>
                <w:rFonts w:hint="eastAsia" w:ascii="宋体" w:hAnsi="宋体" w:cs="宋体"/>
                <w:kern w:val="0"/>
                <w:szCs w:val="21"/>
              </w:rPr>
              <w:br w:type="textWrapping"/>
            </w:r>
            <w:r>
              <w:rPr>
                <w:rFonts w:hint="eastAsia" w:ascii="宋体" w:hAnsi="宋体" w:cs="宋体"/>
                <w:kern w:val="0"/>
                <w:szCs w:val="21"/>
              </w:rPr>
              <w:t>3、采用定制配电控制箱确保电源正常通断实现对屏体电源的控制。</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套</w:t>
            </w:r>
          </w:p>
        </w:tc>
      </w:tr>
      <w:tr>
        <w:tblPrEx>
          <w:tblLayout w:type="fixed"/>
          <w:tblCellMar>
            <w:top w:w="0" w:type="dxa"/>
            <w:left w:w="108" w:type="dxa"/>
            <w:bottom w:w="0" w:type="dxa"/>
            <w:right w:w="108" w:type="dxa"/>
          </w:tblCellMar>
        </w:tblPrEx>
        <w:trPr>
          <w:trHeight w:val="460" w:hRule="atLeast"/>
          <w:jc w:val="center"/>
        </w:trPr>
        <w:tc>
          <w:tcPr>
            <w:tcW w:w="70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11</w:t>
            </w:r>
          </w:p>
        </w:tc>
        <w:tc>
          <w:tcPr>
            <w:tcW w:w="113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电源线缆</w:t>
            </w:r>
          </w:p>
        </w:tc>
        <w:tc>
          <w:tcPr>
            <w:tcW w:w="5602"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1、具备高压交联、钢丝铠装、聚氯乙烯绝缘保护层等性能；</w:t>
            </w:r>
            <w:r>
              <w:rPr>
                <w:rFonts w:hint="eastAsia" w:ascii="宋体" w:hAnsi="宋体" w:cs="宋体"/>
                <w:kern w:val="0"/>
                <w:szCs w:val="21"/>
              </w:rPr>
              <w:br w:type="textWrapping"/>
            </w:r>
            <w:r>
              <w:rPr>
                <w:rFonts w:hint="eastAsia" w:ascii="宋体" w:hAnsi="宋体" w:cs="宋体"/>
                <w:kern w:val="0"/>
                <w:szCs w:val="21"/>
              </w:rPr>
              <w:t>2、4</w:t>
            </w:r>
            <w:r>
              <w:rPr>
                <w:rFonts w:ascii="宋体" w:hAnsi="宋体" w:cs="宋体"/>
                <w:kern w:val="0"/>
                <w:szCs w:val="21"/>
              </w:rPr>
              <w:t>*</w:t>
            </w:r>
            <w:r>
              <w:rPr>
                <w:rFonts w:hint="eastAsia" w:ascii="宋体" w:hAnsi="宋体" w:cs="宋体"/>
                <w:kern w:val="0"/>
                <w:szCs w:val="21"/>
              </w:rPr>
              <w:t>25+1</w:t>
            </w:r>
            <w:r>
              <w:rPr>
                <w:rFonts w:ascii="宋体" w:hAnsi="宋体" w:cs="宋体"/>
                <w:kern w:val="0"/>
                <w:szCs w:val="21"/>
              </w:rPr>
              <w:t>*</w:t>
            </w:r>
            <w:r>
              <w:rPr>
                <w:rFonts w:hint="eastAsia" w:ascii="宋体" w:hAnsi="宋体" w:cs="宋体"/>
                <w:kern w:val="0"/>
                <w:szCs w:val="21"/>
              </w:rPr>
              <w:t>16国标铜芯三相五线电力电缆。</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700</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米</w:t>
            </w:r>
          </w:p>
        </w:tc>
      </w:tr>
      <w:tr>
        <w:tblPrEx>
          <w:tblLayout w:type="fixed"/>
          <w:tblCellMar>
            <w:top w:w="0" w:type="dxa"/>
            <w:left w:w="108" w:type="dxa"/>
            <w:bottom w:w="0" w:type="dxa"/>
            <w:right w:w="108" w:type="dxa"/>
          </w:tblCellMar>
        </w:tblPrEx>
        <w:trPr>
          <w:trHeight w:val="460" w:hRule="atLeast"/>
          <w:jc w:val="center"/>
        </w:trPr>
        <w:tc>
          <w:tcPr>
            <w:tcW w:w="70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12</w:t>
            </w:r>
          </w:p>
        </w:tc>
        <w:tc>
          <w:tcPr>
            <w:tcW w:w="113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信号线缆</w:t>
            </w:r>
          </w:p>
        </w:tc>
        <w:tc>
          <w:tcPr>
            <w:tcW w:w="5602"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1、音频线：采用 RVV2</w:t>
            </w:r>
            <w:r>
              <w:rPr>
                <w:rFonts w:ascii="宋体" w:hAnsi="宋体" w:cs="宋体"/>
                <w:kern w:val="0"/>
                <w:szCs w:val="21"/>
              </w:rPr>
              <w:t>*</w:t>
            </w:r>
            <w:r>
              <w:rPr>
                <w:rFonts w:hint="eastAsia" w:ascii="宋体" w:hAnsi="宋体" w:cs="宋体"/>
                <w:kern w:val="0"/>
                <w:szCs w:val="21"/>
              </w:rPr>
              <w:t>1.5平方国标多股铜丝软护套线电源线;</w:t>
            </w:r>
            <w:r>
              <w:rPr>
                <w:rFonts w:hint="eastAsia" w:ascii="宋体" w:hAnsi="宋体" w:cs="宋体"/>
                <w:kern w:val="0"/>
                <w:szCs w:val="21"/>
              </w:rPr>
              <w:br w:type="textWrapping"/>
            </w:r>
            <w:r>
              <w:rPr>
                <w:rFonts w:hint="eastAsia" w:ascii="宋体" w:hAnsi="宋体" w:cs="宋体"/>
                <w:kern w:val="0"/>
                <w:szCs w:val="21"/>
              </w:rPr>
              <w:t>2、控制线：采用2芯室外单模光纤；</w:t>
            </w:r>
            <w:r>
              <w:rPr>
                <w:rFonts w:hint="eastAsia" w:ascii="宋体" w:hAnsi="宋体" w:cs="宋体"/>
                <w:kern w:val="0"/>
                <w:szCs w:val="21"/>
              </w:rPr>
              <w:br w:type="textWrapping"/>
            </w:r>
            <w:r>
              <w:rPr>
                <w:rFonts w:hint="eastAsia" w:ascii="宋体" w:hAnsi="宋体" w:cs="宋体"/>
                <w:kern w:val="0"/>
                <w:szCs w:val="21"/>
              </w:rPr>
              <w:t>3、配套辅设：含收发器等。</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700</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米</w:t>
            </w:r>
          </w:p>
        </w:tc>
      </w:tr>
    </w:tbl>
    <w:p>
      <w:pPr>
        <w:snapToGrid w:val="0"/>
        <w:spacing w:after="0" w:line="360" w:lineRule="auto"/>
        <w:ind w:firstLine="280" w:firstLineChars="117"/>
        <w:rPr>
          <w:rFonts w:ascii="宋体" w:hAnsi="宋体"/>
          <w:sz w:val="24"/>
        </w:rPr>
      </w:pPr>
      <w:r>
        <w:rPr>
          <w:rFonts w:hint="eastAsia" w:ascii="宋体" w:hAnsi="宋体"/>
          <w:sz w:val="24"/>
        </w:rPr>
        <w:t>招标文件中带★号为实质性要求，不允许有负偏离（“技术参数”</w:t>
      </w:r>
      <w:r>
        <w:rPr>
          <w:rFonts w:hint="eastAsia" w:ascii="宋体" w:hAnsi="宋体"/>
          <w:sz w:val="24"/>
          <w:lang w:eastAsia="zh-CN"/>
        </w:rPr>
        <w:t>表</w:t>
      </w:r>
      <w:r>
        <w:rPr>
          <w:rFonts w:hint="eastAsia" w:ascii="宋体" w:hAnsi="宋体"/>
          <w:sz w:val="24"/>
        </w:rPr>
        <w:t>中，带★号的条款需提供生产厂商技术参数证明函或相关证明材料复印件并加盖投标人公章）。</w:t>
      </w:r>
    </w:p>
    <w:p>
      <w:pPr>
        <w:pStyle w:val="5"/>
        <w:spacing w:line="400" w:lineRule="exact"/>
        <w:rPr>
          <w:rFonts w:ascii="宋体" w:hAnsi="宋体" w:eastAsia="宋体"/>
          <w:sz w:val="24"/>
          <w:szCs w:val="24"/>
        </w:rPr>
      </w:pPr>
      <w:bookmarkStart w:id="137" w:name="_Toc2609"/>
      <w:r>
        <w:rPr>
          <w:rFonts w:hint="eastAsia" w:ascii="宋体" w:hAnsi="宋体" w:eastAsia="宋体"/>
          <w:sz w:val="24"/>
          <w:szCs w:val="24"/>
        </w:rPr>
        <w:t>工艺要求</w:t>
      </w:r>
      <w:bookmarkEnd w:id="137"/>
    </w:p>
    <w:p>
      <w:pPr>
        <w:snapToGrid w:val="0"/>
        <w:spacing w:after="0" w:line="360" w:lineRule="auto"/>
        <w:rPr>
          <w:rFonts w:ascii="宋体" w:hAnsi="宋体"/>
          <w:sz w:val="24"/>
        </w:rPr>
      </w:pPr>
      <w:r>
        <w:rPr>
          <w:rFonts w:hint="eastAsia" w:ascii="宋体" w:hAnsi="宋体"/>
          <w:sz w:val="24"/>
        </w:rPr>
        <w:t>【一】设备安装</w:t>
      </w:r>
    </w:p>
    <w:p>
      <w:pPr>
        <w:snapToGrid w:val="0"/>
        <w:spacing w:after="0" w:line="360" w:lineRule="auto"/>
        <w:ind w:firstLine="280" w:firstLineChars="117"/>
        <w:rPr>
          <w:rFonts w:ascii="宋体" w:hAnsi="宋体"/>
          <w:sz w:val="24"/>
        </w:rPr>
      </w:pPr>
      <w:r>
        <w:rPr>
          <w:rFonts w:hint="eastAsia" w:ascii="宋体" w:hAnsi="宋体"/>
          <w:sz w:val="24"/>
        </w:rPr>
        <w:t>1、机柜、配线箱及桥架等设备的安装应牢固，当有抗震要求时，应按抗震设计进行加固。</w:t>
      </w:r>
    </w:p>
    <w:p>
      <w:pPr>
        <w:snapToGrid w:val="0"/>
        <w:spacing w:after="0" w:line="360" w:lineRule="auto"/>
        <w:ind w:firstLine="280" w:firstLineChars="117"/>
        <w:rPr>
          <w:rFonts w:ascii="宋体" w:hAnsi="宋体"/>
          <w:sz w:val="24"/>
        </w:rPr>
      </w:pPr>
      <w:r>
        <w:rPr>
          <w:rFonts w:hint="eastAsia" w:ascii="宋体" w:hAnsi="宋体"/>
          <w:sz w:val="24"/>
        </w:rPr>
        <w:t>2、油漆不得脱落、标志完整齐全；</w:t>
      </w:r>
    </w:p>
    <w:p>
      <w:pPr>
        <w:snapToGrid w:val="0"/>
        <w:spacing w:after="0" w:line="360" w:lineRule="auto"/>
        <w:ind w:firstLine="280" w:firstLineChars="117"/>
        <w:rPr>
          <w:rFonts w:ascii="宋体" w:hAnsi="宋体"/>
          <w:sz w:val="24"/>
        </w:rPr>
      </w:pPr>
      <w:r>
        <w:rPr>
          <w:rFonts w:hint="eastAsia" w:ascii="宋体" w:hAnsi="宋体"/>
          <w:sz w:val="24"/>
        </w:rPr>
        <w:t>3、各种螺丝必须紧固；</w:t>
      </w:r>
    </w:p>
    <w:p>
      <w:pPr>
        <w:snapToGrid w:val="0"/>
        <w:spacing w:after="0" w:line="360" w:lineRule="auto"/>
        <w:ind w:firstLine="280" w:firstLineChars="117"/>
        <w:rPr>
          <w:rFonts w:ascii="宋体" w:hAnsi="宋体"/>
          <w:sz w:val="24"/>
        </w:rPr>
      </w:pPr>
      <w:r>
        <w:rPr>
          <w:rFonts w:hint="eastAsia" w:ascii="宋体" w:hAnsi="宋体"/>
          <w:sz w:val="24"/>
        </w:rPr>
        <w:t>4、安装机柜、配线箱、配线设备屏蔽层及金属导管、桥架使用的接地体应符合设计要求，就近接地，并应保持良好的电气连接。</w:t>
      </w:r>
    </w:p>
    <w:p>
      <w:pPr>
        <w:snapToGrid w:val="0"/>
        <w:spacing w:after="0" w:line="360" w:lineRule="auto"/>
        <w:ind w:firstLine="280" w:firstLineChars="117"/>
        <w:rPr>
          <w:rFonts w:ascii="宋体" w:hAnsi="宋体"/>
          <w:sz w:val="24"/>
        </w:rPr>
      </w:pPr>
      <w:r>
        <w:rPr>
          <w:rFonts w:hint="eastAsia" w:ascii="宋体" w:hAnsi="宋体"/>
          <w:sz w:val="24"/>
        </w:rPr>
        <w:t>5、设备应有接地措施，做防雷击保护装置和散热处理措施。</w:t>
      </w:r>
    </w:p>
    <w:p>
      <w:pPr>
        <w:snapToGrid w:val="0"/>
        <w:spacing w:after="0" w:line="360" w:lineRule="auto"/>
        <w:rPr>
          <w:rFonts w:ascii="宋体" w:hAnsi="宋体"/>
          <w:sz w:val="24"/>
        </w:rPr>
      </w:pPr>
      <w:r>
        <w:rPr>
          <w:rFonts w:hint="eastAsia" w:ascii="宋体" w:hAnsi="宋体"/>
          <w:sz w:val="24"/>
        </w:rPr>
        <w:t>【二】缆线敷设和终接</w:t>
      </w:r>
    </w:p>
    <w:p>
      <w:pPr>
        <w:snapToGrid w:val="0"/>
        <w:spacing w:after="0" w:line="360" w:lineRule="auto"/>
        <w:ind w:firstLine="280" w:firstLineChars="117"/>
        <w:jc w:val="left"/>
        <w:rPr>
          <w:rFonts w:ascii="宋体" w:hAnsi="宋体"/>
          <w:sz w:val="24"/>
        </w:rPr>
      </w:pPr>
      <w:r>
        <w:rPr>
          <w:rFonts w:hint="eastAsia" w:ascii="宋体" w:hAnsi="宋体"/>
          <w:sz w:val="24"/>
        </w:rPr>
        <w:t>1、缆线的弯曲半径应符合下列规定：</w:t>
      </w:r>
    </w:p>
    <w:p>
      <w:pPr>
        <w:snapToGrid w:val="0"/>
        <w:spacing w:after="0" w:line="360" w:lineRule="auto"/>
        <w:ind w:firstLine="280" w:firstLineChars="117"/>
        <w:jc w:val="left"/>
        <w:rPr>
          <w:rFonts w:ascii="宋体" w:hAnsi="宋体"/>
          <w:sz w:val="24"/>
        </w:rPr>
      </w:pPr>
      <w:r>
        <w:rPr>
          <w:rFonts w:hint="eastAsia" w:ascii="宋体" w:hAnsi="宋体"/>
          <w:sz w:val="24"/>
        </w:rPr>
        <w:t>(1)非屏蔽4对对绞电缆的弯曲半径应至少为电缆外径的4 倍。</w:t>
      </w:r>
    </w:p>
    <w:p>
      <w:pPr>
        <w:snapToGrid w:val="0"/>
        <w:spacing w:after="0" w:line="360" w:lineRule="auto"/>
        <w:ind w:firstLine="280" w:firstLineChars="117"/>
        <w:jc w:val="left"/>
        <w:rPr>
          <w:rFonts w:ascii="宋体" w:hAnsi="宋体"/>
          <w:sz w:val="24"/>
        </w:rPr>
      </w:pPr>
      <w:r>
        <w:rPr>
          <w:rFonts w:hint="eastAsia" w:ascii="宋体" w:hAnsi="宋体"/>
          <w:sz w:val="24"/>
        </w:rPr>
        <w:t>(2)屏蔽4对对绞电缆的弯曲半径应至少为电缆外径的8 倍。</w:t>
      </w:r>
    </w:p>
    <w:p>
      <w:pPr>
        <w:snapToGrid w:val="0"/>
        <w:spacing w:after="0" w:line="360" w:lineRule="auto"/>
        <w:ind w:firstLine="280" w:firstLineChars="117"/>
        <w:jc w:val="left"/>
        <w:rPr>
          <w:rFonts w:ascii="宋体" w:hAnsi="宋体"/>
          <w:sz w:val="24"/>
        </w:rPr>
      </w:pPr>
      <w:r>
        <w:rPr>
          <w:rFonts w:hint="eastAsia" w:ascii="宋体" w:hAnsi="宋体"/>
          <w:sz w:val="24"/>
        </w:rPr>
        <w:t>(3)主干对绞电缆的弯曲半径应至少为电缆外径的10 倍。</w:t>
      </w:r>
    </w:p>
    <w:p>
      <w:pPr>
        <w:snapToGrid w:val="0"/>
        <w:spacing w:after="0" w:line="360" w:lineRule="auto"/>
        <w:ind w:firstLine="280" w:firstLineChars="117"/>
        <w:jc w:val="left"/>
        <w:rPr>
          <w:rFonts w:ascii="宋体" w:hAnsi="宋体"/>
          <w:sz w:val="24"/>
        </w:rPr>
      </w:pPr>
      <w:r>
        <w:rPr>
          <w:rFonts w:hint="eastAsia" w:ascii="宋体" w:hAnsi="宋体"/>
          <w:sz w:val="24"/>
        </w:rPr>
        <w:t>(4)2芯或4 芯水平光缆的弯曲半径应大于25mm；其他芯数的水平光缆、主干光缆和室外光缆的弯曲半径应至少为光缆外径的10 倍。</w:t>
      </w:r>
    </w:p>
    <w:p>
      <w:pPr>
        <w:snapToGrid w:val="0"/>
        <w:spacing w:after="0" w:line="360" w:lineRule="auto"/>
        <w:ind w:firstLine="280" w:firstLineChars="117"/>
        <w:jc w:val="left"/>
        <w:rPr>
          <w:rFonts w:ascii="宋体" w:hAnsi="宋体"/>
        </w:rPr>
      </w:pPr>
      <w:r>
        <w:rPr>
          <w:rFonts w:hint="eastAsia" w:ascii="宋体" w:hAnsi="宋体"/>
          <w:sz w:val="24"/>
        </w:rPr>
        <w:t>2、电力电缆与综合布线系统缆线应分隔布放，并符合下表规定。</w:t>
      </w:r>
      <w:r>
        <w:rPr>
          <w:rFonts w:hint="eastAsia" w:ascii="宋体" w:hAnsi="宋体"/>
          <w:sz w:val="24"/>
        </w:rPr>
        <w:cr/>
      </w:r>
      <w:r>
        <w:rPr>
          <w:rFonts w:ascii="宋体" w:hAnsi="宋体"/>
        </w:rPr>
        <w:drawing>
          <wp:inline distT="0" distB="0" distL="0" distR="0">
            <wp:extent cx="5212080" cy="2108835"/>
            <wp:effectExtent l="0" t="0" r="7620" b="5715"/>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6">
                      <a:extLst>
                        <a:ext uri="{28A0092B-C50C-407E-A947-70E740481C1C}">
                          <a14:useLocalDpi xmlns:a14="http://schemas.microsoft.com/office/drawing/2010/main" val="0"/>
                        </a:ext>
                      </a:extLst>
                    </a:blip>
                    <a:srcRect/>
                    <a:stretch>
                      <a:fillRect/>
                    </a:stretch>
                  </pic:blipFill>
                  <pic:spPr>
                    <a:xfrm>
                      <a:off x="0" y="0"/>
                      <a:ext cx="5212080" cy="2108835"/>
                    </a:xfrm>
                    <a:prstGeom prst="rect">
                      <a:avLst/>
                    </a:prstGeom>
                    <a:noFill/>
                    <a:ln>
                      <a:noFill/>
                    </a:ln>
                  </pic:spPr>
                </pic:pic>
              </a:graphicData>
            </a:graphic>
          </wp:inline>
        </w:drawing>
      </w:r>
    </w:p>
    <w:p>
      <w:pPr>
        <w:snapToGrid w:val="0"/>
        <w:spacing w:after="0" w:line="360" w:lineRule="auto"/>
        <w:ind w:firstLine="280" w:firstLineChars="117"/>
        <w:rPr>
          <w:rFonts w:ascii="宋体" w:hAnsi="宋体"/>
          <w:sz w:val="24"/>
        </w:rPr>
      </w:pPr>
      <w:r>
        <w:rPr>
          <w:rFonts w:hint="eastAsia" w:ascii="宋体" w:hAnsi="宋体"/>
          <w:sz w:val="24"/>
        </w:rPr>
        <w:t>3、金属管槽应根据工程环境要求作镀锌或其他防腐处理。塑料管槽应采用阻燃型管槽，外壁应具有阻燃标记。</w:t>
      </w:r>
    </w:p>
    <w:p>
      <w:pPr>
        <w:snapToGrid w:val="0"/>
        <w:spacing w:after="0" w:line="360" w:lineRule="auto"/>
        <w:ind w:firstLine="280" w:firstLineChars="117"/>
        <w:rPr>
          <w:rFonts w:ascii="宋体" w:hAnsi="宋体"/>
          <w:sz w:val="24"/>
        </w:rPr>
      </w:pPr>
      <w:r>
        <w:rPr>
          <w:rFonts w:hint="eastAsia" w:ascii="宋体" w:hAnsi="宋体"/>
          <w:sz w:val="24"/>
        </w:rPr>
        <w:t>4、绝缘导线接头应设置在专用接线盒（箱）或器具内，不得设置在导管和槽盒内，盒（箱）的设置位置应便于检修。</w:t>
      </w:r>
    </w:p>
    <w:p>
      <w:pPr>
        <w:snapToGrid w:val="0"/>
        <w:spacing w:after="0" w:line="360" w:lineRule="auto"/>
        <w:ind w:firstLine="280" w:firstLineChars="117"/>
        <w:rPr>
          <w:rFonts w:ascii="宋体" w:hAnsi="宋体"/>
          <w:sz w:val="24"/>
        </w:rPr>
      </w:pPr>
      <w:r>
        <w:rPr>
          <w:rFonts w:hint="eastAsia" w:ascii="宋体" w:hAnsi="宋体"/>
          <w:sz w:val="24"/>
        </w:rPr>
        <w:t>5、插座接线应符合下列规定：</w:t>
      </w:r>
    </w:p>
    <w:p>
      <w:pPr>
        <w:snapToGrid w:val="0"/>
        <w:spacing w:after="0" w:line="360" w:lineRule="auto"/>
        <w:ind w:firstLine="280" w:firstLineChars="117"/>
        <w:rPr>
          <w:rFonts w:ascii="宋体" w:hAnsi="宋体"/>
          <w:sz w:val="24"/>
        </w:rPr>
      </w:pPr>
      <w:r>
        <w:rPr>
          <w:rFonts w:hint="eastAsia" w:ascii="宋体" w:hAnsi="宋体"/>
          <w:sz w:val="24"/>
        </w:rPr>
        <w:t>（1）对于单相两孔插座，面对插座的右孔或上孔应与相线连接，左孔或下孔应与中性导体（N）连接；对于单相三孔插座，面对插座的右孔应与相线连接，左孔应与中性导体（N）连接；</w:t>
      </w:r>
    </w:p>
    <w:p>
      <w:pPr>
        <w:snapToGrid w:val="0"/>
        <w:spacing w:after="0" w:line="360" w:lineRule="auto"/>
        <w:ind w:firstLine="280" w:firstLineChars="117"/>
        <w:rPr>
          <w:rFonts w:ascii="宋体" w:hAnsi="宋体"/>
          <w:sz w:val="24"/>
        </w:rPr>
      </w:pPr>
      <w:r>
        <w:rPr>
          <w:rFonts w:hint="eastAsia" w:ascii="宋体" w:hAnsi="宋体"/>
          <w:sz w:val="24"/>
        </w:rPr>
        <w:t xml:space="preserve">（2） 单相三孔、三相四孔及三相五孔插座的保护接地导体（PE）应接在上孔。插座的保护接地导体端子不得与中性导体端子连接。同一场所的三相插座，其接线的相序应一致；  </w:t>
      </w:r>
    </w:p>
    <w:p>
      <w:pPr>
        <w:snapToGrid w:val="0"/>
        <w:spacing w:after="0" w:line="360" w:lineRule="auto"/>
        <w:ind w:firstLine="280" w:firstLineChars="117"/>
        <w:rPr>
          <w:rFonts w:ascii="宋体" w:hAnsi="宋体"/>
          <w:sz w:val="24"/>
        </w:rPr>
      </w:pPr>
      <w:r>
        <w:rPr>
          <w:rFonts w:hint="eastAsia" w:ascii="宋体" w:hAnsi="宋体"/>
          <w:sz w:val="24"/>
        </w:rPr>
        <w:t xml:space="preserve">（3）保护接地导体（PE）在插座之间不得串联连接；  </w:t>
      </w:r>
    </w:p>
    <w:p>
      <w:pPr>
        <w:snapToGrid w:val="0"/>
        <w:spacing w:after="0" w:line="360" w:lineRule="auto"/>
        <w:ind w:firstLine="280" w:firstLineChars="117"/>
        <w:rPr>
          <w:rFonts w:ascii="宋体" w:hAnsi="宋体"/>
          <w:sz w:val="24"/>
        </w:rPr>
      </w:pPr>
      <w:r>
        <w:rPr>
          <w:rFonts w:hint="eastAsia" w:ascii="宋体" w:hAnsi="宋体"/>
          <w:sz w:val="24"/>
        </w:rPr>
        <w:t>（4）相线与中性导体（N）不应利用插座本体的接线端子转接供电。</w:t>
      </w:r>
    </w:p>
    <w:p>
      <w:pPr>
        <w:snapToGrid w:val="0"/>
        <w:spacing w:after="0" w:line="360" w:lineRule="auto"/>
        <w:ind w:firstLine="280" w:firstLineChars="117"/>
        <w:rPr>
          <w:rFonts w:ascii="宋体" w:hAnsi="宋体"/>
          <w:sz w:val="24"/>
        </w:rPr>
      </w:pPr>
      <w:r>
        <w:rPr>
          <w:rFonts w:hint="eastAsia" w:ascii="宋体" w:hAnsi="宋体"/>
          <w:sz w:val="24"/>
        </w:rPr>
        <w:t>6、塑料护套线严禁直接敷设在建筑物顶棚内、墙体内、抹灰层内、保温层内或装饰面内。</w:t>
      </w:r>
    </w:p>
    <w:p>
      <w:pPr>
        <w:snapToGrid w:val="0"/>
        <w:spacing w:after="0" w:line="360" w:lineRule="auto"/>
        <w:ind w:firstLine="280" w:firstLineChars="117"/>
        <w:rPr>
          <w:rFonts w:ascii="宋体" w:hAnsi="宋体"/>
          <w:sz w:val="24"/>
        </w:rPr>
      </w:pPr>
      <w:r>
        <w:rPr>
          <w:rFonts w:hint="eastAsia" w:ascii="宋体" w:hAnsi="宋体"/>
          <w:sz w:val="24"/>
        </w:rPr>
        <w:t xml:space="preserve">7、电力线缆和信号线缆严禁在同一线管内敷设。 </w:t>
      </w:r>
    </w:p>
    <w:p>
      <w:pPr>
        <w:snapToGrid w:val="0"/>
        <w:spacing w:after="0" w:line="360" w:lineRule="auto"/>
        <w:ind w:firstLine="280" w:firstLineChars="117"/>
        <w:rPr>
          <w:rFonts w:ascii="宋体" w:hAnsi="宋体"/>
          <w:sz w:val="24"/>
        </w:rPr>
      </w:pPr>
      <w:r>
        <w:rPr>
          <w:rFonts w:hint="eastAsia" w:ascii="宋体" w:hAnsi="宋体"/>
          <w:sz w:val="24"/>
        </w:rPr>
        <w:t>8、电气设备的外露可导电部分应单独与保护导体相连接，不得串联连接，连接导体的材质、截面积应符合设计要求。</w:t>
      </w:r>
    </w:p>
    <w:p>
      <w:pPr>
        <w:snapToGrid w:val="0"/>
        <w:spacing w:after="0" w:line="360" w:lineRule="auto"/>
        <w:ind w:firstLine="280" w:firstLineChars="117"/>
        <w:rPr>
          <w:rFonts w:ascii="宋体" w:hAnsi="宋体"/>
          <w:sz w:val="24"/>
        </w:rPr>
      </w:pPr>
      <w:r>
        <w:rPr>
          <w:rFonts w:hint="eastAsia" w:ascii="宋体" w:hAnsi="宋体"/>
          <w:sz w:val="24"/>
        </w:rPr>
        <w:t>9、同一交流回路的绝缘导线不应敷设于不同的金属槽盒内或穿与不同金属导管内。</w:t>
      </w:r>
    </w:p>
    <w:p>
      <w:pPr>
        <w:snapToGrid w:val="0"/>
        <w:spacing w:after="0" w:line="360" w:lineRule="auto"/>
        <w:ind w:firstLine="280" w:firstLineChars="117"/>
        <w:rPr>
          <w:rFonts w:ascii="宋体" w:hAnsi="宋体"/>
          <w:sz w:val="24"/>
        </w:rPr>
      </w:pPr>
      <w:r>
        <w:rPr>
          <w:rFonts w:hint="eastAsia" w:ascii="宋体" w:hAnsi="宋体"/>
          <w:sz w:val="24"/>
        </w:rPr>
        <w:t>10、接地系统必须保证系统的正常运行和人身、设备安全。</w:t>
      </w:r>
    </w:p>
    <w:p>
      <w:pPr>
        <w:snapToGrid w:val="0"/>
        <w:spacing w:after="0" w:line="360" w:lineRule="auto"/>
        <w:ind w:firstLine="280" w:firstLineChars="117"/>
        <w:rPr>
          <w:rFonts w:ascii="宋体" w:hAnsi="宋体"/>
          <w:sz w:val="24"/>
        </w:rPr>
      </w:pPr>
      <w:r>
        <w:rPr>
          <w:rFonts w:hint="eastAsia" w:ascii="宋体" w:hAnsi="宋体"/>
          <w:sz w:val="24"/>
        </w:rPr>
        <w:t>11、塑料线管敷设时，管卡管卡间距应小于80cm，转弯处两端15cm内应设置管卡。</w:t>
      </w:r>
    </w:p>
    <w:p>
      <w:pPr>
        <w:snapToGrid w:val="0"/>
        <w:spacing w:after="0" w:line="360" w:lineRule="auto"/>
        <w:rPr>
          <w:rFonts w:ascii="宋体" w:hAnsi="宋体"/>
          <w:sz w:val="24"/>
        </w:rPr>
      </w:pPr>
      <w:r>
        <w:rPr>
          <w:rFonts w:hint="eastAsia" w:ascii="宋体" w:hAnsi="宋体"/>
          <w:sz w:val="24"/>
        </w:rPr>
        <w:t>【三】机柜安装</w:t>
      </w:r>
    </w:p>
    <w:p>
      <w:pPr>
        <w:snapToGrid w:val="0"/>
        <w:spacing w:after="0" w:line="360" w:lineRule="auto"/>
        <w:ind w:firstLine="280" w:firstLineChars="117"/>
        <w:rPr>
          <w:rFonts w:ascii="宋体" w:hAnsi="宋体"/>
          <w:sz w:val="24"/>
        </w:rPr>
      </w:pPr>
      <w:r>
        <w:rPr>
          <w:rFonts w:hint="eastAsia" w:ascii="宋体" w:hAnsi="宋体"/>
          <w:sz w:val="24"/>
        </w:rPr>
        <w:t>1、保证机柜表面的清洁，所有线缆、设备规整并注意通风防潮等情况。</w:t>
      </w:r>
    </w:p>
    <w:p>
      <w:pPr>
        <w:snapToGrid w:val="0"/>
        <w:spacing w:after="0" w:line="360" w:lineRule="auto"/>
        <w:ind w:firstLine="280" w:firstLineChars="117"/>
        <w:rPr>
          <w:rFonts w:ascii="宋体" w:hAnsi="宋体"/>
          <w:sz w:val="24"/>
        </w:rPr>
      </w:pPr>
      <w:r>
        <w:rPr>
          <w:rFonts w:hint="eastAsia" w:ascii="宋体" w:hAnsi="宋体"/>
          <w:sz w:val="24"/>
        </w:rPr>
        <w:t>2、每根缆线应指定专用标识符，标在缆线的护套上或在距每一端护套300mm内应设置标签，缆线的成端点应设置标签标记指定的专用标识符。</w:t>
      </w:r>
    </w:p>
    <w:p>
      <w:pPr>
        <w:snapToGrid w:val="0"/>
        <w:spacing w:after="0" w:line="360" w:lineRule="auto"/>
        <w:ind w:firstLine="280" w:firstLineChars="117"/>
        <w:rPr>
          <w:rFonts w:ascii="宋体" w:hAnsi="宋体"/>
          <w:sz w:val="24"/>
        </w:rPr>
      </w:pPr>
      <w:r>
        <w:rPr>
          <w:rFonts w:hint="eastAsia" w:ascii="宋体" w:hAnsi="宋体"/>
          <w:sz w:val="24"/>
        </w:rPr>
        <w:t>3、根据设置的部位不同，可使用粘贴型、插入型或其它类型标签。标签表示内容应清晰，材质应符合工程应用环境要求，具有耐磨、抗恶劣环境、附着力强等性能）。</w:t>
      </w:r>
    </w:p>
    <w:p>
      <w:pPr>
        <w:snapToGrid w:val="0"/>
        <w:spacing w:after="0" w:line="360" w:lineRule="auto"/>
        <w:ind w:firstLine="280" w:firstLineChars="117"/>
        <w:rPr>
          <w:rFonts w:ascii="宋体" w:hAnsi="宋体"/>
          <w:sz w:val="24"/>
        </w:rPr>
      </w:pPr>
      <w:r>
        <w:rPr>
          <w:rFonts w:hint="eastAsia" w:ascii="宋体" w:hAnsi="宋体"/>
          <w:sz w:val="24"/>
        </w:rPr>
        <w:t>4、机箱安装完毕后，柜体进出线缆孔洞应做好防鼠、防虫、防水和防潮处理。</w:t>
      </w:r>
    </w:p>
    <w:p>
      <w:pPr>
        <w:pStyle w:val="5"/>
        <w:spacing w:line="400" w:lineRule="exact"/>
        <w:rPr>
          <w:rFonts w:ascii="宋体" w:hAnsi="宋体" w:eastAsia="宋体"/>
          <w:sz w:val="24"/>
          <w:szCs w:val="24"/>
        </w:rPr>
      </w:pPr>
      <w:bookmarkStart w:id="138" w:name="_Toc7492"/>
      <w:r>
        <w:rPr>
          <w:rFonts w:hint="eastAsia" w:ascii="宋体" w:hAnsi="宋体" w:eastAsia="宋体"/>
          <w:sz w:val="24"/>
          <w:szCs w:val="24"/>
        </w:rPr>
        <w:t>项目实施</w:t>
      </w:r>
      <w:r>
        <w:rPr>
          <w:rFonts w:hint="eastAsia" w:ascii="宋体" w:hAnsi="宋体" w:eastAsia="宋体"/>
          <w:sz w:val="24"/>
          <w:szCs w:val="24"/>
          <w:lang w:eastAsia="zh-CN"/>
        </w:rPr>
        <w:t>方案</w:t>
      </w:r>
      <w:bookmarkEnd w:id="138"/>
    </w:p>
    <w:p>
      <w:pPr>
        <w:rPr>
          <w:rFonts w:ascii="宋体" w:hAnsi="宋体"/>
          <w:szCs w:val="21"/>
        </w:rPr>
      </w:pPr>
      <w:r>
        <w:rPr>
          <w:rFonts w:hint="eastAsia" w:ascii="宋体" w:hAnsi="宋体"/>
          <w:szCs w:val="21"/>
        </w:rPr>
        <w:t>1、人员组织安排：供应商应充分考虑交付地现场情况、工期、交叉作业等诸多因素，制定合理的人员配置安排。</w:t>
      </w:r>
    </w:p>
    <w:p>
      <w:pPr>
        <w:rPr>
          <w:rFonts w:ascii="宋体" w:hAnsi="宋体"/>
          <w:szCs w:val="21"/>
        </w:rPr>
      </w:pPr>
      <w:r>
        <w:rPr>
          <w:rFonts w:hint="eastAsia" w:ascii="宋体" w:hAnsi="宋体"/>
          <w:szCs w:val="21"/>
        </w:rPr>
        <w:t>2、进度管理：根据本项目特征，供应商应提供切合的项目安装进度计划方案。</w:t>
      </w:r>
    </w:p>
    <w:p>
      <w:pPr>
        <w:rPr>
          <w:rFonts w:ascii="宋体" w:hAnsi="宋体"/>
          <w:szCs w:val="21"/>
        </w:rPr>
      </w:pPr>
      <w:r>
        <w:rPr>
          <w:rFonts w:hint="eastAsia" w:ascii="宋体" w:hAnsi="宋体"/>
          <w:szCs w:val="21"/>
        </w:rPr>
        <w:t>3、质量保证：供应商应制订本项目产品质量及施工质量保障措施及方案。</w:t>
      </w:r>
    </w:p>
    <w:p>
      <w:pPr>
        <w:rPr>
          <w:rFonts w:ascii="宋体" w:hAnsi="宋体"/>
          <w:szCs w:val="21"/>
        </w:rPr>
      </w:pPr>
      <w:r>
        <w:rPr>
          <w:rFonts w:hint="eastAsia" w:ascii="宋体" w:hAnsi="宋体"/>
          <w:szCs w:val="21"/>
        </w:rPr>
        <w:t>4、履约验收：按招标文件及响应文件针对项目产品内容包括但不仅限于产品品牌、规格型号、数量、技术参数进行验收；系统集成按本项目适用的国家标准及《关于进一步加强政府采购需求和履约验收管理的指导意见》（财库〔2016)205号）的要求进行验收。</w:t>
      </w:r>
    </w:p>
    <w:p>
      <w:pPr>
        <w:rPr>
          <w:rFonts w:ascii="宋体" w:hAnsi="宋体"/>
          <w:szCs w:val="21"/>
        </w:rPr>
      </w:pPr>
      <w:r>
        <w:rPr>
          <w:rFonts w:hint="eastAsia" w:ascii="宋体" w:hAnsi="宋体"/>
          <w:szCs w:val="21"/>
        </w:rPr>
        <w:t>5、布局设计：供应商需提供包括但不仅限于系统的拓扑图、设备连接图。</w:t>
      </w:r>
    </w:p>
    <w:p>
      <w:pPr>
        <w:pStyle w:val="2"/>
        <w:rPr>
          <w:rFonts w:hint="eastAsia"/>
          <w:lang w:val="en-US" w:eastAsia="zh-CN"/>
        </w:rPr>
      </w:pPr>
    </w:p>
    <w:p>
      <w:pPr>
        <w:pStyle w:val="2"/>
        <w:rPr>
          <w:rFonts w:hint="eastAsia"/>
          <w:lang w:val="en-US" w:eastAsia="zh-CN"/>
        </w:rPr>
      </w:pPr>
    </w:p>
    <w:p>
      <w:pPr>
        <w:pStyle w:val="4"/>
        <w:numPr>
          <w:ilvl w:val="0"/>
          <w:numId w:val="3"/>
        </w:numPr>
        <w:spacing w:before="0" w:after="0" w:line="360" w:lineRule="auto"/>
        <w:ind w:left="0" w:firstLine="0"/>
        <w:rPr>
          <w:color w:val="auto"/>
        </w:rPr>
      </w:pPr>
      <w:bookmarkStart w:id="139" w:name="_Toc12145"/>
      <w:r>
        <w:rPr>
          <w:rFonts w:hint="eastAsia"/>
          <w:color w:val="auto"/>
        </w:rPr>
        <w:t>资格性审查</w:t>
      </w:r>
      <w:bookmarkEnd w:id="139"/>
    </w:p>
    <w:p>
      <w:pPr>
        <w:tabs>
          <w:tab w:val="left" w:pos="851"/>
        </w:tabs>
        <w:spacing w:line="360" w:lineRule="auto"/>
        <w:ind w:firstLine="565" w:firstLineChars="202"/>
        <w:rPr>
          <w:rFonts w:hint="eastAsia" w:ascii="宋体" w:hAnsi="宋体"/>
          <w:color w:val="auto"/>
          <w:sz w:val="28"/>
          <w:szCs w:val="28"/>
        </w:rPr>
      </w:pPr>
      <w:r>
        <w:rPr>
          <w:rFonts w:hint="eastAsia" w:ascii="宋体" w:hAnsi="宋体"/>
          <w:color w:val="auto"/>
          <w:sz w:val="28"/>
          <w:szCs w:val="28"/>
        </w:rPr>
        <w:t>资格性审查由采购人组成的资格审查小组依据法律法规和招标文件的规定，对投标保证金(</w:t>
      </w:r>
      <w:r>
        <w:rPr>
          <w:rFonts w:hint="eastAsia" w:ascii="宋体" w:hAnsi="宋体"/>
          <w:color w:val="auto"/>
          <w:sz w:val="28"/>
          <w:szCs w:val="28"/>
          <w:lang w:eastAsia="zh-CN"/>
        </w:rPr>
        <w:t>崇</w:t>
      </w:r>
      <w:r>
        <w:rPr>
          <w:rFonts w:hint="eastAsia" w:ascii="宋体" w:hAnsi="宋体"/>
          <w:color w:val="auto"/>
          <w:sz w:val="28"/>
          <w:szCs w:val="28"/>
        </w:rPr>
        <w:t>公资交易中心出具的</w:t>
      </w:r>
      <w:r>
        <w:rPr>
          <w:rFonts w:hint="eastAsia" w:ascii="宋体" w:hAnsi="宋体"/>
          <w:b/>
          <w:color w:val="auto"/>
          <w:sz w:val="28"/>
          <w:szCs w:val="28"/>
        </w:rPr>
        <w:t>《</w:t>
      </w:r>
      <w:r>
        <w:rPr>
          <w:rFonts w:hint="eastAsia" w:ascii="宋体" w:hAnsi="宋体" w:cs="宋体"/>
          <w:b/>
          <w:color w:val="auto"/>
          <w:sz w:val="28"/>
          <w:szCs w:val="28"/>
        </w:rPr>
        <w:t>成都市政府采购项目供应商参与及保证金交纳情况表》</w:t>
      </w:r>
      <w:r>
        <w:rPr>
          <w:rFonts w:hint="eastAsia" w:ascii="宋体" w:hAnsi="宋体"/>
          <w:b/>
          <w:color w:val="auto"/>
          <w:sz w:val="28"/>
          <w:szCs w:val="28"/>
        </w:rPr>
        <w:t>或投标人递交的投标保函</w:t>
      </w:r>
      <w:r>
        <w:rPr>
          <w:rFonts w:hint="eastAsia" w:ascii="宋体" w:hAnsi="宋体"/>
          <w:color w:val="auto"/>
          <w:sz w:val="28"/>
          <w:szCs w:val="28"/>
        </w:rPr>
        <w:t>)、资投标文件中的资格证明等进行审查，以确定投标人是否具备投标资格，并出具资格性审查报告。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auto"/>
          <w:sz w:val="28"/>
          <w:szCs w:val="28"/>
        </w:rPr>
      </w:pPr>
      <w:r>
        <w:rPr>
          <w:rFonts w:hint="eastAsia" w:ascii="宋体" w:hAnsi="宋体"/>
          <w:color w:val="000000" w:themeColor="text1"/>
          <w:sz w:val="28"/>
          <w:szCs w:val="28"/>
          <w14:textFill>
            <w14:solidFill>
              <w14:schemeClr w14:val="tx1"/>
            </w14:solidFill>
          </w14:textFill>
        </w:rPr>
        <w:t>资格性审查时因断电、断网、系统故障或其他不可抗力等因素，导致资格审查小组无法通过系统阅读投标文件进行审查的，待系统恢复后继续审查。出现上述情况时，</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公资交易中心将以电子邮件形式通知各投标人。资格性审查标准见下表：</w:t>
      </w:r>
    </w:p>
    <w:tbl>
      <w:tblPr>
        <w:tblStyle w:val="15"/>
        <w:tblW w:w="8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97"/>
        <w:gridCol w:w="1196"/>
        <w:gridCol w:w="5943"/>
        <w:gridCol w:w="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2580"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b/>
                <w:color w:val="000000" w:themeColor="text1"/>
                <w:sz w:val="20"/>
                <w14:textFill>
                  <w14:solidFill>
                    <w14:schemeClr w14:val="tx1"/>
                  </w14:solidFill>
                </w14:textFill>
              </w:rPr>
            </w:pPr>
            <w:r>
              <w:rPr>
                <w:b/>
                <w:color w:val="000000" w:themeColor="text1"/>
                <w:sz w:val="20"/>
                <w14:textFill>
                  <w14:solidFill>
                    <w14:schemeClr w14:val="tx1"/>
                  </w14:solidFill>
                </w14:textFill>
              </w:rPr>
              <w:t>资格性审查项</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b/>
                <w:color w:val="000000" w:themeColor="text1"/>
                <w:sz w:val="20"/>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在中华人民共和国境内依法登记注册，并有效存续具有独立法人资格的</w:t>
            </w:r>
            <w:r>
              <w:rPr>
                <w:rFonts w:hint="eastAsia"/>
                <w:color w:val="000000" w:themeColor="text1"/>
                <w:sz w:val="20"/>
                <w14:textFill>
                  <w14:solidFill>
                    <w14:schemeClr w14:val="tx1"/>
                  </w14:solidFill>
                </w14:textFill>
              </w:rPr>
              <w:t>供应商</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营业执照复印件（正本或副本）或法人证书复印件（正本或副本）</w:t>
            </w:r>
            <w:r>
              <w:rPr>
                <w:rFonts w:hint="eastAsia"/>
                <w:color w:val="000000" w:themeColor="text1"/>
                <w:sz w:val="20"/>
                <w14:textFill>
                  <w14:solidFill>
                    <w14:schemeClr w14:val="tx1"/>
                  </w14:solidFill>
                </w14:textFill>
              </w:rPr>
              <w:t>。</w:t>
            </w:r>
            <w:r>
              <w:rPr>
                <w:color w:val="000000" w:themeColor="text1"/>
                <w:sz w:val="20"/>
                <w14:textFill>
                  <w14:solidFill>
                    <w14:schemeClr w14:val="tx1"/>
                  </w14:solidFill>
                </w14:textFill>
              </w:rPr>
              <w:t>【说明：</w:t>
            </w:r>
            <w:r>
              <w:rPr>
                <w:rFonts w:hint="eastAsia" w:ascii="宋体" w:hAnsi="宋体"/>
                <w:color w:val="000000" w:themeColor="text1"/>
                <w:sz w:val="20"/>
                <w:szCs w:val="28"/>
                <w14:textFill>
                  <w14:solidFill>
                    <w14:schemeClr w14:val="tx1"/>
                  </w14:solidFill>
                </w14:textFill>
              </w:rPr>
              <w:t>①</w:t>
            </w:r>
            <w:r>
              <w:rPr>
                <w:color w:val="000000" w:themeColor="text1"/>
                <w:sz w:val="20"/>
                <w14:textFill>
                  <w14:solidFill>
                    <w14:schemeClr w14:val="tx1"/>
                  </w14:solidFill>
                </w14:textFill>
              </w:rPr>
              <w:t>营业执照或法人证书载明有期限的，应在有效期限内；</w:t>
            </w:r>
            <w:r>
              <w:rPr>
                <w:rFonts w:hint="eastAsia" w:ascii="宋体" w:hAnsi="宋体"/>
                <w:color w:val="000000" w:themeColor="text1"/>
                <w:sz w:val="20"/>
                <w:szCs w:val="28"/>
                <w14:textFill>
                  <w14:solidFill>
                    <w14:schemeClr w14:val="tx1"/>
                  </w14:solidFill>
                </w14:textFill>
              </w:rPr>
              <w:t>②</w:t>
            </w:r>
            <w:r>
              <w:rPr>
                <w:color w:val="000000" w:themeColor="text1"/>
                <w:sz w:val="20"/>
                <w14:textFill>
                  <w14:solidFill>
                    <w14:schemeClr w14:val="tx1"/>
                  </w14:solidFill>
                </w14:textFill>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2</w:t>
            </w:r>
          </w:p>
        </w:tc>
        <w:tc>
          <w:tcPr>
            <w:tcW w:w="697" w:type="dxa"/>
            <w:vMerge w:val="restart"/>
            <w:tcBorders>
              <w:top w:val="single" w:color="auto" w:sz="2" w:space="0"/>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书面声明材料</w:t>
            </w: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具有良好的商业信誉的证明材料</w:t>
            </w:r>
          </w:p>
        </w:tc>
        <w:tc>
          <w:tcPr>
            <w:tcW w:w="599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投标人具有良好的商业信誉的书面声明材料。【说明：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；②供应商具有良好的商业信誉</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参加政府采购活动前三年内，在经营活动中没有重大违法记录</w:t>
            </w:r>
          </w:p>
        </w:tc>
        <w:tc>
          <w:tcPr>
            <w:tcW w:w="599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投标人参加政府采购活动前三年内，在经营活动中没有重大违法记录的书面声明材料。【说明：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②供应商参加政府采购活动前三年内，在经营活动中没有重大违法记录</w:t>
            </w:r>
            <w:r>
              <w:rPr>
                <w:rFonts w:hint="eastAsia"/>
                <w:color w:val="000000" w:themeColor="text1"/>
                <w:sz w:val="20"/>
                <w14:textFill>
                  <w14:solidFill>
                    <w14:schemeClr w14:val="tx1"/>
                  </w14:solidFill>
                </w14:textFill>
              </w:rPr>
              <w:t>。】</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未被列入失信被执行人、重大税收违法案件当事人名单、政府采购严重违法失信行为记录名单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w:t>
            </w:r>
            <w:r>
              <w:rPr>
                <w:rFonts w:hint="eastAsia" w:ascii="宋体" w:hAnsi="宋体"/>
                <w:color w:val="000000" w:themeColor="text1"/>
                <w:sz w:val="20"/>
                <w:szCs w:val="28"/>
                <w14:textFill>
                  <w14:solidFill>
                    <w14:schemeClr w14:val="tx1"/>
                  </w14:solidFill>
                </w14:textFill>
              </w:rPr>
              <w:t>②</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未处于被行政部门禁止参与政府采购活动的期限内</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投标人未处于被行政部门禁止参与政府采购活动的期限内。【说明：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；②供应商未处于被行政部门禁止参与政府采购活动的期限内。</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行贿犯罪记录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在行贿犯罪信息查询期限内，投标人及其现任法定代表人、主要负责人没有行贿犯罪记录的书面声明材料。【说明：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章的格式及要求提供书面声明材料，投标文件中不需提供中国裁判文书网（</w:t>
            </w:r>
            <w:r>
              <w:rPr>
                <w:color w:val="000000" w:themeColor="text1"/>
                <w:sz w:val="20"/>
                <w14:textFill>
                  <w14:solidFill>
                    <w14:schemeClr w14:val="tx1"/>
                  </w14:solidFill>
                </w14:textFill>
              </w:rPr>
              <w:t>https://wenshu.court.gov.cn</w:t>
            </w:r>
            <w:r>
              <w:rPr>
                <w:rFonts w:hint="eastAsia"/>
                <w:color w:val="000000" w:themeColor="text1"/>
                <w:sz w:val="20"/>
                <w14:textFill>
                  <w14:solidFill>
                    <w14:schemeClr w14:val="tx1"/>
                  </w14:solidFill>
                </w14:textFill>
              </w:rPr>
              <w:t>）查询结果的证明材料；</w:t>
            </w:r>
            <w:r>
              <w:rPr>
                <w:rFonts w:hint="eastAsia" w:ascii="宋体" w:hAnsi="宋体"/>
                <w:color w:val="000000" w:themeColor="text1"/>
                <w:sz w:val="20"/>
                <w:szCs w:val="28"/>
                <w14:textFill>
                  <w14:solidFill>
                    <w14:schemeClr w14:val="tx1"/>
                  </w14:solidFill>
                </w14:textFill>
              </w:rPr>
              <w:t>②在行贿犯罪信息查询期限内，供应商及其现任法定代表人、主要负责人没有行贿犯罪记录</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restart"/>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3</w:t>
            </w:r>
          </w:p>
        </w:tc>
        <w:tc>
          <w:tcPr>
            <w:tcW w:w="697" w:type="dxa"/>
            <w:vMerge w:val="restart"/>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其他</w:t>
            </w: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具有履行合同所必须的设备和专业技术能力</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采购人对投标人履行合同所必须的设备和专业技术能力无其他特殊要求，投标人具有有效的营业执照或法人证书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法律、行政法规规定的其他条件</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采购人对法律、行政法规规定的其他条件无其他特殊要求，投标人具有有效的营业执照或法人证书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不属于其他国家相关法律法规规定的禁止参加投标的供应商</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、根据招标文件的要求不属于禁止参加投标或投标无效的供应商；</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w:t>
            </w:r>
            <w:r>
              <w:rPr>
                <w:rFonts w:hint="eastAsia"/>
                <w:color w:val="000000" w:themeColor="text1"/>
                <w:sz w:val="20"/>
                <w14:textFill>
                  <w14:solidFill>
                    <w14:schemeClr w14:val="tx1"/>
                  </w14:solidFill>
                </w14:textFill>
              </w:rPr>
              <w:t>、资格审查小组未发现或者未知晓投标人存在属于国家相关法律法规规定的禁止参加投标或投标无效的供应商。</w:t>
            </w:r>
          </w:p>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联合体投标</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b/>
                <w:bCs/>
                <w:color w:val="000000" w:themeColor="text1"/>
                <w:sz w:val="20"/>
                <w14:textFill>
                  <w14:solidFill>
                    <w14:schemeClr w14:val="tx1"/>
                  </w14:solidFill>
                </w14:textFill>
              </w:rPr>
              <w:t>非联合体投标。</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投标保证金</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投标文件解密情况</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除因断电、断网、系统故障或其他不可抗力等因素，导致系统无法使用外，投标文件已成功解密。</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投标文件资格性审查部分签章</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均按招标文件要求签章。【说明：无须提供证明材料，上传空白页即可，不对本项上传的材料作资格审查】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投标文件资格性审查部分组成</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符合招标文件</w:t>
            </w:r>
            <w:r>
              <w:rPr>
                <w:color w:val="000000" w:themeColor="text1"/>
                <w:sz w:val="20"/>
                <w14:textFill>
                  <w14:solidFill>
                    <w14:schemeClr w14:val="tx1"/>
                  </w14:solidFill>
                </w14:textFill>
              </w:rPr>
              <w:t>“2.4.6</w:t>
            </w:r>
            <w:r>
              <w:rPr>
                <w:rFonts w:hint="eastAsia"/>
                <w:color w:val="000000" w:themeColor="text1"/>
                <w:sz w:val="20"/>
                <w14:textFill>
                  <w14:solidFill>
                    <w14:schemeClr w14:val="tx1"/>
                  </w14:solidFill>
                </w14:textFill>
              </w:rPr>
              <w:t>投标文件的组成</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规定要求。【说明：无须提供证明材料，上传空白页即可，不对本项上传的材料作资格审查】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投标文件资格性审查部分的语言</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4</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具有健全的财务会计制度的证明材料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19</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5</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缴纳社会保障资金的证明材料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21</w:t>
            </w:r>
            <w:r>
              <w:rPr>
                <w:rFonts w:hint="eastAsia"/>
                <w:color w:val="000000" w:themeColor="text1"/>
                <w:sz w:val="20"/>
                <w14:textFill>
                  <w14:solidFill>
                    <w14:schemeClr w14:val="tx1"/>
                  </w14:solidFill>
                </w14:textFill>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6</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缴纳税收的证明材料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21</w:t>
            </w:r>
            <w:r>
              <w:rPr>
                <w:rFonts w:hint="eastAsia"/>
                <w:color w:val="000000" w:themeColor="text1"/>
                <w:sz w:val="20"/>
                <w14:textFill>
                  <w14:solidFill>
                    <w14:schemeClr w14:val="tx1"/>
                  </w14:solidFill>
                </w14:textFill>
              </w:rPr>
              <w:t>年任意时段的税收的银行电子回单或者行政部门出具的纳税证明或完税证明的复印件。</w:t>
            </w:r>
          </w:p>
        </w:tc>
      </w:tr>
    </w:tbl>
    <w:p>
      <w:pPr>
        <w:keepNext w:val="0"/>
        <w:keepLines w:val="0"/>
        <w:pageBreakBefore w:val="0"/>
        <w:widowControl/>
        <w:tabs>
          <w:tab w:val="left" w:pos="851"/>
        </w:tabs>
        <w:kinsoku/>
        <w:wordWrap/>
        <w:overflowPunct/>
        <w:topLinePunct w:val="0"/>
        <w:autoSpaceDE/>
        <w:autoSpaceDN/>
        <w:bidi w:val="0"/>
        <w:adjustRightInd/>
        <w:snapToGrid/>
        <w:spacing w:after="0" w:line="560" w:lineRule="exact"/>
        <w:textAlignment w:val="auto"/>
        <w:rPr>
          <w:rFonts w:hint="eastAsia" w:ascii="宋体" w:hAnsi="宋体"/>
          <w:color w:val="auto"/>
          <w:sz w:val="28"/>
          <w:szCs w:val="28"/>
        </w:rPr>
      </w:pPr>
      <w:r>
        <w:rPr>
          <w:rFonts w:hint="eastAsia" w:ascii="宋体" w:hAnsi="宋体"/>
          <w:color w:val="auto"/>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keepNext w:val="0"/>
        <w:keepLines w:val="0"/>
        <w:pageBreakBefore w:val="0"/>
        <w:widowControl/>
        <w:tabs>
          <w:tab w:val="left" w:pos="851"/>
        </w:tabs>
        <w:kinsoku/>
        <w:wordWrap/>
        <w:overflowPunct/>
        <w:topLinePunct w:val="0"/>
        <w:autoSpaceDE/>
        <w:autoSpaceDN/>
        <w:bidi w:val="0"/>
        <w:adjustRightInd/>
        <w:snapToGrid/>
        <w:spacing w:after="0" w:line="560" w:lineRule="exact"/>
        <w:textAlignment w:val="auto"/>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二、</w:t>
      </w:r>
      <w:r>
        <w:rPr>
          <w:rFonts w:hint="eastAsia" w:ascii="宋体" w:hAnsi="宋体"/>
          <w:color w:val="000000" w:themeColor="text1"/>
          <w:sz w:val="28"/>
          <w:szCs w:val="28"/>
          <w14:textFill>
            <w14:solidFill>
              <w14:schemeClr w14:val="tx1"/>
            </w14:solidFill>
          </w14:textFill>
        </w:rPr>
        <w:t>“信用中国”和“中国政府采购网”网站查询结果，将以纸质截图或将截图保存至电子介质的形式留存。</w:t>
      </w:r>
    </w:p>
    <w:p>
      <w:pPr>
        <w:keepNext w:val="0"/>
        <w:keepLines w:val="0"/>
        <w:pageBreakBefore w:val="0"/>
        <w:widowControl/>
        <w:kinsoku/>
        <w:wordWrap/>
        <w:overflowPunct/>
        <w:topLinePunct w:val="0"/>
        <w:autoSpaceDE/>
        <w:autoSpaceDN/>
        <w:bidi w:val="0"/>
        <w:adjustRightInd/>
        <w:snapToGrid/>
        <w:spacing w:after="0" w:line="560" w:lineRule="exact"/>
        <w:ind w:firstLine="565" w:firstLineChars="202"/>
        <w:textAlignment w:val="auto"/>
        <w:rPr>
          <w:rFonts w:ascii="宋体" w:hAnsi="宋体"/>
          <w:color w:val="auto"/>
          <w:sz w:val="28"/>
          <w:szCs w:val="28"/>
        </w:rPr>
      </w:pPr>
      <w:r>
        <w:rPr>
          <w:rFonts w:hint="eastAsia" w:ascii="宋体" w:hAnsi="宋体"/>
          <w:color w:val="auto"/>
          <w:sz w:val="28"/>
          <w:szCs w:val="28"/>
        </w:rPr>
        <w:t>三、投标人的投标文件资格性审查时被判定为无效的，</w:t>
      </w:r>
      <w:r>
        <w:rPr>
          <w:rFonts w:hint="eastAsia" w:ascii="宋体" w:hAnsi="宋体"/>
          <w:color w:val="auto"/>
          <w:sz w:val="28"/>
          <w:szCs w:val="28"/>
          <w:lang w:eastAsia="zh-CN"/>
        </w:rPr>
        <w:t>崇</w:t>
      </w:r>
      <w:r>
        <w:rPr>
          <w:rFonts w:hint="eastAsia" w:ascii="宋体" w:hAnsi="宋体"/>
          <w:color w:val="auto"/>
          <w:sz w:val="28"/>
          <w:szCs w:val="28"/>
        </w:rPr>
        <w:t>公资交易中心将通知投标人（以现场公示、电话、短信、</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等任一方式）。投标人如对资格审查结论有异议的，应及时向</w:t>
      </w:r>
      <w:r>
        <w:rPr>
          <w:rFonts w:hint="eastAsia" w:ascii="宋体" w:hAnsi="宋体"/>
          <w:color w:val="auto"/>
          <w:sz w:val="28"/>
          <w:szCs w:val="28"/>
          <w:lang w:eastAsia="zh-CN"/>
        </w:rPr>
        <w:t>崇</w:t>
      </w:r>
      <w:r>
        <w:rPr>
          <w:rFonts w:hint="eastAsia" w:ascii="宋体" w:hAnsi="宋体"/>
          <w:color w:val="auto"/>
          <w:sz w:val="28"/>
          <w:szCs w:val="28"/>
        </w:rPr>
        <w:t>公资交易中心反馈意见。</w:t>
      </w:r>
      <w:r>
        <w:rPr>
          <w:rFonts w:hint="eastAsia" w:ascii="宋体" w:hAnsi="宋体"/>
          <w:color w:val="auto"/>
          <w:sz w:val="28"/>
          <w:szCs w:val="28"/>
          <w:lang w:eastAsia="zh-CN"/>
        </w:rPr>
        <w:t>崇</w:t>
      </w:r>
      <w:r>
        <w:rPr>
          <w:rFonts w:hint="eastAsia" w:ascii="宋体" w:hAnsi="宋体"/>
          <w:color w:val="auto"/>
          <w:sz w:val="28"/>
          <w:szCs w:val="28"/>
        </w:rPr>
        <w:t>公资交易中心将及时告知资格审查小组。（说明：无论投标人是否收到通知或提供反馈意见，均不影响资格审查和评标工作，且</w:t>
      </w:r>
      <w:r>
        <w:rPr>
          <w:rFonts w:hint="eastAsia" w:ascii="宋体" w:hAnsi="宋体"/>
          <w:color w:val="auto"/>
          <w:sz w:val="28"/>
          <w:szCs w:val="28"/>
          <w:lang w:eastAsia="zh-CN"/>
        </w:rPr>
        <w:t>崇</w:t>
      </w:r>
      <w:r>
        <w:rPr>
          <w:rFonts w:hint="eastAsia" w:ascii="宋体" w:hAnsi="宋体"/>
          <w:color w:val="auto"/>
          <w:sz w:val="28"/>
          <w:szCs w:val="28"/>
        </w:rPr>
        <w:t>公资交易中心对此将不承担任何的责任。投标人对资格审查结论有异议的，其反馈意见仅限于资格审查小组对资格审查结论的正确性进行复核，避免出现审查错误。）</w:t>
      </w:r>
    </w:p>
    <w:p>
      <w:pPr>
        <w:keepNext w:val="0"/>
        <w:keepLines w:val="0"/>
        <w:pageBreakBefore w:val="0"/>
        <w:widowControl/>
        <w:kinsoku/>
        <w:wordWrap/>
        <w:overflowPunct/>
        <w:topLinePunct w:val="0"/>
        <w:autoSpaceDE/>
        <w:autoSpaceDN/>
        <w:bidi w:val="0"/>
        <w:adjustRightInd/>
        <w:snapToGrid/>
        <w:spacing w:after="0" w:line="560" w:lineRule="exact"/>
        <w:ind w:firstLine="565" w:firstLineChars="202"/>
        <w:textAlignment w:val="auto"/>
        <w:rPr>
          <w:rFonts w:ascii="宋体" w:hAnsi="宋体"/>
          <w:color w:val="auto"/>
          <w:sz w:val="28"/>
          <w:szCs w:val="28"/>
        </w:rPr>
      </w:pPr>
      <w:r>
        <w:rPr>
          <w:rFonts w:hint="eastAsia" w:ascii="宋体" w:hAnsi="宋体"/>
          <w:color w:val="auto"/>
          <w:sz w:val="28"/>
          <w:szCs w:val="28"/>
        </w:rPr>
        <w:t>四、通过资格性审查的供应商＜3名，本</w:t>
      </w:r>
      <w:r>
        <w:rPr>
          <w:rFonts w:hint="eastAsia" w:asciiTheme="majorEastAsia" w:hAnsiTheme="majorEastAsia" w:eastAsiaTheme="majorEastAsia"/>
          <w:color w:val="auto"/>
          <w:sz w:val="28"/>
          <w:szCs w:val="28"/>
        </w:rPr>
        <w:t>项目</w:t>
      </w:r>
      <w:r>
        <w:rPr>
          <w:rFonts w:hint="eastAsia" w:ascii="宋体" w:hAnsi="宋体"/>
          <w:color w:val="auto"/>
          <w:sz w:val="28"/>
          <w:szCs w:val="28"/>
        </w:rPr>
        <w:t>采购失败。</w:t>
      </w:r>
    </w:p>
    <w:p>
      <w:pPr>
        <w:ind w:firstLine="484" w:firstLineChars="202"/>
        <w:rPr>
          <w:color w:val="auto"/>
        </w:rPr>
      </w:pPr>
    </w:p>
    <w:p>
      <w:pPr>
        <w:rPr>
          <w:color w:val="auto"/>
        </w:rPr>
      </w:pPr>
      <w:r>
        <w:rPr>
          <w:rFonts w:hint="eastAsia"/>
          <w:color w:val="auto"/>
        </w:rPr>
        <w:br w:type="page"/>
      </w:r>
    </w:p>
    <w:p>
      <w:pPr>
        <w:pStyle w:val="4"/>
        <w:numPr>
          <w:ilvl w:val="0"/>
          <w:numId w:val="3"/>
        </w:numPr>
        <w:spacing w:before="0" w:after="0" w:line="360" w:lineRule="auto"/>
        <w:ind w:left="0" w:firstLine="0"/>
        <w:rPr>
          <w:color w:val="auto"/>
        </w:rPr>
      </w:pPr>
      <w:bookmarkStart w:id="140" w:name="_Toc4587"/>
      <w:r>
        <w:rPr>
          <w:rFonts w:hint="eastAsia"/>
          <w:color w:val="auto"/>
        </w:rPr>
        <w:t>评标办法</w:t>
      </w:r>
      <w:bookmarkEnd w:id="140"/>
      <w:bookmarkStart w:id="141" w:name="_Toc217446097"/>
      <w:bookmarkStart w:id="142" w:name="_Toc183582280"/>
      <w:bookmarkStart w:id="143" w:name="_Toc208849007"/>
      <w:bookmarkStart w:id="144" w:name="_Toc183682415"/>
    </w:p>
    <w:p>
      <w:pPr>
        <w:pStyle w:val="5"/>
        <w:numPr>
          <w:ilvl w:val="1"/>
          <w:numId w:val="3"/>
        </w:numPr>
        <w:spacing w:before="0" w:after="0"/>
        <w:rPr>
          <w:color w:val="auto"/>
        </w:rPr>
      </w:pPr>
      <w:bookmarkStart w:id="145" w:name="_Toc316292248"/>
      <w:bookmarkStart w:id="146" w:name="_Toc315871642"/>
      <w:bookmarkStart w:id="147" w:name="_Toc28140"/>
      <w:r>
        <w:rPr>
          <w:rFonts w:hint="eastAsia"/>
          <w:color w:val="auto"/>
        </w:rPr>
        <w:t>总则</w:t>
      </w:r>
      <w:bookmarkEnd w:id="141"/>
      <w:bookmarkEnd w:id="142"/>
      <w:bookmarkEnd w:id="143"/>
      <w:bookmarkEnd w:id="144"/>
      <w:bookmarkEnd w:id="145"/>
      <w:bookmarkEnd w:id="146"/>
      <w:bookmarkEnd w:id="147"/>
    </w:p>
    <w:p>
      <w:pPr>
        <w:widowControl w:val="0"/>
        <w:numPr>
          <w:ilvl w:val="0"/>
          <w:numId w:val="35"/>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根据《中华人民共和国政府采购法》、《中华人民共和国政府采购法实施条例》和《政府采购货物和服务招标投标管理办法》等法律规章，结合采购项目特点制定本评标办法。</w:t>
      </w:r>
    </w:p>
    <w:p>
      <w:pPr>
        <w:widowControl w:val="0"/>
        <w:numPr>
          <w:ilvl w:val="0"/>
          <w:numId w:val="35"/>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评标工作由</w:t>
      </w:r>
      <w:r>
        <w:rPr>
          <w:rFonts w:hint="eastAsia" w:ascii="宋体" w:hAnsi="宋体"/>
          <w:color w:val="auto"/>
          <w:sz w:val="28"/>
          <w:szCs w:val="28"/>
          <w:lang w:eastAsia="zh-CN"/>
        </w:rPr>
        <w:t>崇</w:t>
      </w:r>
      <w:r>
        <w:rPr>
          <w:rFonts w:hint="eastAsia" w:ascii="宋体" w:hAnsi="宋体"/>
          <w:color w:val="auto"/>
          <w:sz w:val="28"/>
          <w:szCs w:val="28"/>
        </w:rPr>
        <w:t>公资交易中心负责组织，具体评标事务由采购人或</w:t>
      </w:r>
      <w:r>
        <w:rPr>
          <w:rFonts w:hint="eastAsia" w:ascii="宋体" w:hAnsi="宋体"/>
          <w:color w:val="auto"/>
          <w:sz w:val="28"/>
          <w:szCs w:val="28"/>
          <w:lang w:eastAsia="zh-CN"/>
        </w:rPr>
        <w:t>崇</w:t>
      </w:r>
      <w:r>
        <w:rPr>
          <w:rFonts w:hint="eastAsia" w:ascii="宋体" w:hAnsi="宋体"/>
          <w:color w:val="auto"/>
          <w:sz w:val="28"/>
          <w:szCs w:val="28"/>
        </w:rPr>
        <w:t>公资交易中心依法组建的评标委员会负责。评标委员会由采购人代表和评审专家组成。</w:t>
      </w:r>
    </w:p>
    <w:p>
      <w:pPr>
        <w:widowControl w:val="0"/>
        <w:numPr>
          <w:ilvl w:val="0"/>
          <w:numId w:val="35"/>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评标工作应遵循公平、公正、科学及择优的原则，并以相同的评标程序和标准对待所有的投标人。</w:t>
      </w:r>
    </w:p>
    <w:p>
      <w:pPr>
        <w:widowControl w:val="0"/>
        <w:numPr>
          <w:ilvl w:val="0"/>
          <w:numId w:val="35"/>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评标委员会按照招标文件规定的评标程序、评标方法和标准进行独立评审，并独立履行下列职责：</w:t>
      </w:r>
    </w:p>
    <w:p>
      <w:pPr>
        <w:widowControl w:val="0"/>
        <w:numPr>
          <w:ilvl w:val="1"/>
          <w:numId w:val="36"/>
        </w:numPr>
        <w:spacing w:line="360" w:lineRule="auto"/>
        <w:ind w:left="0" w:firstLine="567"/>
        <w:jc w:val="both"/>
        <w:rPr>
          <w:rFonts w:ascii="宋体" w:hAnsi="宋体"/>
          <w:color w:val="auto"/>
          <w:sz w:val="28"/>
          <w:szCs w:val="28"/>
        </w:rPr>
      </w:pPr>
      <w:r>
        <w:rPr>
          <w:rFonts w:hint="eastAsia" w:ascii="宋体" w:hAnsi="宋体"/>
          <w:color w:val="auto"/>
          <w:sz w:val="28"/>
          <w:szCs w:val="28"/>
        </w:rPr>
        <w:t>熟悉和理解招标文件；</w:t>
      </w:r>
    </w:p>
    <w:p>
      <w:pPr>
        <w:widowControl w:val="0"/>
        <w:numPr>
          <w:ilvl w:val="1"/>
          <w:numId w:val="36"/>
        </w:numPr>
        <w:spacing w:line="360" w:lineRule="auto"/>
        <w:ind w:left="0" w:firstLine="567"/>
        <w:jc w:val="both"/>
        <w:rPr>
          <w:rFonts w:ascii="宋体" w:hAnsi="宋体"/>
          <w:color w:val="auto"/>
          <w:sz w:val="28"/>
          <w:szCs w:val="28"/>
        </w:rPr>
      </w:pPr>
      <w:r>
        <w:rPr>
          <w:rFonts w:hint="eastAsia" w:ascii="宋体" w:hAnsi="宋体"/>
          <w:color w:val="auto"/>
          <w:sz w:val="28"/>
          <w:szCs w:val="28"/>
        </w:rPr>
        <w:t>审查、评价投标文件是否符合招标文件的商务、技术等实质性要求；</w:t>
      </w:r>
    </w:p>
    <w:p>
      <w:pPr>
        <w:widowControl w:val="0"/>
        <w:numPr>
          <w:ilvl w:val="1"/>
          <w:numId w:val="36"/>
        </w:numPr>
        <w:spacing w:line="360" w:lineRule="auto"/>
        <w:ind w:left="0" w:firstLine="567"/>
        <w:jc w:val="both"/>
        <w:rPr>
          <w:rFonts w:ascii="宋体" w:hAnsi="宋体"/>
          <w:color w:val="auto"/>
          <w:sz w:val="28"/>
          <w:szCs w:val="28"/>
        </w:rPr>
      </w:pPr>
      <w:r>
        <w:rPr>
          <w:rFonts w:hint="eastAsia" w:ascii="宋体" w:hAnsi="宋体"/>
          <w:color w:val="auto"/>
          <w:sz w:val="28"/>
          <w:szCs w:val="28"/>
        </w:rPr>
        <w:t>对投标文件进行比较和评价；</w:t>
      </w:r>
    </w:p>
    <w:p>
      <w:pPr>
        <w:widowControl w:val="0"/>
        <w:numPr>
          <w:ilvl w:val="1"/>
          <w:numId w:val="36"/>
        </w:numPr>
        <w:spacing w:line="360" w:lineRule="auto"/>
        <w:ind w:left="0" w:firstLine="567"/>
        <w:jc w:val="both"/>
        <w:rPr>
          <w:rFonts w:ascii="宋体" w:hAnsi="宋体"/>
          <w:color w:val="auto"/>
          <w:sz w:val="28"/>
          <w:szCs w:val="28"/>
        </w:rPr>
      </w:pPr>
      <w:r>
        <w:rPr>
          <w:rFonts w:hint="eastAsia" w:ascii="宋体" w:hAnsi="宋体"/>
          <w:color w:val="auto"/>
          <w:sz w:val="28"/>
          <w:szCs w:val="28"/>
        </w:rPr>
        <w:t>根据需要要求采购人对招标文件作出解释；根据需要要求投标人对投标文件有关事项作出解释或者澄清；</w:t>
      </w:r>
    </w:p>
    <w:p>
      <w:pPr>
        <w:widowControl w:val="0"/>
        <w:numPr>
          <w:ilvl w:val="1"/>
          <w:numId w:val="36"/>
        </w:numPr>
        <w:spacing w:line="360" w:lineRule="auto"/>
        <w:ind w:left="0" w:firstLine="567"/>
        <w:jc w:val="both"/>
        <w:rPr>
          <w:rFonts w:ascii="宋体" w:hAnsi="宋体"/>
          <w:color w:val="auto"/>
          <w:sz w:val="28"/>
          <w:szCs w:val="28"/>
        </w:rPr>
      </w:pPr>
      <w:r>
        <w:rPr>
          <w:rFonts w:hint="eastAsia" w:ascii="宋体" w:hAnsi="宋体"/>
          <w:color w:val="auto"/>
          <w:sz w:val="28"/>
          <w:szCs w:val="28"/>
        </w:rPr>
        <w:t>确定中标候选人名单，以及根据采购人委托直接确定中标人；</w:t>
      </w:r>
    </w:p>
    <w:p>
      <w:pPr>
        <w:widowControl w:val="0"/>
        <w:numPr>
          <w:ilvl w:val="1"/>
          <w:numId w:val="36"/>
        </w:numPr>
        <w:spacing w:line="360" w:lineRule="auto"/>
        <w:ind w:left="0" w:firstLine="567"/>
        <w:jc w:val="both"/>
        <w:rPr>
          <w:rFonts w:ascii="宋体" w:hAnsi="宋体"/>
          <w:color w:val="auto"/>
          <w:sz w:val="28"/>
          <w:szCs w:val="28"/>
        </w:rPr>
      </w:pPr>
      <w:r>
        <w:rPr>
          <w:rFonts w:hint="eastAsia" w:ascii="宋体" w:hAnsi="宋体"/>
          <w:color w:val="auto"/>
          <w:sz w:val="28"/>
          <w:szCs w:val="28"/>
        </w:rPr>
        <w:t>起草评标报告并进行签署；</w:t>
      </w:r>
    </w:p>
    <w:p>
      <w:pPr>
        <w:widowControl w:val="0"/>
        <w:numPr>
          <w:ilvl w:val="1"/>
          <w:numId w:val="36"/>
        </w:numPr>
        <w:spacing w:line="360" w:lineRule="auto"/>
        <w:ind w:left="0" w:firstLine="567"/>
        <w:jc w:val="both"/>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崇</w:t>
      </w:r>
      <w:r>
        <w:rPr>
          <w:rFonts w:hint="eastAsia" w:ascii="宋体" w:hAnsi="宋体"/>
          <w:color w:val="auto"/>
          <w:sz w:val="28"/>
          <w:szCs w:val="28"/>
        </w:rPr>
        <w:t>公资交易中心构或者财政、监察等有关部门报告或举报非法干预评标工作的行为；</w:t>
      </w:r>
    </w:p>
    <w:p>
      <w:pPr>
        <w:widowControl w:val="0"/>
        <w:numPr>
          <w:ilvl w:val="1"/>
          <w:numId w:val="36"/>
        </w:numPr>
        <w:spacing w:line="360" w:lineRule="auto"/>
        <w:ind w:left="0" w:firstLine="567"/>
        <w:jc w:val="both"/>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或者有关部门报告评标中发现的违法行为。</w:t>
      </w:r>
    </w:p>
    <w:p>
      <w:pPr>
        <w:widowControl w:val="0"/>
        <w:numPr>
          <w:ilvl w:val="1"/>
          <w:numId w:val="36"/>
        </w:numPr>
        <w:spacing w:line="360" w:lineRule="auto"/>
        <w:ind w:left="0" w:firstLine="567"/>
        <w:jc w:val="both"/>
        <w:rPr>
          <w:rFonts w:ascii="宋体" w:hAnsi="宋体"/>
          <w:color w:val="auto"/>
          <w:sz w:val="28"/>
          <w:szCs w:val="28"/>
        </w:rPr>
      </w:pPr>
      <w:r>
        <w:rPr>
          <w:rFonts w:hint="eastAsia" w:ascii="宋体" w:hAnsi="宋体"/>
          <w:color w:val="auto"/>
          <w:sz w:val="28"/>
          <w:szCs w:val="28"/>
        </w:rPr>
        <w:t>法律、法规和规章规定的其他职责。</w:t>
      </w:r>
    </w:p>
    <w:p>
      <w:pPr>
        <w:widowControl w:val="0"/>
        <w:numPr>
          <w:ilvl w:val="0"/>
          <w:numId w:val="35"/>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评标过程独立、保密。投标人非法干预评标过程的行为将导致其投标文件作为无效处理。</w:t>
      </w:r>
    </w:p>
    <w:p>
      <w:pPr>
        <w:widowControl w:val="0"/>
        <w:numPr>
          <w:ilvl w:val="0"/>
          <w:numId w:val="35"/>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评标委员会决定投标文件的响应性依据投标文件本身的内容，而不寻求外部的证据，招标文件有明确约定的除外。</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七、评标委员会发现招标文件表述不明确或需要说明的事项，可提请采购人和</w:t>
      </w:r>
      <w:r>
        <w:rPr>
          <w:rFonts w:hint="eastAsia" w:ascii="宋体" w:hAnsi="宋体"/>
          <w:color w:val="auto"/>
          <w:sz w:val="28"/>
          <w:szCs w:val="28"/>
          <w:lang w:eastAsia="zh-CN"/>
        </w:rPr>
        <w:t>崇</w:t>
      </w:r>
      <w:r>
        <w:rPr>
          <w:rFonts w:hint="eastAsia" w:ascii="宋体" w:hAnsi="宋体"/>
          <w:color w:val="auto"/>
          <w:sz w:val="28"/>
          <w:szCs w:val="28"/>
        </w:rPr>
        <w:t>公资交易中心书面解释说明。</w:t>
      </w:r>
    </w:p>
    <w:p>
      <w:pPr>
        <w:rPr>
          <w:color w:val="auto"/>
        </w:rPr>
      </w:pPr>
      <w:bookmarkStart w:id="148" w:name="_Toc217446098"/>
      <w:bookmarkStart w:id="149" w:name="_Toc315871644"/>
      <w:bookmarkStart w:id="150" w:name="_Toc316292250"/>
      <w:r>
        <w:rPr>
          <w:rFonts w:hint="eastAsia"/>
          <w:color w:val="auto"/>
        </w:rPr>
        <w:br w:type="page"/>
      </w:r>
    </w:p>
    <w:p>
      <w:pPr>
        <w:pStyle w:val="5"/>
        <w:numPr>
          <w:ilvl w:val="1"/>
          <w:numId w:val="3"/>
        </w:numPr>
        <w:spacing w:before="0" w:after="0"/>
        <w:rPr>
          <w:color w:val="auto"/>
        </w:rPr>
      </w:pPr>
      <w:bookmarkStart w:id="151" w:name="_Toc9295"/>
      <w:r>
        <w:rPr>
          <w:rFonts w:hint="eastAsia"/>
          <w:color w:val="auto"/>
        </w:rPr>
        <w:t>评标方法</w:t>
      </w:r>
      <w:bookmarkEnd w:id="151"/>
    </w:p>
    <w:p>
      <w:pPr>
        <w:ind w:firstLine="565" w:firstLineChars="202"/>
        <w:rPr>
          <w:color w:val="auto"/>
        </w:rPr>
      </w:pPr>
      <w:r>
        <w:rPr>
          <w:rFonts w:hint="eastAsia" w:ascii="宋体" w:hAnsi="宋体"/>
          <w:color w:val="auto"/>
          <w:sz w:val="28"/>
          <w:szCs w:val="28"/>
        </w:rPr>
        <w:t>综合评分法。</w:t>
      </w:r>
    </w:p>
    <w:p>
      <w:pPr>
        <w:pStyle w:val="5"/>
        <w:numPr>
          <w:ilvl w:val="1"/>
          <w:numId w:val="3"/>
        </w:numPr>
        <w:spacing w:before="0" w:after="0"/>
        <w:rPr>
          <w:color w:val="auto"/>
        </w:rPr>
      </w:pPr>
      <w:bookmarkStart w:id="152" w:name="_Toc25567"/>
      <w:r>
        <w:rPr>
          <w:rFonts w:hint="eastAsia"/>
          <w:color w:val="auto"/>
        </w:rPr>
        <w:t>评标程序</w:t>
      </w:r>
      <w:bookmarkEnd w:id="148"/>
      <w:bookmarkEnd w:id="149"/>
      <w:bookmarkEnd w:id="150"/>
      <w:bookmarkEnd w:id="152"/>
    </w:p>
    <w:p>
      <w:pPr>
        <w:pStyle w:val="6"/>
        <w:numPr>
          <w:ilvl w:val="2"/>
          <w:numId w:val="3"/>
        </w:numPr>
        <w:ind w:left="0" w:firstLine="0"/>
        <w:rPr>
          <w:color w:val="auto"/>
        </w:rPr>
      </w:pPr>
      <w:bookmarkStart w:id="153" w:name="_Toc316475650"/>
      <w:bookmarkEnd w:id="153"/>
      <w:bookmarkStart w:id="154" w:name="_Toc217446099"/>
      <w:r>
        <w:rPr>
          <w:rFonts w:hint="eastAsia"/>
          <w:color w:val="auto"/>
        </w:rPr>
        <w:t>符合性审查</w:t>
      </w:r>
    </w:p>
    <w:p>
      <w:pPr>
        <w:tabs>
          <w:tab w:val="left" w:pos="851"/>
        </w:tabs>
        <w:spacing w:line="360" w:lineRule="auto"/>
        <w:ind w:firstLine="565" w:firstLineChars="202"/>
        <w:rPr>
          <w:rFonts w:hint="eastAsia" w:ascii="宋体" w:hAnsi="宋体"/>
          <w:color w:val="auto"/>
          <w:sz w:val="28"/>
          <w:szCs w:val="28"/>
        </w:rPr>
      </w:pPr>
      <w:r>
        <w:rPr>
          <w:rFonts w:hint="eastAsia" w:ascii="宋体" w:hAnsi="宋体"/>
          <w:color w:val="auto"/>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560" w:lineRule="exact"/>
        <w:ind w:firstLine="565" w:firstLineChars="202"/>
      </w:pPr>
      <w:r>
        <w:rPr>
          <w:rFonts w:hint="eastAsia" w:ascii="宋体" w:hAnsi="宋体"/>
          <w:color w:val="000000" w:themeColor="text1"/>
          <w:sz w:val="28"/>
          <w:szCs w:val="28"/>
          <w14:textFill>
            <w14:solidFill>
              <w14:schemeClr w14:val="tx1"/>
            </w14:solidFill>
          </w14:textFill>
        </w:rPr>
        <w:t>符合性审查标准见下表（按以下顺序审查）：</w:t>
      </w:r>
    </w:p>
    <w:tbl>
      <w:tblPr>
        <w:tblStyle w:val="15"/>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051"/>
        <w:gridCol w:w="5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序号</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符合性审查项</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投标文件服务、商务及其他要求响应部分组成</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符合招标文件“2.4.6投标文件的组成”规定要求。【说明：无须提供证明材料，上传空白页即可，不对本项上传的材料作符合性审查】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投标文件服务、商务及其他要求响应部分签章</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均按招标文件要求签章。【说明：无须提供证明材料，上传空白页即可，不对本项上传的材料作符合性审查】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3</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投标文件服务、商务及其他要求响应部分的计量单位、语言、报价货币、投标有效期</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计量单位、语言、报价货币、投标有效期均符合招标文件的要求。【说明：无须提供证明材料，上传空白页即可，不对本项上传的材料作符合性审查】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4</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投标报价</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开标记录、投标文件【注：（1）报价唯一（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color w:val="000000" w:themeColor="text1"/>
                <w:sz w:val="24"/>
                <w:szCs w:val="28"/>
                <w14:textFill>
                  <w14:solidFill>
                    <w14:schemeClr w14:val="tx1"/>
                  </w14:solidFill>
                </w14:textFill>
              </w:rPr>
              <w:t>5）如因断电、断网、系统故障或其他不可抗力等因素，导致系统无法使用的，由投标人按评标委员会的要求进行澄清或者说明</w:t>
            </w:r>
            <w:r>
              <w:rPr>
                <w:rFonts w:hint="eastAsia" w:ascii="宋体" w:hAnsi="宋体"/>
                <w:color w:val="000000" w:themeColor="text1"/>
                <w:sz w:val="24"/>
                <w:szCs w:val="28"/>
                <w14:textFill>
                  <w14:solidFill>
                    <w14:schemeClr w14:val="tx1"/>
                  </w14:solidFill>
                </w14:textFill>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5</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第4章打★号的</w:t>
            </w:r>
            <w:r>
              <w:rPr>
                <w:rFonts w:hint="eastAsia" w:ascii="宋体" w:hAnsi="宋体"/>
                <w:color w:val="000000" w:themeColor="text1"/>
                <w:sz w:val="24"/>
                <w:szCs w:val="28"/>
                <w:lang w:eastAsia="zh-CN"/>
                <w14:textFill>
                  <w14:solidFill>
                    <w14:schemeClr w14:val="tx1"/>
                  </w14:solidFill>
                </w14:textFill>
              </w:rPr>
              <w:t>技术、</w:t>
            </w:r>
            <w:r>
              <w:rPr>
                <w:rFonts w:hint="eastAsia" w:ascii="宋体" w:hAnsi="宋体"/>
                <w:color w:val="000000" w:themeColor="text1"/>
                <w:sz w:val="24"/>
                <w:szCs w:val="28"/>
                <w14:textFill>
                  <w14:solidFill>
                    <w14:schemeClr w14:val="tx1"/>
                  </w14:solidFill>
                </w14:textFill>
              </w:rPr>
              <w:t>服务、商务和其他要求</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投标文件均实质性响应招标文件中加★号的</w:t>
            </w:r>
            <w:r>
              <w:rPr>
                <w:rFonts w:hint="eastAsia" w:ascii="宋体" w:hAnsi="宋体"/>
                <w:color w:val="000000" w:themeColor="text1"/>
                <w:sz w:val="24"/>
                <w:szCs w:val="28"/>
                <w:lang w:eastAsia="zh-CN"/>
                <w14:textFill>
                  <w14:solidFill>
                    <w14:schemeClr w14:val="tx1"/>
                  </w14:solidFill>
                </w14:textFill>
              </w:rPr>
              <w:t>技术、</w:t>
            </w:r>
            <w:r>
              <w:rPr>
                <w:rFonts w:hint="eastAsia" w:ascii="宋体" w:hAnsi="宋体"/>
                <w:color w:val="000000" w:themeColor="text1"/>
                <w:sz w:val="24"/>
                <w:szCs w:val="28"/>
                <w14:textFill>
                  <w14:solidFill>
                    <w14:schemeClr w14:val="tx1"/>
                  </w14:solidFill>
                </w14:textFill>
              </w:rPr>
              <w:t>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6</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进口产品</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7</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不属于禁止参加投标或投标无效的供应商</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（1）根据招标文件的要求不属于禁止参加投标或投标无效的供应商；</w:t>
            </w:r>
          </w:p>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（2）评标委员会未发现或者未知晓投标人存在属于国家相关法律法规规定的禁止参加投标或投标无效的供应商。</w:t>
            </w:r>
          </w:p>
          <w:p>
            <w:pPr>
              <w:tabs>
                <w:tab w:val="left" w:pos="851"/>
              </w:tabs>
              <w:spacing w:line="360" w:lineRule="auto"/>
              <w:rPr>
                <w:rFonts w:ascii="宋体" w:hAnsi="宋体"/>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8</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法定代表人身份证复印件或护照复印件</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身份证复印件或护照复印件【注：法定代表人身份证复印件（身份证两面均应复印，在有效期内）或护照复印件（法定代表人为外籍人士的，按此提供）。】。</w:t>
            </w:r>
          </w:p>
        </w:tc>
      </w:tr>
    </w:tbl>
    <w:p>
      <w:pPr>
        <w:tabs>
          <w:tab w:val="left" w:pos="851"/>
        </w:tabs>
        <w:spacing w:line="360" w:lineRule="auto"/>
        <w:ind w:firstLine="560" w:firstLineChars="200"/>
        <w:rPr>
          <w:rFonts w:hint="eastAsia" w:ascii="宋体" w:hAnsi="宋体"/>
          <w:b w:val="0"/>
          <w:color w:val="auto"/>
          <w:sz w:val="28"/>
          <w:szCs w:val="28"/>
          <w:u w:val="none"/>
          <w:lang w:eastAsia="zh-CN"/>
        </w:rPr>
      </w:pP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二、投标人的投标文件符合性审查时被判定为无效投标文件的，</w:t>
      </w:r>
      <w:r>
        <w:rPr>
          <w:rFonts w:hint="eastAsia" w:ascii="宋体" w:hAnsi="宋体"/>
          <w:color w:val="auto"/>
          <w:sz w:val="28"/>
          <w:szCs w:val="28"/>
          <w:lang w:eastAsia="zh-CN"/>
        </w:rPr>
        <w:t>崇</w:t>
      </w:r>
      <w:r>
        <w:rPr>
          <w:rFonts w:hint="eastAsia" w:ascii="宋体" w:hAnsi="宋体"/>
          <w:color w:val="auto"/>
          <w:sz w:val="28"/>
          <w:szCs w:val="28"/>
        </w:rPr>
        <w:t>公资交易中心将通知投标人（以现场公示、电话、短信、</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等任一方式）。投标人如对评审结论有异议的，应及时向</w:t>
      </w:r>
      <w:r>
        <w:rPr>
          <w:rFonts w:hint="eastAsia" w:ascii="宋体" w:hAnsi="宋体"/>
          <w:color w:val="auto"/>
          <w:sz w:val="28"/>
          <w:szCs w:val="28"/>
          <w:lang w:eastAsia="zh-CN"/>
        </w:rPr>
        <w:t>崇</w:t>
      </w:r>
      <w:r>
        <w:rPr>
          <w:rFonts w:hint="eastAsia" w:ascii="宋体" w:hAnsi="宋体"/>
          <w:color w:val="auto"/>
          <w:sz w:val="28"/>
          <w:szCs w:val="28"/>
        </w:rPr>
        <w:t>公资交易中心反馈意见。</w:t>
      </w:r>
      <w:r>
        <w:rPr>
          <w:rFonts w:hint="eastAsia" w:ascii="宋体" w:hAnsi="宋体"/>
          <w:color w:val="auto"/>
          <w:sz w:val="28"/>
          <w:szCs w:val="28"/>
          <w:lang w:eastAsia="zh-CN"/>
        </w:rPr>
        <w:t>崇</w:t>
      </w:r>
      <w:r>
        <w:rPr>
          <w:rFonts w:hint="eastAsia" w:ascii="宋体" w:hAnsi="宋体"/>
          <w:color w:val="auto"/>
          <w:sz w:val="28"/>
          <w:szCs w:val="28"/>
        </w:rPr>
        <w:t>公资交易中心在评审结束前将收到的反馈意见及时告知评标委员会。（说明：无论投标人是否收到通知或提供反馈意见，均不影响评标委员会的评标工作，且</w:t>
      </w:r>
      <w:r>
        <w:rPr>
          <w:rFonts w:hint="eastAsia" w:ascii="宋体" w:hAnsi="宋体"/>
          <w:color w:val="auto"/>
          <w:sz w:val="28"/>
          <w:szCs w:val="28"/>
          <w:lang w:eastAsia="zh-CN"/>
        </w:rPr>
        <w:t>崇</w:t>
      </w:r>
      <w:r>
        <w:rPr>
          <w:rFonts w:hint="eastAsia" w:ascii="宋体" w:hAnsi="宋体"/>
          <w:color w:val="auto"/>
          <w:sz w:val="28"/>
          <w:szCs w:val="28"/>
        </w:rPr>
        <w:t>公资交易中心对此将不承担任何的责任。投标人对评审结论有异议的，其反馈意见仅限于评标委员会对评审结论的正确性进行复核，避免出现评审错误。）</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三、通过符合性审查的供应商＜3名，本项目采购失败。</w:t>
      </w:r>
    </w:p>
    <w:p>
      <w:pPr>
        <w:pStyle w:val="6"/>
        <w:numPr>
          <w:ilvl w:val="2"/>
          <w:numId w:val="3"/>
        </w:numPr>
        <w:ind w:left="0" w:firstLine="0"/>
        <w:rPr>
          <w:color w:val="auto"/>
        </w:rPr>
      </w:pPr>
      <w:r>
        <w:rPr>
          <w:rFonts w:hint="eastAsia"/>
          <w:color w:val="auto"/>
        </w:rPr>
        <w:t>解释、澄清有关问题</w:t>
      </w:r>
    </w:p>
    <w:p>
      <w:pPr>
        <w:widowControl w:val="0"/>
        <w:numPr>
          <w:ilvl w:val="0"/>
          <w:numId w:val="37"/>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评标过程中，评标委员会认为招标文件有关事项表述不明确或需要说明的，可以提请</w:t>
      </w:r>
      <w:r>
        <w:rPr>
          <w:rFonts w:hint="eastAsia" w:ascii="宋体" w:hAnsi="宋体"/>
          <w:color w:val="auto"/>
          <w:sz w:val="28"/>
          <w:szCs w:val="28"/>
          <w:lang w:eastAsia="zh-CN"/>
        </w:rPr>
        <w:t>崇</w:t>
      </w:r>
      <w:r>
        <w:rPr>
          <w:rFonts w:hint="eastAsia" w:ascii="宋体" w:hAnsi="宋体"/>
          <w:color w:val="auto"/>
          <w:sz w:val="28"/>
          <w:szCs w:val="28"/>
        </w:rPr>
        <w:t>公资交易中心书面解释。</w:t>
      </w:r>
      <w:r>
        <w:rPr>
          <w:rFonts w:hint="eastAsia" w:ascii="宋体" w:hAnsi="宋体"/>
          <w:color w:val="auto"/>
          <w:sz w:val="28"/>
          <w:szCs w:val="28"/>
          <w:lang w:eastAsia="zh-CN"/>
        </w:rPr>
        <w:t>崇</w:t>
      </w:r>
      <w:r>
        <w:rPr>
          <w:rFonts w:hint="eastAsia" w:ascii="宋体" w:hAnsi="宋体"/>
          <w:color w:val="auto"/>
          <w:sz w:val="28"/>
          <w:szCs w:val="28"/>
        </w:rPr>
        <w:t>公资交易中心的解释不得改变招标文件的原义或者影响公平、公正，解释事项如果涉及投标人权益的以有利于投标人的原则进行解释。</w:t>
      </w:r>
    </w:p>
    <w:p>
      <w:pPr>
        <w:widowControl w:val="0"/>
        <w:numPr>
          <w:ilvl w:val="0"/>
          <w:numId w:val="37"/>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widowControl w:val="0"/>
        <w:numPr>
          <w:ilvl w:val="0"/>
          <w:numId w:val="37"/>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澄清应当不超出投标文件的范围、不实质性改变投标文件的内容、不影响投标人的公平竞争、不导致投标文件从不响应招标文件变为响应招标文件的条件。下列内容不得澄清：</w:t>
      </w:r>
    </w:p>
    <w:p>
      <w:pPr>
        <w:pStyle w:val="28"/>
        <w:numPr>
          <w:ilvl w:val="0"/>
          <w:numId w:val="38"/>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投标人投标文件中不响应招标文件规定的技术参数指标和商务应答；</w:t>
      </w:r>
    </w:p>
    <w:p>
      <w:pPr>
        <w:pStyle w:val="28"/>
        <w:numPr>
          <w:ilvl w:val="0"/>
          <w:numId w:val="38"/>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投标人投标文件中未提供的证明其是否符合招标文件资格性、符合性规定要求的相关材料。</w:t>
      </w:r>
    </w:p>
    <w:p>
      <w:pPr>
        <w:pStyle w:val="28"/>
        <w:numPr>
          <w:ilvl w:val="0"/>
          <w:numId w:val="38"/>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投标人投标文件中的材料因印刷、影印等不清晰而难以辨认的。</w:t>
      </w:r>
    </w:p>
    <w:p>
      <w:pPr>
        <w:widowControl w:val="0"/>
        <w:numPr>
          <w:ilvl w:val="0"/>
          <w:numId w:val="37"/>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投标文件报价出现下列情况的，不需要投标人澄清，按以下原则处理：</w:t>
      </w:r>
    </w:p>
    <w:p>
      <w:pPr>
        <w:pStyle w:val="28"/>
        <w:numPr>
          <w:ilvl w:val="0"/>
          <w:numId w:val="39"/>
        </w:numPr>
        <w:tabs>
          <w:tab w:val="left" w:pos="105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投标文件中的大写金额和小写金额不一致的，以大写金额为准，但大写金额出现文字错误，导致金额无法判断的除外；</w:t>
      </w:r>
    </w:p>
    <w:p>
      <w:pPr>
        <w:pStyle w:val="28"/>
        <w:numPr>
          <w:ilvl w:val="0"/>
          <w:numId w:val="39"/>
        </w:numPr>
        <w:tabs>
          <w:tab w:val="left" w:pos="1050"/>
        </w:tabs>
        <w:spacing w:line="360" w:lineRule="auto"/>
        <w:ind w:left="0" w:firstLine="525" w:firstLineChars="0"/>
        <w:rPr>
          <w:rFonts w:ascii="宋体" w:hAnsi="宋体"/>
          <w:color w:val="auto"/>
          <w:sz w:val="28"/>
          <w:szCs w:val="28"/>
        </w:rPr>
      </w:pPr>
      <w:r>
        <w:rPr>
          <w:rFonts w:hint="eastAsia" w:ascii="宋体" w:hAnsi="宋体"/>
          <w:color w:val="auto"/>
          <w:sz w:val="28"/>
          <w:szCs w:val="28"/>
        </w:rPr>
        <w:t>单价金额小数点或者百分比有明显错位的，以总价为准，并修改单价；</w:t>
      </w:r>
    </w:p>
    <w:p>
      <w:pPr>
        <w:ind w:firstLine="565" w:firstLineChars="202"/>
        <w:rPr>
          <w:rFonts w:ascii="宋体" w:hAnsi="宋体"/>
          <w:color w:val="auto"/>
          <w:sz w:val="28"/>
          <w:szCs w:val="28"/>
        </w:rPr>
      </w:pPr>
      <w:r>
        <w:rPr>
          <w:rFonts w:hint="eastAsia" w:ascii="宋体" w:hAnsi="宋体"/>
          <w:color w:val="auto"/>
          <w:sz w:val="28"/>
          <w:szCs w:val="28"/>
        </w:rPr>
        <w:t>（三）总价金额与按单价汇总金额不一致的，以单价金额计算结果为。</w:t>
      </w:r>
    </w:p>
    <w:p>
      <w:pPr>
        <w:ind w:firstLine="560"/>
        <w:rPr>
          <w:color w:val="auto"/>
          <w:sz w:val="28"/>
          <w:szCs w:val="28"/>
        </w:rPr>
      </w:pPr>
      <w:r>
        <w:rPr>
          <w:rFonts w:hint="eastAsia"/>
          <w:color w:val="auto"/>
          <w:sz w:val="28"/>
          <w:szCs w:val="28"/>
        </w:rPr>
        <w:t>同时出现两种以上不一致的，按照前款规定的顺序修正。修正后的报价经投标人确认后产生约束力，投标人不确认的，其投标无效。</w:t>
      </w:r>
    </w:p>
    <w:p>
      <w:pPr>
        <w:ind w:firstLine="560" w:firstLineChars="200"/>
        <w:rPr>
          <w:color w:val="auto"/>
          <w:sz w:val="28"/>
          <w:szCs w:val="28"/>
        </w:rPr>
      </w:pPr>
      <w:r>
        <w:rPr>
          <w:rFonts w:hint="eastAsia"/>
          <w:color w:val="auto"/>
          <w:sz w:val="28"/>
          <w:szCs w:val="28"/>
        </w:rPr>
        <w:t>五、对不同语言文本投标文件的解释发生异议的，以中文文本为准。</w:t>
      </w:r>
    </w:p>
    <w:p>
      <w:pPr>
        <w:tabs>
          <w:tab w:val="left" w:pos="851"/>
        </w:tabs>
        <w:spacing w:line="360" w:lineRule="auto"/>
        <w:ind w:firstLine="551" w:firstLineChars="196"/>
        <w:rPr>
          <w:rFonts w:ascii="宋体" w:hAnsi="宋体"/>
          <w:b/>
          <w:color w:val="auto"/>
          <w:sz w:val="28"/>
          <w:szCs w:val="28"/>
        </w:rPr>
      </w:pPr>
      <w:r>
        <w:rPr>
          <w:rFonts w:hint="eastAsia" w:ascii="宋体" w:hAnsi="宋体"/>
          <w:b/>
          <w:color w:val="auto"/>
          <w:sz w:val="28"/>
          <w:szCs w:val="28"/>
        </w:rPr>
        <w:t>评标委员会应当积极履行澄清、说明或者更正的职责，不得滥用权力。</w:t>
      </w:r>
    </w:p>
    <w:p>
      <w:pPr>
        <w:pStyle w:val="6"/>
        <w:numPr>
          <w:ilvl w:val="2"/>
          <w:numId w:val="3"/>
        </w:numPr>
        <w:rPr>
          <w:color w:val="auto"/>
        </w:rPr>
      </w:pPr>
      <w:bookmarkStart w:id="155" w:name="_Toc315871649"/>
      <w:bookmarkEnd w:id="155"/>
      <w:bookmarkStart w:id="156" w:name="_Toc315871650"/>
      <w:bookmarkEnd w:id="156"/>
      <w:bookmarkStart w:id="157" w:name="_Toc315871652"/>
      <w:bookmarkEnd w:id="157"/>
      <w:bookmarkStart w:id="158" w:name="_Toc315871651"/>
      <w:bookmarkEnd w:id="158"/>
      <w:bookmarkStart w:id="159" w:name="_Toc315871647"/>
      <w:bookmarkStart w:id="160" w:name="_Toc316292253"/>
      <w:bookmarkStart w:id="161" w:name="_Toc315871653"/>
      <w:bookmarkStart w:id="162" w:name="_Toc316292255"/>
      <w:r>
        <w:rPr>
          <w:rFonts w:hint="eastAsia"/>
          <w:color w:val="auto"/>
        </w:rPr>
        <w:t>比较与评价</w:t>
      </w:r>
      <w:bookmarkEnd w:id="159"/>
      <w:bookmarkEnd w:id="160"/>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按招标文件中规定的评标细则及标准，对符合性检查合格的投标文件进行商务和技术、服务评估，综合比较与评价。</w:t>
      </w:r>
    </w:p>
    <w:p>
      <w:pPr>
        <w:pStyle w:val="6"/>
        <w:numPr>
          <w:ilvl w:val="2"/>
          <w:numId w:val="3"/>
        </w:numPr>
        <w:ind w:left="0" w:firstLine="0"/>
        <w:rPr>
          <w:color w:val="auto"/>
        </w:rPr>
      </w:pPr>
      <w:r>
        <w:rPr>
          <w:rFonts w:hint="eastAsia"/>
          <w:color w:val="auto"/>
        </w:rPr>
        <w:t>复核</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评分汇总结束后，评标委员会应当进行复核，特别要对拟推荐为中标候选供应商的、报价最低的、投标文件被认定为无效的进行重点复核。</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评标结果汇总完成后，评标委员会拟出具评审报告前，</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应当组织2名以上的工作人员，在采购现场监督人员的监督之下，依据有关的法律制度和采购文件对评审结果进行复核，出具复核报告。</w:t>
      </w: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评标结果汇总完成后，除下列情形外，任何人不得修改评标结果：</w:t>
      </w:r>
    </w:p>
    <w:p>
      <w:pPr>
        <w:pStyle w:val="25"/>
        <w:numPr>
          <w:ilvl w:val="0"/>
          <w:numId w:val="40"/>
        </w:numPr>
        <w:tabs>
          <w:tab w:val="left" w:pos="851"/>
          <w:tab w:val="left" w:pos="1276"/>
        </w:tabs>
        <w:spacing w:line="360" w:lineRule="auto"/>
        <w:ind w:left="0" w:firstLine="424" w:firstLineChars="0"/>
        <w:rPr>
          <w:rFonts w:ascii="宋体" w:hAnsi="宋体"/>
          <w:color w:val="auto"/>
          <w:sz w:val="28"/>
          <w:szCs w:val="28"/>
        </w:rPr>
      </w:pPr>
      <w:r>
        <w:rPr>
          <w:rFonts w:hint="eastAsia" w:ascii="宋体" w:hAnsi="宋体"/>
          <w:color w:val="auto"/>
          <w:sz w:val="28"/>
          <w:szCs w:val="28"/>
        </w:rPr>
        <w:t>分值汇总计算错误的；</w:t>
      </w:r>
    </w:p>
    <w:p>
      <w:pPr>
        <w:pStyle w:val="25"/>
        <w:numPr>
          <w:ilvl w:val="0"/>
          <w:numId w:val="40"/>
        </w:numPr>
        <w:tabs>
          <w:tab w:val="left" w:pos="851"/>
          <w:tab w:val="left" w:pos="1276"/>
        </w:tabs>
        <w:spacing w:line="360" w:lineRule="auto"/>
        <w:ind w:left="0" w:firstLine="424" w:firstLineChars="0"/>
        <w:rPr>
          <w:rFonts w:ascii="宋体" w:hAnsi="宋体"/>
          <w:color w:val="auto"/>
          <w:sz w:val="28"/>
          <w:szCs w:val="28"/>
        </w:rPr>
      </w:pPr>
      <w:r>
        <w:rPr>
          <w:rFonts w:hint="eastAsia" w:ascii="宋体" w:hAnsi="宋体"/>
          <w:color w:val="auto"/>
          <w:sz w:val="28"/>
          <w:szCs w:val="28"/>
        </w:rPr>
        <w:t>分项评分超出评分标准范围的；</w:t>
      </w:r>
    </w:p>
    <w:p>
      <w:pPr>
        <w:pStyle w:val="25"/>
        <w:numPr>
          <w:ilvl w:val="0"/>
          <w:numId w:val="40"/>
        </w:numPr>
        <w:tabs>
          <w:tab w:val="left" w:pos="851"/>
          <w:tab w:val="left" w:pos="1276"/>
          <w:tab w:val="left" w:pos="1418"/>
        </w:tabs>
        <w:spacing w:line="360" w:lineRule="auto"/>
        <w:ind w:left="0" w:firstLine="424" w:firstLineChars="0"/>
        <w:rPr>
          <w:rFonts w:ascii="宋体" w:hAnsi="宋体"/>
          <w:color w:val="auto"/>
          <w:sz w:val="28"/>
          <w:szCs w:val="28"/>
        </w:rPr>
      </w:pPr>
      <w:r>
        <w:rPr>
          <w:rFonts w:hint="eastAsia" w:ascii="宋体" w:hAnsi="宋体"/>
          <w:color w:val="auto"/>
          <w:sz w:val="28"/>
          <w:szCs w:val="28"/>
        </w:rPr>
        <w:t>评标委员会成员对客观评审因素评分不一致的；</w:t>
      </w:r>
    </w:p>
    <w:p>
      <w:pPr>
        <w:pStyle w:val="25"/>
        <w:numPr>
          <w:ilvl w:val="0"/>
          <w:numId w:val="40"/>
        </w:numPr>
        <w:tabs>
          <w:tab w:val="left" w:pos="851"/>
          <w:tab w:val="left" w:pos="1276"/>
        </w:tabs>
        <w:spacing w:line="360" w:lineRule="auto"/>
        <w:ind w:left="0" w:firstLine="426" w:firstLineChars="0"/>
        <w:rPr>
          <w:rFonts w:ascii="宋体" w:hAnsi="宋体"/>
          <w:color w:val="auto"/>
          <w:sz w:val="28"/>
          <w:szCs w:val="28"/>
        </w:rPr>
      </w:pPr>
      <w:r>
        <w:rPr>
          <w:rFonts w:hint="eastAsia" w:ascii="宋体" w:hAnsi="宋体"/>
          <w:color w:val="auto"/>
          <w:sz w:val="28"/>
          <w:szCs w:val="28"/>
        </w:rPr>
        <w:t>经评标委员会认定评分畸高、畸低的。</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pStyle w:val="6"/>
        <w:numPr>
          <w:ilvl w:val="2"/>
          <w:numId w:val="3"/>
        </w:numPr>
        <w:ind w:left="0" w:firstLine="0"/>
        <w:rPr>
          <w:color w:val="auto"/>
        </w:rPr>
      </w:pPr>
      <w:r>
        <w:rPr>
          <w:rFonts w:hint="eastAsia"/>
          <w:color w:val="auto"/>
        </w:rPr>
        <w:t>确定中标候选人名单</w:t>
      </w:r>
    </w:p>
    <w:p>
      <w:pPr>
        <w:tabs>
          <w:tab w:val="left" w:pos="851"/>
        </w:tabs>
        <w:spacing w:line="360" w:lineRule="auto"/>
        <w:ind w:firstLine="565" w:firstLineChars="202"/>
        <w:rPr>
          <w:rFonts w:ascii="Helvetica" w:hAnsi="Helvetica" w:cs="Helvetica"/>
          <w:color w:val="auto"/>
          <w:sz w:val="28"/>
          <w:szCs w:val="28"/>
        </w:rPr>
      </w:pPr>
      <w:r>
        <w:rPr>
          <w:rFonts w:hint="eastAsia" w:ascii="宋体" w:hAnsi="宋体"/>
          <w:color w:val="auto"/>
          <w:sz w:val="28"/>
          <w:szCs w:val="28"/>
        </w:rPr>
        <w:t>按投标人综合得分从高到低进行排序确定1至3名中标候选人。综合得分相同的，按投标报价由低到高顺序排列，得分且投标报价相同的并列。</w:t>
      </w:r>
      <w:r>
        <w:rPr>
          <w:rFonts w:hint="eastAsia" w:ascii="Helvetica" w:hAnsi="Helvetica" w:cs="Helvetica"/>
          <w:color w:val="auto"/>
          <w:sz w:val="28"/>
          <w:szCs w:val="28"/>
        </w:rPr>
        <w:t>投标文件满足招标文件全部实质性要求，且按照评审因素的量化指标评审得分最高的投标人为排名第一的中标候选人。</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lang w:val="zh-CN"/>
        </w:rPr>
        <w:t>提供核心产品品牌均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pStyle w:val="6"/>
        <w:numPr>
          <w:ilvl w:val="2"/>
          <w:numId w:val="3"/>
        </w:numPr>
        <w:ind w:left="0" w:firstLine="0"/>
        <w:rPr>
          <w:color w:val="auto"/>
        </w:rPr>
      </w:pPr>
      <w:r>
        <w:rPr>
          <w:rFonts w:hint="eastAsia"/>
          <w:color w:val="auto"/>
        </w:rPr>
        <w:t>编写评标报告</w:t>
      </w:r>
      <w:bookmarkEnd w:id="161"/>
      <w:bookmarkEnd w:id="162"/>
    </w:p>
    <w:p>
      <w:pPr>
        <w:spacing w:line="360" w:lineRule="auto"/>
        <w:ind w:firstLine="560" w:firstLineChars="200"/>
        <w:rPr>
          <w:rFonts w:ascii="宋体" w:hAnsi="宋体"/>
          <w:color w:val="auto"/>
          <w:sz w:val="28"/>
          <w:szCs w:val="28"/>
        </w:rPr>
      </w:pPr>
      <w:r>
        <w:rPr>
          <w:rFonts w:hint="eastAsia" w:ascii="宋体" w:hAnsi="宋体"/>
          <w:color w:val="auto"/>
          <w:sz w:val="28"/>
          <w:szCs w:val="28"/>
        </w:rPr>
        <w:t>评标报告是评标委员会根据全体评标成员签字的原始评标记录和评标结果编写的报告，其主要内容包括：</w:t>
      </w:r>
    </w:p>
    <w:p>
      <w:pPr>
        <w:widowControl w:val="0"/>
        <w:numPr>
          <w:ilvl w:val="0"/>
          <w:numId w:val="41"/>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招标公告刊登的媒体名称、开标日期和地点；</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投标人名单和评标委员会成员名单；</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评标方法和标准；</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开标记录和评标情况及说明，包括投标无效投标人名单及原因；</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评标结果，确定的中标候选人名单或者经采购人委托直接确定的中标人；</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 xml:space="preserve">其他需要说明的情况，包括评标过程中投标人根据评标委员会要求进行的澄清、说明或者补正，评标委员会成员的更换等； </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报价最高的投标人为中标候选人的，评标委员会应当对其报价的合理性予以特别说明。</w:t>
      </w:r>
    </w:p>
    <w:p>
      <w:pPr>
        <w:tabs>
          <w:tab w:val="left" w:pos="1155"/>
        </w:tabs>
        <w:spacing w:line="360" w:lineRule="auto"/>
        <w:ind w:firstLine="523" w:firstLineChars="187"/>
        <w:rPr>
          <w:rFonts w:ascii="宋体" w:hAnsi="宋体"/>
          <w:color w:val="auto"/>
          <w:sz w:val="28"/>
          <w:szCs w:val="28"/>
        </w:rPr>
      </w:pPr>
      <w:r>
        <w:rPr>
          <w:rFonts w:hint="eastAsia" w:ascii="宋体" w:hAnsi="宋体"/>
          <w:color w:val="auto"/>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5"/>
        <w:numPr>
          <w:ilvl w:val="1"/>
          <w:numId w:val="3"/>
        </w:numPr>
        <w:rPr>
          <w:color w:val="auto"/>
        </w:rPr>
      </w:pPr>
      <w:bookmarkStart w:id="163" w:name="_Toc30516"/>
      <w:bookmarkStart w:id="164" w:name="_Toc479753445"/>
      <w:bookmarkStart w:id="165" w:name="_Toc316292256"/>
      <w:bookmarkStart w:id="166" w:name="_Toc217446103"/>
      <w:bookmarkStart w:id="167" w:name="_Toc315871654"/>
      <w:r>
        <w:rPr>
          <w:rFonts w:hint="eastAsia"/>
          <w:color w:val="auto"/>
        </w:rPr>
        <w:t>评标争议处理规则</w:t>
      </w:r>
      <w:bookmarkEnd w:id="163"/>
      <w:bookmarkEnd w:id="164"/>
    </w:p>
    <w:p>
      <w:pPr>
        <w:tabs>
          <w:tab w:val="left" w:pos="1155"/>
        </w:tabs>
        <w:spacing w:line="360" w:lineRule="auto"/>
        <w:ind w:firstLine="523" w:firstLineChars="187"/>
        <w:rPr>
          <w:rFonts w:ascii="宋体" w:hAnsi="宋体"/>
          <w:color w:val="auto"/>
          <w:sz w:val="28"/>
          <w:szCs w:val="28"/>
        </w:rPr>
      </w:pPr>
      <w:r>
        <w:rPr>
          <w:rFonts w:hint="eastAsia" w:ascii="宋体" w:hAnsi="宋体"/>
          <w:color w:val="auto"/>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auto"/>
          <w:sz w:val="28"/>
          <w:szCs w:val="28"/>
        </w:rPr>
        <w:t>持不同意见的评标委员会成员应当在评标报告上签署不同意见及理由，否则视为同意评标报告。</w:t>
      </w:r>
      <w:r>
        <w:rPr>
          <w:rFonts w:hint="eastAsia" w:ascii="宋体" w:hAnsi="宋体"/>
          <w:color w:val="auto"/>
          <w:sz w:val="28"/>
          <w:szCs w:val="28"/>
        </w:rPr>
        <w:t>持不同意见的评标委员会成员认为认定过程和结果不符合法律法规或者招标文件规定的，应当及时向采购人或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书面反映。采购人或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收到书面反映后，应当书面报告采购项目同级财政部门依法处理。</w:t>
      </w:r>
    </w:p>
    <w:p>
      <w:pPr>
        <w:pStyle w:val="5"/>
        <w:numPr>
          <w:ilvl w:val="1"/>
          <w:numId w:val="3"/>
        </w:numPr>
        <w:spacing w:before="0" w:after="0"/>
        <w:rPr>
          <w:color w:val="auto"/>
        </w:rPr>
      </w:pPr>
      <w:bookmarkStart w:id="168" w:name="_Toc6292"/>
      <w:r>
        <w:rPr>
          <w:rFonts w:hint="eastAsia"/>
          <w:color w:val="auto"/>
        </w:rPr>
        <w:t>评标细则及标准</w:t>
      </w:r>
      <w:bookmarkEnd w:id="165"/>
      <w:bookmarkEnd w:id="166"/>
      <w:bookmarkEnd w:id="167"/>
      <w:bookmarkEnd w:id="168"/>
    </w:p>
    <w:p>
      <w:pPr>
        <w:widowControl w:val="0"/>
        <w:numPr>
          <w:ilvl w:val="0"/>
          <w:numId w:val="42"/>
        </w:numPr>
        <w:tabs>
          <w:tab w:val="left" w:pos="1155"/>
        </w:tabs>
        <w:spacing w:line="360" w:lineRule="auto"/>
        <w:ind w:left="0" w:firstLine="567"/>
        <w:jc w:val="both"/>
        <w:rPr>
          <w:rFonts w:ascii="宋体" w:hAnsi="宋体"/>
          <w:color w:val="auto"/>
          <w:sz w:val="28"/>
          <w:szCs w:val="28"/>
        </w:rPr>
      </w:pPr>
      <w:r>
        <w:rPr>
          <w:rFonts w:hint="eastAsia" w:ascii="宋体" w:hAnsi="宋体"/>
          <w:color w:val="auto"/>
          <w:sz w:val="28"/>
          <w:szCs w:val="28"/>
        </w:rPr>
        <w:t>评标委员会只对通过初审的投标文件，根据招标文件的要求采用相同的评标程序、评分办法及标准进行评价和比较。</w:t>
      </w:r>
    </w:p>
    <w:p>
      <w:pPr>
        <w:widowControl w:val="0"/>
        <w:numPr>
          <w:ilvl w:val="0"/>
          <w:numId w:val="42"/>
        </w:numPr>
        <w:tabs>
          <w:tab w:val="left" w:pos="1155"/>
        </w:tabs>
        <w:spacing w:line="360" w:lineRule="auto"/>
        <w:ind w:left="0" w:firstLine="567"/>
        <w:jc w:val="both"/>
        <w:rPr>
          <w:rFonts w:ascii="宋体" w:hAnsi="宋体"/>
          <w:color w:val="auto"/>
          <w:sz w:val="28"/>
          <w:szCs w:val="28"/>
        </w:rPr>
      </w:pPr>
      <w:r>
        <w:rPr>
          <w:rFonts w:hint="eastAsia" w:ascii="宋体" w:hAnsi="宋体"/>
          <w:color w:val="auto"/>
          <w:sz w:val="28"/>
          <w:szCs w:val="28"/>
        </w:rPr>
        <w:t>本次综合评分的因素是：价格、技术、服务、商务等。</w:t>
      </w:r>
    </w:p>
    <w:p>
      <w:pPr>
        <w:widowControl w:val="0"/>
        <w:numPr>
          <w:ilvl w:val="0"/>
          <w:numId w:val="42"/>
        </w:numPr>
        <w:tabs>
          <w:tab w:val="left" w:pos="1155"/>
        </w:tabs>
        <w:spacing w:line="360" w:lineRule="auto"/>
        <w:ind w:left="0" w:firstLine="525"/>
        <w:jc w:val="both"/>
        <w:rPr>
          <w:rFonts w:ascii="宋体" w:hAnsi="宋体"/>
          <w:color w:val="auto"/>
          <w:sz w:val="28"/>
          <w:szCs w:val="28"/>
        </w:rPr>
      </w:pPr>
      <w:bookmarkStart w:id="169" w:name="_Toc217102344"/>
      <w:bookmarkStart w:id="170" w:name="_Toc218498587"/>
      <w:bookmarkStart w:id="171" w:name="_Toc310176995"/>
      <w:r>
        <w:rPr>
          <w:rFonts w:hint="eastAsia" w:ascii="宋体" w:hAnsi="宋体"/>
          <w:color w:val="auto"/>
          <w:sz w:val="28"/>
          <w:szCs w:val="28"/>
        </w:rPr>
        <w:t>评标委员会成员应依据招标文件规定的评分标准和方法独立打分。</w:t>
      </w:r>
    </w:p>
    <w:p>
      <w:pPr>
        <w:pStyle w:val="6"/>
        <w:numPr>
          <w:ilvl w:val="2"/>
          <w:numId w:val="3"/>
        </w:numPr>
        <w:ind w:left="0" w:firstLine="0"/>
        <w:rPr>
          <w:color w:val="auto"/>
        </w:rPr>
      </w:pPr>
      <w:r>
        <w:rPr>
          <w:rFonts w:hint="eastAsia"/>
          <w:color w:val="auto"/>
        </w:rPr>
        <w:t>评分办法</w:t>
      </w:r>
      <w:bookmarkEnd w:id="169"/>
      <w:bookmarkEnd w:id="170"/>
      <w:bookmarkEnd w:id="171"/>
    </w:p>
    <w:p>
      <w:pPr>
        <w:spacing w:line="360" w:lineRule="auto"/>
        <w:ind w:firstLine="630" w:firstLineChars="225"/>
        <w:rPr>
          <w:rFonts w:ascii="宋体" w:hAnsi="宋体"/>
          <w:color w:val="auto"/>
          <w:sz w:val="28"/>
          <w:szCs w:val="28"/>
        </w:rPr>
      </w:pPr>
      <w:r>
        <w:rPr>
          <w:rFonts w:hint="eastAsia" w:ascii="宋体" w:hAnsi="宋体"/>
          <w:color w:val="auto"/>
          <w:sz w:val="28"/>
          <w:szCs w:val="28"/>
        </w:rPr>
        <w:t xml:space="preserve">本次评标采用综合评分法，由评标委员会各成员独立对通过初审（资格检查和符合性检查）的投标人的投标文件进行评审和打分，    </w:t>
      </w:r>
    </w:p>
    <w:p>
      <w:pPr>
        <w:spacing w:line="360" w:lineRule="auto"/>
        <w:ind w:firstLine="630" w:firstLineChars="225"/>
        <w:rPr>
          <w:rFonts w:ascii="宋体" w:hAnsi="宋体"/>
          <w:color w:val="auto"/>
          <w:sz w:val="28"/>
          <w:szCs w:val="28"/>
        </w:rPr>
      </w:pPr>
      <w:r>
        <w:rPr>
          <w:rFonts w:hint="eastAsia" w:ascii="宋体" w:hAnsi="宋体"/>
          <w:color w:val="auto"/>
          <w:sz w:val="28"/>
          <w:szCs w:val="28"/>
        </w:rPr>
        <w:t>评标得分＝（A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）/n</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3</w:t>
      </w:r>
    </w:p>
    <w:p>
      <w:pPr>
        <w:spacing w:line="360" w:lineRule="auto"/>
        <w:ind w:firstLine="560" w:firstLineChars="200"/>
        <w:rPr>
          <w:rFonts w:ascii="宋体" w:hAnsi="宋体" w:cs="宋体"/>
          <w:color w:val="auto"/>
          <w:sz w:val="28"/>
          <w:szCs w:val="28"/>
        </w:rPr>
      </w:pPr>
      <w:r>
        <w:rPr>
          <w:rFonts w:hint="eastAsia" w:ascii="宋体" w:hAnsi="宋体"/>
          <w:color w:val="auto"/>
          <w:sz w:val="28"/>
          <w:szCs w:val="28"/>
        </w:rPr>
        <w:t>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分别为每个</w:t>
      </w:r>
      <w:r>
        <w:rPr>
          <w:rFonts w:hint="eastAsia" w:ascii="宋体" w:hAnsi="宋体" w:cs="宋体"/>
          <w:color w:val="auto"/>
          <w:sz w:val="28"/>
          <w:szCs w:val="28"/>
        </w:rPr>
        <w:t>经济类</w:t>
      </w:r>
      <w:r>
        <w:rPr>
          <w:rFonts w:hint="eastAsia" w:ascii="宋体" w:hAnsi="宋体"/>
          <w:color w:val="auto"/>
          <w:sz w:val="28"/>
          <w:szCs w:val="28"/>
        </w:rPr>
        <w:t>评委的打分，n</w:t>
      </w:r>
      <w:r>
        <w:rPr>
          <w:rFonts w:hint="eastAsia" w:ascii="宋体" w:hAnsi="宋体"/>
          <w:color w:val="auto"/>
          <w:sz w:val="28"/>
          <w:szCs w:val="28"/>
          <w:vertAlign w:val="subscript"/>
        </w:rPr>
        <w:t>1</w:t>
      </w:r>
      <w:r>
        <w:rPr>
          <w:rFonts w:hint="eastAsia" w:ascii="宋体" w:hAnsi="宋体"/>
          <w:color w:val="auto"/>
          <w:sz w:val="28"/>
          <w:szCs w:val="28"/>
        </w:rPr>
        <w:t>为</w:t>
      </w:r>
      <w:r>
        <w:rPr>
          <w:rFonts w:hint="eastAsia" w:ascii="宋体" w:hAnsi="宋体" w:cs="宋体"/>
          <w:color w:val="auto"/>
          <w:sz w:val="28"/>
          <w:szCs w:val="28"/>
        </w:rPr>
        <w:t>经济类</w:t>
      </w:r>
      <w:r>
        <w:rPr>
          <w:rFonts w:hint="eastAsia" w:ascii="宋体" w:hAnsi="宋体"/>
          <w:color w:val="auto"/>
          <w:sz w:val="28"/>
          <w:szCs w:val="28"/>
        </w:rPr>
        <w:t>评委人数；B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xml:space="preserve"> 分别为每个技术类评委（含采购人代表）的打分，n</w:t>
      </w:r>
      <w:r>
        <w:rPr>
          <w:rFonts w:hint="eastAsia" w:ascii="宋体" w:hAnsi="宋体"/>
          <w:color w:val="auto"/>
          <w:sz w:val="28"/>
          <w:szCs w:val="28"/>
          <w:vertAlign w:val="subscript"/>
        </w:rPr>
        <w:t>2</w:t>
      </w:r>
      <w:r>
        <w:rPr>
          <w:rFonts w:hint="eastAsia" w:ascii="宋体" w:hAnsi="宋体"/>
          <w:color w:val="auto"/>
          <w:sz w:val="28"/>
          <w:szCs w:val="28"/>
        </w:rPr>
        <w:t>为</w:t>
      </w:r>
      <w:r>
        <w:rPr>
          <w:rFonts w:hint="eastAsia" w:ascii="宋体" w:hAnsi="宋体" w:cs="宋体"/>
          <w:color w:val="auto"/>
          <w:sz w:val="28"/>
          <w:szCs w:val="28"/>
        </w:rPr>
        <w:t>技术类</w:t>
      </w:r>
      <w:r>
        <w:rPr>
          <w:rFonts w:hint="eastAsia" w:ascii="宋体" w:hAnsi="宋体"/>
          <w:color w:val="auto"/>
          <w:sz w:val="28"/>
          <w:szCs w:val="28"/>
        </w:rPr>
        <w:t>评委（含采购人代表）人数；C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xml:space="preserve"> 分别为评审委员会每个成员的打分，n</w:t>
      </w:r>
      <w:r>
        <w:rPr>
          <w:rFonts w:hint="eastAsia" w:ascii="宋体" w:hAnsi="宋体"/>
          <w:color w:val="auto"/>
          <w:sz w:val="28"/>
          <w:szCs w:val="28"/>
          <w:vertAlign w:val="subscript"/>
        </w:rPr>
        <w:t>3</w:t>
      </w:r>
      <w:r>
        <w:rPr>
          <w:rFonts w:hint="eastAsia" w:ascii="宋体" w:hAnsi="宋体"/>
          <w:color w:val="auto"/>
          <w:sz w:val="28"/>
          <w:szCs w:val="28"/>
        </w:rPr>
        <w:t>为评委人数。</w:t>
      </w:r>
    </w:p>
    <w:p>
      <w:pPr>
        <w:pStyle w:val="6"/>
        <w:numPr>
          <w:ilvl w:val="2"/>
          <w:numId w:val="3"/>
        </w:numPr>
        <w:ind w:left="0" w:firstLine="0"/>
        <w:rPr>
          <w:color w:val="auto"/>
        </w:rPr>
      </w:pPr>
      <w:r>
        <w:rPr>
          <w:rFonts w:hint="eastAsia"/>
          <w:color w:val="auto"/>
        </w:rPr>
        <w:t>评分标准</w:t>
      </w:r>
    </w:p>
    <w:tbl>
      <w:tblPr>
        <w:tblStyle w:val="15"/>
        <w:tblW w:w="9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185"/>
        <w:gridCol w:w="851"/>
        <w:gridCol w:w="5528"/>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b/>
                <w:bCs/>
                <w:kern w:val="0"/>
                <w:szCs w:val="21"/>
              </w:rPr>
            </w:pPr>
            <w:r>
              <w:rPr>
                <w:rFonts w:hint="eastAsia" w:ascii="宋体" w:hAnsi="宋体" w:cs="宋体"/>
                <w:b/>
                <w:bCs/>
                <w:kern w:val="0"/>
                <w:szCs w:val="21"/>
              </w:rPr>
              <w:t>序号</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b/>
                <w:bCs/>
                <w:kern w:val="0"/>
                <w:szCs w:val="21"/>
              </w:rPr>
            </w:pPr>
            <w:r>
              <w:rPr>
                <w:rFonts w:hint="eastAsia" w:ascii="宋体" w:hAnsi="宋体" w:cs="宋体"/>
                <w:b/>
                <w:bCs/>
                <w:kern w:val="0"/>
                <w:szCs w:val="21"/>
              </w:rPr>
              <w:t>评分因素及权重</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b/>
                <w:bCs/>
                <w:kern w:val="0"/>
                <w:szCs w:val="21"/>
              </w:rPr>
            </w:pPr>
            <w:r>
              <w:rPr>
                <w:rFonts w:hint="eastAsia" w:ascii="宋体" w:hAnsi="宋体" w:cs="宋体"/>
                <w:b/>
                <w:bCs/>
                <w:kern w:val="0"/>
                <w:szCs w:val="21"/>
              </w:rPr>
              <w:t>分值</w:t>
            </w: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b/>
                <w:bCs/>
                <w:kern w:val="0"/>
                <w:szCs w:val="21"/>
              </w:rPr>
            </w:pPr>
            <w:r>
              <w:rPr>
                <w:rFonts w:hint="eastAsia" w:ascii="宋体" w:hAnsi="宋体" w:cs="宋体"/>
                <w:b/>
                <w:bCs/>
                <w:kern w:val="0"/>
                <w:szCs w:val="21"/>
              </w:rPr>
              <w:t>评分标准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宋体" w:hAnsi="宋体" w:cs="宋体" w:eastAsiaTheme="minorEastAsia"/>
                <w:b/>
                <w:bCs/>
                <w:kern w:val="0"/>
                <w:szCs w:val="21"/>
                <w:lang w:eastAsia="zh-CN"/>
              </w:rPr>
            </w:pPr>
            <w:r>
              <w:rPr>
                <w:rFonts w:hint="eastAsia" w:ascii="宋体" w:hAnsi="宋体" w:cs="宋体"/>
                <w:b/>
                <w:bCs/>
                <w:kern w:val="0"/>
                <w:szCs w:val="21"/>
                <w:lang w:eastAsia="zh-CN"/>
              </w:rPr>
              <w:t>评审分类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0"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报价30%</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30</w:t>
            </w: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br w:type="textWrapping"/>
            </w:r>
            <w:r>
              <w:rPr>
                <w:rFonts w:hint="eastAsia" w:ascii="宋体" w:hAnsi="宋体" w:eastAsia="宋体" w:cs="宋体"/>
                <w:kern w:val="0"/>
                <w:sz w:val="21"/>
                <w:szCs w:val="21"/>
                <w:lang w:val="en-US" w:eastAsia="zh-CN" w:bidi="ar-SA"/>
              </w:rPr>
              <w:t>1、经评审委员会评审，通过资格性和符合性审查，且投标报价最低的投标人的投标报价作为评标基准价；</w:t>
            </w:r>
            <w:r>
              <w:rPr>
                <w:rFonts w:hint="eastAsia" w:ascii="宋体" w:hAnsi="宋体" w:eastAsia="宋体" w:cs="宋体"/>
                <w:kern w:val="0"/>
                <w:sz w:val="21"/>
                <w:szCs w:val="21"/>
                <w:lang w:val="en-US" w:eastAsia="zh-CN" w:bidi="ar-SA"/>
              </w:rPr>
              <w:br w:type="textWrapping"/>
            </w:r>
            <w:r>
              <w:rPr>
                <w:rFonts w:hint="eastAsia" w:ascii="宋体" w:hAnsi="宋体" w:eastAsia="宋体" w:cs="宋体"/>
                <w:kern w:val="0"/>
                <w:sz w:val="21"/>
                <w:szCs w:val="21"/>
                <w:lang w:val="en-US" w:eastAsia="zh-CN" w:bidi="ar-SA"/>
              </w:rPr>
              <w:t>2、投标报价得分=(评标基准价/投标报价)*30*100%。</w:t>
            </w:r>
          </w:p>
          <w:p>
            <w:pPr>
              <w:pStyle w:val="2"/>
              <w:rPr>
                <w:rFonts w:hint="eastAsia" w:eastAsia="宋体"/>
                <w:lang w:val="en-US" w:eastAsia="zh-CN"/>
              </w:rPr>
            </w:pPr>
            <w:r>
              <w:rPr>
                <w:rFonts w:hint="eastAsia" w:ascii="宋体" w:hAnsi="宋体" w:cs="宋体"/>
                <w:kern w:val="0"/>
                <w:szCs w:val="21"/>
                <w:lang w:val="en-US" w:eastAsia="zh-CN"/>
              </w:rPr>
              <w:t>3、</w:t>
            </w:r>
            <w:r>
              <w:rPr>
                <w:rFonts w:hint="eastAsia" w:ascii="宋体" w:hAnsi="宋体" w:cs="宋体"/>
                <w:kern w:val="0"/>
                <w:szCs w:val="21"/>
              </w:rPr>
              <w:t>对小型和微型、监狱企业或残疾人福利性单位产品的价格（如涉及）给予10%的价格扣除，用扣除后的价格参与评审。[说明：投标人为监狱企业的，提供由省级以上监狱管理局、戒毒管理局（含新疆生产建设兵团）出具的投标人属于监狱企业的证明文件复印件。]</w:t>
            </w:r>
            <w:r>
              <w:rPr>
                <w:rFonts w:hint="eastAsia" w:ascii="宋体" w:hAnsi="宋体" w:cs="宋体"/>
                <w:kern w:val="0"/>
                <w:szCs w:val="21"/>
              </w:rPr>
              <w:br w:type="textWrapping"/>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宋体" w:hAnsi="宋体" w:cs="宋体" w:eastAsiaTheme="minorEastAsia"/>
                <w:kern w:val="0"/>
                <w:szCs w:val="21"/>
                <w:lang w:eastAsia="zh-CN"/>
              </w:rPr>
            </w:pPr>
            <w:r>
              <w:rPr>
                <w:rFonts w:hint="eastAsia" w:ascii="宋体" w:hAnsi="宋体" w:cs="宋体"/>
                <w:kern w:val="0"/>
                <w:szCs w:val="21"/>
                <w:lang w:eastAsia="zh-CN"/>
              </w:rPr>
              <w:t>评审委员会成员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技术参数、配置及要求</w:t>
            </w:r>
            <w:r>
              <w:rPr>
                <w:rFonts w:ascii="宋体" w:hAnsi="宋体" w:cs="宋体"/>
                <w:kern w:val="0"/>
                <w:szCs w:val="21"/>
              </w:rPr>
              <w:t>28</w:t>
            </w:r>
            <w:r>
              <w:rPr>
                <w:rFonts w:hint="eastAsia" w:ascii="宋体" w:hAnsi="宋体" w:cs="宋体"/>
                <w:kern w:val="0"/>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ascii="宋体" w:hAnsi="宋体" w:cs="宋体"/>
                <w:kern w:val="0"/>
                <w:szCs w:val="21"/>
              </w:rPr>
              <w:t>28</w:t>
            </w:r>
          </w:p>
        </w:tc>
        <w:tc>
          <w:tcPr>
            <w:tcW w:w="5528" w:type="dxa"/>
            <w:tcBorders>
              <w:top w:val="single" w:color="auto" w:sz="4" w:space="0"/>
              <w:left w:val="single" w:color="auto" w:sz="4" w:space="0"/>
              <w:bottom w:val="single" w:color="auto" w:sz="4" w:space="0"/>
              <w:right w:val="single" w:color="auto" w:sz="4" w:space="0"/>
            </w:tcBorders>
            <w:vAlign w:val="center"/>
          </w:tcPr>
          <w:p>
            <w:pPr>
              <w:pStyle w:val="2"/>
              <w:rPr>
                <w:rFonts w:ascii="宋体" w:hAnsi="宋体"/>
                <w:sz w:val="21"/>
                <w:szCs w:val="21"/>
              </w:rPr>
            </w:pPr>
            <w:r>
              <w:rPr>
                <w:rFonts w:hint="eastAsia" w:ascii="宋体" w:hAnsi="宋体"/>
                <w:sz w:val="21"/>
                <w:szCs w:val="21"/>
              </w:rPr>
              <w:t>非带★号得分规则：投标产品技术参数完全满足招标文件“技术参数”得28分（合计70条），每有一项不满足扣0.4分，直至扣完为止。</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宋体" w:hAnsi="宋体" w:cs="宋体" w:eastAsiaTheme="minorEastAsia"/>
                <w:kern w:val="0"/>
                <w:szCs w:val="21"/>
                <w:lang w:eastAsia="zh-CN"/>
              </w:rPr>
            </w:pPr>
            <w:r>
              <w:rPr>
                <w:rFonts w:hint="eastAsia" w:ascii="宋体" w:hAnsi="宋体" w:cs="宋体"/>
                <w:kern w:val="0"/>
                <w:szCs w:val="21"/>
              </w:rPr>
              <w:t>技术</w:t>
            </w:r>
            <w:r>
              <w:rPr>
                <w:rFonts w:hint="eastAsia" w:ascii="宋体" w:hAnsi="宋体" w:cs="宋体"/>
                <w:kern w:val="0"/>
                <w:szCs w:val="21"/>
                <w:lang w:eastAsia="zh-CN"/>
              </w:rPr>
              <w:t>类评审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0"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项目实施方案5%</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5</w:t>
            </w: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p>
            <w:pPr>
              <w:pStyle w:val="2"/>
              <w:rPr>
                <w:rFonts w:ascii="宋体" w:hAnsi="宋体"/>
                <w:sz w:val="21"/>
                <w:szCs w:val="21"/>
              </w:rPr>
            </w:pPr>
            <w:r>
              <w:rPr>
                <w:rFonts w:hint="eastAsia" w:ascii="宋体" w:hAnsi="宋体"/>
                <w:sz w:val="21"/>
                <w:szCs w:val="21"/>
              </w:rPr>
              <w:t>评审小组根据投标人的项目实施方案（具体包括①人员组织安排；②进度管理；③质量保证；④履约验收；⑤布局设计等）进行评审：方案完善、具有针对性且不存在不适用项目实际情况的情形，不存在凭空编造、逻辑漏洞、科学原理错误以及不可能实现的夸大情形等情况的得</w:t>
            </w:r>
            <w:r>
              <w:rPr>
                <w:rFonts w:ascii="宋体" w:hAnsi="宋体"/>
                <w:sz w:val="21"/>
                <w:szCs w:val="21"/>
              </w:rPr>
              <w:t>5</w:t>
            </w:r>
            <w:r>
              <w:rPr>
                <w:rFonts w:hint="eastAsia" w:ascii="宋体" w:hAnsi="宋体"/>
                <w:sz w:val="21"/>
                <w:szCs w:val="21"/>
              </w:rPr>
              <w:t>分，</w:t>
            </w:r>
            <w:r>
              <w:rPr>
                <w:rFonts w:hint="eastAsia" w:ascii="宋体" w:hAnsi="宋体"/>
                <w:sz w:val="21"/>
                <w:szCs w:val="21"/>
                <w:lang w:eastAsia="zh-CN"/>
              </w:rPr>
              <w:t>缺一项</w:t>
            </w:r>
            <w:r>
              <w:rPr>
                <w:rFonts w:hint="eastAsia" w:ascii="宋体" w:hAnsi="宋体"/>
                <w:sz w:val="21"/>
                <w:szCs w:val="21"/>
              </w:rPr>
              <w:t>扣</w:t>
            </w:r>
            <w:r>
              <w:rPr>
                <w:rFonts w:ascii="宋体" w:hAnsi="宋体"/>
                <w:sz w:val="21"/>
                <w:szCs w:val="21"/>
              </w:rPr>
              <w:t>1</w:t>
            </w:r>
            <w:r>
              <w:rPr>
                <w:rFonts w:hint="eastAsia" w:ascii="宋体" w:hAnsi="宋体"/>
                <w:sz w:val="21"/>
                <w:szCs w:val="21"/>
              </w:rPr>
              <w:t>分，</w:t>
            </w:r>
            <w:r>
              <w:rPr>
                <w:rFonts w:hint="eastAsia" w:ascii="宋体" w:hAnsi="宋体"/>
                <w:sz w:val="21"/>
                <w:szCs w:val="21"/>
                <w:lang w:eastAsia="zh-CN"/>
              </w:rPr>
              <w:t>每有一项不满足</w:t>
            </w:r>
            <w:r>
              <w:rPr>
                <w:rFonts w:hint="eastAsia" w:ascii="宋体" w:hAnsi="宋体"/>
                <w:sz w:val="21"/>
                <w:szCs w:val="21"/>
              </w:rPr>
              <w:t>扣</w:t>
            </w:r>
            <w:r>
              <w:rPr>
                <w:rFonts w:hint="eastAsia" w:ascii="宋体" w:hAnsi="宋体"/>
                <w:sz w:val="21"/>
                <w:szCs w:val="21"/>
                <w:lang w:val="en-US" w:eastAsia="zh-CN"/>
              </w:rPr>
              <w:t>0.5分，扣</w:t>
            </w:r>
            <w:r>
              <w:rPr>
                <w:rFonts w:hint="eastAsia" w:ascii="宋体" w:hAnsi="宋体"/>
                <w:sz w:val="21"/>
                <w:szCs w:val="21"/>
              </w:rPr>
              <w:t>完为止。没有提供项目施工方案的不得分。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技术</w:t>
            </w:r>
            <w:r>
              <w:rPr>
                <w:rFonts w:hint="eastAsia" w:ascii="宋体" w:hAnsi="宋体" w:cs="宋体"/>
                <w:kern w:val="0"/>
                <w:szCs w:val="21"/>
                <w:lang w:eastAsia="zh-CN"/>
              </w:rPr>
              <w:t>类评审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4</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售后服务方案5%</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5</w:t>
            </w: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p>
            <w:pPr>
              <w:pStyle w:val="2"/>
              <w:rPr>
                <w:rFonts w:ascii="宋体" w:hAnsi="宋体"/>
                <w:sz w:val="21"/>
                <w:szCs w:val="21"/>
              </w:rPr>
            </w:pPr>
            <w:r>
              <w:rPr>
                <w:rFonts w:hint="eastAsia" w:ascii="宋体" w:hAnsi="宋体"/>
                <w:sz w:val="21"/>
                <w:szCs w:val="21"/>
              </w:rPr>
              <w:t>评审小组根据各投标人的售后服务方案（具体包括①响应机制及时间；②响应保障；③备机/备件供应；④现场巡检；⑤培训方案等）进行评审：方案完善、具有针对性且不存在不适用项目实际情况的情形，不存在凭空编造、逻辑漏洞、科学原理错误以及不可能实现的夸大情形等情况的得</w:t>
            </w:r>
            <w:r>
              <w:rPr>
                <w:rFonts w:ascii="宋体" w:hAnsi="宋体"/>
                <w:sz w:val="21"/>
                <w:szCs w:val="21"/>
              </w:rPr>
              <w:t>5</w:t>
            </w:r>
            <w:r>
              <w:rPr>
                <w:rFonts w:hint="eastAsia" w:ascii="宋体" w:hAnsi="宋体"/>
                <w:sz w:val="21"/>
                <w:szCs w:val="21"/>
              </w:rPr>
              <w:t>分，</w:t>
            </w:r>
            <w:r>
              <w:rPr>
                <w:rFonts w:hint="eastAsia" w:ascii="宋体" w:hAnsi="宋体"/>
                <w:sz w:val="21"/>
                <w:szCs w:val="21"/>
                <w:lang w:eastAsia="zh-CN"/>
              </w:rPr>
              <w:t>缺一项</w:t>
            </w:r>
            <w:r>
              <w:rPr>
                <w:rFonts w:hint="eastAsia" w:ascii="宋体" w:hAnsi="宋体"/>
                <w:sz w:val="21"/>
                <w:szCs w:val="21"/>
              </w:rPr>
              <w:t>扣</w:t>
            </w:r>
            <w:r>
              <w:rPr>
                <w:rFonts w:ascii="宋体" w:hAnsi="宋体"/>
                <w:sz w:val="21"/>
                <w:szCs w:val="21"/>
              </w:rPr>
              <w:t>1</w:t>
            </w:r>
            <w:r>
              <w:rPr>
                <w:rFonts w:hint="eastAsia" w:ascii="宋体" w:hAnsi="宋体"/>
                <w:sz w:val="21"/>
                <w:szCs w:val="21"/>
              </w:rPr>
              <w:t>分，</w:t>
            </w:r>
            <w:r>
              <w:rPr>
                <w:rFonts w:hint="eastAsia" w:ascii="宋体" w:hAnsi="宋体"/>
                <w:sz w:val="21"/>
                <w:szCs w:val="21"/>
                <w:lang w:eastAsia="zh-CN"/>
              </w:rPr>
              <w:t>每有一项不满足</w:t>
            </w:r>
            <w:r>
              <w:rPr>
                <w:rFonts w:hint="eastAsia" w:ascii="宋体" w:hAnsi="宋体"/>
                <w:sz w:val="21"/>
                <w:szCs w:val="21"/>
              </w:rPr>
              <w:t>扣</w:t>
            </w:r>
            <w:r>
              <w:rPr>
                <w:rFonts w:hint="eastAsia" w:ascii="宋体" w:hAnsi="宋体"/>
                <w:sz w:val="21"/>
                <w:szCs w:val="21"/>
                <w:lang w:val="en-US" w:eastAsia="zh-CN"/>
              </w:rPr>
              <w:t>0.5分，扣</w:t>
            </w:r>
            <w:r>
              <w:rPr>
                <w:rFonts w:hint="eastAsia" w:ascii="宋体" w:hAnsi="宋体"/>
                <w:sz w:val="21"/>
                <w:szCs w:val="21"/>
              </w:rPr>
              <w:t>完为止。没有提供售后服务方案的不得分。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技术</w:t>
            </w:r>
            <w:r>
              <w:rPr>
                <w:rFonts w:hint="eastAsia" w:ascii="宋体" w:hAnsi="宋体" w:cs="宋体"/>
                <w:kern w:val="0"/>
                <w:szCs w:val="21"/>
                <w:lang w:eastAsia="zh-CN"/>
              </w:rPr>
              <w:t>类评审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653" w:type="dxa"/>
            <w:vMerge w:val="restart"/>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5</w:t>
            </w:r>
          </w:p>
        </w:tc>
        <w:tc>
          <w:tcPr>
            <w:tcW w:w="1185" w:type="dxa"/>
            <w:vMerge w:val="restart"/>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主要投标产品制造商服务水平2</w:t>
            </w:r>
            <w:r>
              <w:rPr>
                <w:rFonts w:ascii="宋体" w:hAnsi="宋体" w:cs="宋体"/>
                <w:kern w:val="0"/>
                <w:szCs w:val="21"/>
              </w:rPr>
              <w:t>2</w:t>
            </w:r>
            <w:r>
              <w:rPr>
                <w:rFonts w:hint="eastAsia" w:ascii="宋体" w:hAnsi="宋体" w:cs="宋体"/>
                <w:kern w:val="0"/>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ascii="宋体" w:hAnsi="宋体" w:cs="宋体"/>
                <w:kern w:val="0"/>
                <w:szCs w:val="21"/>
              </w:rPr>
              <w:t>3</w:t>
            </w: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具有投标产品“图形工作站、P4全彩LED屏”的制造商出具的售后服务承诺书原件，每有一个得1</w:t>
            </w:r>
            <w:r>
              <w:rPr>
                <w:rFonts w:ascii="宋体" w:hAnsi="宋体" w:cs="宋体"/>
                <w:kern w:val="0"/>
                <w:szCs w:val="21"/>
              </w:rPr>
              <w:t>.5分，无或不提供不得分</w:t>
            </w:r>
            <w:r>
              <w:rPr>
                <w:rFonts w:hint="eastAsia" w:ascii="宋体" w:hAnsi="宋体" w:cs="宋体"/>
                <w:kern w:val="0"/>
                <w:szCs w:val="21"/>
              </w:rPr>
              <w:t>。</w:t>
            </w:r>
          </w:p>
        </w:tc>
        <w:tc>
          <w:tcPr>
            <w:tcW w:w="850" w:type="dxa"/>
            <w:vMerge w:val="restart"/>
            <w:tcBorders>
              <w:top w:val="single" w:color="auto" w:sz="4" w:space="0"/>
              <w:left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lang w:eastAsia="zh-CN"/>
              </w:rPr>
              <w:t>评审委员会成员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65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投标“P4全彩LED屏”生产厂商具有：软件开发成熟度模型认证证书，5级的得3分，4级得2分，3级得1分，其他级或未提供得0分。（提供证书复印件并加盖投标人公章）</w:t>
            </w:r>
          </w:p>
        </w:tc>
        <w:tc>
          <w:tcPr>
            <w:tcW w:w="850" w:type="dxa"/>
            <w:vMerge w:val="continue"/>
            <w:tcBorders>
              <w:left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3" w:hRule="atLeast"/>
          <w:jc w:val="center"/>
        </w:trPr>
        <w:tc>
          <w:tcPr>
            <w:tcW w:w="65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ascii="宋体" w:hAnsi="宋体" w:cs="宋体"/>
                <w:kern w:val="0"/>
                <w:szCs w:val="21"/>
              </w:rPr>
              <w:t>2</w:t>
            </w: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投标“P4全彩LED屏”生产厂商具有：有害物质过程控制管理体系认证证书，具有得</w:t>
            </w:r>
            <w:r>
              <w:rPr>
                <w:rFonts w:ascii="宋体" w:hAnsi="宋体" w:cs="宋体"/>
                <w:kern w:val="0"/>
                <w:szCs w:val="21"/>
              </w:rPr>
              <w:t>2</w:t>
            </w:r>
            <w:r>
              <w:rPr>
                <w:rFonts w:hint="eastAsia" w:ascii="宋体" w:hAnsi="宋体" w:cs="宋体"/>
                <w:kern w:val="0"/>
                <w:szCs w:val="21"/>
              </w:rPr>
              <w:t>分，无或未提供得0分。（提供证书复印件并加盖投标人公章）</w:t>
            </w:r>
          </w:p>
        </w:tc>
        <w:tc>
          <w:tcPr>
            <w:tcW w:w="850" w:type="dxa"/>
            <w:vMerge w:val="continue"/>
            <w:tcBorders>
              <w:left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65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ascii="宋体" w:hAnsi="宋体" w:cs="宋体"/>
                <w:kern w:val="0"/>
                <w:szCs w:val="21"/>
              </w:rPr>
              <w:t>2</w:t>
            </w: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投标“P4全彩LED屏”生产厂商具有：信息技术服务运维服务能力成熟度模型等级评估认证证书的得</w:t>
            </w:r>
            <w:r>
              <w:rPr>
                <w:rFonts w:ascii="宋体" w:hAnsi="宋体" w:cs="宋体"/>
                <w:kern w:val="0"/>
                <w:szCs w:val="21"/>
              </w:rPr>
              <w:t>2</w:t>
            </w:r>
            <w:r>
              <w:rPr>
                <w:rFonts w:hint="eastAsia" w:ascii="宋体" w:hAnsi="宋体" w:cs="宋体"/>
                <w:kern w:val="0"/>
                <w:szCs w:val="21"/>
              </w:rPr>
              <w:t>分，无或未提供得0分。（提供证书复印件并加盖投标人公章）</w:t>
            </w:r>
          </w:p>
        </w:tc>
        <w:tc>
          <w:tcPr>
            <w:tcW w:w="850" w:type="dxa"/>
            <w:vMerge w:val="continue"/>
            <w:tcBorders>
              <w:left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65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投标“P4全彩LED屏”生产厂商具有：商品售后服务评价认证证书，5星级得3分，4星级得2分，3星级得1分，无或未提供得0分。（提供证书复印件并加盖投标人公章）</w:t>
            </w:r>
          </w:p>
        </w:tc>
        <w:tc>
          <w:tcPr>
            <w:tcW w:w="850" w:type="dxa"/>
            <w:vMerge w:val="continue"/>
            <w:tcBorders>
              <w:left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5" w:hRule="atLeast"/>
          <w:jc w:val="center"/>
        </w:trPr>
        <w:tc>
          <w:tcPr>
            <w:tcW w:w="65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ascii="宋体" w:hAnsi="宋体" w:cs="宋体"/>
                <w:kern w:val="0"/>
                <w:szCs w:val="21"/>
              </w:rPr>
              <w:t>3</w:t>
            </w: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投标“P4全彩LED屏”生产厂商具有：标准化良好行为证书，5A级的得3分，4A级的得2分，</w:t>
            </w:r>
            <w:r>
              <w:rPr>
                <w:rFonts w:ascii="宋体" w:hAnsi="宋体" w:cs="宋体"/>
                <w:kern w:val="0"/>
                <w:szCs w:val="21"/>
              </w:rPr>
              <w:t>3</w:t>
            </w:r>
            <w:r>
              <w:rPr>
                <w:rFonts w:hint="eastAsia" w:ascii="宋体" w:hAnsi="宋体" w:cs="宋体"/>
                <w:kern w:val="0"/>
                <w:szCs w:val="21"/>
              </w:rPr>
              <w:t>A级的得</w:t>
            </w:r>
            <w:r>
              <w:rPr>
                <w:rFonts w:ascii="宋体" w:hAnsi="宋体" w:cs="宋体"/>
                <w:kern w:val="0"/>
                <w:szCs w:val="21"/>
              </w:rPr>
              <w:t>1</w:t>
            </w:r>
            <w:r>
              <w:rPr>
                <w:rFonts w:hint="eastAsia" w:ascii="宋体" w:hAnsi="宋体" w:cs="宋体"/>
                <w:kern w:val="0"/>
                <w:szCs w:val="21"/>
              </w:rPr>
              <w:t>分，无或未提供得0分。。（提供证书复印件并加盖投标人公章）</w:t>
            </w:r>
          </w:p>
        </w:tc>
        <w:tc>
          <w:tcPr>
            <w:tcW w:w="850" w:type="dxa"/>
            <w:vMerge w:val="continue"/>
            <w:tcBorders>
              <w:left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65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投标“图形工作站”生产厂商具有：国家信息安全服务资质认证证书(中国信息安全测评中心)，1级的得3分，2级的得2分，3级得1分，无或未提供得0分。（提供证书复印件并加盖投标人公章）</w:t>
            </w:r>
          </w:p>
        </w:tc>
        <w:tc>
          <w:tcPr>
            <w:tcW w:w="850" w:type="dxa"/>
            <w:vMerge w:val="continue"/>
            <w:tcBorders>
              <w:left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65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ascii="宋体" w:hAnsi="宋体" w:cs="宋体"/>
                <w:kern w:val="0"/>
                <w:szCs w:val="21"/>
              </w:rPr>
              <w:t>1</w:t>
            </w: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投标“图形工作站”生产厂商具有：软件开发成熟度模型认证证书的得</w:t>
            </w:r>
            <w:r>
              <w:rPr>
                <w:rFonts w:ascii="宋体" w:hAnsi="宋体" w:cs="宋体"/>
                <w:kern w:val="0"/>
                <w:szCs w:val="21"/>
              </w:rPr>
              <w:t>1</w:t>
            </w:r>
            <w:r>
              <w:rPr>
                <w:rFonts w:hint="eastAsia" w:ascii="宋体" w:hAnsi="宋体" w:cs="宋体"/>
                <w:kern w:val="0"/>
                <w:szCs w:val="21"/>
              </w:rPr>
              <w:t>分，无或未提供得0分。（提供证书复印件并加盖投标人公章）</w:t>
            </w:r>
          </w:p>
        </w:tc>
        <w:tc>
          <w:tcPr>
            <w:tcW w:w="850" w:type="dxa"/>
            <w:vMerge w:val="continue"/>
            <w:tcBorders>
              <w:left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65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ascii="宋体" w:hAnsi="宋体" w:cs="宋体"/>
                <w:kern w:val="0"/>
                <w:szCs w:val="21"/>
              </w:rPr>
              <w:t>2</w:t>
            </w: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投标“图形工作站”生产厂商具有：信息技术服务运维服务能力成熟度模型等级评估认证证书：1级的得</w:t>
            </w:r>
            <w:r>
              <w:rPr>
                <w:rFonts w:ascii="宋体" w:hAnsi="宋体" w:cs="宋体"/>
                <w:kern w:val="0"/>
                <w:szCs w:val="21"/>
              </w:rPr>
              <w:t>2</w:t>
            </w:r>
            <w:r>
              <w:rPr>
                <w:rFonts w:hint="eastAsia" w:ascii="宋体" w:hAnsi="宋体" w:cs="宋体"/>
                <w:kern w:val="0"/>
                <w:szCs w:val="21"/>
              </w:rPr>
              <w:t>分，2级的得</w:t>
            </w:r>
            <w:r>
              <w:rPr>
                <w:rFonts w:ascii="宋体" w:hAnsi="宋体" w:cs="宋体"/>
                <w:kern w:val="0"/>
                <w:szCs w:val="21"/>
              </w:rPr>
              <w:t>1</w:t>
            </w:r>
            <w:r>
              <w:rPr>
                <w:rFonts w:hint="eastAsia" w:ascii="宋体" w:hAnsi="宋体" w:cs="宋体"/>
                <w:kern w:val="0"/>
                <w:szCs w:val="21"/>
              </w:rPr>
              <w:t>，3级的得</w:t>
            </w:r>
            <w:r>
              <w:rPr>
                <w:rFonts w:ascii="宋体" w:hAnsi="宋体" w:cs="宋体"/>
                <w:kern w:val="0"/>
                <w:szCs w:val="21"/>
              </w:rPr>
              <w:t>0</w:t>
            </w:r>
            <w:r>
              <w:rPr>
                <w:rFonts w:hint="eastAsia" w:ascii="宋体" w:hAnsi="宋体" w:cs="宋体"/>
                <w:kern w:val="0"/>
                <w:szCs w:val="21"/>
              </w:rPr>
              <w:t>.</w:t>
            </w:r>
            <w:r>
              <w:rPr>
                <w:rFonts w:ascii="宋体" w:hAnsi="宋体" w:cs="宋体"/>
                <w:kern w:val="0"/>
                <w:szCs w:val="21"/>
              </w:rPr>
              <w:t>5</w:t>
            </w:r>
            <w:r>
              <w:rPr>
                <w:rFonts w:hint="eastAsia" w:ascii="宋体" w:hAnsi="宋体" w:cs="宋体"/>
                <w:kern w:val="0"/>
                <w:szCs w:val="21"/>
              </w:rPr>
              <w:t>分，无或未提供得0分。（提供证书复印件并加盖投标人公章）</w:t>
            </w:r>
          </w:p>
        </w:tc>
        <w:tc>
          <w:tcPr>
            <w:tcW w:w="850" w:type="dxa"/>
            <w:vMerge w:val="continue"/>
            <w:tcBorders>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6</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投标人服务水平3%</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投标人有效的：</w:t>
            </w:r>
            <w:r>
              <w:rPr>
                <w:rFonts w:hint="eastAsia" w:ascii="宋体" w:hAnsi="宋体" w:cs="宋体"/>
                <w:kern w:val="0"/>
                <w:szCs w:val="21"/>
              </w:rPr>
              <w:br w:type="textWrapping"/>
            </w:r>
            <w:r>
              <w:rPr>
                <w:rFonts w:hint="eastAsia" w:ascii="宋体" w:hAnsi="宋体" w:cs="宋体"/>
                <w:kern w:val="0"/>
                <w:szCs w:val="21"/>
              </w:rPr>
              <w:t>①《质量管理体系认证证书》②《环境管理体系认证证书》③《职业健康安全管理体系认证证书》；齐全得3分，每缺1个扣1分。（提供证书复印件并加盖投标人公章）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lang w:eastAsia="zh-CN"/>
              </w:rPr>
              <w:t>评审委员会成员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7</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履约经验2%</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w:t>
            </w: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2020年1月1日（含）以来，投标人具有类似业绩，每有1个得1分，最多得2分。（提供合同及中标通知书复印件并加盖投标人公章）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lang w:eastAsia="zh-CN"/>
              </w:rPr>
              <w:t>技术类评审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8</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节能、环境标志、无线局域网产品4%</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4</w:t>
            </w: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 xml:space="preserve">投标人提供的投标产品中（除属于节能产品政府采购品目清单中的政府强制采购产品外）每有一项产品具有国家确定的认证机构出具的节能产品认证证书的得0.5分；投标人投标产品中每有一项产品具有国家确定的认证机构出具的环境标志产品认证证书的得0.5分；投标人投标产品中如果有属于无线局域网认证产品政府采购清单（最新一期）中采购目录范围的得0.5分。（本项最多得4分。无线局域网认证产品提供清单复印件，节能产品、环境标志产品提供证书复印件并加盖投标人公章） </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lang w:eastAsia="zh-CN"/>
              </w:rPr>
              <w:t>评审委员会成员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9</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少数民族地区和不发达地区1%</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w:t>
            </w: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投标人属于少数民族地区或不发达地区的企业的得1分。（提供</w:t>
            </w:r>
            <w:r>
              <w:rPr>
                <w:rFonts w:hint="eastAsia" w:ascii="宋体" w:hAnsi="宋体" w:cs="宋体"/>
                <w:kern w:val="0"/>
                <w:szCs w:val="21"/>
                <w:lang w:eastAsia="zh-CN"/>
              </w:rPr>
              <w:t>承诺函</w:t>
            </w:r>
            <w:r>
              <w:rPr>
                <w:rFonts w:hint="eastAsia" w:ascii="宋体" w:hAnsi="宋体" w:cs="宋体"/>
                <w:kern w:val="0"/>
                <w:szCs w:val="21"/>
              </w:rPr>
              <w:t>并加盖投标人公章，未提供不得分。）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lang w:eastAsia="zh-CN"/>
              </w:rPr>
              <w:t>评审委员会成员</w:t>
            </w:r>
          </w:p>
        </w:tc>
      </w:tr>
    </w:tbl>
    <w:p>
      <w:pPr>
        <w:rPr>
          <w:rFonts w:hint="eastAsia" w:ascii="宋体" w:hAnsi="宋体" w:eastAsiaTheme="minorEastAsia"/>
          <w:color w:val="auto"/>
          <w:sz w:val="28"/>
          <w:lang w:eastAsia="zh-CN"/>
        </w:rPr>
      </w:pPr>
    </w:p>
    <w:p>
      <w:pPr>
        <w:rPr>
          <w:rFonts w:ascii="宋体" w:hAnsi="宋体"/>
          <w:color w:val="auto"/>
          <w:sz w:val="28"/>
        </w:rPr>
      </w:pPr>
      <w:r>
        <w:rPr>
          <w:rFonts w:hint="eastAsia" w:ascii="宋体" w:hAnsi="宋体"/>
          <w:color w:val="auto"/>
          <w:sz w:val="28"/>
        </w:rPr>
        <w:t>说明：</w:t>
      </w:r>
    </w:p>
    <w:p>
      <w:pPr>
        <w:spacing w:line="360" w:lineRule="auto"/>
        <w:ind w:firstLine="560" w:firstLineChars="200"/>
        <w:rPr>
          <w:rFonts w:ascii="宋体" w:hAnsi="宋体"/>
          <w:color w:val="auto"/>
          <w:sz w:val="28"/>
        </w:rPr>
      </w:pPr>
      <w:r>
        <w:rPr>
          <w:rFonts w:hint="eastAsia" w:ascii="宋体" w:hAnsi="宋体"/>
          <w:color w:val="auto"/>
          <w:sz w:val="28"/>
        </w:rPr>
        <w:t>1、评分的取值按四舍五入法，保留小数点后两位；</w:t>
      </w:r>
    </w:p>
    <w:p>
      <w:pPr>
        <w:spacing w:line="360" w:lineRule="auto"/>
        <w:ind w:firstLine="560" w:firstLineChars="200"/>
        <w:rPr>
          <w:rFonts w:ascii="宋体" w:hAnsi="宋体"/>
          <w:color w:val="auto"/>
          <w:sz w:val="28"/>
        </w:rPr>
      </w:pPr>
      <w:r>
        <w:rPr>
          <w:rFonts w:hint="eastAsia" w:ascii="宋体" w:hAnsi="宋体"/>
          <w:color w:val="auto"/>
          <w:sz w:val="28"/>
        </w:rPr>
        <w:t>2、评分标准中要求提供复印件的证明材料须清晰可辨。</w:t>
      </w:r>
    </w:p>
    <w:p>
      <w:pPr>
        <w:pStyle w:val="5"/>
        <w:numPr>
          <w:ilvl w:val="1"/>
          <w:numId w:val="3"/>
        </w:numPr>
        <w:spacing w:before="0" w:after="0"/>
        <w:rPr>
          <w:color w:val="auto"/>
        </w:rPr>
      </w:pPr>
      <w:bookmarkStart w:id="172" w:name="_Toc320624285"/>
      <w:bookmarkEnd w:id="172"/>
      <w:bookmarkStart w:id="173" w:name="_Toc320624255"/>
      <w:bookmarkEnd w:id="173"/>
      <w:bookmarkStart w:id="174" w:name="_Toc315871657"/>
      <w:bookmarkEnd w:id="174"/>
      <w:bookmarkStart w:id="175" w:name="_Toc320624290"/>
      <w:bookmarkEnd w:id="175"/>
      <w:bookmarkStart w:id="176" w:name="_Toc315871725"/>
      <w:bookmarkEnd w:id="176"/>
      <w:bookmarkStart w:id="177" w:name="_Toc320624260"/>
      <w:bookmarkEnd w:id="177"/>
      <w:bookmarkStart w:id="178" w:name="_Toc320624280"/>
      <w:bookmarkEnd w:id="178"/>
      <w:bookmarkStart w:id="179" w:name="_Toc320624240"/>
      <w:bookmarkEnd w:id="179"/>
      <w:bookmarkStart w:id="180" w:name="_Toc318206701"/>
      <w:bookmarkEnd w:id="180"/>
      <w:bookmarkStart w:id="181" w:name="_Toc315871656"/>
      <w:bookmarkEnd w:id="181"/>
      <w:bookmarkStart w:id="182" w:name="_Toc320624265"/>
      <w:bookmarkEnd w:id="182"/>
      <w:bookmarkStart w:id="183" w:name="_Toc320624275"/>
      <w:bookmarkEnd w:id="183"/>
      <w:bookmarkStart w:id="184" w:name="_Toc315871658"/>
      <w:bookmarkEnd w:id="184"/>
      <w:bookmarkStart w:id="185" w:name="_Toc320624295"/>
      <w:bookmarkEnd w:id="185"/>
      <w:bookmarkStart w:id="186" w:name="_Toc315871726"/>
      <w:bookmarkStart w:id="187" w:name="_Toc316292258"/>
      <w:bookmarkStart w:id="188" w:name="_Toc28167"/>
      <w:bookmarkStart w:id="189" w:name="_Toc217446060"/>
      <w:r>
        <w:rPr>
          <w:rFonts w:hint="eastAsia"/>
          <w:color w:val="auto"/>
        </w:rPr>
        <w:t>废标</w:t>
      </w:r>
      <w:bookmarkEnd w:id="186"/>
      <w:bookmarkEnd w:id="187"/>
      <w:bookmarkEnd w:id="188"/>
    </w:p>
    <w:p>
      <w:pPr>
        <w:spacing w:line="360" w:lineRule="auto"/>
        <w:ind w:firstLine="560" w:firstLineChars="200"/>
        <w:rPr>
          <w:rFonts w:ascii="宋体" w:hAnsi="宋体"/>
          <w:color w:val="auto"/>
          <w:sz w:val="28"/>
          <w:szCs w:val="28"/>
        </w:rPr>
      </w:pPr>
      <w:r>
        <w:rPr>
          <w:rFonts w:hint="eastAsia" w:ascii="宋体" w:hAnsi="宋体"/>
          <w:color w:val="auto"/>
          <w:sz w:val="28"/>
          <w:szCs w:val="28"/>
        </w:rPr>
        <w:t>本次政府采购活动中，出现下列情形之一的，予以废标：</w:t>
      </w:r>
    </w:p>
    <w:p>
      <w:pPr>
        <w:widowControl w:val="0"/>
        <w:numPr>
          <w:ilvl w:val="0"/>
          <w:numId w:val="43"/>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符合专业条件的投标人或者对招标文件作实质响应的投标人不足三家的；</w:t>
      </w:r>
    </w:p>
    <w:p>
      <w:pPr>
        <w:widowControl w:val="0"/>
        <w:numPr>
          <w:ilvl w:val="0"/>
          <w:numId w:val="43"/>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出现影响采购公正的违法、违规行为的；</w:t>
      </w:r>
    </w:p>
    <w:p>
      <w:pPr>
        <w:widowControl w:val="0"/>
        <w:numPr>
          <w:ilvl w:val="0"/>
          <w:numId w:val="43"/>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投标人的报价均超过了采购预算，采购人不能支付的；</w:t>
      </w:r>
    </w:p>
    <w:p>
      <w:pPr>
        <w:widowControl w:val="0"/>
        <w:numPr>
          <w:ilvl w:val="0"/>
          <w:numId w:val="43"/>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因重大变故，采购任务取消的；</w:t>
      </w:r>
    </w:p>
    <w:p>
      <w:pPr>
        <w:widowControl w:val="0"/>
        <w:numPr>
          <w:ilvl w:val="0"/>
          <w:numId w:val="43"/>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废标后，</w:t>
      </w:r>
      <w:r>
        <w:rPr>
          <w:rFonts w:hint="eastAsia" w:ascii="宋体" w:hAnsi="宋体"/>
          <w:color w:val="auto"/>
          <w:sz w:val="28"/>
          <w:szCs w:val="28"/>
          <w:lang w:eastAsia="zh-CN"/>
        </w:rPr>
        <w:t>崇</w:t>
      </w:r>
      <w:r>
        <w:rPr>
          <w:rFonts w:hint="eastAsia" w:ascii="宋体" w:hAnsi="宋体"/>
          <w:color w:val="auto"/>
          <w:sz w:val="28"/>
          <w:szCs w:val="28"/>
        </w:rPr>
        <w:t>公资交易中心将在“四川政府采购网”和“成都市公共资源交易服务中心”网站上公告。</w:t>
      </w:r>
    </w:p>
    <w:p>
      <w:pPr>
        <w:pStyle w:val="5"/>
        <w:numPr>
          <w:ilvl w:val="1"/>
          <w:numId w:val="3"/>
        </w:numPr>
        <w:spacing w:before="0" w:after="0"/>
        <w:rPr>
          <w:color w:val="auto"/>
        </w:rPr>
      </w:pPr>
      <w:bookmarkStart w:id="190" w:name="_Toc316292259"/>
      <w:bookmarkStart w:id="191" w:name="_Toc7655"/>
      <w:bookmarkStart w:id="192" w:name="_Toc315871727"/>
      <w:r>
        <w:rPr>
          <w:rFonts w:hint="eastAsia"/>
          <w:color w:val="auto"/>
        </w:rPr>
        <w:t>定标</w:t>
      </w:r>
      <w:bookmarkEnd w:id="189"/>
      <w:bookmarkEnd w:id="190"/>
      <w:bookmarkEnd w:id="191"/>
      <w:bookmarkEnd w:id="192"/>
      <w:bookmarkStart w:id="193" w:name="_Toc217446061"/>
    </w:p>
    <w:p>
      <w:pPr>
        <w:pStyle w:val="6"/>
        <w:numPr>
          <w:ilvl w:val="2"/>
          <w:numId w:val="3"/>
        </w:numPr>
        <w:ind w:left="0" w:firstLine="0"/>
        <w:rPr>
          <w:color w:val="auto"/>
        </w:rPr>
      </w:pPr>
      <w:bookmarkStart w:id="194" w:name="_Toc315871728"/>
      <w:bookmarkStart w:id="195" w:name="_Toc316292260"/>
      <w:r>
        <w:rPr>
          <w:rFonts w:hint="eastAsia"/>
          <w:color w:val="auto"/>
        </w:rPr>
        <w:t>定标原则</w:t>
      </w:r>
      <w:bookmarkEnd w:id="193"/>
      <w:bookmarkEnd w:id="194"/>
      <w:bookmarkEnd w:id="195"/>
    </w:p>
    <w:p>
      <w:pPr>
        <w:spacing w:line="360" w:lineRule="auto"/>
        <w:ind w:firstLine="560" w:firstLineChars="200"/>
        <w:rPr>
          <w:rFonts w:ascii="宋体" w:hAnsi="宋体"/>
          <w:color w:val="auto"/>
          <w:sz w:val="28"/>
          <w:szCs w:val="28"/>
        </w:rPr>
      </w:pPr>
      <w:bookmarkStart w:id="196" w:name="_Toc316292261"/>
      <w:bookmarkStart w:id="197" w:name="_Toc217446062"/>
      <w:bookmarkStart w:id="198" w:name="_Toc315871729"/>
      <w:r>
        <w:rPr>
          <w:rFonts w:hint="eastAsia" w:ascii="宋体" w:hAnsi="宋体"/>
          <w:color w:val="auto"/>
          <w:sz w:val="28"/>
          <w:szCs w:val="28"/>
        </w:rPr>
        <w:t>本项目根据评标委员会确定的中标候选人名单，采购人按顺序确定1名中标人。中标候选供应商并列的，</w:t>
      </w:r>
      <w:r>
        <w:rPr>
          <w:rFonts w:hint="eastAsia" w:ascii="宋体"/>
          <w:color w:val="auto"/>
          <w:sz w:val="28"/>
          <w:szCs w:val="28"/>
        </w:rPr>
        <w:t>由采购人自主采取公平、择优的方式选择中标人</w:t>
      </w:r>
      <w:r>
        <w:rPr>
          <w:rFonts w:hint="eastAsia" w:ascii="宋体" w:hAnsi="宋体"/>
          <w:color w:val="auto"/>
          <w:sz w:val="28"/>
          <w:szCs w:val="28"/>
        </w:rPr>
        <w:t>。</w:t>
      </w:r>
    </w:p>
    <w:p>
      <w:pPr>
        <w:spacing w:line="360" w:lineRule="auto"/>
        <w:ind w:firstLine="560" w:firstLineChars="200"/>
        <w:rPr>
          <w:rFonts w:ascii="宋体" w:hAnsi="宋体"/>
          <w:color w:val="auto"/>
          <w:sz w:val="28"/>
          <w:szCs w:val="28"/>
        </w:rPr>
      </w:pPr>
      <w:r>
        <w:rPr>
          <w:rFonts w:hint="eastAsia" w:cs="Helvetica" w:asciiTheme="minorEastAsia" w:hAnsiTheme="minorEastAsia"/>
          <w:color w:val="auto"/>
          <w:sz w:val="28"/>
          <w:szCs w:val="28"/>
        </w:rPr>
        <w:t>采购人在收到评标报告</w:t>
      </w:r>
      <w:r>
        <w:rPr>
          <w:rFonts w:hint="eastAsia" w:cs="宋体" w:asciiTheme="minorEastAsia" w:hAnsiTheme="minorEastAsia"/>
          <w:color w:val="auto"/>
          <w:sz w:val="28"/>
          <w:szCs w:val="28"/>
        </w:rPr>
        <w:t>5</w:t>
      </w:r>
      <w:r>
        <w:rPr>
          <w:rFonts w:hint="eastAsia" w:cs="Helvetica" w:asciiTheme="minorEastAsia" w:hAnsiTheme="minorEastAsia"/>
          <w:color w:val="auto"/>
          <w:sz w:val="28"/>
          <w:szCs w:val="28"/>
        </w:rPr>
        <w:t>个工作日内未按评标报告推荐的中标候选人顺序确定中标人，又不能说明合法理由的，视同按评标报告推荐的顺序确定排名第一的中标候选人为中标人。</w:t>
      </w:r>
    </w:p>
    <w:p>
      <w:pPr>
        <w:pStyle w:val="6"/>
        <w:numPr>
          <w:ilvl w:val="2"/>
          <w:numId w:val="3"/>
        </w:numPr>
        <w:ind w:left="0" w:firstLine="0"/>
        <w:rPr>
          <w:color w:val="auto"/>
        </w:rPr>
      </w:pPr>
      <w:r>
        <w:rPr>
          <w:rFonts w:hint="eastAsia"/>
          <w:color w:val="auto"/>
        </w:rPr>
        <w:t>定标程序</w:t>
      </w:r>
      <w:bookmarkEnd w:id="196"/>
      <w:bookmarkEnd w:id="197"/>
      <w:bookmarkEnd w:id="198"/>
    </w:p>
    <w:bookmarkEnd w:id="154"/>
    <w:p>
      <w:pPr>
        <w:ind w:firstLine="560" w:firstLineChars="200"/>
        <w:rPr>
          <w:rFonts w:ascii="宋体" w:hAnsi="宋体"/>
          <w:color w:val="auto"/>
          <w:sz w:val="28"/>
          <w:szCs w:val="28"/>
        </w:rPr>
      </w:pPr>
      <w:bookmarkStart w:id="199" w:name="_Toc315871730"/>
      <w:bookmarkStart w:id="200" w:name="_Toc316292262"/>
      <w:r>
        <w:rPr>
          <w:rFonts w:hint="eastAsia" w:ascii="宋体" w:hAnsi="宋体"/>
          <w:color w:val="auto"/>
          <w:sz w:val="28"/>
          <w:szCs w:val="28"/>
        </w:rPr>
        <w:t>一、评审委员会将评审情况写出书面报告。</w:t>
      </w:r>
    </w:p>
    <w:p>
      <w:pPr>
        <w:ind w:firstLine="560" w:firstLineChars="200"/>
        <w:rPr>
          <w:rFonts w:ascii="宋体" w:hAnsi="宋体"/>
          <w:bCs/>
          <w:color w:val="auto"/>
          <w:sz w:val="28"/>
          <w:szCs w:val="28"/>
        </w:rPr>
      </w:pPr>
      <w:r>
        <w:rPr>
          <w:rFonts w:hint="eastAsia" w:ascii="宋体" w:hAnsi="宋体"/>
          <w:color w:val="auto"/>
          <w:sz w:val="28"/>
          <w:szCs w:val="28"/>
        </w:rPr>
        <w:t>二、</w:t>
      </w:r>
      <w:r>
        <w:rPr>
          <w:rFonts w:hint="eastAsia" w:ascii="宋体" w:hAnsi="宋体"/>
          <w:color w:val="auto"/>
          <w:sz w:val="28"/>
          <w:szCs w:val="28"/>
          <w:lang w:eastAsia="zh-CN"/>
        </w:rPr>
        <w:t>崇</w:t>
      </w:r>
      <w:r>
        <w:rPr>
          <w:rFonts w:hint="eastAsia" w:ascii="宋体" w:hAnsi="宋体"/>
          <w:color w:val="auto"/>
          <w:sz w:val="28"/>
          <w:szCs w:val="28"/>
        </w:rPr>
        <w:t>公资交易中心在评审结束之日起2个工作日内将评审报告送采购人。</w:t>
      </w:r>
    </w:p>
    <w:p>
      <w:pPr>
        <w:pStyle w:val="2"/>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三、</w:t>
      </w:r>
      <w:r>
        <w:rPr>
          <w:rFonts w:hint="eastAsia" w:ascii="宋体" w:hAnsi="宋体"/>
          <w:color w:val="000000" w:themeColor="text1"/>
          <w:sz w:val="28"/>
          <w:szCs w:val="28"/>
          <w14:textFill>
            <w14:solidFill>
              <w14:schemeClr w14:val="tx1"/>
            </w14:solidFill>
          </w14:textFill>
        </w:rPr>
        <w:t>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ind w:firstLine="560" w:firstLineChars="200"/>
        <w:rPr>
          <w:rFonts w:ascii="宋体" w:hAnsi="宋体"/>
          <w:color w:val="auto"/>
          <w:sz w:val="28"/>
          <w:szCs w:val="28"/>
        </w:rPr>
      </w:pPr>
      <w:r>
        <w:rPr>
          <w:rFonts w:hint="eastAsia" w:ascii="宋体" w:hAnsi="宋体"/>
          <w:color w:val="auto"/>
          <w:sz w:val="28"/>
          <w:szCs w:val="28"/>
        </w:rPr>
        <w:t>四、根据采购人确定的中标（成交）人，</w:t>
      </w:r>
      <w:r>
        <w:rPr>
          <w:rFonts w:hint="eastAsia" w:ascii="宋体" w:hAnsi="宋体"/>
          <w:color w:val="auto"/>
          <w:sz w:val="28"/>
          <w:szCs w:val="28"/>
          <w:lang w:eastAsia="zh-CN"/>
        </w:rPr>
        <w:t>崇</w:t>
      </w:r>
      <w:r>
        <w:rPr>
          <w:rFonts w:hint="eastAsia" w:ascii="宋体" w:hAnsi="宋体"/>
          <w:color w:val="auto"/>
          <w:sz w:val="28"/>
          <w:szCs w:val="28"/>
        </w:rPr>
        <w:t>公资交易中心在“四川政府采购网”和“成都市公共资源交易服务中心”网站上发布中标（成交）公告，同时向中标（成交）人发出中标（成交）通知书。</w:t>
      </w:r>
    </w:p>
    <w:p>
      <w:pPr>
        <w:tabs>
          <w:tab w:val="left" w:pos="1155"/>
        </w:tabs>
        <w:spacing w:line="360" w:lineRule="auto"/>
        <w:ind w:firstLine="565" w:firstLineChars="202"/>
        <w:rPr>
          <w:rFonts w:ascii="宋体" w:hAnsi="宋体"/>
          <w:color w:val="auto"/>
          <w:sz w:val="28"/>
          <w:szCs w:val="28"/>
        </w:rPr>
      </w:pPr>
      <w:r>
        <w:rPr>
          <w:rFonts w:hint="eastAsia" w:ascii="宋体" w:hAnsi="宋体"/>
          <w:color w:val="auto"/>
          <w:sz w:val="28"/>
          <w:szCs w:val="28"/>
        </w:rPr>
        <w:t>五、采购人、</w:t>
      </w:r>
      <w:r>
        <w:rPr>
          <w:rFonts w:hint="eastAsia" w:ascii="宋体" w:hAnsi="宋体"/>
          <w:color w:val="auto"/>
          <w:sz w:val="28"/>
          <w:szCs w:val="28"/>
          <w:lang w:eastAsia="zh-CN"/>
        </w:rPr>
        <w:t>崇</w:t>
      </w:r>
      <w:r>
        <w:rPr>
          <w:rFonts w:hint="eastAsia" w:ascii="宋体" w:hAnsi="宋体"/>
          <w:color w:val="auto"/>
          <w:sz w:val="28"/>
          <w:szCs w:val="28"/>
        </w:rPr>
        <w:t>公资交易中心不解释中标（成交）或未中标（成交）原因，不退回投标文件和其他投标资料。</w:t>
      </w:r>
    </w:p>
    <w:p>
      <w:pPr>
        <w:pStyle w:val="5"/>
        <w:numPr>
          <w:ilvl w:val="1"/>
          <w:numId w:val="3"/>
        </w:numPr>
        <w:spacing w:before="0" w:after="0"/>
        <w:rPr>
          <w:color w:val="auto"/>
        </w:rPr>
      </w:pPr>
      <w:bookmarkStart w:id="201" w:name="_Toc9933"/>
      <w:r>
        <w:rPr>
          <w:rFonts w:hint="eastAsia"/>
          <w:color w:val="auto"/>
        </w:rPr>
        <w:t>评标专家在政府采购活动中承担以下义务</w:t>
      </w:r>
      <w:bookmarkEnd w:id="199"/>
      <w:bookmarkEnd w:id="200"/>
      <w:bookmarkEnd w:id="201"/>
    </w:p>
    <w:p>
      <w:pPr>
        <w:widowControl w:val="0"/>
        <w:numPr>
          <w:ilvl w:val="0"/>
          <w:numId w:val="44"/>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遵纪守法，客观、公正、廉洁地履行职责。</w:t>
      </w:r>
    </w:p>
    <w:p>
      <w:pPr>
        <w:widowControl w:val="0"/>
        <w:numPr>
          <w:ilvl w:val="0"/>
          <w:numId w:val="44"/>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widowControl w:val="0"/>
        <w:numPr>
          <w:ilvl w:val="0"/>
          <w:numId w:val="44"/>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保守秘密。不得泄漏投标人的投标文件及知悉的商业秘密，不得向投标人透露评审情况。</w:t>
      </w:r>
    </w:p>
    <w:p>
      <w:pPr>
        <w:widowControl w:val="0"/>
        <w:numPr>
          <w:ilvl w:val="0"/>
          <w:numId w:val="44"/>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发现投标人在政府采购活动中有不正当竞争或恶意串通等违规行为，及时向政府采购评审工作的组织者或财政部门报告并加以制止。</w:t>
      </w:r>
    </w:p>
    <w:p>
      <w:pPr>
        <w:widowControl w:val="0"/>
        <w:numPr>
          <w:ilvl w:val="0"/>
          <w:numId w:val="44"/>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发现采购人、</w:t>
      </w:r>
      <w:r>
        <w:rPr>
          <w:rFonts w:hint="eastAsia" w:ascii="宋体" w:hAnsi="宋体"/>
          <w:color w:val="auto"/>
          <w:sz w:val="28"/>
          <w:szCs w:val="28"/>
          <w:lang w:eastAsia="zh-CN"/>
        </w:rPr>
        <w:t>崇</w:t>
      </w:r>
      <w:r>
        <w:rPr>
          <w:rFonts w:hint="eastAsia" w:ascii="宋体" w:hAnsi="宋体"/>
          <w:color w:val="auto"/>
          <w:sz w:val="28"/>
          <w:szCs w:val="28"/>
        </w:rPr>
        <w:t>公资交易中心及其工作人员在政府采购活动中有干预评审、发表倾向性和歧视性言论、受贿或者接受投标人的其他好处及其他违法违规行为，及时向财政部门报告。</w:t>
      </w:r>
    </w:p>
    <w:p>
      <w:pPr>
        <w:widowControl w:val="0"/>
        <w:numPr>
          <w:ilvl w:val="0"/>
          <w:numId w:val="44"/>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解答有关方面对政府采购评审工作中有关问题的询问，配合采购人或者</w:t>
      </w:r>
      <w:r>
        <w:rPr>
          <w:rFonts w:hint="eastAsia" w:ascii="宋体" w:hAnsi="宋体"/>
          <w:color w:val="auto"/>
          <w:sz w:val="28"/>
          <w:szCs w:val="28"/>
          <w:lang w:eastAsia="zh-CN"/>
        </w:rPr>
        <w:t>崇</w:t>
      </w:r>
      <w:r>
        <w:rPr>
          <w:rFonts w:hint="eastAsia" w:ascii="宋体" w:hAnsi="宋体"/>
          <w:color w:val="auto"/>
          <w:sz w:val="28"/>
          <w:szCs w:val="28"/>
        </w:rPr>
        <w:t>公资交易中心答复投标人的询问、质疑，配合财政部门的投诉处理工作等事宜。</w:t>
      </w:r>
    </w:p>
    <w:p>
      <w:pPr>
        <w:widowControl w:val="0"/>
        <w:numPr>
          <w:ilvl w:val="0"/>
          <w:numId w:val="44"/>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法律、法规和规章规定的其他义务。</w:t>
      </w:r>
    </w:p>
    <w:p>
      <w:pPr>
        <w:pStyle w:val="5"/>
        <w:numPr>
          <w:ilvl w:val="1"/>
          <w:numId w:val="3"/>
        </w:numPr>
        <w:spacing w:before="0" w:after="0"/>
        <w:rPr>
          <w:color w:val="auto"/>
        </w:rPr>
      </w:pPr>
      <w:bookmarkStart w:id="202" w:name="_Toc1786"/>
      <w:r>
        <w:rPr>
          <w:rFonts w:hint="eastAsia"/>
          <w:color w:val="auto"/>
        </w:rPr>
        <w:t>评标委员会及其成员不得有下列行为：</w:t>
      </w:r>
      <w:bookmarkEnd w:id="202"/>
    </w:p>
    <w:p>
      <w:pPr>
        <w:tabs>
          <w:tab w:val="left" w:pos="1418"/>
        </w:tabs>
        <w:ind w:firstLine="560" w:firstLineChars="200"/>
        <w:rPr>
          <w:color w:val="auto"/>
          <w:sz w:val="28"/>
          <w:szCs w:val="28"/>
        </w:rPr>
      </w:pPr>
      <w:r>
        <w:rPr>
          <w:rFonts w:hint="eastAsia"/>
          <w:color w:val="auto"/>
          <w:sz w:val="28"/>
          <w:szCs w:val="28"/>
        </w:rPr>
        <w:t>（一）确定参与评标至评标结束前私自接触投标人；</w:t>
      </w:r>
    </w:p>
    <w:p>
      <w:pPr>
        <w:tabs>
          <w:tab w:val="left" w:pos="1418"/>
        </w:tabs>
        <w:ind w:firstLine="560" w:firstLineChars="200"/>
        <w:rPr>
          <w:color w:val="auto"/>
          <w:sz w:val="28"/>
          <w:szCs w:val="28"/>
        </w:rPr>
      </w:pPr>
      <w:r>
        <w:rPr>
          <w:rFonts w:hint="eastAsia"/>
          <w:color w:val="auto"/>
          <w:sz w:val="28"/>
          <w:szCs w:val="28"/>
        </w:rPr>
        <w:t>（二）接受投标人提出的与投标文件不一致的澄清或者说明，除招标文件明确可以澄清的除外；</w:t>
      </w:r>
    </w:p>
    <w:p>
      <w:pPr>
        <w:tabs>
          <w:tab w:val="left" w:pos="1418"/>
        </w:tabs>
        <w:ind w:firstLine="560" w:firstLineChars="200"/>
        <w:rPr>
          <w:color w:val="auto"/>
          <w:sz w:val="28"/>
          <w:szCs w:val="28"/>
        </w:rPr>
      </w:pPr>
      <w:r>
        <w:rPr>
          <w:rFonts w:hint="eastAsia"/>
          <w:color w:val="auto"/>
          <w:sz w:val="28"/>
          <w:szCs w:val="28"/>
        </w:rPr>
        <w:t>（三）违反评标纪律发表倾向性意见或者征询采购人的倾向性意见；</w:t>
      </w:r>
    </w:p>
    <w:p>
      <w:pPr>
        <w:tabs>
          <w:tab w:val="left" w:pos="1418"/>
        </w:tabs>
        <w:ind w:firstLine="560" w:firstLineChars="200"/>
        <w:rPr>
          <w:color w:val="auto"/>
          <w:sz w:val="28"/>
          <w:szCs w:val="28"/>
        </w:rPr>
      </w:pPr>
      <w:r>
        <w:rPr>
          <w:rFonts w:hint="eastAsia"/>
          <w:color w:val="auto"/>
          <w:sz w:val="28"/>
          <w:szCs w:val="28"/>
        </w:rPr>
        <w:t>（四）对需要专业判断的主观评审因素协商评分；</w:t>
      </w:r>
    </w:p>
    <w:p>
      <w:pPr>
        <w:tabs>
          <w:tab w:val="left" w:pos="1418"/>
        </w:tabs>
        <w:ind w:firstLine="560" w:firstLineChars="200"/>
        <w:rPr>
          <w:color w:val="auto"/>
          <w:sz w:val="28"/>
          <w:szCs w:val="28"/>
        </w:rPr>
      </w:pPr>
      <w:r>
        <w:rPr>
          <w:rFonts w:hint="eastAsia"/>
          <w:color w:val="auto"/>
          <w:sz w:val="28"/>
          <w:szCs w:val="28"/>
        </w:rPr>
        <w:t>（五）在评标过程中擅离职守，影响评标程序正常进行的；</w:t>
      </w:r>
    </w:p>
    <w:p>
      <w:pPr>
        <w:tabs>
          <w:tab w:val="left" w:pos="1276"/>
          <w:tab w:val="left" w:pos="1418"/>
        </w:tabs>
        <w:ind w:firstLine="560" w:firstLineChars="200"/>
        <w:rPr>
          <w:color w:val="auto"/>
          <w:sz w:val="28"/>
          <w:szCs w:val="28"/>
        </w:rPr>
      </w:pPr>
      <w:r>
        <w:rPr>
          <w:rFonts w:hint="eastAsia"/>
          <w:color w:val="auto"/>
          <w:sz w:val="28"/>
          <w:szCs w:val="28"/>
        </w:rPr>
        <w:t>（六）记录、复制或者带走任何评标资料；</w:t>
      </w:r>
    </w:p>
    <w:p>
      <w:pPr>
        <w:tabs>
          <w:tab w:val="left" w:pos="993"/>
          <w:tab w:val="left" w:pos="1276"/>
          <w:tab w:val="left" w:pos="1418"/>
        </w:tabs>
        <w:ind w:firstLine="560" w:firstLineChars="200"/>
        <w:rPr>
          <w:color w:val="auto"/>
          <w:sz w:val="28"/>
          <w:szCs w:val="28"/>
        </w:rPr>
      </w:pPr>
      <w:r>
        <w:rPr>
          <w:rFonts w:hint="eastAsia"/>
          <w:color w:val="auto"/>
          <w:sz w:val="28"/>
          <w:szCs w:val="28"/>
        </w:rPr>
        <w:t>（七）其他不遵守评标纪律的行为。</w:t>
      </w:r>
    </w:p>
    <w:p>
      <w:pPr>
        <w:tabs>
          <w:tab w:val="left" w:pos="1155"/>
        </w:tabs>
        <w:spacing w:line="360" w:lineRule="auto"/>
        <w:ind w:left="142" w:firstLine="565" w:firstLineChars="202"/>
        <w:rPr>
          <w:color w:val="auto"/>
          <w:sz w:val="28"/>
          <w:szCs w:val="28"/>
        </w:rPr>
      </w:pPr>
      <w:r>
        <w:rPr>
          <w:rFonts w:hint="eastAsia"/>
          <w:color w:val="auto"/>
          <w:sz w:val="28"/>
          <w:szCs w:val="28"/>
        </w:rPr>
        <w:t>评标委员会成员有前款第一至五项行为之一的，其评审意见无效，并不得获取评审劳务报酬和报销异地评审差旅费。</w:t>
      </w:r>
    </w:p>
    <w:p>
      <w:pPr>
        <w:pStyle w:val="5"/>
        <w:numPr>
          <w:ilvl w:val="1"/>
          <w:numId w:val="3"/>
        </w:numPr>
        <w:spacing w:before="0" w:after="0"/>
        <w:rPr>
          <w:color w:val="auto"/>
        </w:rPr>
      </w:pPr>
      <w:bookmarkStart w:id="203" w:name="_Toc494464930"/>
      <w:bookmarkStart w:id="204" w:name="_Toc26764"/>
      <w:r>
        <w:rPr>
          <w:rFonts w:hint="eastAsia"/>
          <w:color w:val="auto"/>
        </w:rPr>
        <w:t>评审专家在政府采购活动中应当遵守以下工作纪律</w:t>
      </w:r>
      <w:bookmarkEnd w:id="203"/>
      <w:bookmarkEnd w:id="204"/>
    </w:p>
    <w:p>
      <w:pPr>
        <w:widowControl w:val="0"/>
        <w:numPr>
          <w:ilvl w:val="0"/>
          <w:numId w:val="45"/>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遵行《政府采购法》第十二条和《政府采购法实施条例》第九条及政府采购相关法律法规关于回避的规定。</w:t>
      </w:r>
    </w:p>
    <w:p>
      <w:pPr>
        <w:widowControl w:val="0"/>
        <w:numPr>
          <w:ilvl w:val="0"/>
          <w:numId w:val="45"/>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应邀按时参加评审和咨询活动，遵守评标区管理规定。</w:t>
      </w:r>
    </w:p>
    <w:p>
      <w:pPr>
        <w:widowControl w:val="0"/>
        <w:numPr>
          <w:ilvl w:val="0"/>
          <w:numId w:val="45"/>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进入评标区之前应将所有的通信设备存入</w:t>
      </w:r>
      <w:r>
        <w:rPr>
          <w:rFonts w:hint="eastAsia" w:ascii="宋体" w:hAnsi="宋体"/>
          <w:color w:val="auto"/>
          <w:sz w:val="28"/>
          <w:szCs w:val="28"/>
          <w:lang w:eastAsia="zh-CN"/>
        </w:rPr>
        <w:t>崇</w:t>
      </w:r>
      <w:r>
        <w:rPr>
          <w:rFonts w:hint="eastAsia" w:ascii="宋体" w:hAnsi="宋体"/>
          <w:color w:val="auto"/>
          <w:sz w:val="28"/>
          <w:szCs w:val="28"/>
        </w:rPr>
        <w:t>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color w:val="auto"/>
          <w:sz w:val="28"/>
          <w:szCs w:val="28"/>
        </w:rPr>
        <w:t>市公资交易中心</w:t>
      </w:r>
      <w:r>
        <w:rPr>
          <w:rFonts w:hint="eastAsia" w:ascii="宋体" w:hAnsi="宋体"/>
          <w:color w:val="auto"/>
          <w:sz w:val="28"/>
          <w:szCs w:val="28"/>
        </w:rPr>
        <w:t>，不得私自转托他人。</w:t>
      </w:r>
    </w:p>
    <w:p>
      <w:pPr>
        <w:widowControl w:val="0"/>
        <w:numPr>
          <w:ilvl w:val="0"/>
          <w:numId w:val="45"/>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不得参加与自己有利害关系的政府采购项目的评审活动。对与自己有利害关系的评审项目，如受到邀请，应主动提出回避。财政部门、采购人或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也可要求该评审专家回避。</w:t>
      </w:r>
    </w:p>
    <w:p>
      <w:pPr>
        <w:widowControl w:val="0"/>
        <w:numPr>
          <w:ilvl w:val="0"/>
          <w:numId w:val="45"/>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评审过程中关闭通讯设备，不得与外界联系。因发生不可预见情况，确实需要与外界联系的，应告知评标区值守人员，使用评标区内由</w:t>
      </w:r>
      <w:r>
        <w:rPr>
          <w:rFonts w:hint="eastAsia" w:ascii="宋体" w:hAnsi="宋体"/>
          <w:color w:val="auto"/>
          <w:sz w:val="28"/>
          <w:szCs w:val="28"/>
          <w:lang w:eastAsia="zh-CN"/>
        </w:rPr>
        <w:t>崇</w:t>
      </w:r>
      <w:r>
        <w:rPr>
          <w:rFonts w:hint="eastAsia" w:ascii="宋体" w:hAnsi="宋体"/>
          <w:color w:val="auto"/>
          <w:sz w:val="28"/>
          <w:szCs w:val="28"/>
        </w:rPr>
        <w:t>公资交易中心提供的通信设备，在监督人员监督之下办理。</w:t>
      </w:r>
    </w:p>
    <w:p>
      <w:pPr>
        <w:widowControl w:val="0"/>
        <w:numPr>
          <w:ilvl w:val="0"/>
          <w:numId w:val="45"/>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widowControl w:val="0"/>
        <w:numPr>
          <w:ilvl w:val="0"/>
          <w:numId w:val="45"/>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在评标过程中和评标结束后，不得记录、复制或带走任何评标资料，除因规定的义务外，不得向外界透露评标内容。</w:t>
      </w:r>
    </w:p>
    <w:p>
      <w:pPr>
        <w:widowControl w:val="0"/>
        <w:numPr>
          <w:ilvl w:val="0"/>
          <w:numId w:val="45"/>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服从评标现场</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的现场秩序管理，接受评标现场监督人员的合法监督。</w:t>
      </w:r>
    </w:p>
    <w:p>
      <w:pPr>
        <w:widowControl w:val="0"/>
        <w:numPr>
          <w:ilvl w:val="0"/>
          <w:numId w:val="45"/>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遵守有关廉洁自律规定，不得私下接触投标人，不得收受投标人及有关业务单位和个人的财物或好处，不得接受采购组织单位的请托。</w:t>
      </w:r>
    </w:p>
    <w:p>
      <w:pPr>
        <w:widowControl w:val="0"/>
        <w:numPr>
          <w:ilvl w:val="0"/>
          <w:numId w:val="45"/>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在咨询工作中，严格执行国家产业政策和产品标准，认真听取咨询方的合理要求，提出科学合理的、无倾向性和歧视性的咨询方案，并对所提出的意见和建议承担个人责任。</w:t>
      </w:r>
    </w:p>
    <w:p>
      <w:pPr>
        <w:widowControl w:val="0"/>
        <w:numPr>
          <w:ilvl w:val="0"/>
          <w:numId w:val="45"/>
        </w:numPr>
        <w:tabs>
          <w:tab w:val="left" w:pos="1134"/>
          <w:tab w:val="left" w:pos="1418"/>
        </w:tabs>
        <w:spacing w:line="580" w:lineRule="exact"/>
        <w:ind w:left="0" w:firstLine="527"/>
        <w:jc w:val="both"/>
        <w:rPr>
          <w:rFonts w:ascii="宋体" w:hAnsi="宋体"/>
          <w:color w:val="auto"/>
          <w:sz w:val="28"/>
          <w:szCs w:val="28"/>
        </w:rPr>
      </w:pPr>
      <w:r>
        <w:rPr>
          <w:rFonts w:hint="eastAsia" w:ascii="宋体" w:hAnsi="宋体"/>
          <w:color w:val="auto"/>
          <w:sz w:val="28"/>
          <w:szCs w:val="28"/>
        </w:rPr>
        <w:t>有关部门（机构）制定的其他评审工作纪律。</w:t>
      </w:r>
    </w:p>
    <w:p>
      <w:pPr>
        <w:widowControl w:val="0"/>
        <w:tabs>
          <w:tab w:val="left" w:pos="1134"/>
          <w:tab w:val="left" w:pos="1418"/>
        </w:tabs>
        <w:spacing w:line="580" w:lineRule="exact"/>
        <w:jc w:val="both"/>
        <w:rPr>
          <w:rFonts w:ascii="宋体" w:hAnsi="宋体"/>
          <w:color w:val="auto"/>
          <w:sz w:val="28"/>
          <w:szCs w:val="28"/>
        </w:rPr>
      </w:pPr>
    </w:p>
    <w:p>
      <w:pPr>
        <w:pStyle w:val="14"/>
        <w:rPr>
          <w:rFonts w:ascii="宋体" w:hAnsi="宋体"/>
          <w:color w:val="auto"/>
          <w:sz w:val="28"/>
          <w:szCs w:val="28"/>
        </w:rPr>
      </w:pPr>
    </w:p>
    <w:bookmarkEnd w:id="0"/>
    <w:bookmarkEnd w:id="1"/>
    <w:bookmarkEnd w:id="2"/>
    <w:bookmarkEnd w:id="3"/>
    <w:p>
      <w:pPr>
        <w:rPr>
          <w:color w:val="auto"/>
        </w:rPr>
      </w:pPr>
      <w:r>
        <w:rPr>
          <w:rFonts w:hint="eastAsia"/>
          <w:color w:val="auto"/>
        </w:rPr>
        <w:br w:type="page"/>
      </w:r>
    </w:p>
    <w:p>
      <w:pPr>
        <w:pStyle w:val="4"/>
        <w:numPr>
          <w:ilvl w:val="0"/>
          <w:numId w:val="3"/>
        </w:numPr>
        <w:spacing w:before="0" w:after="0" w:line="360" w:lineRule="auto"/>
        <w:rPr>
          <w:color w:val="auto"/>
        </w:rPr>
      </w:pPr>
      <w:bookmarkStart w:id="205" w:name="_Toc9593"/>
      <w:r>
        <w:rPr>
          <w:rFonts w:hint="eastAsia"/>
          <w:color w:val="auto"/>
        </w:rPr>
        <w:t>拟签订合同文本</w:t>
      </w:r>
      <w:bookmarkEnd w:id="205"/>
    </w:p>
    <w:p>
      <w:pPr>
        <w:pStyle w:val="2"/>
        <w:jc w:val="center"/>
        <w:outlineLvl w:val="9"/>
        <w:rPr>
          <w:color w:val="auto"/>
        </w:rPr>
      </w:pPr>
      <w:r>
        <w:rPr>
          <w:rFonts w:hint="eastAsia" w:hAnsi="宋体" w:cs="宋体"/>
          <w:b/>
          <w:color w:val="auto"/>
          <w:sz w:val="32"/>
        </w:rPr>
        <w:t>政府采购合同（</w:t>
      </w:r>
      <w:r>
        <w:rPr>
          <w:rFonts w:hint="eastAsia" w:hAnsi="宋体" w:cs="宋体"/>
          <w:b/>
          <w:color w:val="auto"/>
          <w:sz w:val="32"/>
          <w:lang w:eastAsia="zh-CN"/>
        </w:rPr>
        <w:t>样本</w:t>
      </w:r>
      <w:r>
        <w:rPr>
          <w:rFonts w:hint="eastAsia" w:hAnsi="宋体" w:cs="宋体"/>
          <w:b/>
          <w:color w:val="auto"/>
          <w:sz w:val="32"/>
        </w:rPr>
        <w:t>）</w:t>
      </w:r>
    </w:p>
    <w:p>
      <w:pPr>
        <w:outlineLvl w:val="9"/>
        <w:rPr>
          <w:rFonts w:ascii="宋体" w:hAnsi="宋体"/>
          <w:color w:val="auto"/>
          <w:sz w:val="24"/>
        </w:rPr>
      </w:pPr>
      <w:bookmarkStart w:id="206" w:name="_Toc5030055"/>
      <w:bookmarkStart w:id="207" w:name="_Toc15049284"/>
      <w:bookmarkStart w:id="208" w:name="_Toc15047499"/>
      <w:bookmarkStart w:id="209" w:name="_Toc15048431"/>
      <w:bookmarkStart w:id="210" w:name="_Toc217446107"/>
      <w:r>
        <w:rPr>
          <w:rFonts w:hint="eastAsia" w:ascii="宋体" w:hAnsi="宋体"/>
          <w:color w:val="auto"/>
          <w:sz w:val="24"/>
        </w:rPr>
        <w:t>（仅为样例，请根据招标文件、投标文件和其他要求进行拟定）</w:t>
      </w:r>
    </w:p>
    <w:p>
      <w:pPr>
        <w:widowControl/>
        <w:jc w:val="left"/>
        <w:outlineLvl w:val="9"/>
        <w:rPr>
          <w:color w:val="auto"/>
        </w:rPr>
      </w:pPr>
    </w:p>
    <w:p>
      <w:pPr>
        <w:spacing w:line="360" w:lineRule="auto"/>
        <w:ind w:firstLine="480" w:firstLineChars="200"/>
        <w:outlineLvl w:val="9"/>
        <w:rPr>
          <w:rFonts w:ascii="宋体" w:hAnsi="宋体"/>
          <w:color w:val="auto"/>
          <w:sz w:val="24"/>
        </w:rPr>
      </w:pPr>
      <w:r>
        <w:rPr>
          <w:rFonts w:hint="eastAsia" w:ascii="宋体" w:hAnsi="宋体"/>
          <w:color w:val="auto"/>
          <w:sz w:val="24"/>
        </w:rPr>
        <w:t>合同编号：XXXX。</w:t>
      </w:r>
    </w:p>
    <w:p>
      <w:pPr>
        <w:spacing w:line="360" w:lineRule="auto"/>
        <w:ind w:firstLine="480" w:firstLineChars="200"/>
        <w:outlineLvl w:val="9"/>
        <w:rPr>
          <w:rFonts w:ascii="宋体" w:hAnsi="宋体"/>
          <w:color w:val="auto"/>
          <w:sz w:val="24"/>
        </w:rPr>
      </w:pPr>
      <w:r>
        <w:rPr>
          <w:rFonts w:hint="eastAsia" w:ascii="宋体" w:hAnsi="宋体"/>
          <w:color w:val="auto"/>
          <w:sz w:val="24"/>
        </w:rPr>
        <w:t>签订地点：XXXX。</w:t>
      </w:r>
    </w:p>
    <w:p>
      <w:pPr>
        <w:spacing w:line="360" w:lineRule="auto"/>
        <w:ind w:firstLine="480" w:firstLineChars="200"/>
        <w:outlineLvl w:val="9"/>
        <w:rPr>
          <w:rFonts w:ascii="宋体" w:hAnsi="宋体"/>
          <w:color w:val="auto"/>
          <w:sz w:val="24"/>
        </w:rPr>
      </w:pPr>
      <w:r>
        <w:rPr>
          <w:rFonts w:hint="eastAsia" w:ascii="宋体" w:hAnsi="宋体"/>
          <w:color w:val="auto"/>
          <w:sz w:val="24"/>
        </w:rPr>
        <w:t>签订时间：XXXX年XX月XX日。</w:t>
      </w:r>
    </w:p>
    <w:p>
      <w:pPr>
        <w:spacing w:line="360" w:lineRule="auto"/>
        <w:ind w:firstLine="480" w:firstLineChars="200"/>
        <w:outlineLvl w:val="9"/>
        <w:rPr>
          <w:rFonts w:ascii="宋体" w:hAnsi="宋体"/>
          <w:color w:val="auto"/>
          <w:sz w:val="24"/>
        </w:rPr>
      </w:pPr>
      <w:r>
        <w:rPr>
          <w:rFonts w:hint="eastAsia" w:ascii="宋体" w:hAnsi="宋体"/>
          <w:color w:val="auto"/>
          <w:sz w:val="24"/>
        </w:rPr>
        <w:t xml:space="preserve">采购人（甲方）：                              </w:t>
      </w:r>
    </w:p>
    <w:p>
      <w:pPr>
        <w:spacing w:line="360" w:lineRule="auto"/>
        <w:ind w:firstLine="480" w:firstLineChars="200"/>
        <w:outlineLvl w:val="9"/>
        <w:rPr>
          <w:rFonts w:ascii="宋体" w:hAnsi="宋体"/>
          <w:color w:val="auto"/>
          <w:sz w:val="24"/>
        </w:rPr>
      </w:pPr>
      <w:r>
        <w:rPr>
          <w:rFonts w:hint="eastAsia" w:ascii="宋体" w:hAnsi="宋体"/>
          <w:color w:val="auto"/>
          <w:sz w:val="24"/>
        </w:rPr>
        <w:t>供应商（乙</w:t>
      </w:r>
      <w:r>
        <w:rPr>
          <w:rFonts w:ascii="宋体" w:hAnsi="宋体"/>
          <w:color w:val="auto"/>
          <w:sz w:val="24"/>
        </w:rPr>
        <w:t>方</w:t>
      </w:r>
      <w:r>
        <w:rPr>
          <w:rFonts w:hint="eastAsia" w:ascii="宋体" w:hAnsi="宋体"/>
          <w:color w:val="auto"/>
          <w:sz w:val="24"/>
        </w:rPr>
        <w:t>）</w:t>
      </w:r>
      <w:r>
        <w:rPr>
          <w:rFonts w:ascii="宋体" w:hAnsi="宋体"/>
          <w:color w:val="auto"/>
          <w:sz w:val="24"/>
        </w:rPr>
        <w:t xml:space="preserve">：                               </w:t>
      </w:r>
      <w:r>
        <w:rPr>
          <w:rFonts w:hint="eastAsia" w:ascii="宋体" w:hAnsi="宋体"/>
          <w:color w:val="auto"/>
          <w:sz w:val="24"/>
        </w:rPr>
        <w:t xml:space="preserve">                                    </w:t>
      </w:r>
      <w:r>
        <w:rPr>
          <w:rFonts w:ascii="宋体" w:hAnsi="宋体"/>
          <w:color w:val="auto"/>
          <w:sz w:val="24"/>
        </w:rPr>
        <w:t xml:space="preserve">  </w:t>
      </w:r>
    </w:p>
    <w:p>
      <w:pPr>
        <w:pStyle w:val="29"/>
        <w:spacing w:line="360" w:lineRule="auto"/>
        <w:ind w:firstLine="480"/>
        <w:outlineLvl w:val="9"/>
        <w:rPr>
          <w:rFonts w:ascii="宋体" w:hAnsi="宋体"/>
          <w:color w:val="auto"/>
        </w:rPr>
      </w:pPr>
      <w:r>
        <w:rPr>
          <w:rFonts w:hint="eastAsia" w:ascii="宋体" w:hAnsi="宋体"/>
          <w:color w:val="auto"/>
        </w:rPr>
        <w:t>根据《中华人民共和国政府采购法》、《中华人民共和国合同法》及XXXX采购项目（招标编号：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spacing w:line="360" w:lineRule="auto"/>
        <w:ind w:firstLine="480" w:firstLineChars="200"/>
        <w:outlineLvl w:val="9"/>
        <w:rPr>
          <w:rFonts w:ascii="宋体" w:hAnsi="宋体"/>
          <w:color w:val="auto"/>
          <w:sz w:val="24"/>
          <w:szCs w:val="24"/>
        </w:rPr>
      </w:pPr>
      <w:r>
        <w:rPr>
          <w:rFonts w:hint="eastAsia" w:ascii="宋体" w:hAnsi="宋体"/>
          <w:color w:val="auto"/>
          <w:sz w:val="24"/>
          <w:szCs w:val="24"/>
        </w:rPr>
        <w:t>一、合同货物</w:t>
      </w:r>
    </w:p>
    <w:tbl>
      <w:tblPr>
        <w:tblStyle w:val="15"/>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360" w:lineRule="auto"/>
              <w:ind w:firstLine="240" w:firstLineChars="100"/>
              <w:outlineLvl w:val="9"/>
              <w:rPr>
                <w:rFonts w:ascii="宋体" w:hAnsi="宋体"/>
                <w:color w:val="auto"/>
                <w:sz w:val="24"/>
              </w:rPr>
            </w:pPr>
            <w:r>
              <w:rPr>
                <w:rFonts w:hint="eastAsia" w:ascii="宋体" w:hAnsi="宋体" w:cs="Arial"/>
                <w:color w:val="auto"/>
                <w:sz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s="Arial"/>
                <w:color w:val="auto"/>
                <w:sz w:val="24"/>
              </w:rPr>
            </w:pPr>
            <w:r>
              <w:rPr>
                <w:rFonts w:hint="eastAsia" w:ascii="宋体" w:hAnsi="宋体" w:cs="Arial"/>
                <w:color w:val="auto"/>
                <w:sz w:val="24"/>
              </w:rPr>
              <w:t>规格</w:t>
            </w:r>
          </w:p>
          <w:p>
            <w:pPr>
              <w:spacing w:line="360" w:lineRule="auto"/>
              <w:jc w:val="center"/>
              <w:outlineLvl w:val="9"/>
              <w:rPr>
                <w:rFonts w:ascii="宋体" w:hAnsi="宋体"/>
                <w:color w:val="auto"/>
                <w:sz w:val="24"/>
              </w:rPr>
            </w:pPr>
            <w:r>
              <w:rPr>
                <w:rFonts w:hint="eastAsia" w:ascii="宋体" w:hAnsi="宋体" w:cs="Arial"/>
                <w:color w:val="auto"/>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outlineLvl w:val="9"/>
              <w:rPr>
                <w:rFonts w:ascii="宋体" w:hAnsi="宋体"/>
                <w:color w:val="auto"/>
                <w:sz w:val="24"/>
              </w:rPr>
            </w:pPr>
            <w:r>
              <w:rPr>
                <w:rFonts w:hint="eastAsia" w:ascii="宋体" w:hAnsi="宋体" w:cs="Arial"/>
                <w:color w:val="auto"/>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120" w:firstLineChars="50"/>
              <w:outlineLvl w:val="9"/>
              <w:rPr>
                <w:rFonts w:ascii="宋体" w:hAnsi="宋体"/>
                <w:color w:val="auto"/>
                <w:sz w:val="24"/>
              </w:rPr>
            </w:pPr>
            <w:r>
              <w:rPr>
                <w:rFonts w:hint="eastAsia" w:ascii="宋体" w:hAnsi="宋体" w:cs="Arial"/>
                <w:color w:val="auto"/>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ind w:firstLine="120" w:firstLineChars="50"/>
              <w:jc w:val="center"/>
              <w:outlineLvl w:val="9"/>
              <w:rPr>
                <w:rFonts w:ascii="宋体" w:hAnsi="宋体" w:cs="Arial"/>
                <w:color w:val="auto"/>
                <w:sz w:val="24"/>
              </w:rPr>
            </w:pPr>
            <w:r>
              <w:rPr>
                <w:rFonts w:hint="eastAsia" w:ascii="宋体" w:hAnsi="宋体" w:cs="Arial"/>
                <w:color w:val="auto"/>
                <w:sz w:val="24"/>
              </w:rPr>
              <w:t>单价</w:t>
            </w:r>
          </w:p>
          <w:p>
            <w:pPr>
              <w:spacing w:line="360" w:lineRule="auto"/>
              <w:jc w:val="center"/>
              <w:outlineLvl w:val="9"/>
              <w:rPr>
                <w:rFonts w:ascii="宋体" w:hAnsi="宋体" w:cs="Arial"/>
                <w:color w:val="auto"/>
                <w:sz w:val="24"/>
              </w:rPr>
            </w:pPr>
            <w:r>
              <w:rPr>
                <w:rFonts w:hint="eastAsia" w:ascii="宋体" w:hAnsi="宋体" w:cs="Arial"/>
                <w:color w:val="auto"/>
                <w:sz w:val="24"/>
              </w:rPr>
              <w:t>（元）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60" w:lineRule="auto"/>
              <w:ind w:firstLine="240" w:firstLineChars="100"/>
              <w:outlineLvl w:val="9"/>
              <w:rPr>
                <w:rFonts w:ascii="宋体" w:hAnsi="宋体" w:cs="Arial"/>
                <w:color w:val="auto"/>
                <w:sz w:val="24"/>
              </w:rPr>
            </w:pPr>
            <w:r>
              <w:rPr>
                <w:rFonts w:hint="eastAsia" w:ascii="宋体" w:hAnsi="宋体" w:cs="Arial"/>
                <w:color w:val="auto"/>
                <w:sz w:val="24"/>
              </w:rPr>
              <w:t>总价</w:t>
            </w:r>
          </w:p>
          <w:p>
            <w:pPr>
              <w:spacing w:line="360" w:lineRule="auto"/>
              <w:outlineLvl w:val="9"/>
              <w:rPr>
                <w:rFonts w:ascii="宋体" w:hAnsi="宋体"/>
                <w:color w:val="auto"/>
                <w:sz w:val="24"/>
              </w:rPr>
            </w:pPr>
            <w:r>
              <w:rPr>
                <w:rFonts w:hint="eastAsia" w:ascii="宋体" w:hAnsi="宋体" w:cs="Arial"/>
                <w:color w:val="auto"/>
                <w:sz w:val="24"/>
              </w:rPr>
              <w:t>（元）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s="Arial"/>
                <w:color w:val="auto"/>
                <w:sz w:val="24"/>
              </w:rPr>
            </w:pPr>
            <w:r>
              <w:rPr>
                <w:rFonts w:hint="eastAsia" w:ascii="宋体" w:hAnsi="宋体" w:cs="Arial"/>
                <w:color w:val="auto"/>
                <w:sz w:val="24"/>
              </w:rPr>
              <w:t>随机</w:t>
            </w:r>
          </w:p>
          <w:p>
            <w:pPr>
              <w:spacing w:line="360" w:lineRule="auto"/>
              <w:jc w:val="center"/>
              <w:outlineLvl w:val="9"/>
              <w:rPr>
                <w:rFonts w:ascii="宋体" w:hAnsi="宋体"/>
                <w:color w:val="auto"/>
                <w:sz w:val="24"/>
              </w:rPr>
            </w:pPr>
            <w:r>
              <w:rPr>
                <w:rFonts w:hint="eastAsia" w:ascii="宋体" w:hAnsi="宋体" w:cs="Arial"/>
                <w:color w:val="auto"/>
                <w:sz w:val="24"/>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120" w:firstLineChars="50"/>
              <w:outlineLvl w:val="9"/>
              <w:rPr>
                <w:rFonts w:ascii="宋体" w:hAnsi="宋体"/>
                <w:color w:val="auto"/>
                <w:sz w:val="24"/>
              </w:rPr>
            </w:pPr>
            <w:r>
              <w:rPr>
                <w:rFonts w:hint="eastAsia" w:ascii="宋体" w:hAnsi="宋体" w:cs="Arial"/>
                <w:color w:val="auto"/>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r>
    </w:tbl>
    <w:p>
      <w:pPr>
        <w:spacing w:line="360" w:lineRule="auto"/>
        <w:ind w:firstLine="480" w:firstLineChars="200"/>
        <w:outlineLvl w:val="9"/>
        <w:rPr>
          <w:rFonts w:ascii="宋体" w:hAnsi="宋体"/>
          <w:color w:val="auto"/>
          <w:sz w:val="24"/>
          <w:szCs w:val="24"/>
        </w:rPr>
      </w:pPr>
      <w:bookmarkStart w:id="211" w:name="_Toc217446108"/>
      <w:r>
        <w:rPr>
          <w:rFonts w:hint="eastAsia" w:ascii="宋体" w:hAnsi="宋体"/>
          <w:color w:val="auto"/>
          <w:sz w:val="24"/>
          <w:szCs w:val="24"/>
        </w:rPr>
        <w:t>二、合同总价</w:t>
      </w:r>
      <w:bookmarkEnd w:id="211"/>
    </w:p>
    <w:p>
      <w:pPr>
        <w:pStyle w:val="8"/>
        <w:spacing w:line="360" w:lineRule="auto"/>
        <w:ind w:firstLine="367" w:firstLineChars="175"/>
        <w:outlineLvl w:val="9"/>
        <w:rPr>
          <w:rFonts w:ascii="宋体" w:hAnsi="宋体"/>
          <w:color w:val="auto"/>
        </w:rPr>
      </w:pPr>
      <w:r>
        <w:rPr>
          <w:rFonts w:hint="eastAsia" w:ascii="宋体" w:hAnsi="宋体"/>
          <w:color w:val="auto"/>
        </w:rPr>
        <w:t>合同总价为人民币大写：</w:t>
      </w:r>
      <w:r>
        <w:rPr>
          <w:rFonts w:hint="eastAsia" w:ascii="宋体" w:hAnsi="宋体"/>
          <w:color w:val="auto"/>
          <w:u w:val="single"/>
        </w:rPr>
        <w:t xml:space="preserve">                </w:t>
      </w:r>
      <w:r>
        <w:rPr>
          <w:rFonts w:hint="eastAsia" w:ascii="宋体" w:hAnsi="宋体"/>
          <w:color w:val="auto"/>
        </w:rPr>
        <w:t>元，即RMB￥</w:t>
      </w:r>
      <w:r>
        <w:rPr>
          <w:rFonts w:hint="eastAsia" w:ascii="宋体" w:hAnsi="宋体"/>
          <w:color w:val="auto"/>
          <w:u w:val="single"/>
        </w:rPr>
        <w:t xml:space="preserve">        </w:t>
      </w:r>
      <w:r>
        <w:rPr>
          <w:rFonts w:hint="eastAsia" w:ascii="宋体" w:hAnsi="宋体"/>
          <w:color w:val="auto"/>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spacing w:line="360" w:lineRule="auto"/>
        <w:ind w:firstLine="480" w:firstLineChars="200"/>
        <w:outlineLvl w:val="9"/>
        <w:rPr>
          <w:rFonts w:ascii="宋体" w:hAnsi="宋体"/>
          <w:color w:val="auto"/>
          <w:sz w:val="24"/>
          <w:szCs w:val="24"/>
        </w:rPr>
      </w:pPr>
      <w:bookmarkStart w:id="212" w:name="_Toc217446109"/>
      <w:r>
        <w:rPr>
          <w:rFonts w:hint="eastAsia" w:ascii="宋体" w:hAnsi="宋体"/>
          <w:color w:val="auto"/>
          <w:sz w:val="24"/>
          <w:szCs w:val="24"/>
        </w:rPr>
        <w:t>三、质量要求</w:t>
      </w:r>
      <w:bookmarkEnd w:id="212"/>
    </w:p>
    <w:p>
      <w:pPr>
        <w:pStyle w:val="29"/>
        <w:spacing w:line="360" w:lineRule="auto"/>
        <w:ind w:firstLine="480"/>
        <w:outlineLvl w:val="9"/>
        <w:rPr>
          <w:rFonts w:ascii="宋体" w:hAnsi="宋体"/>
          <w:color w:val="auto"/>
        </w:rPr>
      </w:pPr>
      <w:r>
        <w:rPr>
          <w:rFonts w:hint="eastAsia" w:ascii="宋体" w:hAnsi="宋体"/>
          <w:color w:val="auto"/>
        </w:rPr>
        <w:t>1、乙方须提供全新的货物（含零部件、配件等），表面无划伤、无碰撞痕迹，且权属清楚，不得侵害他人的知识产权。</w:t>
      </w:r>
    </w:p>
    <w:p>
      <w:pPr>
        <w:pStyle w:val="29"/>
        <w:spacing w:line="360" w:lineRule="auto"/>
        <w:ind w:firstLine="480"/>
        <w:outlineLvl w:val="9"/>
        <w:rPr>
          <w:rFonts w:ascii="宋体" w:hAnsi="宋体"/>
          <w:color w:val="auto"/>
        </w:rPr>
      </w:pPr>
      <w:r>
        <w:rPr>
          <w:rFonts w:hint="eastAsia" w:ascii="宋体" w:hAnsi="宋体"/>
          <w:color w:val="auto"/>
        </w:rPr>
        <w:t>2、货物必须符合或优于国家（行业）</w:t>
      </w:r>
      <w:r>
        <w:rPr>
          <w:rFonts w:hint="eastAsia" w:ascii="宋体" w:hAnsi="宋体"/>
          <w:color w:val="auto"/>
          <w:u w:val="single"/>
        </w:rPr>
        <w:t xml:space="preserve">          </w:t>
      </w:r>
      <w:r>
        <w:rPr>
          <w:rFonts w:hint="eastAsia" w:ascii="宋体" w:hAnsi="宋体"/>
          <w:color w:val="auto"/>
        </w:rPr>
        <w:t>标准，以及本项目招标文件的质量要求和技术指标与出厂标准。</w:t>
      </w:r>
    </w:p>
    <w:p>
      <w:pPr>
        <w:pStyle w:val="29"/>
        <w:spacing w:line="360" w:lineRule="auto"/>
        <w:ind w:firstLine="480"/>
        <w:outlineLvl w:val="9"/>
        <w:rPr>
          <w:rFonts w:ascii="宋体" w:hAnsi="宋体"/>
          <w:color w:val="auto"/>
        </w:rPr>
      </w:pPr>
      <w:r>
        <w:rPr>
          <w:rFonts w:hint="eastAsia" w:ascii="宋体" w:hAnsi="宋体"/>
          <w:color w:val="auto"/>
        </w:rPr>
        <w:t>3、乙方须在本合同签订之日起</w:t>
      </w:r>
      <w:r>
        <w:rPr>
          <w:rFonts w:hint="eastAsia" w:ascii="宋体" w:hAnsi="宋体"/>
          <w:color w:val="auto"/>
          <w:u w:val="single"/>
        </w:rPr>
        <w:t xml:space="preserve">   </w:t>
      </w:r>
      <w:r>
        <w:rPr>
          <w:rFonts w:hint="eastAsia" w:ascii="宋体" w:hAnsi="宋体"/>
          <w:color w:val="auto"/>
        </w:rPr>
        <w:t>日内送交货物成品样品给甲方确认，在甲方出具样品确认书并封存成品样品外观尺寸后，乙方才能按样生产，并以此样品作为验收样品；每台货物上均应有产品质量检验合格标志。</w:t>
      </w:r>
    </w:p>
    <w:p>
      <w:pPr>
        <w:pStyle w:val="29"/>
        <w:spacing w:line="360" w:lineRule="auto"/>
        <w:ind w:firstLine="480"/>
        <w:outlineLvl w:val="9"/>
        <w:rPr>
          <w:rFonts w:ascii="宋体" w:hAnsi="宋体"/>
          <w:color w:val="auto"/>
        </w:rPr>
      </w:pPr>
      <w:r>
        <w:rPr>
          <w:rFonts w:hint="eastAsia" w:ascii="宋体" w:hAnsi="宋体"/>
          <w:color w:val="auto"/>
        </w:rPr>
        <w:t>4、货物制造质量出现问题，乙方应负责三包（包修、包换、包退），费用由乙方负担，甲方有权到乙方生产场地检查货物质量和生产进度。</w:t>
      </w:r>
    </w:p>
    <w:p>
      <w:pPr>
        <w:pStyle w:val="29"/>
        <w:spacing w:line="360" w:lineRule="auto"/>
        <w:ind w:firstLine="480"/>
        <w:outlineLvl w:val="9"/>
        <w:rPr>
          <w:rFonts w:ascii="宋体" w:hAnsi="宋体"/>
          <w:color w:val="auto"/>
        </w:rPr>
      </w:pPr>
      <w:r>
        <w:rPr>
          <w:rFonts w:hint="eastAsia" w:ascii="宋体" w:hAnsi="宋体"/>
          <w:color w:val="auto"/>
        </w:rPr>
        <w:t>5、货到现场后由于甲方保管不当造成的质量问题，乙方亦应负责修理，但费用由甲方负担。</w:t>
      </w:r>
    </w:p>
    <w:p>
      <w:pPr>
        <w:spacing w:line="360" w:lineRule="auto"/>
        <w:ind w:firstLine="480" w:firstLineChars="200"/>
        <w:outlineLvl w:val="9"/>
        <w:rPr>
          <w:rFonts w:ascii="宋体" w:hAnsi="宋体"/>
          <w:color w:val="auto"/>
          <w:sz w:val="24"/>
          <w:szCs w:val="24"/>
        </w:rPr>
      </w:pPr>
      <w:bookmarkStart w:id="213" w:name="_Toc217446110"/>
      <w:r>
        <w:rPr>
          <w:rFonts w:hint="eastAsia" w:ascii="宋体" w:hAnsi="宋体"/>
          <w:color w:val="auto"/>
          <w:sz w:val="24"/>
          <w:szCs w:val="24"/>
        </w:rPr>
        <w:t>四、交货及验收</w:t>
      </w:r>
      <w:bookmarkEnd w:id="213"/>
    </w:p>
    <w:p>
      <w:pPr>
        <w:pStyle w:val="29"/>
        <w:spacing w:line="360" w:lineRule="auto"/>
        <w:ind w:firstLine="480"/>
        <w:outlineLvl w:val="9"/>
        <w:rPr>
          <w:rFonts w:ascii="宋体" w:hAnsi="宋体"/>
          <w:color w:val="auto"/>
        </w:rPr>
      </w:pPr>
      <w:r>
        <w:rPr>
          <w:rFonts w:hint="eastAsia" w:ascii="宋体" w:hAnsi="宋体"/>
          <w:color w:val="auto"/>
        </w:rPr>
        <w:t>1、乙方交货期限为合同签订生效后的</w:t>
      </w:r>
      <w:r>
        <w:rPr>
          <w:rFonts w:hint="eastAsia" w:ascii="宋体" w:hAnsi="宋体"/>
          <w:color w:val="auto"/>
          <w:u w:val="single"/>
        </w:rPr>
        <w:t>2</w:t>
      </w:r>
      <w:r>
        <w:rPr>
          <w:rFonts w:hint="eastAsia" w:ascii="宋体" w:hAnsi="宋体"/>
          <w:color w:val="auto"/>
        </w:rPr>
        <w:t>日内，在合同签订生效之日起</w:t>
      </w:r>
      <w:r>
        <w:rPr>
          <w:rFonts w:hint="eastAsia" w:ascii="宋体" w:hAnsi="宋体"/>
          <w:color w:val="auto"/>
          <w:u w:val="single"/>
        </w:rPr>
        <w:t xml:space="preserve">2 </w:t>
      </w:r>
      <w:r>
        <w:rPr>
          <w:rFonts w:hint="eastAsia" w:ascii="宋体" w:hAnsi="宋体"/>
          <w:color w:val="auto"/>
        </w:rPr>
        <w:t>日天内交货到甲方指定地点，交货验收时须提供产品质检部门从同类产品中抽样检查合格的检测报告。</w:t>
      </w:r>
    </w:p>
    <w:p>
      <w:pPr>
        <w:pStyle w:val="29"/>
        <w:spacing w:line="360" w:lineRule="auto"/>
        <w:ind w:firstLine="480"/>
        <w:outlineLvl w:val="9"/>
        <w:rPr>
          <w:rFonts w:ascii="宋体" w:hAnsi="宋体"/>
          <w:color w:val="auto"/>
        </w:rPr>
      </w:pPr>
      <w:r>
        <w:rPr>
          <w:rFonts w:hint="eastAsia" w:ascii="宋体" w:hAnsi="宋体"/>
          <w:color w:val="auto"/>
        </w:rPr>
        <w:t>2、验收由甲方组织，乙方配合进行：</w:t>
      </w:r>
    </w:p>
    <w:p>
      <w:pPr>
        <w:pStyle w:val="29"/>
        <w:spacing w:line="360" w:lineRule="auto"/>
        <w:ind w:firstLine="480"/>
        <w:outlineLvl w:val="9"/>
        <w:rPr>
          <w:rFonts w:ascii="宋体" w:hAnsi="宋体"/>
          <w:color w:val="auto"/>
        </w:rPr>
      </w:pPr>
      <w:r>
        <w:rPr>
          <w:rFonts w:hint="eastAsia" w:ascii="宋体" w:hAnsi="宋体"/>
          <w:color w:val="auto"/>
        </w:rPr>
        <w:t>(1) 货物在乙方通知安装调试完毕后</w:t>
      </w:r>
      <w:r>
        <w:rPr>
          <w:rFonts w:hint="eastAsia" w:ascii="宋体" w:hAnsi="宋体"/>
          <w:color w:val="auto"/>
          <w:u w:val="single"/>
        </w:rPr>
        <w:t xml:space="preserve"> 2 </w:t>
      </w:r>
      <w:r>
        <w:rPr>
          <w:rFonts w:hint="eastAsia" w:ascii="宋体" w:hAnsi="宋体"/>
          <w:color w:val="auto"/>
        </w:rPr>
        <w:t>日内初步验收。初步验收合格后，进入</w:t>
      </w:r>
      <w:r>
        <w:rPr>
          <w:rFonts w:hint="eastAsia" w:ascii="宋体" w:hAnsi="宋体"/>
          <w:color w:val="auto"/>
          <w:u w:val="single"/>
        </w:rPr>
        <w:t xml:space="preserve">7天 </w:t>
      </w:r>
      <w:r>
        <w:rPr>
          <w:rFonts w:hint="eastAsia" w:ascii="宋体" w:hAnsi="宋体"/>
          <w:color w:val="auto"/>
        </w:rPr>
        <w:t>试用期；试用期间发生重大质量问题，修复后试用相应顺延；试用期结束后</w:t>
      </w:r>
      <w:r>
        <w:rPr>
          <w:rFonts w:hint="eastAsia" w:ascii="宋体" w:hAnsi="宋体"/>
          <w:color w:val="auto"/>
          <w:u w:val="single"/>
        </w:rPr>
        <w:t xml:space="preserve"> 2 </w:t>
      </w:r>
      <w:r>
        <w:rPr>
          <w:rFonts w:hint="eastAsia" w:ascii="宋体" w:hAnsi="宋体"/>
          <w:color w:val="auto"/>
        </w:rPr>
        <w:t>日内完成最终验收；</w:t>
      </w:r>
    </w:p>
    <w:p>
      <w:pPr>
        <w:pStyle w:val="29"/>
        <w:spacing w:line="360" w:lineRule="auto"/>
        <w:ind w:firstLine="480"/>
        <w:outlineLvl w:val="9"/>
        <w:rPr>
          <w:rFonts w:ascii="宋体" w:hAnsi="宋体"/>
          <w:color w:val="auto"/>
        </w:rPr>
      </w:pPr>
      <w:r>
        <w:rPr>
          <w:rFonts w:hint="eastAsia" w:ascii="宋体" w:hAnsi="宋体"/>
          <w:color w:val="auto"/>
        </w:rPr>
        <w:t>(2) 验收标准：按国家有关规定以及甲方招标文件的质量要求和技术指标、乙方的投标文件及承诺与本合同约定标准进行验收；甲乙双方如对质量要求和技术指标的约定标准有相互抵触或异议的事项，由甲方在采购与投标文件中按质量要求和技术指标比较优胜的原则确定该项的约定标准进行验收；</w:t>
      </w:r>
    </w:p>
    <w:p>
      <w:pPr>
        <w:pStyle w:val="29"/>
        <w:spacing w:line="360" w:lineRule="auto"/>
        <w:ind w:firstLine="480"/>
        <w:outlineLvl w:val="9"/>
        <w:rPr>
          <w:rFonts w:ascii="宋体" w:hAnsi="宋体"/>
          <w:color w:val="auto"/>
        </w:rPr>
      </w:pPr>
      <w:r>
        <w:rPr>
          <w:rFonts w:hint="eastAsia" w:ascii="宋体" w:hAnsi="宋体"/>
          <w:color w:val="auto"/>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29"/>
        <w:spacing w:line="360" w:lineRule="auto"/>
        <w:ind w:firstLine="480"/>
        <w:outlineLvl w:val="9"/>
        <w:rPr>
          <w:rFonts w:ascii="宋体" w:hAnsi="宋体"/>
          <w:color w:val="auto"/>
        </w:rPr>
      </w:pPr>
      <w:r>
        <w:rPr>
          <w:rFonts w:hint="eastAsia" w:ascii="宋体" w:hAnsi="宋体"/>
          <w:color w:val="auto"/>
        </w:rPr>
        <w:t>(4) 如质量验收合格，双方签署质量验收报告。</w:t>
      </w:r>
    </w:p>
    <w:p>
      <w:pPr>
        <w:pStyle w:val="29"/>
        <w:spacing w:line="360" w:lineRule="auto"/>
        <w:ind w:firstLine="480"/>
        <w:outlineLvl w:val="9"/>
        <w:rPr>
          <w:rFonts w:ascii="宋体" w:hAnsi="宋体"/>
          <w:color w:val="auto"/>
        </w:rPr>
      </w:pPr>
      <w:r>
        <w:rPr>
          <w:rFonts w:hint="eastAsia" w:ascii="宋体" w:hAnsi="宋体"/>
          <w:color w:val="auto"/>
        </w:rPr>
        <w:t>3、货物安装完成后</w:t>
      </w:r>
      <w:r>
        <w:rPr>
          <w:rFonts w:hint="eastAsia" w:ascii="宋体" w:hAnsi="宋体"/>
          <w:color w:val="auto"/>
          <w:u w:val="single"/>
        </w:rPr>
        <w:t xml:space="preserve"> 2 </w:t>
      </w:r>
      <w:r>
        <w:rPr>
          <w:rFonts w:hint="eastAsia" w:ascii="宋体" w:hAnsi="宋体"/>
          <w:color w:val="auto"/>
        </w:rPr>
        <w:t>日内，甲方无故不进行验收工作并已使用货物的，视同已安装调试完成并验收合格。</w:t>
      </w:r>
    </w:p>
    <w:p>
      <w:pPr>
        <w:pStyle w:val="29"/>
        <w:spacing w:line="360" w:lineRule="auto"/>
        <w:ind w:firstLine="480"/>
        <w:outlineLvl w:val="9"/>
        <w:rPr>
          <w:rFonts w:ascii="宋体" w:hAnsi="宋体"/>
          <w:color w:val="auto"/>
        </w:rPr>
      </w:pPr>
      <w:r>
        <w:rPr>
          <w:rFonts w:hint="eastAsia" w:ascii="宋体" w:hAnsi="宋体"/>
          <w:color w:val="auto"/>
        </w:rPr>
        <w:t>4、乙方应将所提供货物的装箱清单、配件、随机工具、用户使用手册、原厂保修卡等资料交付给甲方；乙方不能完整交付货物及本款规定的单证和工具的，必须负责补齐，否则视为未按合同约定交货。</w:t>
      </w:r>
    </w:p>
    <w:p>
      <w:pPr>
        <w:pStyle w:val="29"/>
        <w:spacing w:line="360" w:lineRule="auto"/>
        <w:ind w:firstLine="480"/>
        <w:outlineLvl w:val="9"/>
        <w:rPr>
          <w:rFonts w:ascii="宋体" w:hAnsi="宋体"/>
          <w:color w:val="auto"/>
        </w:rPr>
      </w:pPr>
      <w:r>
        <w:rPr>
          <w:rFonts w:hint="eastAsia" w:ascii="宋体" w:hAnsi="宋体"/>
          <w:color w:val="auto"/>
        </w:rPr>
        <w:t>5、如货物经乙方</w:t>
      </w:r>
      <w:r>
        <w:rPr>
          <w:rFonts w:hint="eastAsia" w:ascii="宋体" w:hAnsi="宋体"/>
          <w:color w:val="auto"/>
          <w:u w:val="single"/>
        </w:rPr>
        <w:t xml:space="preserve">  3</w:t>
      </w:r>
      <w:r>
        <w:rPr>
          <w:rFonts w:hint="eastAsia" w:ascii="宋体" w:hAnsi="宋体"/>
          <w:color w:val="auto"/>
        </w:rPr>
        <w:t>次维修仍不能达到合同约定的质量标准，甲方有权退货，并视作乙方不能交付货物而须支付违约赔偿金给甲方，甲方还可依法追究乙方的违约责任。 </w:t>
      </w:r>
    </w:p>
    <w:p>
      <w:pPr>
        <w:pStyle w:val="29"/>
        <w:spacing w:line="360" w:lineRule="auto"/>
        <w:ind w:firstLine="480"/>
        <w:outlineLvl w:val="9"/>
        <w:rPr>
          <w:rFonts w:ascii="宋体" w:hAnsi="宋体"/>
          <w:color w:val="auto"/>
        </w:rPr>
      </w:pPr>
      <w:r>
        <w:rPr>
          <w:rFonts w:hint="eastAsia" w:ascii="宋体" w:hAnsi="宋体"/>
          <w:color w:val="auto"/>
        </w:rPr>
        <w:t>6、其他未尽事宜应严格按照《四川省政府采购项目需求论证和履约验收管理办法》（川财采〔2015〕32号）的要求进行。</w:t>
      </w:r>
    </w:p>
    <w:p>
      <w:pPr>
        <w:spacing w:line="360" w:lineRule="auto"/>
        <w:ind w:firstLine="480" w:firstLineChars="200"/>
        <w:outlineLvl w:val="9"/>
        <w:rPr>
          <w:rFonts w:ascii="宋体" w:hAnsi="宋体"/>
          <w:color w:val="auto"/>
          <w:sz w:val="24"/>
          <w:szCs w:val="24"/>
        </w:rPr>
      </w:pPr>
      <w:bookmarkStart w:id="214" w:name="_Toc217446111"/>
      <w:bookmarkStart w:id="215" w:name="_Toc217446113"/>
      <w:r>
        <w:rPr>
          <w:rFonts w:hint="eastAsia" w:ascii="宋体" w:hAnsi="宋体"/>
          <w:color w:val="auto"/>
          <w:sz w:val="24"/>
          <w:szCs w:val="24"/>
        </w:rPr>
        <w:t>五、付款方式</w:t>
      </w:r>
      <w:bookmarkEnd w:id="214"/>
    </w:p>
    <w:p>
      <w:pPr>
        <w:pStyle w:val="29"/>
        <w:spacing w:line="360" w:lineRule="auto"/>
        <w:ind w:firstLine="480"/>
        <w:outlineLvl w:val="9"/>
        <w:rPr>
          <w:rFonts w:ascii="宋体" w:hAnsi="宋体"/>
          <w:color w:val="auto"/>
        </w:rPr>
      </w:pPr>
      <w:r>
        <w:rPr>
          <w:rFonts w:hint="eastAsia" w:ascii="宋体" w:hAnsi="宋体"/>
          <w:color w:val="auto"/>
        </w:rPr>
        <w:t>1、付款方式：</w:t>
      </w:r>
      <w:r>
        <w:rPr>
          <w:rFonts w:hint="eastAsia" w:ascii="宋体" w:hAnsi="宋体"/>
          <w:color w:val="auto"/>
          <w:sz w:val="24"/>
        </w:rPr>
        <w:t>付款方式：设备安装调试完成并无故障试运行满一个月后15日内支付合同总价的95%，一年质保期满后15个工作日内支付合同总价的5%。付款凭正式税务发票，发票须由成交人开具。</w:t>
      </w:r>
    </w:p>
    <w:p>
      <w:pPr>
        <w:spacing w:line="360" w:lineRule="auto"/>
        <w:ind w:firstLine="480" w:firstLineChars="200"/>
        <w:outlineLvl w:val="9"/>
        <w:rPr>
          <w:rFonts w:ascii="宋体" w:hAnsi="宋体"/>
          <w:color w:val="auto"/>
          <w:sz w:val="24"/>
          <w:szCs w:val="24"/>
        </w:rPr>
      </w:pPr>
      <w:bookmarkStart w:id="216" w:name="_Toc217446112"/>
      <w:r>
        <w:rPr>
          <w:rFonts w:hint="eastAsia" w:ascii="宋体" w:hAnsi="宋体"/>
          <w:color w:val="auto"/>
          <w:sz w:val="24"/>
          <w:szCs w:val="24"/>
        </w:rPr>
        <w:t>六、售后服务</w:t>
      </w:r>
      <w:bookmarkEnd w:id="216"/>
    </w:p>
    <w:p>
      <w:pPr>
        <w:pStyle w:val="29"/>
        <w:spacing w:line="360" w:lineRule="auto"/>
        <w:ind w:firstLine="480"/>
        <w:outlineLvl w:val="9"/>
        <w:rPr>
          <w:rFonts w:ascii="宋体" w:hAnsi="宋体"/>
          <w:color w:val="auto"/>
        </w:rPr>
      </w:pPr>
      <w:r>
        <w:rPr>
          <w:rFonts w:hint="eastAsia" w:ascii="宋体" w:hAnsi="宋体"/>
          <w:color w:val="auto"/>
        </w:rPr>
        <w:t>1、质保期为验收合格后</w:t>
      </w:r>
      <w:r>
        <w:rPr>
          <w:rFonts w:hint="eastAsia" w:ascii="宋体" w:hAnsi="宋体"/>
          <w:b/>
          <w:bCs/>
          <w:color w:val="auto"/>
          <w:lang w:eastAsia="zh-CN"/>
        </w:rPr>
        <w:t>一</w:t>
      </w:r>
      <w:r>
        <w:rPr>
          <w:rFonts w:hint="eastAsia" w:ascii="宋体" w:hAnsi="宋体"/>
          <w:b/>
          <w:bCs/>
          <w:color w:val="auto"/>
        </w:rPr>
        <w:t>年</w:t>
      </w:r>
      <w:r>
        <w:rPr>
          <w:rFonts w:hint="eastAsia" w:ascii="宋体" w:hAnsi="宋体"/>
          <w:color w:val="auto"/>
        </w:rPr>
        <w:t>，质保期内出现质量问题，乙方在接到通知后</w:t>
      </w:r>
      <w:r>
        <w:rPr>
          <w:rFonts w:hint="eastAsia" w:ascii="宋体" w:hAnsi="宋体"/>
          <w:color w:val="auto"/>
          <w:u w:val="single"/>
        </w:rPr>
        <w:t xml:space="preserve">   24</w:t>
      </w:r>
      <w:r>
        <w:rPr>
          <w:rFonts w:hint="eastAsia" w:ascii="宋体" w:hAnsi="宋体"/>
          <w:color w:val="auto"/>
        </w:rPr>
        <w:t>小时内响应到场，</w:t>
      </w:r>
      <w:r>
        <w:rPr>
          <w:rFonts w:hint="eastAsia" w:ascii="宋体" w:hAnsi="宋体"/>
          <w:color w:val="auto"/>
          <w:u w:val="single"/>
        </w:rPr>
        <w:t xml:space="preserve"> 72 </w:t>
      </w:r>
      <w:r>
        <w:rPr>
          <w:rFonts w:hint="eastAsia" w:ascii="宋体" w:hAnsi="宋体"/>
          <w:color w:val="auto"/>
        </w:rPr>
        <w:t>小时内完成维修或更换，并承担修理调换的费用；如货物经乙方</w:t>
      </w:r>
      <w:r>
        <w:rPr>
          <w:rFonts w:hint="eastAsia" w:ascii="宋体" w:hAnsi="宋体"/>
          <w:color w:val="auto"/>
          <w:u w:val="single"/>
        </w:rPr>
        <w:t xml:space="preserve">三 </w:t>
      </w:r>
      <w:r>
        <w:rPr>
          <w:rFonts w:hint="eastAsia" w:ascii="宋体" w:hAnsi="宋体"/>
          <w:color w:val="auto"/>
        </w:rPr>
        <w:t>次维修仍不能达到本合同约定的质量标准，视作乙方未能按时交货，甲方有权退货并追究乙方的违约责任。货到现场后由于甲方保管不当造成的问题，乙方亦应负责修复，但费用由甲方负担。</w:t>
      </w:r>
    </w:p>
    <w:p>
      <w:pPr>
        <w:pStyle w:val="29"/>
        <w:spacing w:line="360" w:lineRule="auto"/>
        <w:ind w:firstLine="480"/>
        <w:outlineLvl w:val="9"/>
        <w:rPr>
          <w:rFonts w:ascii="宋体" w:hAnsi="宋体"/>
          <w:color w:val="auto"/>
        </w:rPr>
      </w:pPr>
      <w:r>
        <w:rPr>
          <w:rFonts w:hint="eastAsia" w:ascii="宋体" w:hAnsi="宋体"/>
          <w:color w:val="auto"/>
        </w:rPr>
        <w:t>2、乙方须指派专人负责与甲方联系售后服务事宜。 </w:t>
      </w:r>
    </w:p>
    <w:p>
      <w:pPr>
        <w:spacing w:line="360" w:lineRule="auto"/>
        <w:ind w:firstLine="480" w:firstLineChars="200"/>
        <w:outlineLvl w:val="9"/>
        <w:rPr>
          <w:rFonts w:ascii="宋体" w:hAnsi="宋体"/>
          <w:color w:val="auto"/>
          <w:sz w:val="24"/>
          <w:szCs w:val="24"/>
        </w:rPr>
      </w:pPr>
      <w:r>
        <w:rPr>
          <w:rFonts w:hint="eastAsia" w:ascii="宋体" w:hAnsi="宋体"/>
          <w:color w:val="auto"/>
          <w:sz w:val="24"/>
          <w:szCs w:val="24"/>
        </w:rPr>
        <w:t>七、违约责任</w:t>
      </w:r>
      <w:bookmarkEnd w:id="215"/>
    </w:p>
    <w:p>
      <w:pPr>
        <w:pStyle w:val="29"/>
        <w:spacing w:line="360" w:lineRule="auto"/>
        <w:ind w:firstLine="480"/>
        <w:outlineLvl w:val="9"/>
        <w:rPr>
          <w:rFonts w:ascii="宋体" w:hAnsi="宋体"/>
          <w:color w:val="auto"/>
        </w:rPr>
      </w:pPr>
      <w:r>
        <w:rPr>
          <w:rFonts w:hint="eastAsia" w:ascii="宋体" w:hAnsi="宋体"/>
          <w:color w:val="auto"/>
        </w:rPr>
        <w:t>1、甲方违约责任</w:t>
      </w:r>
    </w:p>
    <w:p>
      <w:pPr>
        <w:pStyle w:val="29"/>
        <w:spacing w:line="360" w:lineRule="auto"/>
        <w:ind w:firstLine="480"/>
        <w:outlineLvl w:val="9"/>
        <w:rPr>
          <w:rFonts w:ascii="宋体" w:hAnsi="宋体"/>
          <w:color w:val="auto"/>
        </w:rPr>
      </w:pPr>
      <w:r>
        <w:rPr>
          <w:rFonts w:hint="eastAsia" w:ascii="宋体" w:hAnsi="宋体"/>
          <w:color w:val="auto"/>
        </w:rPr>
        <w:t>（1） 甲方无正当理由拒收货物的，甲方应偿付合同总价百分之  的违约金；</w:t>
      </w:r>
    </w:p>
    <w:p>
      <w:pPr>
        <w:pStyle w:val="29"/>
        <w:spacing w:line="360" w:lineRule="auto"/>
        <w:ind w:firstLine="480"/>
        <w:outlineLvl w:val="9"/>
        <w:rPr>
          <w:rFonts w:ascii="宋体" w:hAnsi="宋体"/>
          <w:color w:val="auto"/>
        </w:rPr>
      </w:pPr>
      <w:r>
        <w:rPr>
          <w:rFonts w:hint="eastAsia" w:ascii="宋体" w:hAnsi="宋体"/>
          <w:color w:val="auto"/>
        </w:rPr>
        <w:t>（2） 甲方逾期支付货款的，除应及时付足货款外，应向乙方偿付欠款总额万分之</w:t>
      </w:r>
      <w:r>
        <w:rPr>
          <w:rFonts w:hint="eastAsia" w:ascii="宋体" w:hAnsi="宋体"/>
          <w:color w:val="auto"/>
          <w:u w:val="single"/>
        </w:rPr>
        <w:t xml:space="preserve">   </w:t>
      </w:r>
      <w:r>
        <w:rPr>
          <w:rFonts w:hint="eastAsia" w:ascii="宋体" w:hAnsi="宋体"/>
          <w:color w:val="auto"/>
        </w:rPr>
        <w:t>/天的违约金；逾期付款超过</w:t>
      </w:r>
      <w:r>
        <w:rPr>
          <w:rFonts w:hint="eastAsia" w:ascii="宋体" w:hAnsi="宋体"/>
          <w:color w:val="auto"/>
          <w:u w:val="single"/>
        </w:rPr>
        <w:t xml:space="preserve">  </w:t>
      </w:r>
      <w:r>
        <w:rPr>
          <w:rFonts w:hint="eastAsia" w:ascii="宋体" w:hAnsi="宋体"/>
          <w:color w:val="auto"/>
        </w:rPr>
        <w:t>天的，乙方有权终止合同；</w:t>
      </w:r>
    </w:p>
    <w:p>
      <w:pPr>
        <w:pStyle w:val="29"/>
        <w:spacing w:line="360" w:lineRule="auto"/>
        <w:ind w:firstLine="480"/>
        <w:outlineLvl w:val="9"/>
        <w:rPr>
          <w:rFonts w:ascii="宋体" w:hAnsi="宋体"/>
          <w:color w:val="auto"/>
        </w:rPr>
      </w:pPr>
      <w:r>
        <w:rPr>
          <w:rFonts w:hint="eastAsia" w:ascii="宋体" w:hAnsi="宋体"/>
          <w:color w:val="auto"/>
        </w:rPr>
        <w:t>（3） 甲方偿付的违约金不足以弥补乙方损失的，还应按乙方损失尚未弥补的部分，支付赔偿金给乙方。</w:t>
      </w:r>
    </w:p>
    <w:p>
      <w:pPr>
        <w:pStyle w:val="29"/>
        <w:spacing w:line="360" w:lineRule="auto"/>
        <w:ind w:firstLine="480"/>
        <w:outlineLvl w:val="9"/>
        <w:rPr>
          <w:rFonts w:ascii="宋体" w:hAnsi="宋体"/>
          <w:color w:val="auto"/>
        </w:rPr>
      </w:pPr>
      <w:r>
        <w:rPr>
          <w:rFonts w:hint="eastAsia" w:ascii="宋体" w:hAnsi="宋体"/>
          <w:color w:val="auto"/>
        </w:rPr>
        <w:t>2、乙方违约责任</w:t>
      </w:r>
    </w:p>
    <w:p>
      <w:pPr>
        <w:pStyle w:val="29"/>
        <w:spacing w:line="360" w:lineRule="auto"/>
        <w:ind w:firstLine="480"/>
        <w:outlineLvl w:val="9"/>
        <w:rPr>
          <w:rFonts w:ascii="宋体" w:hAnsi="宋体"/>
          <w:color w:val="auto"/>
        </w:rPr>
      </w:pPr>
      <w:r>
        <w:rPr>
          <w:rFonts w:hint="eastAsia" w:ascii="宋体" w:hAnsi="宋体"/>
          <w:color w:val="auto"/>
        </w:rPr>
        <w:t>（1）乙方交付的货物质量不符合合同规定的，乙方应向甲方支付合同总价的百分之</w:t>
      </w:r>
      <w:r>
        <w:rPr>
          <w:rFonts w:hint="eastAsia" w:ascii="宋体" w:hAnsi="宋体"/>
          <w:color w:val="auto"/>
          <w:u w:val="single"/>
        </w:rPr>
        <w:t xml:space="preserve"> </w:t>
      </w:r>
      <w:r>
        <w:rPr>
          <w:rFonts w:hint="eastAsia" w:ascii="宋体" w:hAnsi="宋体"/>
          <w:b/>
          <w:bCs/>
          <w:color w:val="auto"/>
          <w:u w:val="single"/>
        </w:rPr>
        <w:t xml:space="preserve">三十 </w:t>
      </w:r>
      <w:r>
        <w:rPr>
          <w:rFonts w:hint="eastAsia" w:ascii="宋体" w:hAnsi="宋体"/>
          <w:color w:val="auto"/>
        </w:rPr>
        <w:t>的违约金，并须在合同规定的交货时间内更换合格的货物给甲方，否则，视作乙方不能交付货物而违约，按本条本款下述第“（2）”项规定由乙方偿付违约赔偿金给甲方。</w:t>
      </w:r>
    </w:p>
    <w:p>
      <w:pPr>
        <w:pStyle w:val="29"/>
        <w:spacing w:line="360" w:lineRule="auto"/>
        <w:ind w:firstLine="480"/>
        <w:outlineLvl w:val="9"/>
        <w:rPr>
          <w:rFonts w:ascii="宋体" w:hAnsi="宋体"/>
          <w:color w:val="auto"/>
        </w:rPr>
      </w:pPr>
      <w:r>
        <w:rPr>
          <w:rFonts w:hint="eastAsia" w:ascii="宋体" w:hAnsi="宋体"/>
          <w:color w:val="auto"/>
        </w:rPr>
        <w:t>（2）乙方不能交付货物或逾期交付货物而违约的，除应及时交足货物外，应向甲方偿付逾期交货部分货款总额的百分之</w:t>
      </w:r>
      <w:r>
        <w:rPr>
          <w:rFonts w:hint="eastAsia" w:ascii="宋体" w:hAnsi="宋体"/>
          <w:color w:val="auto"/>
          <w:u w:val="single"/>
        </w:rPr>
        <w:t xml:space="preserve"> </w:t>
      </w:r>
      <w:r>
        <w:rPr>
          <w:rFonts w:hint="eastAsia" w:ascii="宋体" w:hAnsi="宋体"/>
          <w:b/>
          <w:bCs/>
          <w:color w:val="auto"/>
          <w:u w:val="single"/>
        </w:rPr>
        <w:t>二</w:t>
      </w:r>
      <w:r>
        <w:rPr>
          <w:rFonts w:hint="eastAsia" w:ascii="宋体" w:hAnsi="宋体"/>
          <w:color w:val="auto"/>
          <w:u w:val="single"/>
        </w:rPr>
        <w:t xml:space="preserve">  </w:t>
      </w:r>
      <w:r>
        <w:rPr>
          <w:rFonts w:hint="eastAsia" w:ascii="宋体" w:hAnsi="宋体"/>
          <w:color w:val="auto"/>
        </w:rPr>
        <w:t>/天的违约金；逾期交货超过XX天，甲方有权终止合同，乙方则应按合同总价的百分之</w:t>
      </w:r>
      <w:r>
        <w:rPr>
          <w:rFonts w:hint="eastAsia" w:ascii="宋体" w:hAnsi="宋体"/>
          <w:color w:val="auto"/>
          <w:u w:val="single"/>
        </w:rPr>
        <w:t xml:space="preserve">  </w:t>
      </w:r>
      <w:r>
        <w:rPr>
          <w:rFonts w:hint="eastAsia" w:ascii="宋体" w:hAnsi="宋体"/>
          <w:color w:val="auto"/>
        </w:rPr>
        <w:t>的款额向甲方偿付赔偿金，并须全额退还甲方已经付给乙方的货款及其利息。</w:t>
      </w:r>
    </w:p>
    <w:p>
      <w:pPr>
        <w:pStyle w:val="29"/>
        <w:spacing w:line="360" w:lineRule="auto"/>
        <w:ind w:firstLine="480"/>
        <w:outlineLvl w:val="9"/>
        <w:rPr>
          <w:rFonts w:ascii="宋体" w:hAnsi="宋体"/>
          <w:color w:val="auto"/>
        </w:rPr>
      </w:pPr>
      <w:r>
        <w:rPr>
          <w:rFonts w:hint="eastAsia" w:ascii="宋体" w:hAnsi="宋体"/>
          <w:color w:val="auto"/>
        </w:rPr>
        <w:t>（3）乙方货物经甲方送交具有法定资格条件的质量技术监督机构检测后，如检测结果认定货物质量不符合本合同规定标准的，则视为乙方没有按时交货而违约，乙方须在</w:t>
      </w:r>
      <w:r>
        <w:rPr>
          <w:rFonts w:hint="eastAsia" w:ascii="宋体" w:hAnsi="宋体"/>
          <w:color w:val="auto"/>
          <w:u w:val="single"/>
        </w:rPr>
        <w:t xml:space="preserve">   </w:t>
      </w:r>
      <w:r>
        <w:rPr>
          <w:rFonts w:hint="eastAsia" w:ascii="宋体" w:hAnsi="宋体"/>
          <w:color w:val="auto"/>
        </w:rPr>
        <w:t>天内无条件更换合格的货物，如逾期不能更换合格的货物，甲方有权终止本合同，乙方应另付合同总价的百分之</w:t>
      </w:r>
      <w:r>
        <w:rPr>
          <w:rFonts w:hint="eastAsia" w:ascii="宋体" w:hAnsi="宋体"/>
          <w:color w:val="auto"/>
          <w:u w:val="single"/>
        </w:rPr>
        <w:t xml:space="preserve">   </w:t>
      </w:r>
      <w:r>
        <w:rPr>
          <w:rFonts w:hint="eastAsia" w:ascii="宋体" w:hAnsi="宋体"/>
          <w:color w:val="auto"/>
        </w:rPr>
        <w:t>的赔偿金给甲方。</w:t>
      </w:r>
    </w:p>
    <w:p>
      <w:pPr>
        <w:pStyle w:val="29"/>
        <w:spacing w:line="360" w:lineRule="auto"/>
        <w:ind w:firstLine="480"/>
        <w:outlineLvl w:val="9"/>
        <w:rPr>
          <w:rFonts w:ascii="宋体" w:hAnsi="宋体"/>
          <w:color w:val="auto"/>
        </w:rPr>
      </w:pPr>
      <w:r>
        <w:rPr>
          <w:rFonts w:hint="eastAsia" w:ascii="宋体" w:hAnsi="宋体"/>
          <w:color w:val="auto"/>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ascii="宋体" w:hAnsi="宋体"/>
          <w:color w:val="auto"/>
          <w:u w:val="single"/>
        </w:rPr>
        <w:t xml:space="preserve">   </w:t>
      </w:r>
      <w:r>
        <w:rPr>
          <w:rFonts w:hint="eastAsia" w:ascii="宋体" w:hAnsi="宋体"/>
          <w:color w:val="auto"/>
        </w:rPr>
        <w:t>向甲方支付违约金并赔偿因此给甲方造成的一切损失。</w:t>
      </w:r>
    </w:p>
    <w:p>
      <w:pPr>
        <w:pStyle w:val="29"/>
        <w:spacing w:line="360" w:lineRule="auto"/>
        <w:ind w:firstLine="480"/>
        <w:outlineLvl w:val="9"/>
        <w:rPr>
          <w:rFonts w:ascii="宋体" w:hAnsi="宋体"/>
          <w:color w:val="auto"/>
        </w:rPr>
      </w:pPr>
      <w:r>
        <w:rPr>
          <w:rFonts w:hint="eastAsia" w:ascii="宋体" w:hAnsi="宋体"/>
          <w:color w:val="auto"/>
        </w:rPr>
        <w:t>（5）乙方偿付的违约金不足以弥补甲方损失的，还应按甲方损失尚未弥补的部分，支付赔偿金给甲方。</w:t>
      </w:r>
    </w:p>
    <w:p>
      <w:pPr>
        <w:spacing w:line="360" w:lineRule="auto"/>
        <w:ind w:firstLine="480" w:firstLineChars="200"/>
        <w:outlineLvl w:val="9"/>
        <w:rPr>
          <w:rFonts w:ascii="宋体" w:hAnsi="宋体"/>
          <w:color w:val="auto"/>
          <w:sz w:val="24"/>
          <w:szCs w:val="24"/>
        </w:rPr>
      </w:pPr>
      <w:bookmarkStart w:id="217" w:name="_Toc217446114"/>
      <w:r>
        <w:rPr>
          <w:rFonts w:hint="eastAsia" w:ascii="宋体" w:hAnsi="宋体"/>
          <w:color w:val="auto"/>
          <w:sz w:val="24"/>
          <w:szCs w:val="24"/>
        </w:rPr>
        <w:t>八、争议解决办法</w:t>
      </w:r>
      <w:bookmarkEnd w:id="217"/>
    </w:p>
    <w:p>
      <w:pPr>
        <w:pStyle w:val="29"/>
        <w:spacing w:line="360" w:lineRule="auto"/>
        <w:ind w:firstLine="480"/>
        <w:outlineLvl w:val="9"/>
        <w:rPr>
          <w:rFonts w:ascii="宋体" w:hAnsi="宋体"/>
          <w:color w:val="auto"/>
        </w:rPr>
      </w:pPr>
      <w:r>
        <w:rPr>
          <w:rFonts w:hint="eastAsia" w:ascii="宋体" w:hAnsi="宋体"/>
          <w:color w:val="auto"/>
        </w:rPr>
        <w:t>1、因货物的质量问题发生争议，由质量技术监督部门或其指定的质量鉴定机构进行质量鉴定。货物符合标准的，鉴定费由甲方承担；货物不符合质量标准的，鉴定费由乙方承担。</w:t>
      </w:r>
    </w:p>
    <w:p>
      <w:pPr>
        <w:pStyle w:val="29"/>
        <w:spacing w:line="360" w:lineRule="auto"/>
        <w:ind w:firstLine="480"/>
        <w:outlineLvl w:val="9"/>
        <w:rPr>
          <w:rFonts w:ascii="宋体" w:hAnsi="宋体"/>
          <w:color w:val="auto"/>
        </w:rPr>
      </w:pPr>
      <w:r>
        <w:rPr>
          <w:rFonts w:hint="eastAsia" w:ascii="宋体" w:hAnsi="宋体"/>
          <w:color w:val="auto"/>
        </w:rPr>
        <w:t>2、合同履行期间,若双方发生争议，可协商或由有关部门调解解决，协商或调解不成的，由当事人依法维护其合法权益。</w:t>
      </w:r>
    </w:p>
    <w:p>
      <w:pPr>
        <w:spacing w:line="360" w:lineRule="auto"/>
        <w:ind w:firstLine="480" w:firstLineChars="200"/>
        <w:outlineLvl w:val="9"/>
        <w:rPr>
          <w:rFonts w:ascii="宋体" w:hAnsi="宋体"/>
          <w:color w:val="auto"/>
          <w:sz w:val="24"/>
          <w:szCs w:val="24"/>
        </w:rPr>
      </w:pPr>
      <w:bookmarkStart w:id="218" w:name="_Toc217446115"/>
      <w:r>
        <w:rPr>
          <w:rFonts w:hint="eastAsia" w:ascii="宋体" w:hAnsi="宋体"/>
          <w:color w:val="auto"/>
          <w:sz w:val="24"/>
          <w:szCs w:val="24"/>
        </w:rPr>
        <w:t>九、其他</w:t>
      </w:r>
      <w:bookmarkEnd w:id="218"/>
    </w:p>
    <w:p>
      <w:pPr>
        <w:pStyle w:val="29"/>
        <w:spacing w:line="360" w:lineRule="auto"/>
        <w:ind w:firstLine="480"/>
        <w:outlineLvl w:val="9"/>
        <w:rPr>
          <w:rFonts w:ascii="宋体" w:hAnsi="宋体"/>
          <w:color w:val="auto"/>
        </w:rPr>
      </w:pPr>
      <w:r>
        <w:rPr>
          <w:rFonts w:hint="eastAsia" w:ascii="宋体" w:hAnsi="宋体"/>
          <w:color w:val="auto"/>
        </w:rPr>
        <w:t>1、如有未尽事宜，由双方依法订立补充合同。</w:t>
      </w:r>
    </w:p>
    <w:p>
      <w:pPr>
        <w:pStyle w:val="29"/>
        <w:spacing w:line="360" w:lineRule="auto"/>
        <w:ind w:firstLine="480"/>
        <w:outlineLvl w:val="9"/>
        <w:rPr>
          <w:rFonts w:ascii="宋体" w:hAnsi="宋体"/>
          <w:color w:val="auto"/>
        </w:rPr>
      </w:pPr>
      <w:r>
        <w:rPr>
          <w:rFonts w:hint="eastAsia" w:ascii="宋体" w:hAnsi="宋体"/>
          <w:color w:val="auto"/>
        </w:rPr>
        <w:t>2、本合同一式六份，自双方签章之日起生效。甲方三份，乙方、政府采购管理部门、采购代理机构各一份。</w:t>
      </w:r>
    </w:p>
    <w:p>
      <w:pPr>
        <w:spacing w:line="360" w:lineRule="auto"/>
        <w:outlineLvl w:val="9"/>
        <w:rPr>
          <w:rFonts w:hint="eastAsia" w:ascii="宋体" w:hAnsi="宋体"/>
          <w:color w:val="auto"/>
          <w:sz w:val="24"/>
        </w:rPr>
      </w:pPr>
    </w:p>
    <w:p>
      <w:pPr>
        <w:spacing w:line="360" w:lineRule="auto"/>
        <w:outlineLvl w:val="9"/>
        <w:rPr>
          <w:rFonts w:hint="eastAsia" w:ascii="宋体" w:hAnsi="宋体"/>
          <w:color w:val="auto"/>
          <w:sz w:val="24"/>
        </w:rPr>
      </w:pPr>
    </w:p>
    <w:p>
      <w:pPr>
        <w:spacing w:line="360" w:lineRule="auto"/>
        <w:outlineLvl w:val="9"/>
        <w:rPr>
          <w:rFonts w:hint="eastAsia" w:ascii="宋体" w:hAnsi="宋体"/>
          <w:color w:val="auto"/>
          <w:sz w:val="24"/>
        </w:rPr>
      </w:pPr>
    </w:p>
    <w:p>
      <w:pPr>
        <w:spacing w:line="360" w:lineRule="auto"/>
        <w:outlineLvl w:val="9"/>
        <w:rPr>
          <w:rFonts w:ascii="宋体" w:hAnsi="宋体"/>
          <w:color w:val="auto"/>
          <w:sz w:val="24"/>
        </w:rPr>
      </w:pPr>
      <w:r>
        <w:rPr>
          <w:rFonts w:hint="eastAsia" w:ascii="宋体" w:hAnsi="宋体"/>
          <w:color w:val="auto"/>
          <w:sz w:val="24"/>
        </w:rPr>
        <w:t xml:space="preserve">甲方：   （盖章）   </w:t>
      </w:r>
      <w:r>
        <w:rPr>
          <w:rFonts w:hint="eastAsia" w:ascii="宋体" w:hAnsi="宋体"/>
          <w:color w:val="auto"/>
          <w:sz w:val="24"/>
        </w:rPr>
        <w:tab/>
      </w:r>
      <w:r>
        <w:rPr>
          <w:rFonts w:hint="eastAsia" w:ascii="宋体" w:hAnsi="宋体"/>
          <w:color w:val="auto"/>
          <w:sz w:val="24"/>
        </w:rPr>
        <w:tab/>
      </w:r>
      <w:r>
        <w:rPr>
          <w:rFonts w:hint="eastAsia" w:ascii="宋体" w:hAnsi="宋体"/>
          <w:color w:val="auto"/>
          <w:sz w:val="24"/>
        </w:rPr>
        <w:tab/>
      </w:r>
      <w:r>
        <w:rPr>
          <w:rFonts w:hint="eastAsia" w:ascii="宋体" w:hAnsi="宋体"/>
          <w:color w:val="auto"/>
          <w:sz w:val="24"/>
        </w:rPr>
        <w:t xml:space="preserve">         乙方：   （盖章）</w:t>
      </w:r>
    </w:p>
    <w:p>
      <w:pPr>
        <w:spacing w:line="360" w:lineRule="auto"/>
        <w:outlineLvl w:val="9"/>
        <w:rPr>
          <w:rFonts w:ascii="宋体" w:hAnsi="宋体"/>
          <w:color w:val="auto"/>
          <w:sz w:val="24"/>
        </w:rPr>
      </w:pPr>
      <w:r>
        <w:rPr>
          <w:rFonts w:hint="eastAsia" w:ascii="宋体" w:hAnsi="宋体"/>
          <w:color w:val="auto"/>
          <w:sz w:val="24"/>
        </w:rPr>
        <w:t>法定代表人</w:t>
      </w:r>
      <w:r>
        <w:rPr>
          <w:rFonts w:hint="eastAsia" w:ascii="宋体" w:hAnsi="宋体" w:cs="宋体"/>
          <w:color w:val="auto"/>
          <w:sz w:val="24"/>
        </w:rPr>
        <w:t>/主要负责人</w:t>
      </w:r>
      <w:r>
        <w:rPr>
          <w:rFonts w:hint="eastAsia" w:ascii="宋体" w:hAnsi="宋体"/>
          <w:color w:val="auto"/>
          <w:sz w:val="24"/>
        </w:rPr>
        <w:t>（授权代表）：    法定代表人</w:t>
      </w:r>
      <w:r>
        <w:rPr>
          <w:rFonts w:hint="eastAsia" w:ascii="宋体" w:hAnsi="宋体" w:cs="宋体"/>
          <w:color w:val="auto"/>
          <w:sz w:val="24"/>
        </w:rPr>
        <w:t>/主要负责人</w:t>
      </w:r>
      <w:r>
        <w:rPr>
          <w:rFonts w:hint="eastAsia" w:ascii="宋体" w:hAnsi="宋体"/>
          <w:color w:val="auto"/>
          <w:sz w:val="24"/>
        </w:rPr>
        <w:t>（授权代表）：</w:t>
      </w:r>
    </w:p>
    <w:p>
      <w:pPr>
        <w:spacing w:line="360" w:lineRule="auto"/>
        <w:outlineLvl w:val="9"/>
        <w:rPr>
          <w:rFonts w:ascii="宋体" w:hAnsi="宋体"/>
          <w:color w:val="auto"/>
          <w:sz w:val="24"/>
        </w:rPr>
      </w:pPr>
      <w:r>
        <w:rPr>
          <w:rFonts w:hint="eastAsia" w:ascii="宋体" w:hAnsi="宋体"/>
          <w:color w:val="auto"/>
          <w:sz w:val="24"/>
        </w:rPr>
        <w:t>地    址：                           地    址：</w:t>
      </w:r>
    </w:p>
    <w:p>
      <w:pPr>
        <w:spacing w:line="360" w:lineRule="auto"/>
        <w:outlineLvl w:val="9"/>
        <w:rPr>
          <w:rFonts w:ascii="宋体" w:hAnsi="宋体"/>
          <w:color w:val="auto"/>
          <w:sz w:val="24"/>
        </w:rPr>
      </w:pPr>
      <w:r>
        <w:rPr>
          <w:rFonts w:hint="eastAsia" w:ascii="宋体" w:hAnsi="宋体"/>
          <w:color w:val="auto"/>
          <w:sz w:val="24"/>
        </w:rPr>
        <w:t>开户银行：                           开户银行：</w:t>
      </w:r>
    </w:p>
    <w:p>
      <w:pPr>
        <w:spacing w:line="360" w:lineRule="auto"/>
        <w:outlineLvl w:val="9"/>
        <w:rPr>
          <w:rFonts w:ascii="宋体" w:hAnsi="宋体"/>
          <w:color w:val="auto"/>
          <w:sz w:val="24"/>
        </w:rPr>
      </w:pPr>
      <w:r>
        <w:rPr>
          <w:rFonts w:hint="eastAsia" w:ascii="宋体" w:hAnsi="宋体"/>
          <w:color w:val="auto"/>
          <w:sz w:val="24"/>
        </w:rPr>
        <w:t>账号：                               账号：</w:t>
      </w:r>
    </w:p>
    <w:p>
      <w:pPr>
        <w:spacing w:line="360" w:lineRule="auto"/>
        <w:outlineLvl w:val="9"/>
        <w:rPr>
          <w:rFonts w:ascii="宋体" w:hAnsi="宋体"/>
          <w:color w:val="auto"/>
          <w:sz w:val="24"/>
        </w:rPr>
      </w:pPr>
      <w:r>
        <w:rPr>
          <w:rFonts w:hint="eastAsia" w:ascii="宋体" w:hAnsi="宋体"/>
          <w:color w:val="auto"/>
          <w:sz w:val="24"/>
        </w:rPr>
        <w:t>电    话：                           电    话：</w:t>
      </w:r>
    </w:p>
    <w:p>
      <w:pPr>
        <w:spacing w:line="360" w:lineRule="auto"/>
        <w:outlineLvl w:val="9"/>
        <w:rPr>
          <w:rFonts w:ascii="宋体" w:hAnsi="宋体"/>
          <w:color w:val="auto"/>
          <w:sz w:val="24"/>
        </w:rPr>
      </w:pPr>
      <w:r>
        <w:rPr>
          <w:rFonts w:hint="eastAsia" w:ascii="宋体" w:hAnsi="宋体"/>
          <w:color w:val="auto"/>
          <w:sz w:val="24"/>
        </w:rPr>
        <w:t>传    真：                           传    真：</w:t>
      </w:r>
    </w:p>
    <w:p>
      <w:pPr>
        <w:keepNext w:val="0"/>
        <w:keepLines w:val="0"/>
        <w:numPr>
          <w:ilvl w:val="0"/>
          <w:numId w:val="0"/>
        </w:numPr>
        <w:spacing w:before="0" w:after="0" w:line="360" w:lineRule="auto"/>
        <w:ind w:left="-142" w:leftChars="0"/>
        <w:jc w:val="left"/>
        <w:outlineLvl w:val="9"/>
        <w:rPr>
          <w:rFonts w:hint="eastAsia" w:ascii="宋体" w:hAnsi="宋体"/>
          <w:b w:val="0"/>
          <w:color w:val="auto"/>
          <w:sz w:val="24"/>
          <w:szCs w:val="24"/>
        </w:rPr>
      </w:pPr>
      <w:r>
        <w:rPr>
          <w:rFonts w:hint="eastAsia" w:ascii="宋体" w:hAnsi="宋体"/>
          <w:b w:val="0"/>
          <w:color w:val="auto"/>
          <w:sz w:val="24"/>
          <w:szCs w:val="24"/>
        </w:rPr>
        <w:t xml:space="preserve">签约日期：XX年XX月XX日 </w:t>
      </w:r>
      <w:r>
        <w:rPr>
          <w:rFonts w:hint="eastAsia" w:ascii="宋体" w:hAnsi="宋体"/>
          <w:b w:val="0"/>
          <w:color w:val="auto"/>
          <w:sz w:val="24"/>
          <w:szCs w:val="24"/>
        </w:rPr>
        <w:tab/>
      </w:r>
      <w:r>
        <w:rPr>
          <w:rFonts w:hint="eastAsia" w:ascii="宋体" w:hAnsi="宋体"/>
          <w:b w:val="0"/>
          <w:color w:val="auto"/>
          <w:sz w:val="24"/>
          <w:szCs w:val="24"/>
        </w:rPr>
        <w:tab/>
      </w:r>
      <w:r>
        <w:rPr>
          <w:rFonts w:hint="eastAsia" w:ascii="宋体" w:hAnsi="宋体"/>
          <w:b w:val="0"/>
          <w:color w:val="auto"/>
          <w:sz w:val="24"/>
          <w:szCs w:val="24"/>
        </w:rPr>
        <w:tab/>
      </w:r>
      <w:r>
        <w:rPr>
          <w:rFonts w:hint="eastAsia" w:ascii="宋体" w:hAnsi="宋体"/>
          <w:b w:val="0"/>
          <w:color w:val="auto"/>
          <w:sz w:val="24"/>
          <w:szCs w:val="24"/>
        </w:rPr>
        <w:t xml:space="preserve">  签约日期：XX年XX月X</w:t>
      </w:r>
      <w:bookmarkEnd w:id="206"/>
      <w:bookmarkEnd w:id="207"/>
      <w:bookmarkEnd w:id="208"/>
      <w:bookmarkEnd w:id="209"/>
      <w:bookmarkEnd w:id="210"/>
      <w:bookmarkStart w:id="219" w:name="_Toc316475756"/>
      <w:bookmarkEnd w:id="219"/>
      <w:bookmarkStart w:id="220" w:name="_Toc316475673"/>
      <w:bookmarkEnd w:id="220"/>
      <w:bookmarkStart w:id="221" w:name="_Toc316475751"/>
      <w:bookmarkEnd w:id="221"/>
      <w:bookmarkStart w:id="222" w:name="_Toc316475753"/>
      <w:bookmarkEnd w:id="222"/>
      <w:bookmarkStart w:id="223" w:name="_Toc316475752"/>
      <w:bookmarkEnd w:id="223"/>
      <w:bookmarkStart w:id="224" w:name="_Toc316475758"/>
      <w:bookmarkEnd w:id="224"/>
      <w:bookmarkStart w:id="225" w:name="_Toc316475669"/>
      <w:bookmarkEnd w:id="225"/>
      <w:bookmarkStart w:id="226" w:name="_Toc316475670"/>
      <w:bookmarkEnd w:id="226"/>
      <w:bookmarkStart w:id="227" w:name="_Toc316475755"/>
      <w:bookmarkEnd w:id="227"/>
      <w:bookmarkStart w:id="228" w:name="_Toc316475763"/>
      <w:bookmarkEnd w:id="228"/>
      <w:bookmarkStart w:id="229" w:name="_Toc316475762"/>
      <w:bookmarkEnd w:id="229"/>
      <w:bookmarkStart w:id="230" w:name="_Toc316475668"/>
      <w:bookmarkEnd w:id="230"/>
      <w:bookmarkStart w:id="231" w:name="_Toc316475757"/>
      <w:bookmarkEnd w:id="231"/>
      <w:bookmarkStart w:id="232" w:name="_Toc316475754"/>
      <w:bookmarkEnd w:id="232"/>
      <w:bookmarkStart w:id="233" w:name="_Toc316475667"/>
      <w:bookmarkEnd w:id="233"/>
      <w:bookmarkStart w:id="234" w:name="_Toc316475760"/>
      <w:bookmarkEnd w:id="234"/>
      <w:bookmarkStart w:id="235" w:name="_Toc316475672"/>
      <w:bookmarkEnd w:id="235"/>
      <w:bookmarkStart w:id="236" w:name="_Toc316475676"/>
      <w:bookmarkEnd w:id="236"/>
      <w:bookmarkStart w:id="237" w:name="_Toc316475664"/>
      <w:bookmarkEnd w:id="237"/>
      <w:bookmarkStart w:id="238" w:name="_Toc316475665"/>
      <w:bookmarkEnd w:id="238"/>
      <w:bookmarkStart w:id="239" w:name="_Toc316475666"/>
      <w:bookmarkEnd w:id="239"/>
      <w:bookmarkStart w:id="240" w:name="_Toc316475677"/>
      <w:bookmarkEnd w:id="240"/>
      <w:bookmarkStart w:id="241" w:name="_Toc316475674"/>
      <w:bookmarkEnd w:id="241"/>
      <w:bookmarkStart w:id="242" w:name="_Toc316475761"/>
      <w:bookmarkEnd w:id="242"/>
      <w:bookmarkStart w:id="243" w:name="_Toc316475671"/>
      <w:bookmarkEnd w:id="243"/>
      <w:bookmarkStart w:id="244" w:name="_Toc316475759"/>
      <w:bookmarkEnd w:id="244"/>
      <w:bookmarkStart w:id="245" w:name="_Toc316475675"/>
      <w:bookmarkEnd w:id="245"/>
      <w:bookmarkStart w:id="246" w:name="_Toc316475764"/>
      <w:bookmarkEnd w:id="246"/>
    </w:p>
    <w:p>
      <w:pPr>
        <w:pStyle w:val="2"/>
        <w:outlineLvl w:val="9"/>
        <w:rPr>
          <w:color w:val="auto"/>
        </w:rPr>
      </w:pPr>
    </w:p>
    <w:p>
      <w:pPr>
        <w:outlineLvl w:val="9"/>
        <w:rPr>
          <w:color w:val="auto"/>
        </w:rPr>
        <w:sectPr>
          <w:footerReference r:id="rId3" w:type="default"/>
          <w:pgSz w:w="11906" w:h="16838"/>
          <w:pgMar w:top="1440" w:right="1800" w:bottom="1440" w:left="1800" w:header="851" w:footer="992" w:gutter="0"/>
          <w:cols w:space="720" w:num="1"/>
          <w:titlePg/>
          <w:docGrid w:type="lines" w:linePitch="326" w:charSpace="0"/>
        </w:sectPr>
      </w:pPr>
      <w:r>
        <w:rPr>
          <w:rFonts w:hint="eastAsia" w:hAnsi="宋体" w:cs="宋体"/>
          <w:b/>
          <w:bCs/>
          <w:color w:val="auto"/>
        </w:rPr>
        <w:t>注：1、以上合同条款采购人与中标人签订合同时可根据实际情况进行调整、修改或重新起草</w:t>
      </w:r>
    </w:p>
    <w:p>
      <w:pPr>
        <w:rPr>
          <w:b/>
          <w:color w:val="auto"/>
        </w:rPr>
      </w:pPr>
    </w:p>
    <w:p>
      <w:pPr>
        <w:rPr>
          <w:color w:val="auto"/>
        </w:rPr>
      </w:pPr>
      <w:r>
        <w:rPr>
          <w:rFonts w:hint="eastAsia" w:ascii="宋体" w:hAnsi="宋体" w:cs="Tahoma"/>
          <w:b/>
          <w:color w:val="auto"/>
          <w:sz w:val="30"/>
          <w:szCs w:val="30"/>
        </w:rPr>
        <w:t>附件</w:t>
      </w:r>
      <w:r>
        <w:rPr>
          <w:rFonts w:hint="eastAsia" w:ascii="宋体" w:hAnsi="宋体" w:cs="Tahoma"/>
          <w:b/>
          <w:color w:val="auto"/>
          <w:sz w:val="30"/>
          <w:szCs w:val="30"/>
          <w:lang w:eastAsia="zh-CN"/>
        </w:rPr>
        <w:t>一</w:t>
      </w:r>
      <w:r>
        <w:rPr>
          <w:rFonts w:hint="eastAsia" w:ascii="宋体" w:hAnsi="宋体" w:cs="Tahoma"/>
          <w:b/>
          <w:color w:val="auto"/>
          <w:sz w:val="30"/>
          <w:szCs w:val="30"/>
        </w:rPr>
        <w:t>：</w:t>
      </w:r>
    </w:p>
    <w:p>
      <w:pPr>
        <w:rPr>
          <w:color w:val="auto"/>
        </w:rPr>
      </w:pPr>
      <w:r>
        <w:rPr>
          <w:color w:val="auto"/>
        </w:rPr>
        <w:drawing>
          <wp:inline distT="0" distB="0" distL="0" distR="0">
            <wp:extent cx="5276850" cy="74580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48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6850" cy="7448550"/>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p>
    <w:p>
      <w:pPr>
        <w:rPr>
          <w:color w:val="auto"/>
        </w:rPr>
      </w:pPr>
      <w:r>
        <w:rPr>
          <w:color w:val="auto"/>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p>
    <w:p>
      <w:pPr>
        <w:rPr>
          <w:color w:val="auto"/>
        </w:rPr>
      </w:pPr>
      <w:r>
        <w:rPr>
          <w:color w:val="auto"/>
        </w:rPr>
        <w:br w:type="page"/>
      </w:r>
    </w:p>
    <w:p>
      <w:pPr>
        <w:pStyle w:val="30"/>
        <w:spacing w:line="440" w:lineRule="exact"/>
        <w:rPr>
          <w:rFonts w:hint="eastAsia" w:ascii="宋体" w:hAnsi="宋体" w:cs="宋体"/>
          <w:b/>
          <w:bCs/>
          <w:color w:val="auto"/>
          <w:kern w:val="2"/>
          <w:sz w:val="36"/>
          <w:szCs w:val="36"/>
          <w:lang w:val="en-US" w:eastAsia="zh-CN"/>
        </w:rPr>
      </w:pPr>
      <w:r>
        <w:rPr>
          <w:rFonts w:hint="eastAsia" w:ascii="宋体" w:hAnsi="宋体" w:cs="宋体"/>
          <w:b/>
          <w:bCs/>
          <w:color w:val="auto"/>
          <w:kern w:val="2"/>
          <w:sz w:val="36"/>
          <w:szCs w:val="36"/>
          <w:lang w:eastAsia="zh-CN"/>
        </w:rPr>
        <w:t>附件二：</w:t>
      </w:r>
    </w:p>
    <w:p>
      <w:pPr>
        <w:pStyle w:val="30"/>
        <w:spacing w:line="440" w:lineRule="exact"/>
        <w:rPr>
          <w:rFonts w:hint="eastAsia" w:ascii="宋体" w:hAnsi="宋体" w:cs="宋体"/>
          <w:color w:val="auto"/>
          <w:kern w:val="2"/>
          <w:sz w:val="32"/>
          <w:szCs w:val="32"/>
          <w:lang w:eastAsia="zh-CN"/>
        </w:rPr>
      </w:pPr>
    </w:p>
    <w:p>
      <w:pPr>
        <w:jc w:val="center"/>
        <w:rPr>
          <w:b/>
          <w:color w:val="auto"/>
          <w:sz w:val="44"/>
          <w:szCs w:val="44"/>
        </w:rPr>
      </w:pPr>
      <w:r>
        <w:rPr>
          <w:rFonts w:hint="eastAsia"/>
          <w:b/>
          <w:color w:val="auto"/>
          <w:sz w:val="44"/>
          <w:szCs w:val="44"/>
        </w:rPr>
        <w:t>崇州市级政府采购信用融资信息一览表</w:t>
      </w:r>
    </w:p>
    <w:p>
      <w:pPr>
        <w:rPr>
          <w:color w:val="auto"/>
        </w:rPr>
      </w:pPr>
    </w:p>
    <w:p>
      <w:pPr>
        <w:ind w:firstLine="480" w:firstLineChars="200"/>
        <w:rPr>
          <w:color w:val="auto"/>
        </w:rPr>
      </w:pPr>
      <w:r>
        <w:rPr>
          <w:rFonts w:hint="eastAsia"/>
          <w:color w:val="auto"/>
        </w:rPr>
        <w:t>为贯彻落实中央、省、成都市关于支持民营经济健康发展相关精神和政府采购支持中小企业发展政策，有效缓解中小企业融资难、融资贵问题，支持中小企业参与政府采购活动，促进中小企业发展，以下银行开展崇州市本级“政采贷”业务工作。</w:t>
      </w:r>
    </w:p>
    <w:p>
      <w:pPr>
        <w:rPr>
          <w:color w:val="auto"/>
        </w:rPr>
      </w:pPr>
    </w:p>
    <w:tbl>
      <w:tblPr>
        <w:tblStyle w:val="16"/>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782"/>
        <w:gridCol w:w="5473"/>
        <w:gridCol w:w="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530" w:hRule="atLeast"/>
        </w:trPr>
        <w:tc>
          <w:tcPr>
            <w:tcW w:w="999" w:type="dxa"/>
            <w:noWrap w:val="0"/>
            <w:vAlign w:val="center"/>
          </w:tcPr>
          <w:p>
            <w:pPr>
              <w:widowControl w:val="0"/>
              <w:jc w:val="center"/>
              <w:rPr>
                <w:color w:val="auto"/>
              </w:rPr>
            </w:pPr>
            <w:r>
              <w:rPr>
                <w:rFonts w:hint="eastAsia"/>
                <w:color w:val="auto"/>
              </w:rPr>
              <w:t>银行名称</w:t>
            </w:r>
          </w:p>
        </w:tc>
        <w:tc>
          <w:tcPr>
            <w:tcW w:w="2782" w:type="dxa"/>
            <w:noWrap w:val="0"/>
            <w:vAlign w:val="center"/>
          </w:tcPr>
          <w:p>
            <w:pPr>
              <w:widowControl w:val="0"/>
              <w:jc w:val="center"/>
              <w:rPr>
                <w:color w:val="auto"/>
              </w:rPr>
            </w:pPr>
            <w:r>
              <w:rPr>
                <w:rFonts w:hint="eastAsia"/>
                <w:color w:val="auto"/>
              </w:rPr>
              <w:t>联系人及方式</w:t>
            </w:r>
          </w:p>
        </w:tc>
        <w:tc>
          <w:tcPr>
            <w:tcW w:w="5473" w:type="dxa"/>
            <w:noWrap w:val="0"/>
            <w:vAlign w:val="center"/>
          </w:tcPr>
          <w:p>
            <w:pPr>
              <w:widowControl w:val="0"/>
              <w:jc w:val="center"/>
              <w:rPr>
                <w:color w:val="auto"/>
              </w:rPr>
            </w:pPr>
            <w:r>
              <w:rPr>
                <w:rFonts w:hint="eastAsia"/>
                <w:color w:val="auto"/>
              </w:rPr>
              <w:t>融资政策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成都农商银行崇州支行</w:t>
            </w:r>
          </w:p>
        </w:tc>
        <w:tc>
          <w:tcPr>
            <w:tcW w:w="2782" w:type="dxa"/>
            <w:noWrap w:val="0"/>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任艳菊 13881851255</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骆晓峰 13551850363</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业务部    经理  </w:t>
            </w:r>
            <w:r>
              <w:rPr>
                <w:rFonts w:hint="eastAsia" w:ascii="宋体" w:hAnsi="宋体" w:eastAsia="宋体" w:cs="宋体"/>
                <w:color w:val="auto"/>
                <w:sz w:val="21"/>
                <w:szCs w:val="21"/>
                <w:lang w:val="en-US" w:eastAsia="zh-CN"/>
              </w:rPr>
              <w:t>任义民</w:t>
            </w:r>
            <w:r>
              <w:rPr>
                <w:rFonts w:hint="eastAsia" w:ascii="宋体" w:hAnsi="宋体" w:eastAsia="宋体" w:cs="宋体"/>
                <w:color w:val="auto"/>
                <w:sz w:val="21"/>
                <w:szCs w:val="21"/>
              </w:rPr>
              <w:t>13438190630</w:t>
            </w:r>
          </w:p>
          <w:p>
            <w:pPr>
              <w:pStyle w:val="31"/>
              <w:widowControl w:val="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分管行长  杨峰铧</w:t>
            </w:r>
          </w:p>
          <w:p>
            <w:pPr>
              <w:pStyle w:val="30"/>
              <w:widowControl w:val="0"/>
              <w:ind w:firstLine="630" w:firstLineChars="300"/>
              <w:jc w:val="both"/>
              <w:rPr>
                <w:rFonts w:hint="default"/>
                <w:color w:val="auto"/>
                <w:kern w:val="0"/>
                <w:lang w:val="en-US"/>
              </w:rPr>
            </w:pPr>
            <w:r>
              <w:rPr>
                <w:rFonts w:hint="eastAsia" w:ascii="宋体" w:hAnsi="宋体" w:eastAsia="宋体" w:cs="宋体"/>
                <w:color w:val="auto"/>
                <w:kern w:val="0"/>
                <w:sz w:val="21"/>
                <w:szCs w:val="21"/>
                <w:lang w:val="en-US" w:eastAsia="zh-CN"/>
              </w:rPr>
              <w:t>13980407695</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（1）流动资金贷款类：最高不超过政府采购合同中采购总金额的85%；</w:t>
            </w:r>
          </w:p>
          <w:p>
            <w:pPr>
              <w:widowControl w:val="0"/>
              <w:ind w:firstLine="480" w:firstLineChars="200"/>
              <w:jc w:val="both"/>
              <w:rPr>
                <w:color w:val="auto"/>
              </w:rPr>
            </w:pPr>
          </w:p>
          <w:p>
            <w:pPr>
              <w:widowControl w:val="0"/>
              <w:ind w:firstLine="480" w:firstLineChars="200"/>
              <w:jc w:val="both"/>
              <w:rPr>
                <w:color w:val="auto"/>
              </w:rPr>
            </w:pPr>
            <w:r>
              <w:rPr>
                <w:rFonts w:hint="eastAsia"/>
                <w:color w:val="auto"/>
              </w:rPr>
              <w:t>2、授信期限：</w:t>
            </w:r>
          </w:p>
          <w:p>
            <w:pPr>
              <w:widowControl w:val="0"/>
              <w:ind w:firstLine="480" w:firstLineChars="200"/>
              <w:jc w:val="both"/>
              <w:rPr>
                <w:rFonts w:hint="default" w:eastAsia="宋体"/>
                <w:color w:val="auto"/>
                <w:lang w:val="en-US" w:eastAsia="zh-CN"/>
              </w:rPr>
            </w:pPr>
            <w:r>
              <w:rPr>
                <w:rFonts w:hint="eastAsia"/>
                <w:color w:val="auto"/>
              </w:rPr>
              <w:t>（1）流动资金贷款期限原则上不超过18个月，重大项目最高不超过3年，主要根据政府采购合同的付款周期确定。贷款期间可提前还款</w:t>
            </w:r>
            <w:r>
              <w:rPr>
                <w:rFonts w:hint="eastAsia"/>
                <w:color w:val="auto"/>
                <w:lang w:eastAsia="zh-CN"/>
              </w:rPr>
              <w:t>，</w:t>
            </w:r>
            <w:r>
              <w:rPr>
                <w:rFonts w:hint="eastAsia"/>
                <w:color w:val="auto"/>
                <w:lang w:val="en-US" w:eastAsia="zh-CN"/>
              </w:rPr>
              <w:t>无提前还款违约金。</w:t>
            </w:r>
          </w:p>
          <w:p>
            <w:pPr>
              <w:widowControl w:val="0"/>
              <w:ind w:firstLine="480" w:firstLineChars="200"/>
              <w:jc w:val="both"/>
              <w:rPr>
                <w:color w:val="auto"/>
              </w:rPr>
            </w:pPr>
            <w:r>
              <w:rPr>
                <w:rFonts w:hint="eastAsia"/>
                <w:color w:val="auto"/>
              </w:rPr>
              <w:t>（</w:t>
            </w:r>
            <w:r>
              <w:rPr>
                <w:rFonts w:hint="eastAsia"/>
                <w:color w:val="auto"/>
                <w:lang w:val="en-US" w:eastAsia="zh-CN"/>
              </w:rPr>
              <w:t>2</w:t>
            </w:r>
            <w:r>
              <w:rPr>
                <w:rFonts w:hint="eastAsia"/>
                <w:color w:val="auto"/>
              </w:rPr>
              <w:t>）根据采购文件中约定的采购款项支付进度，增加适当宽限期设置还款计划。</w:t>
            </w:r>
          </w:p>
          <w:p>
            <w:pPr>
              <w:widowControl w:val="0"/>
              <w:ind w:firstLine="480" w:firstLineChars="200"/>
              <w:jc w:val="both"/>
              <w:rPr>
                <w:color w:val="auto"/>
              </w:rPr>
            </w:pPr>
            <w:r>
              <w:rPr>
                <w:rFonts w:hint="eastAsia"/>
                <w:color w:val="auto"/>
              </w:rPr>
              <w:t>3、利率定价：</w:t>
            </w:r>
          </w:p>
          <w:p>
            <w:pPr>
              <w:widowControl w:val="0"/>
              <w:ind w:firstLine="480" w:firstLineChars="200"/>
              <w:jc w:val="both"/>
              <w:rPr>
                <w:color w:val="auto"/>
              </w:rPr>
            </w:pPr>
            <w:r>
              <w:rPr>
                <w:rFonts w:hint="eastAsia"/>
                <w:color w:val="auto"/>
              </w:rPr>
              <w:t>原则上不超过</w:t>
            </w:r>
            <w:r>
              <w:rPr>
                <w:rFonts w:hint="eastAsia"/>
                <w:color w:val="auto"/>
                <w:lang w:val="en-US" w:eastAsia="zh-CN"/>
              </w:rPr>
              <w:t>5.5</w:t>
            </w:r>
            <w:r>
              <w:rPr>
                <w:rFonts w:hint="eastAsia"/>
                <w:color w:val="auto"/>
              </w:rPr>
              <w:t>%。对地处贫困地区</w:t>
            </w:r>
            <w:r>
              <w:rPr>
                <w:rFonts w:hint="eastAsia"/>
                <w:color w:val="auto"/>
                <w:lang w:val="en-US" w:eastAsia="zh-CN"/>
              </w:rPr>
              <w:t>涉及扶贫项目节能环保科技创新</w:t>
            </w:r>
            <w:r>
              <w:rPr>
                <w:rFonts w:hint="eastAsia"/>
                <w:color w:val="auto"/>
              </w:rPr>
              <w:t>供应商实行更加优惠的定价。</w:t>
            </w:r>
          </w:p>
          <w:p>
            <w:pPr>
              <w:widowControl w:val="0"/>
              <w:ind w:firstLine="480" w:firstLineChars="200"/>
              <w:jc w:val="both"/>
              <w:rPr>
                <w:color w:val="auto"/>
              </w:rPr>
            </w:pPr>
            <w:r>
              <w:rPr>
                <w:rFonts w:hint="eastAsia"/>
                <w:color w:val="auto"/>
              </w:rPr>
              <w:t>4、办结时间：原则上从资料齐备到审批通过在5个工作日内。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崇州上银村镇银行</w:t>
            </w:r>
          </w:p>
        </w:tc>
        <w:tc>
          <w:tcPr>
            <w:tcW w:w="2782" w:type="dxa"/>
            <w:noWrap w:val="0"/>
            <w:vAlign w:val="center"/>
          </w:tcPr>
          <w:p>
            <w:pPr>
              <w:widowControl w:val="0"/>
              <w:jc w:val="both"/>
              <w:rPr>
                <w:color w:val="auto"/>
              </w:rPr>
            </w:pPr>
            <w:r>
              <w:rPr>
                <w:rFonts w:hint="eastAsia"/>
                <w:color w:val="auto"/>
              </w:rPr>
              <w:t>龚真真</w:t>
            </w:r>
            <w:r>
              <w:rPr>
                <w:rFonts w:hint="eastAsia"/>
                <w:color w:val="auto"/>
              </w:rPr>
              <w:tab/>
            </w:r>
            <w:r>
              <w:rPr>
                <w:rFonts w:hint="eastAsia"/>
                <w:color w:val="auto"/>
              </w:rPr>
              <w:t>副 行 长</w:t>
            </w:r>
            <w:r>
              <w:rPr>
                <w:rFonts w:hint="eastAsia"/>
                <w:color w:val="auto"/>
              </w:rPr>
              <w:tab/>
            </w:r>
            <w:r>
              <w:rPr>
                <w:rFonts w:hint="eastAsia"/>
                <w:color w:val="auto"/>
              </w:rPr>
              <w:t>17740215212</w:t>
            </w:r>
          </w:p>
          <w:p>
            <w:pPr>
              <w:widowControl w:val="0"/>
              <w:jc w:val="both"/>
              <w:rPr>
                <w:color w:val="auto"/>
              </w:rPr>
            </w:pPr>
            <w:r>
              <w:rPr>
                <w:rFonts w:hint="eastAsia"/>
                <w:color w:val="auto"/>
              </w:rPr>
              <w:t>杨彦铭</w:t>
            </w:r>
            <w:r>
              <w:rPr>
                <w:rFonts w:hint="eastAsia"/>
                <w:color w:val="auto"/>
              </w:rPr>
              <w:tab/>
            </w:r>
            <w:r>
              <w:rPr>
                <w:rFonts w:hint="eastAsia"/>
                <w:color w:val="auto"/>
              </w:rPr>
              <w:t>部门总经理</w:t>
            </w:r>
            <w:r>
              <w:rPr>
                <w:rFonts w:hint="eastAsia"/>
                <w:color w:val="auto"/>
              </w:rPr>
              <w:tab/>
            </w:r>
            <w:r>
              <w:rPr>
                <w:rFonts w:hint="eastAsia"/>
                <w:color w:val="auto"/>
              </w:rPr>
              <w:t>13981735391</w:t>
            </w:r>
          </w:p>
          <w:p>
            <w:pPr>
              <w:widowControl w:val="0"/>
              <w:jc w:val="both"/>
              <w:rPr>
                <w:color w:val="auto"/>
              </w:rPr>
            </w:pPr>
            <w:r>
              <w:rPr>
                <w:rFonts w:hint="eastAsia"/>
                <w:color w:val="auto"/>
              </w:rPr>
              <w:t>黄  龙</w:t>
            </w:r>
            <w:r>
              <w:rPr>
                <w:rFonts w:hint="eastAsia"/>
                <w:color w:val="auto"/>
              </w:rPr>
              <w:tab/>
            </w:r>
            <w:r>
              <w:rPr>
                <w:rFonts w:hint="eastAsia"/>
                <w:color w:val="auto"/>
              </w:rPr>
              <w:t>副总经理</w:t>
            </w:r>
            <w:r>
              <w:rPr>
                <w:rFonts w:hint="eastAsia"/>
                <w:color w:val="auto"/>
              </w:rPr>
              <w:tab/>
            </w:r>
            <w:r>
              <w:rPr>
                <w:rFonts w:hint="eastAsia"/>
                <w:color w:val="auto"/>
              </w:rPr>
              <w:t>13348884865</w:t>
            </w:r>
          </w:p>
          <w:p>
            <w:pPr>
              <w:widowControl w:val="0"/>
              <w:jc w:val="both"/>
              <w:rPr>
                <w:color w:val="auto"/>
              </w:rPr>
            </w:pPr>
            <w:r>
              <w:rPr>
                <w:rFonts w:hint="eastAsia"/>
                <w:color w:val="auto"/>
              </w:rPr>
              <w:t>羊孝丽</w:t>
            </w:r>
            <w:r>
              <w:rPr>
                <w:rFonts w:hint="eastAsia"/>
                <w:color w:val="auto"/>
              </w:rPr>
              <w:tab/>
            </w:r>
            <w:r>
              <w:rPr>
                <w:rFonts w:hint="eastAsia"/>
                <w:color w:val="auto"/>
              </w:rPr>
              <w:t>客户经理</w:t>
            </w:r>
            <w:r>
              <w:rPr>
                <w:rFonts w:hint="eastAsia"/>
                <w:color w:val="auto"/>
              </w:rPr>
              <w:tab/>
            </w:r>
            <w:r>
              <w:rPr>
                <w:rFonts w:hint="eastAsia"/>
                <w:color w:val="auto"/>
              </w:rPr>
              <w:t>15884577260</w:t>
            </w:r>
          </w:p>
          <w:p>
            <w:pPr>
              <w:widowControl w:val="0"/>
              <w:jc w:val="both"/>
              <w:rPr>
                <w:color w:val="auto"/>
              </w:rPr>
            </w:pPr>
            <w:r>
              <w:rPr>
                <w:rFonts w:hint="eastAsia"/>
                <w:color w:val="auto"/>
              </w:rPr>
              <w:t>尹  翔</w:t>
            </w:r>
            <w:r>
              <w:rPr>
                <w:rFonts w:hint="eastAsia"/>
                <w:color w:val="auto"/>
              </w:rPr>
              <w:tab/>
            </w:r>
            <w:r>
              <w:rPr>
                <w:rFonts w:hint="eastAsia"/>
                <w:color w:val="auto"/>
              </w:rPr>
              <w:t>客户经理</w:t>
            </w:r>
            <w:r>
              <w:rPr>
                <w:rFonts w:hint="eastAsia"/>
                <w:color w:val="auto"/>
              </w:rPr>
              <w:tab/>
            </w:r>
            <w:r>
              <w:rPr>
                <w:rFonts w:hint="eastAsia"/>
                <w:color w:val="auto"/>
              </w:rPr>
              <w:t>13982166628</w:t>
            </w:r>
          </w:p>
          <w:p>
            <w:pPr>
              <w:widowControl w:val="0"/>
              <w:jc w:val="both"/>
              <w:rPr>
                <w:color w:val="auto"/>
              </w:rPr>
            </w:pPr>
            <w:r>
              <w:rPr>
                <w:rFonts w:hint="eastAsia"/>
                <w:color w:val="auto"/>
              </w:rPr>
              <w:t>吴翅飞</w:t>
            </w:r>
            <w:r>
              <w:rPr>
                <w:rFonts w:hint="eastAsia"/>
                <w:color w:val="auto"/>
              </w:rPr>
              <w:tab/>
            </w:r>
            <w:r>
              <w:rPr>
                <w:rFonts w:hint="eastAsia"/>
                <w:color w:val="auto"/>
              </w:rPr>
              <w:t>客户经理</w:t>
            </w:r>
            <w:r>
              <w:rPr>
                <w:rFonts w:hint="eastAsia"/>
                <w:color w:val="auto"/>
              </w:rPr>
              <w:tab/>
            </w:r>
            <w:r>
              <w:rPr>
                <w:rFonts w:hint="eastAsia"/>
                <w:color w:val="auto"/>
              </w:rPr>
              <w:t>18982275308</w:t>
            </w:r>
          </w:p>
        </w:tc>
        <w:tc>
          <w:tcPr>
            <w:tcW w:w="5473" w:type="dxa"/>
            <w:noWrap w:val="0"/>
            <w:vAlign w:val="top"/>
          </w:tcPr>
          <w:p>
            <w:pPr>
              <w:widowControl w:val="0"/>
              <w:ind w:firstLine="480" w:firstLineChars="200"/>
              <w:jc w:val="both"/>
              <w:rPr>
                <w:color w:val="auto"/>
              </w:rPr>
            </w:pPr>
            <w:r>
              <w:rPr>
                <w:rFonts w:hint="eastAsia"/>
                <w:color w:val="auto"/>
              </w:rPr>
              <w:t>授信政策</w:t>
            </w:r>
          </w:p>
          <w:p>
            <w:pPr>
              <w:widowControl w:val="0"/>
              <w:ind w:firstLine="480" w:firstLineChars="200"/>
              <w:jc w:val="both"/>
              <w:rPr>
                <w:color w:val="auto"/>
              </w:rPr>
            </w:pPr>
            <w:r>
              <w:rPr>
                <w:rFonts w:hint="eastAsia"/>
                <w:color w:val="auto"/>
              </w:rPr>
              <w:t>担保方式：信用</w:t>
            </w:r>
          </w:p>
          <w:p>
            <w:pPr>
              <w:widowControl w:val="0"/>
              <w:ind w:firstLine="480" w:firstLineChars="200"/>
              <w:jc w:val="both"/>
              <w:rPr>
                <w:color w:val="auto"/>
              </w:rPr>
            </w:pPr>
            <w:r>
              <w:rPr>
                <w:rFonts w:hint="eastAsia"/>
                <w:color w:val="auto"/>
              </w:rPr>
              <w:t>授信期限：不高于采购合同期限，最高不超过三年</w:t>
            </w:r>
          </w:p>
          <w:p>
            <w:pPr>
              <w:widowControl w:val="0"/>
              <w:ind w:firstLine="480" w:firstLineChars="200"/>
              <w:jc w:val="both"/>
              <w:rPr>
                <w:color w:val="auto"/>
              </w:rPr>
            </w:pPr>
            <w:r>
              <w:rPr>
                <w:rFonts w:hint="eastAsia"/>
                <w:color w:val="auto"/>
              </w:rPr>
              <w:t>利率水平：基准上浮30%</w:t>
            </w:r>
          </w:p>
          <w:p>
            <w:pPr>
              <w:widowControl w:val="0"/>
              <w:ind w:firstLine="480" w:firstLineChars="200"/>
              <w:jc w:val="both"/>
              <w:rPr>
                <w:color w:val="auto"/>
              </w:rPr>
            </w:pPr>
            <w:r>
              <w:rPr>
                <w:rFonts w:hint="eastAsia"/>
                <w:color w:val="auto"/>
              </w:rPr>
              <w:t>放款时限：审批通过后5个工作日内</w:t>
            </w:r>
          </w:p>
          <w:p>
            <w:pPr>
              <w:widowControl w:val="0"/>
              <w:ind w:firstLine="480" w:firstLineChars="200"/>
              <w:jc w:val="both"/>
              <w:rPr>
                <w:color w:val="auto"/>
              </w:rPr>
            </w:pPr>
            <w:r>
              <w:rPr>
                <w:rFonts w:hint="eastAsia"/>
                <w:color w:val="auto"/>
              </w:rPr>
              <w:t>授信成数：最高不高于合同总价款的90%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both"/>
              <w:rPr>
                <w:color w:val="auto"/>
              </w:rPr>
            </w:pPr>
            <w:r>
              <w:rPr>
                <w:rFonts w:hint="eastAsia"/>
                <w:color w:val="auto"/>
              </w:rPr>
              <w:t>农行崇州支行</w:t>
            </w:r>
          </w:p>
        </w:tc>
        <w:tc>
          <w:tcPr>
            <w:tcW w:w="2782" w:type="dxa"/>
            <w:noWrap w:val="0"/>
            <w:vAlign w:val="center"/>
          </w:tcPr>
          <w:p>
            <w:pPr>
              <w:widowControl w:val="0"/>
              <w:jc w:val="both"/>
              <w:rPr>
                <w:color w:val="auto"/>
              </w:rPr>
            </w:pPr>
            <w:r>
              <w:rPr>
                <w:rFonts w:hint="eastAsia"/>
                <w:color w:val="auto"/>
              </w:rPr>
              <w:t>陈东江</w:t>
            </w:r>
            <w:r>
              <w:rPr>
                <w:rFonts w:hint="eastAsia"/>
                <w:color w:val="auto"/>
              </w:rPr>
              <w:tab/>
            </w:r>
            <w:r>
              <w:rPr>
                <w:rFonts w:hint="eastAsia"/>
                <w:color w:val="auto"/>
              </w:rPr>
              <w:t>副 行 长</w:t>
            </w:r>
            <w:r>
              <w:rPr>
                <w:rFonts w:hint="eastAsia"/>
                <w:color w:val="auto"/>
              </w:rPr>
              <w:tab/>
            </w:r>
            <w:r>
              <w:rPr>
                <w:rFonts w:hint="eastAsia"/>
                <w:color w:val="auto"/>
              </w:rPr>
              <w:t>13980843688</w:t>
            </w:r>
          </w:p>
          <w:p>
            <w:pPr>
              <w:widowControl w:val="0"/>
              <w:jc w:val="both"/>
              <w:rPr>
                <w:color w:val="auto"/>
              </w:rPr>
            </w:pPr>
            <w:r>
              <w:rPr>
                <w:rFonts w:hint="eastAsia"/>
                <w:color w:val="auto"/>
              </w:rPr>
              <w:t>肖  毓</w:t>
            </w:r>
            <w:r>
              <w:rPr>
                <w:rFonts w:hint="eastAsia"/>
                <w:color w:val="auto"/>
              </w:rPr>
              <w:tab/>
            </w:r>
            <w:r>
              <w:rPr>
                <w:rFonts w:hint="eastAsia"/>
                <w:color w:val="auto"/>
              </w:rPr>
              <w:t>部门经理</w:t>
            </w:r>
            <w:r>
              <w:rPr>
                <w:rFonts w:hint="eastAsia"/>
                <w:color w:val="auto"/>
              </w:rPr>
              <w:tab/>
            </w:r>
            <w:r>
              <w:rPr>
                <w:rFonts w:hint="eastAsia"/>
                <w:color w:val="auto"/>
              </w:rPr>
              <w:t>13882110585</w:t>
            </w:r>
          </w:p>
          <w:p>
            <w:pPr>
              <w:widowControl w:val="0"/>
              <w:jc w:val="both"/>
              <w:rPr>
                <w:color w:val="auto"/>
              </w:rPr>
            </w:pPr>
            <w:r>
              <w:rPr>
                <w:rFonts w:hint="eastAsia"/>
                <w:color w:val="auto"/>
              </w:rPr>
              <w:t>何  莉</w:t>
            </w:r>
            <w:r>
              <w:rPr>
                <w:rFonts w:hint="eastAsia"/>
                <w:color w:val="auto"/>
              </w:rPr>
              <w:tab/>
            </w:r>
            <w:r>
              <w:rPr>
                <w:rFonts w:hint="eastAsia"/>
                <w:color w:val="auto"/>
              </w:rPr>
              <w:t>副 经 理</w:t>
            </w:r>
            <w:r>
              <w:rPr>
                <w:rFonts w:hint="eastAsia"/>
                <w:color w:val="auto"/>
              </w:rPr>
              <w:tab/>
            </w:r>
            <w:r>
              <w:rPr>
                <w:rFonts w:hint="eastAsia"/>
                <w:color w:val="auto"/>
              </w:rPr>
              <w:t>15982110977</w:t>
            </w:r>
          </w:p>
          <w:p>
            <w:pPr>
              <w:widowControl w:val="0"/>
              <w:jc w:val="both"/>
              <w:rPr>
                <w:color w:val="auto"/>
              </w:rPr>
            </w:pPr>
            <w:r>
              <w:rPr>
                <w:rFonts w:hint="eastAsia"/>
                <w:color w:val="auto"/>
              </w:rPr>
              <w:t>唐雪姣</w:t>
            </w:r>
            <w:r>
              <w:rPr>
                <w:rFonts w:hint="eastAsia"/>
                <w:color w:val="auto"/>
              </w:rPr>
              <w:tab/>
            </w:r>
            <w:r>
              <w:rPr>
                <w:rFonts w:hint="eastAsia"/>
                <w:color w:val="auto"/>
              </w:rPr>
              <w:t>客户经理</w:t>
            </w:r>
            <w:r>
              <w:rPr>
                <w:rFonts w:hint="eastAsia"/>
                <w:color w:val="auto"/>
              </w:rPr>
              <w:tab/>
            </w:r>
            <w:r>
              <w:rPr>
                <w:rFonts w:hint="eastAsia"/>
                <w:color w:val="auto"/>
              </w:rPr>
              <w:t>13689013376</w:t>
            </w:r>
          </w:p>
          <w:p>
            <w:pPr>
              <w:widowControl w:val="0"/>
              <w:jc w:val="both"/>
              <w:rPr>
                <w:color w:val="auto"/>
              </w:rPr>
            </w:pPr>
            <w:r>
              <w:rPr>
                <w:rFonts w:hint="eastAsia"/>
                <w:color w:val="auto"/>
              </w:rPr>
              <w:t>王  羽</w:t>
            </w:r>
            <w:r>
              <w:rPr>
                <w:rFonts w:hint="eastAsia"/>
                <w:color w:val="auto"/>
              </w:rPr>
              <w:tab/>
            </w:r>
            <w:r>
              <w:rPr>
                <w:rFonts w:hint="eastAsia"/>
                <w:color w:val="auto"/>
              </w:rPr>
              <w:t>客户经理</w:t>
            </w:r>
            <w:r>
              <w:rPr>
                <w:rFonts w:hint="eastAsia"/>
                <w:color w:val="auto"/>
              </w:rPr>
              <w:tab/>
            </w:r>
            <w:r>
              <w:rPr>
                <w:rFonts w:hint="eastAsia"/>
                <w:color w:val="auto"/>
              </w:rPr>
              <w:t>13568936607</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根据《政府采购合同》金额测定授信额度理论值，最高可贷合同总金额的70%，原则不超过1000万元。小微企业单户信用贷款额度不超过500万元。</w:t>
            </w:r>
          </w:p>
          <w:p>
            <w:pPr>
              <w:widowControl w:val="0"/>
              <w:ind w:firstLine="480" w:firstLineChars="200"/>
              <w:jc w:val="both"/>
              <w:rPr>
                <w:color w:val="auto"/>
              </w:rPr>
            </w:pPr>
            <w:r>
              <w:rPr>
                <w:rFonts w:hint="eastAsia"/>
                <w:color w:val="auto"/>
              </w:rPr>
              <w:t>2、融资期限</w:t>
            </w:r>
          </w:p>
          <w:p>
            <w:pPr>
              <w:widowControl w:val="0"/>
              <w:ind w:firstLine="480" w:firstLineChars="200"/>
              <w:jc w:val="both"/>
              <w:rPr>
                <w:color w:val="auto"/>
              </w:rPr>
            </w:pPr>
            <w:r>
              <w:rPr>
                <w:rFonts w:hint="eastAsia"/>
                <w:color w:val="auto"/>
              </w:rPr>
              <w:t>融资到期日不超过《政府采购合同》项下应收账款付款到期日后3个月（含），融资期限原则上不超过1年（含），最长不超过3年。</w:t>
            </w:r>
          </w:p>
          <w:p>
            <w:pPr>
              <w:widowControl w:val="0"/>
              <w:ind w:firstLine="480" w:firstLineChars="200"/>
              <w:jc w:val="both"/>
              <w:rPr>
                <w:color w:val="auto"/>
              </w:rPr>
            </w:pPr>
            <w:r>
              <w:rPr>
                <w:rFonts w:hint="eastAsia"/>
                <w:color w:val="auto"/>
              </w:rPr>
              <w:t xml:space="preserve">3、融资利率 </w:t>
            </w:r>
          </w:p>
          <w:p>
            <w:pPr>
              <w:widowControl w:val="0"/>
              <w:ind w:firstLine="480" w:firstLineChars="200"/>
              <w:jc w:val="both"/>
              <w:rPr>
                <w:color w:val="auto"/>
              </w:rPr>
            </w:pPr>
            <w:r>
              <w:rPr>
                <w:rFonts w:hint="eastAsia"/>
                <w:color w:val="auto"/>
              </w:rPr>
              <w:t>原则上不超过人民银行同期基准利率上浮30%。</w:t>
            </w:r>
          </w:p>
          <w:p>
            <w:pPr>
              <w:widowControl w:val="0"/>
              <w:ind w:firstLine="480" w:firstLineChars="200"/>
              <w:jc w:val="both"/>
              <w:rPr>
                <w:color w:val="auto"/>
              </w:rPr>
            </w:pPr>
            <w:r>
              <w:rPr>
                <w:rFonts w:hint="eastAsia"/>
                <w:color w:val="auto"/>
              </w:rPr>
              <w:t>4、还款方式</w:t>
            </w:r>
          </w:p>
          <w:p>
            <w:pPr>
              <w:widowControl w:val="0"/>
              <w:ind w:firstLine="420"/>
              <w:jc w:val="both"/>
              <w:rPr>
                <w:color w:val="auto"/>
              </w:rPr>
            </w:pPr>
            <w:r>
              <w:rPr>
                <w:rFonts w:hint="eastAsia"/>
                <w:color w:val="auto"/>
              </w:rPr>
              <w:t>贷款期限在１年以内的，可采用一次性还本付息方式或一次还本、分期付息方式。贷款期限在１年以上的，采用按月（季）分期还本付息方式。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中行崇州支行</w:t>
            </w:r>
          </w:p>
        </w:tc>
        <w:tc>
          <w:tcPr>
            <w:tcW w:w="2782" w:type="dxa"/>
            <w:noWrap w:val="0"/>
            <w:vAlign w:val="center"/>
          </w:tcPr>
          <w:p>
            <w:pPr>
              <w:widowControl w:val="0"/>
              <w:jc w:val="both"/>
              <w:rPr>
                <w:color w:val="auto"/>
              </w:rPr>
            </w:pPr>
            <w:r>
              <w:rPr>
                <w:rFonts w:hint="eastAsia"/>
                <w:color w:val="auto"/>
              </w:rPr>
              <w:t>分管行长王  勇 82313560  13980969703</w:t>
            </w:r>
          </w:p>
          <w:p>
            <w:pPr>
              <w:widowControl w:val="0"/>
              <w:jc w:val="both"/>
              <w:rPr>
                <w:color w:val="auto"/>
              </w:rPr>
            </w:pPr>
            <w:r>
              <w:rPr>
                <w:rFonts w:hint="eastAsia"/>
                <w:color w:val="auto"/>
              </w:rPr>
              <w:t>分管主任龚才兵 82276832  18081054180</w:t>
            </w:r>
          </w:p>
        </w:tc>
        <w:tc>
          <w:tcPr>
            <w:tcW w:w="5473" w:type="dxa"/>
            <w:noWrap w:val="0"/>
            <w:vAlign w:val="top"/>
          </w:tcPr>
          <w:p>
            <w:pPr>
              <w:widowControl w:val="0"/>
              <w:ind w:firstLine="480" w:firstLineChars="200"/>
              <w:jc w:val="both"/>
              <w:rPr>
                <w:color w:val="auto"/>
              </w:rPr>
            </w:pPr>
            <w:r>
              <w:rPr>
                <w:rFonts w:hint="eastAsia" w:ascii="宋体" w:hAnsi="宋体" w:eastAsia="宋体" w:cs="宋体"/>
                <w:color w:val="auto"/>
                <w:sz w:val="24"/>
                <w:szCs w:val="24"/>
              </w:rPr>
              <w:t>授信额度：单一合同项下信用授信金额不得高于合同标的的70%，最高不超过2000万元，最长不超过一年。担保方式：须借款人法定代表人、主要股东、实际控制人或关联企业提供连带责任保证担保；也可采购取房地产抵押或第三方保证等。执行利率：1000万以下（含）按年化4.5675%执行；1000万以上（不含）基准上浮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center"/>
              <w:rPr>
                <w:color w:val="auto"/>
              </w:rPr>
            </w:pPr>
            <w:r>
              <w:rPr>
                <w:rFonts w:hint="eastAsia"/>
                <w:color w:val="auto"/>
              </w:rPr>
              <w:t>重庆银行崇州支行</w:t>
            </w:r>
          </w:p>
        </w:tc>
        <w:tc>
          <w:tcPr>
            <w:tcW w:w="2782" w:type="dxa"/>
            <w:noWrap w:val="0"/>
            <w:vAlign w:val="center"/>
          </w:tcPr>
          <w:p>
            <w:pPr>
              <w:widowControl w:val="0"/>
              <w:jc w:val="both"/>
              <w:rPr>
                <w:color w:val="auto"/>
              </w:rPr>
            </w:pPr>
            <w:r>
              <w:rPr>
                <w:rFonts w:hint="eastAsia"/>
                <w:color w:val="auto"/>
              </w:rPr>
              <w:t>业  务  部 经 理   李盛勇  18108259677</w:t>
            </w:r>
          </w:p>
          <w:p>
            <w:pPr>
              <w:widowControl w:val="0"/>
              <w:jc w:val="both"/>
              <w:rPr>
                <w:color w:val="auto"/>
              </w:rPr>
            </w:pPr>
            <w:r>
              <w:rPr>
                <w:rFonts w:hint="eastAsia"/>
                <w:color w:val="auto"/>
              </w:rPr>
              <w:t>小微业务部副经理   余 蓥   13550034115</w:t>
            </w:r>
          </w:p>
          <w:p>
            <w:pPr>
              <w:widowControl w:val="0"/>
              <w:jc w:val="both"/>
              <w:rPr>
                <w:color w:val="auto"/>
              </w:rPr>
            </w:pPr>
            <w:r>
              <w:rPr>
                <w:rFonts w:hint="eastAsia"/>
                <w:color w:val="auto"/>
              </w:rPr>
              <w:t>小微业务部客户经理  陈文韬 13547927235</w:t>
            </w:r>
          </w:p>
        </w:tc>
        <w:tc>
          <w:tcPr>
            <w:tcW w:w="5505" w:type="dxa"/>
            <w:gridSpan w:val="2"/>
            <w:noWrap w:val="0"/>
            <w:vAlign w:val="center"/>
          </w:tcPr>
          <w:p>
            <w:pPr>
              <w:widowControl w:val="0"/>
              <w:ind w:firstLine="480" w:firstLineChars="200"/>
              <w:jc w:val="both"/>
              <w:rPr>
                <w:rFonts w:hint="eastAsia"/>
                <w:color w:val="auto"/>
              </w:rPr>
            </w:pPr>
            <w:r>
              <w:rPr>
                <w:rFonts w:hint="eastAsia"/>
                <w:color w:val="auto"/>
              </w:rPr>
              <w:t>授信额度：单一合同项下信用授信金额不得高于合同标的的80%，目前暂不超过100万元。</w:t>
            </w:r>
          </w:p>
          <w:p>
            <w:pPr>
              <w:widowControl w:val="0"/>
              <w:ind w:firstLine="480" w:firstLineChars="200"/>
              <w:jc w:val="both"/>
              <w:rPr>
                <w:color w:val="auto"/>
              </w:rPr>
            </w:pPr>
            <w:r>
              <w:rPr>
                <w:rFonts w:hint="eastAsia"/>
                <w:color w:val="auto"/>
              </w:rPr>
              <w:t>执行利率：申请人信用评价实施差异化定价，原则上不超过基准利率上浮30%。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both"/>
              <w:rPr>
                <w:rFonts w:hint="eastAsia"/>
                <w:color w:val="auto"/>
                <w:sz w:val="21"/>
                <w:szCs w:val="21"/>
              </w:rPr>
            </w:pPr>
            <w:r>
              <w:rPr>
                <w:rFonts w:hint="eastAsia"/>
                <w:color w:val="auto"/>
                <w:sz w:val="21"/>
                <w:szCs w:val="21"/>
                <w:vertAlign w:val="baseline"/>
                <w:lang w:val="en-US" w:eastAsia="zh-CN"/>
              </w:rPr>
              <w:t>成都银行崇州支行</w:t>
            </w:r>
          </w:p>
        </w:tc>
        <w:tc>
          <w:tcPr>
            <w:tcW w:w="2782" w:type="dxa"/>
            <w:noWrap w:val="0"/>
            <w:vAlign w:val="center"/>
          </w:tcPr>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公司业务部客户经理：</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李瑶15982466361</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张瀚兮18190815523</w:t>
            </w:r>
          </w:p>
          <w:p>
            <w:pPr>
              <w:widowControl w:val="0"/>
              <w:jc w:val="both"/>
              <w:rPr>
                <w:rFonts w:hint="eastAsia"/>
                <w:color w:val="auto"/>
                <w:sz w:val="21"/>
                <w:szCs w:val="21"/>
              </w:rPr>
            </w:pPr>
          </w:p>
        </w:tc>
        <w:tc>
          <w:tcPr>
            <w:tcW w:w="5505" w:type="dxa"/>
            <w:gridSpan w:val="2"/>
            <w:noWrap w:val="0"/>
            <w:vAlign w:val="center"/>
          </w:tcPr>
          <w:p>
            <w:pPr>
              <w:widowControl w:val="0"/>
              <w:numPr>
                <w:ilvl w:val="0"/>
                <w:numId w:val="46"/>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授信额度</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流动资金贷款—易采贷</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贷款金额≦合同中标金额*80%且≦应收账款余额*80%</w:t>
            </w:r>
          </w:p>
          <w:p>
            <w:pPr>
              <w:widowControl w:val="0"/>
              <w:numPr>
                <w:ilvl w:val="0"/>
                <w:numId w:val="46"/>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授信期限</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不超过一年</w:t>
            </w:r>
          </w:p>
          <w:p>
            <w:pPr>
              <w:widowControl w:val="0"/>
              <w:numPr>
                <w:ilvl w:val="0"/>
                <w:numId w:val="46"/>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担保方式</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应收账款质押+借款人法定代表人、实际控制人或最大股东的连带责任担保</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4、利率原则上不超过基准利率上浮30%</w:t>
            </w:r>
          </w:p>
          <w:p>
            <w:pPr>
              <w:widowControl w:val="0"/>
              <w:ind w:firstLine="420" w:firstLineChars="200"/>
              <w:jc w:val="both"/>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1" w:hRule="atLeast"/>
        </w:trPr>
        <w:tc>
          <w:tcPr>
            <w:tcW w:w="999" w:type="dxa"/>
            <w:noWrap w:val="0"/>
            <w:vAlign w:val="center"/>
          </w:tcPr>
          <w:p>
            <w:pPr>
              <w:widowControl w:val="0"/>
              <w:jc w:val="both"/>
              <w:rPr>
                <w:rFonts w:hint="eastAsia"/>
                <w:color w:val="auto"/>
                <w:sz w:val="21"/>
                <w:szCs w:val="21"/>
                <w:vertAlign w:val="baseline"/>
                <w:lang w:val="en-US" w:eastAsia="zh-CN"/>
              </w:rPr>
            </w:pPr>
            <w:r>
              <w:rPr>
                <w:rFonts w:hint="eastAsia"/>
                <w:color w:val="auto"/>
                <w:sz w:val="21"/>
                <w:szCs w:val="21"/>
                <w:vertAlign w:val="baseline"/>
                <w:lang w:val="en-US" w:eastAsia="zh-CN"/>
              </w:rPr>
              <w:t>中国民生银行崇州支行</w:t>
            </w:r>
          </w:p>
        </w:tc>
        <w:tc>
          <w:tcPr>
            <w:tcW w:w="2782" w:type="dxa"/>
            <w:noWrap w:val="0"/>
            <w:vAlign w:val="center"/>
          </w:tcPr>
          <w:p>
            <w:pPr>
              <w:widowControl w:val="0"/>
              <w:jc w:val="both"/>
              <w:rPr>
                <w:rFonts w:hint="eastAsia"/>
                <w:color w:val="auto"/>
                <w:sz w:val="21"/>
                <w:szCs w:val="21"/>
              </w:rPr>
            </w:pPr>
            <w:r>
              <w:rPr>
                <w:rFonts w:hint="eastAsia" w:ascii="宋体" w:hAnsi="宋体" w:eastAsia="宋体" w:cs="宋体"/>
                <w:color w:val="auto"/>
                <w:sz w:val="21"/>
                <w:szCs w:val="21"/>
              </w:rPr>
              <w:t>公司业务部客户经理蔡艺文1355000999，周宇13908029121</w:t>
            </w:r>
          </w:p>
        </w:tc>
        <w:tc>
          <w:tcPr>
            <w:tcW w:w="5505" w:type="dxa"/>
            <w:gridSpan w:val="2"/>
            <w:noWrap w:val="0"/>
            <w:vAlign w:val="center"/>
          </w:tcPr>
          <w:p>
            <w:pPr>
              <w:widowControl w:val="0"/>
              <w:ind w:left="0" w:leftChars="0"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1.授信额度：单笔不超过3000万</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2.贷款金额小于等于合同中标金额80%</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3.担保方式：应收账款质押</w:t>
            </w:r>
          </w:p>
          <w:p>
            <w:pPr>
              <w:widowControl w:val="0"/>
              <w:ind w:firstLine="420" w:firstLineChars="200"/>
              <w:jc w:val="both"/>
              <w:rPr>
                <w:rFonts w:hint="eastAsia"/>
                <w:color w:val="auto"/>
                <w:sz w:val="21"/>
                <w:szCs w:val="21"/>
              </w:rPr>
            </w:pPr>
            <w:r>
              <w:rPr>
                <w:rFonts w:hint="eastAsia" w:ascii="宋体" w:hAnsi="宋体" w:eastAsia="宋体" w:cs="宋体"/>
                <w:color w:val="auto"/>
                <w:sz w:val="21"/>
                <w:szCs w:val="21"/>
              </w:rPr>
              <w:t>4.利率原则上不超过5.7%</w:t>
            </w:r>
          </w:p>
        </w:tc>
      </w:tr>
    </w:tbl>
    <w:p>
      <w:pPr>
        <w:pStyle w:val="2"/>
        <w:rPr>
          <w:color w:val="auto"/>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Helvetica">
    <w:panose1 w:val="020B0504020202030204"/>
    <w:charset w:val="00"/>
    <w:family w:val="swiss"/>
    <w:pitch w:val="default"/>
    <w:sig w:usb0="00000007" w:usb1="00000000" w:usb2="00000000" w:usb3="00000000" w:csb0="00000093"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8506144"/>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103</w:t>
        </w:r>
        <w:r>
          <w:rPr>
            <w:lang w:val="zh-CN"/>
          </w:rPr>
          <w:fldChar w:fldCharType="end"/>
        </w:r>
      </w:p>
    </w:sdtContent>
  </w:sdt>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3098378"/>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123</w:t>
        </w:r>
        <w:r>
          <w:fldChar w:fldCharType="end"/>
        </w:r>
      </w:p>
    </w:sdtContent>
  </w:sdt>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53A825"/>
    <w:multiLevelType w:val="singleLevel"/>
    <w:tmpl w:val="D153A825"/>
    <w:lvl w:ilvl="0" w:tentative="0">
      <w:start w:val="1"/>
      <w:numFmt w:val="decimal"/>
      <w:suff w:val="nothing"/>
      <w:lvlText w:val="%1、"/>
      <w:lvlJc w:val="left"/>
    </w:lvl>
  </w:abstractNum>
  <w:abstractNum w:abstractNumId="1">
    <w:nsid w:val="F7AD9DAD"/>
    <w:multiLevelType w:val="singleLevel"/>
    <w:tmpl w:val="F7AD9DAD"/>
    <w:lvl w:ilvl="0" w:tentative="0">
      <w:start w:val="1"/>
      <w:numFmt w:val="decimal"/>
      <w:suff w:val="nothing"/>
      <w:lvlText w:val="%1、"/>
      <w:lvlJc w:val="left"/>
    </w:lvl>
  </w:abstractNum>
  <w:abstractNum w:abstractNumId="2">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3">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7">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0">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2E"/>
    <w:multiLevelType w:val="multilevel"/>
    <w:tmpl w:val="0000002E"/>
    <w:lvl w:ilvl="0" w:tentative="0">
      <w:start w:val="1"/>
      <w:numFmt w:val="decimal"/>
      <w:pStyle w:val="4"/>
      <w:lvlText w:val="第%1章"/>
      <w:lvlJc w:val="left"/>
      <w:pPr>
        <w:ind w:left="283" w:hanging="425"/>
      </w:pPr>
      <w:rPr>
        <w:rFonts w:hint="default" w:ascii="Times New Roman" w:hAnsi="Times New Roman" w:eastAsia="宋体" w:cs="Times New Roman"/>
        <w:b/>
        <w:i w:val="0"/>
        <w:sz w:val="28"/>
        <w:szCs w:val="28"/>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7"/>
      <w:suff w:val="nothing"/>
      <w:lvlText w:val="%1.%2.%3.%4"/>
      <w:lvlJc w:val="left"/>
      <w:pPr>
        <w:ind w:left="1701"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3">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5">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3E"/>
    <w:multiLevelType w:val="multilevel"/>
    <w:tmpl w:val="0000003E"/>
    <w:lvl w:ilvl="0" w:tentative="0">
      <w:start w:val="1"/>
      <w:numFmt w:val="chineseCountingThousand"/>
      <w:suff w:val="nothing"/>
      <w:lvlText w:val="%1、"/>
      <w:lvlJc w:val="left"/>
      <w:pPr>
        <w:ind w:left="1697" w:hanging="420"/>
      </w:pPr>
      <w:rPr>
        <w:b/>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7">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9">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0">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1">
    <w:nsid w:val="0A43F51A"/>
    <w:multiLevelType w:val="singleLevel"/>
    <w:tmpl w:val="0A43F51A"/>
    <w:lvl w:ilvl="0" w:tentative="0">
      <w:start w:val="2"/>
      <w:numFmt w:val="chineseCounting"/>
      <w:suff w:val="nothing"/>
      <w:lvlText w:val="%1、"/>
      <w:lvlJc w:val="left"/>
      <w:rPr>
        <w:rFonts w:hint="eastAsia"/>
      </w:rPr>
    </w:lvl>
  </w:abstractNum>
  <w:abstractNum w:abstractNumId="22">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3">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4">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5">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6">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7">
    <w:nsid w:val="3424055C"/>
    <w:multiLevelType w:val="multilevel"/>
    <w:tmpl w:val="3424055C"/>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361F7C4C"/>
    <w:multiLevelType w:val="multilevel"/>
    <w:tmpl w:val="361F7C4C"/>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30">
    <w:nsid w:val="3AA6CAEF"/>
    <w:multiLevelType w:val="singleLevel"/>
    <w:tmpl w:val="3AA6CAEF"/>
    <w:lvl w:ilvl="0" w:tentative="0">
      <w:start w:val="1"/>
      <w:numFmt w:val="decimal"/>
      <w:suff w:val="nothing"/>
      <w:lvlText w:val="%1、"/>
      <w:lvlJc w:val="left"/>
    </w:lvl>
  </w:abstractNum>
  <w:abstractNum w:abstractNumId="31">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1"/>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2">
    <w:nsid w:val="46A6B82D"/>
    <w:multiLevelType w:val="singleLevel"/>
    <w:tmpl w:val="46A6B82D"/>
    <w:lvl w:ilvl="0" w:tentative="0">
      <w:start w:val="5"/>
      <w:numFmt w:val="chineseCounting"/>
      <w:suff w:val="nothing"/>
      <w:lvlText w:val="%1、"/>
      <w:lvlJc w:val="left"/>
      <w:rPr>
        <w:rFonts w:hint="eastAsia"/>
      </w:rPr>
    </w:lvl>
  </w:abstractNum>
  <w:abstractNum w:abstractNumId="33">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6">
    <w:nsid w:val="50841406"/>
    <w:multiLevelType w:val="multilevel"/>
    <w:tmpl w:val="50841406"/>
    <w:lvl w:ilvl="0" w:tentative="0">
      <w:start w:val="1"/>
      <w:numFmt w:val="japaneseCounting"/>
      <w:lvlText w:val="%1、"/>
      <w:lvlJc w:val="left"/>
      <w:pPr>
        <w:ind w:left="3980" w:hanging="720"/>
      </w:pPr>
      <w:rPr>
        <w:rFonts w:hint="default" w:ascii="宋体" w:hAnsi="宋体" w:eastAsia="宋体"/>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37">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2">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3">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abstractNum w:abstractNumId="44">
    <w:nsid w:val="7FB17669"/>
    <w:multiLevelType w:val="multilevel"/>
    <w:tmpl w:val="7FB17669"/>
    <w:lvl w:ilvl="0" w:tentative="0">
      <w:start w:val="1"/>
      <w:numFmt w:val="chineseCountingThousand"/>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num w:numId="1">
    <w:abstractNumId w:val="12"/>
  </w:num>
  <w:num w:numId="2">
    <w:abstractNumId w:val="31"/>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44"/>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0"/>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29352B1"/>
    <w:rsid w:val="036E2995"/>
    <w:rsid w:val="03913DEA"/>
    <w:rsid w:val="03B76C5D"/>
    <w:rsid w:val="0413305A"/>
    <w:rsid w:val="04372D8A"/>
    <w:rsid w:val="04632C47"/>
    <w:rsid w:val="04E53A46"/>
    <w:rsid w:val="05E10E21"/>
    <w:rsid w:val="06156493"/>
    <w:rsid w:val="065E2D41"/>
    <w:rsid w:val="084833D7"/>
    <w:rsid w:val="08690CF5"/>
    <w:rsid w:val="0A4E7085"/>
    <w:rsid w:val="0A874786"/>
    <w:rsid w:val="0B0F796C"/>
    <w:rsid w:val="0C852543"/>
    <w:rsid w:val="0CD770CD"/>
    <w:rsid w:val="0D514D0D"/>
    <w:rsid w:val="0ED131B8"/>
    <w:rsid w:val="0EE520FE"/>
    <w:rsid w:val="0FCC4269"/>
    <w:rsid w:val="0FD04B2D"/>
    <w:rsid w:val="10154D18"/>
    <w:rsid w:val="105C5430"/>
    <w:rsid w:val="10790D03"/>
    <w:rsid w:val="10C92EAD"/>
    <w:rsid w:val="10D0768D"/>
    <w:rsid w:val="12021C6D"/>
    <w:rsid w:val="13675EC0"/>
    <w:rsid w:val="13C11EB8"/>
    <w:rsid w:val="1473060F"/>
    <w:rsid w:val="151C4698"/>
    <w:rsid w:val="15D80B36"/>
    <w:rsid w:val="18BE4ED0"/>
    <w:rsid w:val="19AB3F74"/>
    <w:rsid w:val="1AC31D30"/>
    <w:rsid w:val="1B5049F4"/>
    <w:rsid w:val="1B9C5AB1"/>
    <w:rsid w:val="1BF31614"/>
    <w:rsid w:val="1D87540C"/>
    <w:rsid w:val="1F490A82"/>
    <w:rsid w:val="206F7A7D"/>
    <w:rsid w:val="21F01F31"/>
    <w:rsid w:val="23DC5B6C"/>
    <w:rsid w:val="246164A2"/>
    <w:rsid w:val="2500065F"/>
    <w:rsid w:val="251C267E"/>
    <w:rsid w:val="25980A04"/>
    <w:rsid w:val="28122FCE"/>
    <w:rsid w:val="29650B90"/>
    <w:rsid w:val="29D81013"/>
    <w:rsid w:val="2BBF2605"/>
    <w:rsid w:val="2CE1191E"/>
    <w:rsid w:val="2CE62C74"/>
    <w:rsid w:val="2CFE2052"/>
    <w:rsid w:val="2E210836"/>
    <w:rsid w:val="2F513407"/>
    <w:rsid w:val="2F525C94"/>
    <w:rsid w:val="2F942D1A"/>
    <w:rsid w:val="30B36A4C"/>
    <w:rsid w:val="310F46F1"/>
    <w:rsid w:val="311B7AB5"/>
    <w:rsid w:val="31285FE5"/>
    <w:rsid w:val="31D21578"/>
    <w:rsid w:val="31EC1C1B"/>
    <w:rsid w:val="325879AF"/>
    <w:rsid w:val="33423335"/>
    <w:rsid w:val="33CD2F0F"/>
    <w:rsid w:val="346D0364"/>
    <w:rsid w:val="348C0702"/>
    <w:rsid w:val="34ED669D"/>
    <w:rsid w:val="35CA076E"/>
    <w:rsid w:val="35FD1420"/>
    <w:rsid w:val="363F7AF1"/>
    <w:rsid w:val="36A95413"/>
    <w:rsid w:val="36F96E1C"/>
    <w:rsid w:val="37651639"/>
    <w:rsid w:val="37D83E86"/>
    <w:rsid w:val="38B6166C"/>
    <w:rsid w:val="392D44DA"/>
    <w:rsid w:val="399F1B1B"/>
    <w:rsid w:val="3A286489"/>
    <w:rsid w:val="3C49400D"/>
    <w:rsid w:val="3CC13591"/>
    <w:rsid w:val="3CC1770E"/>
    <w:rsid w:val="3D021068"/>
    <w:rsid w:val="3D0C6CBB"/>
    <w:rsid w:val="3D101635"/>
    <w:rsid w:val="3D8F7FCA"/>
    <w:rsid w:val="3E956A08"/>
    <w:rsid w:val="3EBB1758"/>
    <w:rsid w:val="3F50748F"/>
    <w:rsid w:val="40395A50"/>
    <w:rsid w:val="40906C90"/>
    <w:rsid w:val="41AC12C3"/>
    <w:rsid w:val="41F1590C"/>
    <w:rsid w:val="41FA4390"/>
    <w:rsid w:val="42CE3AF3"/>
    <w:rsid w:val="42E86537"/>
    <w:rsid w:val="430D6844"/>
    <w:rsid w:val="44BA5FA8"/>
    <w:rsid w:val="44C90879"/>
    <w:rsid w:val="4517194C"/>
    <w:rsid w:val="45201FF8"/>
    <w:rsid w:val="45276C98"/>
    <w:rsid w:val="45A00516"/>
    <w:rsid w:val="45D43601"/>
    <w:rsid w:val="46C0061E"/>
    <w:rsid w:val="47B90FEB"/>
    <w:rsid w:val="480C67B9"/>
    <w:rsid w:val="4826573B"/>
    <w:rsid w:val="48DC46A2"/>
    <w:rsid w:val="49092D7C"/>
    <w:rsid w:val="4A796553"/>
    <w:rsid w:val="4A985373"/>
    <w:rsid w:val="4BE70ED4"/>
    <w:rsid w:val="4D8E649F"/>
    <w:rsid w:val="4F2A6A94"/>
    <w:rsid w:val="4F5B29FE"/>
    <w:rsid w:val="4F692FEC"/>
    <w:rsid w:val="4FFD7F8A"/>
    <w:rsid w:val="50456C54"/>
    <w:rsid w:val="510A6E1F"/>
    <w:rsid w:val="52013ACF"/>
    <w:rsid w:val="52F93113"/>
    <w:rsid w:val="53A2641A"/>
    <w:rsid w:val="548101A2"/>
    <w:rsid w:val="56264D4E"/>
    <w:rsid w:val="566620EC"/>
    <w:rsid w:val="568C0C9B"/>
    <w:rsid w:val="56911A29"/>
    <w:rsid w:val="56F543AE"/>
    <w:rsid w:val="57F50073"/>
    <w:rsid w:val="5AA61B4E"/>
    <w:rsid w:val="5B167A47"/>
    <w:rsid w:val="5CF10A17"/>
    <w:rsid w:val="5E761D3D"/>
    <w:rsid w:val="5F862C5C"/>
    <w:rsid w:val="60997632"/>
    <w:rsid w:val="61530975"/>
    <w:rsid w:val="616A13CB"/>
    <w:rsid w:val="61AE78DB"/>
    <w:rsid w:val="61C12193"/>
    <w:rsid w:val="628A10DA"/>
    <w:rsid w:val="64162B1D"/>
    <w:rsid w:val="64457A5F"/>
    <w:rsid w:val="645B1605"/>
    <w:rsid w:val="64A904D0"/>
    <w:rsid w:val="66E10ED9"/>
    <w:rsid w:val="67014DF6"/>
    <w:rsid w:val="688F581F"/>
    <w:rsid w:val="6AC15C36"/>
    <w:rsid w:val="6C2258CA"/>
    <w:rsid w:val="6D1914F9"/>
    <w:rsid w:val="6D43575C"/>
    <w:rsid w:val="6D8360FF"/>
    <w:rsid w:val="6DAA691B"/>
    <w:rsid w:val="6E6E3813"/>
    <w:rsid w:val="6EDD72D6"/>
    <w:rsid w:val="73A96566"/>
    <w:rsid w:val="73FB6C33"/>
    <w:rsid w:val="741C7358"/>
    <w:rsid w:val="76050126"/>
    <w:rsid w:val="76BA4F4E"/>
    <w:rsid w:val="77436A44"/>
    <w:rsid w:val="775A7229"/>
    <w:rsid w:val="78686D50"/>
    <w:rsid w:val="795D6C17"/>
    <w:rsid w:val="79B26B5D"/>
    <w:rsid w:val="79E111DC"/>
    <w:rsid w:val="7CA70058"/>
    <w:rsid w:val="7ECB0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line="276" w:lineRule="auto"/>
    </w:pPr>
    <w:rPr>
      <w:rFonts w:ascii="Times New Roman" w:hAnsi="Times New Roman" w:cs="Times New Roman" w:eastAsiaTheme="minorEastAsia"/>
      <w:kern w:val="0"/>
      <w:sz w:val="24"/>
      <w:szCs w:val="24"/>
      <w:lang w:val="en-US" w:eastAsia="zh-CN" w:bidi="ar-SA"/>
    </w:rPr>
  </w:style>
  <w:style w:type="paragraph" w:styleId="4">
    <w:name w:val="heading 1"/>
    <w:basedOn w:val="1"/>
    <w:next w:val="1"/>
    <w:qFormat/>
    <w:uiPriority w:val="9"/>
    <w:pPr>
      <w:keepNext/>
      <w:keepLines/>
      <w:widowControl w:val="0"/>
      <w:numPr>
        <w:ilvl w:val="0"/>
        <w:numId w:val="1"/>
      </w:numPr>
      <w:spacing w:before="340" w:after="330" w:line="400" w:lineRule="exact"/>
      <w:jc w:val="center"/>
      <w:outlineLvl w:val="0"/>
    </w:pPr>
    <w:rPr>
      <w:rFonts w:ascii="宋体" w:hAnsi="宋体" w:eastAsia="宋体" w:cs="宋体"/>
      <w:b/>
      <w:bCs/>
      <w:spacing w:val="-20"/>
      <w:kern w:val="44"/>
      <w:sz w:val="32"/>
      <w:szCs w:val="32"/>
    </w:rPr>
  </w:style>
  <w:style w:type="paragraph" w:styleId="5">
    <w:name w:val="heading 2"/>
    <w:basedOn w:val="1"/>
    <w:next w:val="1"/>
    <w:unhideWhenUsed/>
    <w:qFormat/>
    <w:uiPriority w:val="0"/>
    <w:pPr>
      <w:keepNext/>
      <w:keepLines/>
      <w:widowControl w:val="0"/>
      <w:numPr>
        <w:ilvl w:val="1"/>
        <w:numId w:val="1"/>
      </w:numPr>
      <w:spacing w:before="260" w:after="260" w:line="360" w:lineRule="auto"/>
      <w:outlineLvl w:val="1"/>
    </w:pPr>
    <w:rPr>
      <w:rFonts w:ascii="宋体" w:hAnsi="宋体" w:eastAsia="宋体" w:cs="宋体"/>
      <w:b/>
      <w:bCs/>
      <w:kern w:val="2"/>
      <w:sz w:val="28"/>
      <w:szCs w:val="28"/>
    </w:rPr>
  </w:style>
  <w:style w:type="paragraph" w:styleId="6">
    <w:name w:val="heading 3"/>
    <w:basedOn w:val="1"/>
    <w:next w:val="1"/>
    <w:unhideWhenUsed/>
    <w:qFormat/>
    <w:uiPriority w:val="0"/>
    <w:pPr>
      <w:keepNext/>
      <w:keepLines/>
      <w:widowControl w:val="0"/>
      <w:numPr>
        <w:ilvl w:val="2"/>
        <w:numId w:val="1"/>
      </w:numPr>
      <w:spacing w:line="360" w:lineRule="auto"/>
      <w:jc w:val="both"/>
      <w:outlineLvl w:val="2"/>
    </w:pPr>
    <w:rPr>
      <w:rFonts w:ascii="宋体" w:hAnsi="宋体" w:eastAsia="宋体" w:cs="宋体"/>
      <w:b/>
      <w:bCs/>
      <w:color w:val="000000"/>
      <w:sz w:val="28"/>
      <w:szCs w:val="28"/>
    </w:rPr>
  </w:style>
  <w:style w:type="paragraph" w:styleId="7">
    <w:name w:val="heading 4"/>
    <w:basedOn w:val="1"/>
    <w:next w:val="1"/>
    <w:unhideWhenUsed/>
    <w:qFormat/>
    <w:uiPriority w:val="0"/>
    <w:pPr>
      <w:keepNext/>
      <w:keepLines/>
      <w:widowControl w:val="0"/>
      <w:numPr>
        <w:ilvl w:val="3"/>
        <w:numId w:val="1"/>
      </w:numPr>
      <w:spacing w:before="120" w:after="120" w:line="360" w:lineRule="auto"/>
      <w:outlineLvl w:val="3"/>
    </w:pPr>
    <w:rPr>
      <w:rFonts w:ascii="Arial" w:hAnsi="Arial" w:eastAsia="宋体"/>
      <w:b/>
      <w:bCs/>
      <w:sz w:val="28"/>
      <w:szCs w:val="28"/>
    </w:rPr>
  </w:style>
  <w:style w:type="character" w:default="1" w:styleId="17">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unhideWhenUsed/>
    <w:qFormat/>
    <w:uiPriority w:val="99"/>
    <w:pPr>
      <w:widowControl w:val="0"/>
      <w:spacing w:after="120"/>
      <w:jc w:val="both"/>
    </w:pPr>
    <w:rPr>
      <w:rFonts w:ascii="Calibri" w:hAnsi="Calibri" w:eastAsia="宋体"/>
      <w:kern w:val="2"/>
      <w:sz w:val="21"/>
      <w:szCs w:val="22"/>
    </w:rPr>
  </w:style>
  <w:style w:type="paragraph" w:customStyle="1" w:styleId="3">
    <w:name w:val="_Style 3"/>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styleId="8">
    <w:name w:val="Normal Indent"/>
    <w:basedOn w:val="1"/>
    <w:unhideWhenUsed/>
    <w:qFormat/>
    <w:uiPriority w:val="0"/>
    <w:pPr>
      <w:widowControl w:val="0"/>
      <w:spacing w:after="180" w:line="307" w:lineRule="auto"/>
      <w:ind w:firstLine="420"/>
      <w:jc w:val="both"/>
    </w:pPr>
    <w:rPr>
      <w:rFonts w:asciiTheme="minorHAnsi" w:hAnsiTheme="minorHAnsi" w:cstheme="minorBidi"/>
      <w:kern w:val="2"/>
      <w:sz w:val="21"/>
      <w:szCs w:val="22"/>
    </w:rPr>
  </w:style>
  <w:style w:type="paragraph" w:styleId="9">
    <w:name w:val="Body Text Indent 2"/>
    <w:basedOn w:val="1"/>
    <w:unhideWhenUsed/>
    <w:qFormat/>
    <w:uiPriority w:val="0"/>
    <w:pPr>
      <w:widowControl w:val="0"/>
      <w:spacing w:after="120" w:line="480" w:lineRule="auto"/>
      <w:ind w:left="420" w:leftChars="200"/>
      <w:jc w:val="both"/>
    </w:pPr>
    <w:rPr>
      <w:rFonts w:ascii="Calibri" w:hAnsi="Calibri" w:eastAsia="宋体"/>
      <w:kern w:val="2"/>
      <w:sz w:val="21"/>
      <w:szCs w:val="22"/>
    </w:rPr>
  </w:style>
  <w:style w:type="paragraph" w:styleId="10">
    <w:name w:val="footer"/>
    <w:basedOn w:val="1"/>
    <w:unhideWhenUsed/>
    <w:qFormat/>
    <w:uiPriority w:val="99"/>
    <w:pPr>
      <w:widowControl w:val="0"/>
      <w:tabs>
        <w:tab w:val="center" w:pos="4153"/>
        <w:tab w:val="right" w:pos="8306"/>
      </w:tabs>
      <w:snapToGrid w:val="0"/>
    </w:pPr>
    <w:rPr>
      <w:rFonts w:ascii="Calibri" w:hAnsi="Calibri" w:eastAsia="宋体"/>
      <w:sz w:val="18"/>
      <w:szCs w:val="18"/>
    </w:rPr>
  </w:style>
  <w:style w:type="paragraph" w:styleId="11">
    <w:name w:val="toc 1"/>
    <w:basedOn w:val="1"/>
    <w:next w:val="1"/>
    <w:unhideWhenUsed/>
    <w:qFormat/>
    <w:uiPriority w:val="39"/>
    <w:pPr>
      <w:widowControl w:val="0"/>
      <w:tabs>
        <w:tab w:val="left" w:pos="709"/>
        <w:tab w:val="right" w:leader="dot" w:pos="8364"/>
      </w:tabs>
      <w:spacing w:before="120" w:after="120"/>
    </w:pPr>
    <w:rPr>
      <w:rFonts w:ascii="华文中宋" w:hAnsi="华文中宋" w:eastAsia="华文中宋"/>
      <w:bCs/>
      <w:caps/>
      <w:kern w:val="2"/>
      <w:sz w:val="20"/>
      <w:szCs w:val="20"/>
    </w:rPr>
  </w:style>
  <w:style w:type="paragraph" w:styleId="12">
    <w:name w:val="toc 2"/>
    <w:basedOn w:val="1"/>
    <w:next w:val="1"/>
    <w:unhideWhenUsed/>
    <w:qFormat/>
    <w:uiPriority w:val="39"/>
    <w:pPr>
      <w:widowControl w:val="0"/>
      <w:tabs>
        <w:tab w:val="left" w:pos="620"/>
        <w:tab w:val="right" w:leader="dot" w:pos="8364"/>
      </w:tabs>
      <w:ind w:left="180"/>
    </w:pPr>
    <w:rPr>
      <w:rFonts w:ascii="华文中宋" w:hAnsi="华文中宋" w:eastAsia="华文中宋"/>
      <w:smallCaps/>
      <w:kern w:val="2"/>
      <w:sz w:val="20"/>
      <w:szCs w:val="20"/>
    </w:rPr>
  </w:style>
  <w:style w:type="paragraph" w:styleId="13">
    <w:name w:val="Normal (Web)"/>
    <w:basedOn w:val="1"/>
    <w:unhideWhenUsed/>
    <w:qFormat/>
    <w:uiPriority w:val="0"/>
    <w:pPr>
      <w:spacing w:before="100" w:beforeAutospacing="1" w:after="100" w:afterAutospacing="1"/>
    </w:pPr>
    <w:rPr>
      <w:rFonts w:ascii="宋体" w:hAnsi="宋体" w:eastAsia="宋体"/>
      <w:color w:val="000000"/>
    </w:rPr>
  </w:style>
  <w:style w:type="paragraph" w:styleId="14">
    <w:name w:val="Body Text First Indent"/>
    <w:basedOn w:val="2"/>
    <w:unhideWhenUsed/>
    <w:qFormat/>
    <w:uiPriority w:val="0"/>
    <w:pPr>
      <w:ind w:firstLine="420" w:firstLineChars="100"/>
    </w:pPr>
    <w:rPr>
      <w:rFonts w:ascii="Times New Roman" w:hAnsi="Times New Roman"/>
      <w:kern w:val="0"/>
      <w:sz w:val="18"/>
      <w:szCs w:val="18"/>
    </w:rPr>
  </w:style>
  <w:style w:type="table" w:styleId="16">
    <w:name w:val="Table Grid"/>
    <w:basedOn w:val="1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8">
    <w:name w:val="page number"/>
    <w:basedOn w:val="17"/>
    <w:qFormat/>
    <w:uiPriority w:val="0"/>
  </w:style>
  <w:style w:type="character" w:styleId="19">
    <w:name w:val="Hyperlink"/>
    <w:unhideWhenUsed/>
    <w:qFormat/>
    <w:uiPriority w:val="99"/>
    <w:rPr>
      <w:color w:val="0000FF"/>
      <w:u w:val="single"/>
    </w:rPr>
  </w:style>
  <w:style w:type="paragraph" w:customStyle="1" w:styleId="20">
    <w:name w:val="正文首行缩进两字符"/>
    <w:basedOn w:val="1"/>
    <w:qFormat/>
    <w:uiPriority w:val="0"/>
    <w:pPr>
      <w:widowControl w:val="0"/>
      <w:spacing w:line="360" w:lineRule="auto"/>
      <w:ind w:firstLine="200" w:firstLineChars="200"/>
      <w:jc w:val="both"/>
    </w:pPr>
    <w:rPr>
      <w:rFonts w:eastAsia="宋体"/>
      <w:kern w:val="2"/>
      <w:sz w:val="21"/>
    </w:rPr>
  </w:style>
  <w:style w:type="paragraph" w:customStyle="1" w:styleId="21">
    <w:name w:val="彩色列表 - 强调文字颜色 11"/>
    <w:basedOn w:val="1"/>
    <w:qFormat/>
    <w:uiPriority w:val="0"/>
    <w:pPr>
      <w:widowControl w:val="0"/>
      <w:ind w:firstLine="420" w:firstLineChars="200"/>
      <w:jc w:val="both"/>
    </w:pPr>
    <w:rPr>
      <w:rFonts w:ascii="Calibri" w:hAnsi="Calibri" w:cstheme="minorBidi"/>
      <w:kern w:val="2"/>
      <w:sz w:val="21"/>
      <w:szCs w:val="22"/>
    </w:rPr>
  </w:style>
  <w:style w:type="paragraph" w:customStyle="1" w:styleId="22">
    <w:name w:val="样式"/>
    <w:qFormat/>
    <w:uiPriority w:val="0"/>
    <w:pPr>
      <w:widowControl w:val="0"/>
      <w:autoSpaceDE w:val="0"/>
      <w:autoSpaceDN w:val="0"/>
      <w:adjustRightInd w:val="0"/>
      <w:spacing w:after="200" w:line="276" w:lineRule="auto"/>
    </w:pPr>
    <w:rPr>
      <w:rFonts w:ascii="宋体" w:hAnsi="宋体" w:eastAsia="宋体" w:cs="宋体"/>
      <w:kern w:val="0"/>
      <w:sz w:val="24"/>
      <w:szCs w:val="24"/>
      <w:lang w:val="en-US" w:eastAsia="zh-CN" w:bidi="ar-SA"/>
    </w:rPr>
  </w:style>
  <w:style w:type="paragraph" w:customStyle="1" w:styleId="23">
    <w:name w:val="正文1"/>
    <w:qFormat/>
    <w:uiPriority w:val="0"/>
    <w:pPr>
      <w:widowControl w:val="0"/>
      <w:adjustRightInd w:val="0"/>
      <w:spacing w:after="200" w:line="312" w:lineRule="atLeast"/>
      <w:jc w:val="both"/>
    </w:pPr>
    <w:rPr>
      <w:rFonts w:ascii="宋体" w:hAnsi="Times New Roman" w:eastAsia="宋体" w:cs="Times New Roman"/>
      <w:kern w:val="0"/>
      <w:sz w:val="34"/>
      <w:szCs w:val="20"/>
      <w:lang w:val="en-US" w:eastAsia="zh-CN" w:bidi="ar-SA"/>
    </w:rPr>
  </w:style>
  <w:style w:type="paragraph" w:customStyle="1" w:styleId="24">
    <w:name w:val="列出段落1"/>
    <w:basedOn w:val="1"/>
    <w:qFormat/>
    <w:uiPriority w:val="0"/>
    <w:pPr>
      <w:widowControl w:val="0"/>
      <w:ind w:firstLine="420" w:firstLineChars="200"/>
      <w:jc w:val="both"/>
    </w:pPr>
    <w:rPr>
      <w:rFonts w:ascii="Calibri" w:hAnsi="Calibri" w:eastAsia="宋体"/>
      <w:kern w:val="2"/>
      <w:sz w:val="21"/>
      <w:szCs w:val="22"/>
    </w:rPr>
  </w:style>
  <w:style w:type="paragraph" w:styleId="25">
    <w:name w:val="List Paragraph"/>
    <w:basedOn w:val="1"/>
    <w:qFormat/>
    <w:uiPriority w:val="0"/>
    <w:pPr>
      <w:widowControl w:val="0"/>
      <w:ind w:firstLine="420" w:firstLineChars="200"/>
      <w:jc w:val="both"/>
    </w:pPr>
    <w:rPr>
      <w:rFonts w:ascii="Calibri" w:hAnsi="Calibri" w:cstheme="minorBidi"/>
      <w:kern w:val="2"/>
      <w:sz w:val="21"/>
      <w:szCs w:val="22"/>
    </w:rPr>
  </w:style>
  <w:style w:type="paragraph" w:customStyle="1" w:styleId="26">
    <w:name w:val="GW-正文"/>
    <w:basedOn w:val="1"/>
    <w:qFormat/>
    <w:uiPriority w:val="0"/>
    <w:pPr>
      <w:spacing w:line="360" w:lineRule="auto"/>
      <w:ind w:firstLine="200" w:firstLineChars="200"/>
    </w:pPr>
    <w:rPr>
      <w:rFonts w:eastAsia="仿宋_GB2312"/>
      <w:sz w:val="24"/>
      <w:szCs w:val="24"/>
    </w:rPr>
  </w:style>
  <w:style w:type="paragraph" w:customStyle="1" w:styleId="27">
    <w:name w:val="12、表格内左对齐正文"/>
    <w:basedOn w:val="1"/>
    <w:qFormat/>
    <w:uiPriority w:val="0"/>
    <w:pPr>
      <w:tabs>
        <w:tab w:val="left" w:pos="0"/>
      </w:tabs>
      <w:wordWrap w:val="0"/>
      <w:topLinePunct/>
      <w:spacing w:line="360" w:lineRule="exact"/>
      <w:ind w:left="48" w:leftChars="20"/>
    </w:pPr>
    <w:rPr>
      <w:snapToGrid w:val="0"/>
    </w:rPr>
  </w:style>
  <w:style w:type="paragraph" w:customStyle="1" w:styleId="28">
    <w:name w:val="彩色列表 - 强调文字颜色 12"/>
    <w:basedOn w:val="1"/>
    <w:qFormat/>
    <w:uiPriority w:val="0"/>
    <w:pPr>
      <w:widowControl w:val="0"/>
      <w:ind w:firstLine="420" w:firstLineChars="200"/>
      <w:jc w:val="both"/>
    </w:pPr>
    <w:rPr>
      <w:rFonts w:ascii="Calibri" w:hAnsi="Calibri" w:eastAsia="宋体"/>
      <w:kern w:val="2"/>
      <w:sz w:val="21"/>
      <w:szCs w:val="22"/>
    </w:rPr>
  </w:style>
  <w:style w:type="paragraph" w:customStyle="1" w:styleId="29">
    <w:name w:val="样式 首行缩进:  2 字符"/>
    <w:basedOn w:val="1"/>
    <w:qFormat/>
    <w:uiPriority w:val="0"/>
    <w:pPr>
      <w:widowControl w:val="0"/>
      <w:spacing w:line="400" w:lineRule="exact"/>
      <w:ind w:firstLine="200" w:firstLineChars="200"/>
      <w:jc w:val="both"/>
    </w:pPr>
    <w:rPr>
      <w:rFonts w:eastAsia="宋体" w:cs="宋体"/>
      <w:kern w:val="2"/>
    </w:rPr>
  </w:style>
  <w:style w:type="paragraph" w:customStyle="1" w:styleId="30">
    <w:name w:val="正文（绿盟科技）"/>
    <w:qFormat/>
    <w:uiPriority w:val="0"/>
    <w:pPr>
      <w:spacing w:after="200" w:line="300" w:lineRule="auto"/>
    </w:pPr>
    <w:rPr>
      <w:rFonts w:ascii="Arial" w:hAnsi="Arial" w:eastAsia="宋体" w:cs="黑体"/>
      <w:sz w:val="21"/>
      <w:szCs w:val="21"/>
      <w:lang w:val="en-US" w:eastAsia="zh-CN" w:bidi="ar-SA"/>
    </w:rPr>
  </w:style>
  <w:style w:type="paragraph" w:customStyle="1" w:styleId="31">
    <w:name w:val="标题 5（有编号）（绿盟科技）"/>
    <w:basedOn w:val="1"/>
    <w:next w:val="30"/>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32">
    <w:name w:val="Default"/>
    <w:qFormat/>
    <w:uiPriority w:val="99"/>
    <w:pPr>
      <w:widowControl w:val="0"/>
      <w:autoSpaceDE w:val="0"/>
      <w:autoSpaceDN w:val="0"/>
      <w:adjustRightInd w:val="0"/>
    </w:pPr>
    <w:rPr>
      <w:rFonts w:ascii="宋体" w:hAnsi="Calibri" w:eastAsia="宋体" w:cs="宋体"/>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崇州市分中心</Company>
  <Pages>1</Pages>
  <Words>0</Words>
  <Characters>0</Characters>
  <Lines>0</Lines>
  <Paragraphs>0</Paragraphs>
  <TotalTime>2</TotalTime>
  <ScaleCrop>false</ScaleCrop>
  <LinksUpToDate>false</LinksUpToDate>
  <CharactersWithSpaces>0</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2020-07-22T04:58:00Z</dcterms:created>
  <dc:creator>冯杰</dc:creator>
  <cp:lastModifiedBy>冯杰</cp:lastModifiedBy>
  <cp:lastPrinted>2021-06-16T06:45:00Z</cp:lastPrinted>
  <dcterms:modified xsi:type="dcterms:W3CDTF">2021-07-01T03:09:48Z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