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仿宋_GB2312" w:hAnsi="仿宋_GB2312" w:eastAsia="仿宋_GB2312" w:cs="仿宋_GB2312"/>
          <w:kern w:val="0"/>
          <w:sz w:val="32"/>
          <w:szCs w:val="32"/>
          <w:lang w:eastAsia="zh-CN"/>
        </w:rPr>
        <w:t>彭州市九尺镇人民政府2020年彭州市农村“厕所革命”重点县项目九尺镇玉源社区张家院子村容村貌提升项目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 xml:space="preserve">项目编号: </w:t>
      </w:r>
      <w:r>
        <w:rPr>
          <w:rFonts w:hint="eastAsia" w:ascii="仿宋_GB2312" w:hAnsi="仿宋_GB2312" w:eastAsia="仿宋_GB2312" w:cs="仿宋_GB2312"/>
          <w:b w:val="0"/>
          <w:bCs w:val="0"/>
          <w:i w:val="0"/>
          <w:caps w:val="0"/>
          <w:color w:val="333333"/>
          <w:spacing w:val="0"/>
          <w:sz w:val="32"/>
          <w:szCs w:val="32"/>
          <w:shd w:val="clear" w:fill="FFFFFF"/>
          <w:lang w:eastAsia="zh-CN"/>
        </w:rPr>
        <w:t>彭州市政采（2021）A0021号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kern w:val="0"/>
          <w:sz w:val="32"/>
          <w:szCs w:val="32"/>
        </w:rPr>
        <w:t>彭州市九尺镇人民政府</w:t>
      </w:r>
      <w:r>
        <w:rPr>
          <w:rFonts w:hint="eastAsia" w:ascii="华文中宋" w:hAnsi="华文中宋" w:eastAsia="华文中宋"/>
          <w:sz w:val="32"/>
          <w:szCs w:val="32"/>
        </w:rPr>
        <w:t>、</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十</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"_Toc73622761" </w:instrText>
      </w:r>
      <w:r>
        <w:fldChar w:fldCharType="separate"/>
      </w:r>
      <w:r>
        <w:rPr>
          <w:rStyle w:val="55"/>
          <w:rFonts w:hint="eastAsia"/>
        </w:rPr>
        <w:t>第1章</w:t>
      </w:r>
      <w:r>
        <w:rPr>
          <w:rFonts w:asciiTheme="minorHAnsi" w:hAnsiTheme="minorHAnsi" w:eastAsiaTheme="minorEastAsia" w:cstheme="minorBidi"/>
          <w:b w:val="0"/>
          <w:bCs w:val="0"/>
          <w:caps w:val="0"/>
          <w:kern w:val="2"/>
          <w:sz w:val="21"/>
          <w:szCs w:val="22"/>
        </w:rPr>
        <w:tab/>
      </w:r>
      <w:r>
        <w:rPr>
          <w:rStyle w:val="55"/>
          <w:rFonts w:hint="eastAsia"/>
        </w:rPr>
        <w:t>竞争性磋商邀请</w:t>
      </w:r>
      <w:r>
        <w:tab/>
      </w:r>
      <w:r>
        <w:fldChar w:fldCharType="begin"/>
      </w:r>
      <w:r>
        <w:instrText xml:space="preserve"> PAGEREF _Toc73622761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"_Toc73622762" </w:instrText>
      </w:r>
      <w:r>
        <w:fldChar w:fldCharType="separate"/>
      </w:r>
      <w:r>
        <w:rPr>
          <w:rStyle w:val="55"/>
          <w:rFonts w:hint="eastAsia"/>
        </w:rPr>
        <w:t>第2章</w:t>
      </w:r>
      <w:r>
        <w:rPr>
          <w:rFonts w:asciiTheme="minorHAnsi" w:hAnsiTheme="minorHAnsi" w:eastAsiaTheme="minorEastAsia" w:cstheme="minorBidi"/>
          <w:b w:val="0"/>
          <w:bCs w:val="0"/>
          <w:caps w:val="0"/>
          <w:kern w:val="2"/>
          <w:sz w:val="21"/>
          <w:szCs w:val="22"/>
        </w:rPr>
        <w:tab/>
      </w:r>
      <w:r>
        <w:rPr>
          <w:rStyle w:val="55"/>
          <w:rFonts w:hint="eastAsia"/>
        </w:rPr>
        <w:t>供应商须知</w:t>
      </w:r>
      <w:r>
        <w:tab/>
      </w:r>
      <w:r>
        <w:fldChar w:fldCharType="begin"/>
      </w:r>
      <w:r>
        <w:instrText xml:space="preserve"> PAGEREF _Toc73622762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"_Toc73622763" </w:instrText>
      </w:r>
      <w:r>
        <w:fldChar w:fldCharType="separate"/>
      </w:r>
      <w:r>
        <w:rPr>
          <w:rStyle w:val="55"/>
        </w:rPr>
        <w:t>2.1</w:t>
      </w:r>
      <w:r>
        <w:rPr>
          <w:rStyle w:val="55"/>
          <w:rFonts w:hint="eastAsia"/>
        </w:rPr>
        <w:t xml:space="preserve"> 供应商须知前附表</w:t>
      </w:r>
      <w:r>
        <w:tab/>
      </w:r>
      <w:r>
        <w:fldChar w:fldCharType="begin"/>
      </w:r>
      <w:r>
        <w:instrText xml:space="preserve"> PAGEREF _Toc73622763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"_Toc73622764" </w:instrText>
      </w:r>
      <w:r>
        <w:fldChar w:fldCharType="separate"/>
      </w:r>
      <w:r>
        <w:rPr>
          <w:rStyle w:val="55"/>
        </w:rPr>
        <w:t>2.2</w:t>
      </w:r>
      <w:r>
        <w:rPr>
          <w:rStyle w:val="55"/>
          <w:rFonts w:hint="eastAsia"/>
        </w:rPr>
        <w:t xml:space="preserve"> 总则</w:t>
      </w:r>
      <w:r>
        <w:tab/>
      </w:r>
      <w:r>
        <w:fldChar w:fldCharType="begin"/>
      </w:r>
      <w:r>
        <w:instrText xml:space="preserve"> PAGEREF _Toc73622764 \h </w:instrText>
      </w:r>
      <w:r>
        <w:fldChar w:fldCharType="separate"/>
      </w:r>
      <w:r>
        <w:t>12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"_Toc73622765" </w:instrText>
      </w:r>
      <w:r>
        <w:fldChar w:fldCharType="separate"/>
      </w:r>
      <w:r>
        <w:rPr>
          <w:rStyle w:val="55"/>
        </w:rPr>
        <w:t>2.3</w:t>
      </w:r>
      <w:r>
        <w:rPr>
          <w:rStyle w:val="55"/>
          <w:rFonts w:hint="eastAsia"/>
        </w:rPr>
        <w:t xml:space="preserve"> 磋商文件</w:t>
      </w:r>
      <w:r>
        <w:tab/>
      </w:r>
      <w:r>
        <w:fldChar w:fldCharType="begin"/>
      </w:r>
      <w:r>
        <w:instrText xml:space="preserve"> PAGEREF _Toc73622765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"_Toc73622766" </w:instrText>
      </w:r>
      <w:r>
        <w:fldChar w:fldCharType="separate"/>
      </w:r>
      <w:r>
        <w:rPr>
          <w:rStyle w:val="55"/>
        </w:rPr>
        <w:t>2.4</w:t>
      </w:r>
      <w:r>
        <w:rPr>
          <w:rStyle w:val="55"/>
          <w:rFonts w:hint="eastAsia"/>
        </w:rPr>
        <w:t xml:space="preserve"> 施工响应文件</w:t>
      </w:r>
      <w:r>
        <w:tab/>
      </w:r>
      <w:r>
        <w:fldChar w:fldCharType="begin"/>
      </w:r>
      <w:r>
        <w:instrText xml:space="preserve"> PAGEREF _Toc73622766 \h </w:instrText>
      </w:r>
      <w:r>
        <w:fldChar w:fldCharType="separate"/>
      </w:r>
      <w:r>
        <w:t>15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"_Toc73622767" </w:instrText>
      </w:r>
      <w:r>
        <w:fldChar w:fldCharType="separate"/>
      </w:r>
      <w:r>
        <w:rPr>
          <w:rStyle w:val="55"/>
        </w:rPr>
        <w:t>2.5</w:t>
      </w:r>
      <w:r>
        <w:rPr>
          <w:rStyle w:val="55"/>
          <w:rFonts w:hint="eastAsia"/>
        </w:rPr>
        <w:t xml:space="preserve"> 开标及开标程序</w:t>
      </w:r>
      <w:r>
        <w:tab/>
      </w:r>
      <w:r>
        <w:fldChar w:fldCharType="begin"/>
      </w:r>
      <w:r>
        <w:instrText xml:space="preserve"> PAGEREF _Toc73622767 \h </w:instrText>
      </w:r>
      <w:r>
        <w:fldChar w:fldCharType="separate"/>
      </w:r>
      <w:r>
        <w:t>23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"_Toc73622768" </w:instrText>
      </w:r>
      <w:r>
        <w:fldChar w:fldCharType="separate"/>
      </w:r>
      <w:r>
        <w:rPr>
          <w:rStyle w:val="55"/>
        </w:rPr>
        <w:t>2.6</w:t>
      </w:r>
      <w:r>
        <w:rPr>
          <w:rStyle w:val="55"/>
          <w:rFonts w:hint="eastAsia"/>
        </w:rPr>
        <w:t xml:space="preserve"> 资格预审和评审</w:t>
      </w:r>
      <w:r>
        <w:tab/>
      </w:r>
      <w:r>
        <w:fldChar w:fldCharType="begin"/>
      </w:r>
      <w:r>
        <w:instrText xml:space="preserve"> PAGEREF _Toc73622768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"_Toc73622769" </w:instrText>
      </w:r>
      <w:r>
        <w:fldChar w:fldCharType="separate"/>
      </w:r>
      <w:r>
        <w:rPr>
          <w:rStyle w:val="55"/>
        </w:rPr>
        <w:t>2.7</w:t>
      </w:r>
      <w:r>
        <w:rPr>
          <w:rStyle w:val="55"/>
          <w:rFonts w:hint="eastAsia"/>
        </w:rPr>
        <w:t xml:space="preserve"> 成交通知书</w:t>
      </w:r>
      <w:r>
        <w:tab/>
      </w:r>
      <w:r>
        <w:fldChar w:fldCharType="begin"/>
      </w:r>
      <w:r>
        <w:instrText xml:space="preserve"> PAGEREF _Toc73622769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"_Toc73622770" </w:instrText>
      </w:r>
      <w:r>
        <w:fldChar w:fldCharType="separate"/>
      </w:r>
      <w:r>
        <w:rPr>
          <w:rStyle w:val="55"/>
        </w:rPr>
        <w:t>2.8</w:t>
      </w:r>
      <w:r>
        <w:rPr>
          <w:rStyle w:val="55"/>
          <w:rFonts w:hint="eastAsia"/>
        </w:rPr>
        <w:t xml:space="preserve"> 签订及履行合同和验收</w:t>
      </w:r>
      <w:r>
        <w:tab/>
      </w:r>
      <w:r>
        <w:fldChar w:fldCharType="begin"/>
      </w:r>
      <w:r>
        <w:instrText xml:space="preserve"> PAGEREF _Toc73622770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"_Toc73622771" </w:instrText>
      </w:r>
      <w:r>
        <w:fldChar w:fldCharType="separate"/>
      </w:r>
      <w:r>
        <w:rPr>
          <w:rStyle w:val="55"/>
        </w:rPr>
        <w:t>2.9</w:t>
      </w:r>
      <w:r>
        <w:rPr>
          <w:rStyle w:val="55"/>
          <w:rFonts w:hint="eastAsia"/>
        </w:rPr>
        <w:t xml:space="preserve"> 竞争性磋商工作纪律及要求</w:t>
      </w:r>
      <w:r>
        <w:tab/>
      </w:r>
      <w:r>
        <w:fldChar w:fldCharType="begin"/>
      </w:r>
      <w:r>
        <w:instrText xml:space="preserve"> PAGEREF _Toc73622771 \h </w:instrText>
      </w:r>
      <w:r>
        <w:fldChar w:fldCharType="separate"/>
      </w:r>
      <w:r>
        <w:t>27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"_Toc73622772" </w:instrText>
      </w:r>
      <w:r>
        <w:fldChar w:fldCharType="separate"/>
      </w:r>
      <w:r>
        <w:rPr>
          <w:rStyle w:val="55"/>
        </w:rPr>
        <w:t>2.10</w:t>
      </w:r>
      <w:r>
        <w:rPr>
          <w:rStyle w:val="55"/>
          <w:rFonts w:hint="eastAsia"/>
        </w:rPr>
        <w:t xml:space="preserve"> 询问、质疑和投诉</w:t>
      </w:r>
      <w:r>
        <w:tab/>
      </w:r>
      <w:r>
        <w:fldChar w:fldCharType="begin"/>
      </w:r>
      <w:r>
        <w:instrText xml:space="preserve"> PAGEREF _Toc73622772 \h </w:instrText>
      </w:r>
      <w:r>
        <w:fldChar w:fldCharType="separate"/>
      </w:r>
      <w:r>
        <w:t>29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"_Toc73622773" </w:instrText>
      </w:r>
      <w:r>
        <w:fldChar w:fldCharType="separate"/>
      </w:r>
      <w:r>
        <w:rPr>
          <w:rStyle w:val="55"/>
        </w:rPr>
        <w:t>2.11</w:t>
      </w:r>
      <w:r>
        <w:rPr>
          <w:rStyle w:val="55"/>
          <w:rFonts w:hint="eastAsia"/>
        </w:rPr>
        <w:t xml:space="preserve"> 中小企业政府采购信用融资</w:t>
      </w:r>
      <w:r>
        <w:tab/>
      </w:r>
      <w:r>
        <w:fldChar w:fldCharType="begin"/>
      </w:r>
      <w:r>
        <w:instrText xml:space="preserve"> PAGEREF _Toc73622773 \h </w:instrText>
      </w:r>
      <w:r>
        <w:fldChar w:fldCharType="separate"/>
      </w:r>
      <w:r>
        <w:t>31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"_Toc73622774" </w:instrText>
      </w:r>
      <w:r>
        <w:fldChar w:fldCharType="separate"/>
      </w:r>
      <w:r>
        <w:rPr>
          <w:rStyle w:val="55"/>
        </w:rPr>
        <w:t>2.12</w:t>
      </w:r>
      <w:r>
        <w:rPr>
          <w:rStyle w:val="55"/>
          <w:rFonts w:hint="eastAsia"/>
        </w:rPr>
        <w:t xml:space="preserve"> 其他</w:t>
      </w:r>
      <w:r>
        <w:tab/>
      </w:r>
      <w:r>
        <w:fldChar w:fldCharType="begin"/>
      </w:r>
      <w:r>
        <w:instrText xml:space="preserve"> PAGEREF _Toc73622774 \h </w:instrText>
      </w:r>
      <w:r>
        <w:fldChar w:fldCharType="separate"/>
      </w:r>
      <w:r>
        <w:t>31</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"_Toc73622775" </w:instrText>
      </w:r>
      <w:r>
        <w:fldChar w:fldCharType="separate"/>
      </w:r>
      <w:r>
        <w:rPr>
          <w:rStyle w:val="55"/>
          <w:rFonts w:hint="eastAsia"/>
        </w:rPr>
        <w:t>第3章</w:t>
      </w:r>
      <w:r>
        <w:rPr>
          <w:rFonts w:asciiTheme="minorHAnsi" w:hAnsiTheme="minorHAnsi" w:eastAsiaTheme="minorEastAsia" w:cstheme="minorBidi"/>
          <w:b w:val="0"/>
          <w:bCs w:val="0"/>
          <w:caps w:val="0"/>
          <w:kern w:val="2"/>
          <w:sz w:val="21"/>
          <w:szCs w:val="22"/>
        </w:rPr>
        <w:tab/>
      </w:r>
      <w:r>
        <w:rPr>
          <w:rStyle w:val="55"/>
          <w:rFonts w:hint="eastAsia"/>
        </w:rPr>
        <w:t>施工响应文件格式</w:t>
      </w:r>
      <w:r>
        <w:tab/>
      </w:r>
      <w:r>
        <w:fldChar w:fldCharType="begin"/>
      </w:r>
      <w:r>
        <w:instrText xml:space="preserve"> PAGEREF _Toc73622775 \h </w:instrText>
      </w:r>
      <w:r>
        <w:fldChar w:fldCharType="separate"/>
      </w:r>
      <w:r>
        <w:t>32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"_Toc73622776" </w:instrText>
      </w:r>
      <w:r>
        <w:fldChar w:fldCharType="separate"/>
      </w:r>
      <w:r>
        <w:rPr>
          <w:rStyle w:val="55"/>
        </w:rPr>
        <w:t>3.1</w:t>
      </w:r>
      <w:r>
        <w:rPr>
          <w:rStyle w:val="55"/>
          <w:rFonts w:hint="eastAsia"/>
        </w:rPr>
        <w:t xml:space="preserve"> 施工响应文件格式</w:t>
      </w:r>
      <w:r>
        <w:tab/>
      </w:r>
      <w:r>
        <w:fldChar w:fldCharType="begin"/>
      </w:r>
      <w:r>
        <w:instrText xml:space="preserve"> PAGEREF _Toc73622776 \h </w:instrText>
      </w:r>
      <w:r>
        <w:fldChar w:fldCharType="separate"/>
      </w:r>
      <w:r>
        <w:t>32</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"_Toc73622777" </w:instrText>
      </w:r>
      <w:r>
        <w:fldChar w:fldCharType="separate"/>
      </w:r>
      <w:r>
        <w:rPr>
          <w:rStyle w:val="55"/>
          <w:rFonts w:hint="eastAsia"/>
        </w:rPr>
        <w:t>第4章</w:t>
      </w:r>
      <w:r>
        <w:rPr>
          <w:rFonts w:asciiTheme="minorHAnsi" w:hAnsiTheme="minorHAnsi" w:eastAsiaTheme="minorEastAsia" w:cstheme="minorBidi"/>
          <w:b w:val="0"/>
          <w:bCs w:val="0"/>
          <w:caps w:val="0"/>
          <w:kern w:val="2"/>
          <w:sz w:val="21"/>
          <w:szCs w:val="22"/>
        </w:rPr>
        <w:tab/>
      </w:r>
      <w:r>
        <w:rPr>
          <w:rStyle w:val="55"/>
          <w:rFonts w:hint="eastAsia"/>
        </w:rPr>
        <w:t>技术、服务、商务及其他要求</w:t>
      </w:r>
      <w:r>
        <w:tab/>
      </w:r>
      <w:r>
        <w:fldChar w:fldCharType="begin"/>
      </w:r>
      <w:r>
        <w:instrText xml:space="preserve"> PAGEREF _Toc73622777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"_Toc73622778" </w:instrText>
      </w:r>
      <w:r>
        <w:fldChar w:fldCharType="separate"/>
      </w:r>
      <w:r>
        <w:rPr>
          <w:rStyle w:val="55"/>
        </w:rPr>
        <w:t>4.1</w:t>
      </w:r>
      <w:r>
        <w:rPr>
          <w:rStyle w:val="55"/>
          <w:rFonts w:hint="eastAsia"/>
        </w:rPr>
        <w:t xml:space="preserve"> 技术、服务、合同条款要求</w:t>
      </w:r>
      <w:r>
        <w:tab/>
      </w:r>
      <w:r>
        <w:fldChar w:fldCharType="begin"/>
      </w:r>
      <w:r>
        <w:instrText xml:space="preserve"> PAGEREF _Toc73622778 \h </w:instrText>
      </w:r>
      <w:r>
        <w:fldChar w:fldCharType="separate"/>
      </w:r>
      <w:r>
        <w:t>44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"_Toc73622779" </w:instrText>
      </w:r>
      <w:r>
        <w:fldChar w:fldCharType="separate"/>
      </w:r>
      <w:r>
        <w:rPr>
          <w:rStyle w:val="55"/>
        </w:rPr>
        <w:t>4.2</w:t>
      </w:r>
      <w:r>
        <w:rPr>
          <w:rStyle w:val="55"/>
          <w:rFonts w:hint="eastAsia"/>
        </w:rPr>
        <w:t xml:space="preserve"> ★漏项工程处理</w:t>
      </w:r>
      <w:r>
        <w:tab/>
      </w:r>
      <w:r>
        <w:fldChar w:fldCharType="begin"/>
      </w:r>
      <w:r>
        <w:instrText xml:space="preserve"> PAGEREF _Toc73622779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"_Toc73622780" </w:instrText>
      </w:r>
      <w:r>
        <w:fldChar w:fldCharType="separate"/>
      </w:r>
      <w:r>
        <w:rPr>
          <w:rStyle w:val="55"/>
        </w:rPr>
        <w:t>4.3</w:t>
      </w:r>
      <w:r>
        <w:rPr>
          <w:rStyle w:val="55"/>
          <w:rFonts w:hint="eastAsia"/>
        </w:rPr>
        <w:t xml:space="preserve"> ★</w:t>
      </w:r>
      <w:r>
        <w:rPr>
          <w:rStyle w:val="55"/>
          <w:rFonts w:hint="eastAsia" w:cs="仿宋"/>
        </w:rPr>
        <w:t>施工及验收要求</w:t>
      </w:r>
      <w:r>
        <w:tab/>
      </w:r>
      <w:r>
        <w:fldChar w:fldCharType="begin"/>
      </w:r>
      <w:r>
        <w:instrText xml:space="preserve"> PAGEREF _Toc73622780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"_Toc73622781" </w:instrText>
      </w:r>
      <w:r>
        <w:fldChar w:fldCharType="separate"/>
      </w:r>
      <w:r>
        <w:rPr>
          <w:rStyle w:val="55"/>
        </w:rPr>
        <w:t>4.4</w:t>
      </w:r>
      <w:r>
        <w:rPr>
          <w:rStyle w:val="55"/>
          <w:rFonts w:hint="eastAsia"/>
        </w:rPr>
        <w:t xml:space="preserve"> 针对本项目的其他技术服务要求</w:t>
      </w:r>
      <w:r>
        <w:tab/>
      </w:r>
      <w:r>
        <w:fldChar w:fldCharType="begin"/>
      </w:r>
      <w:r>
        <w:instrText xml:space="preserve"> PAGEREF _Toc73622781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"_Toc73622782" </w:instrText>
      </w:r>
      <w:r>
        <w:fldChar w:fldCharType="separate"/>
      </w:r>
      <w:r>
        <w:rPr>
          <w:rStyle w:val="55"/>
        </w:rPr>
        <w:t>4.5</w:t>
      </w:r>
      <w:r>
        <w:rPr>
          <w:rStyle w:val="55"/>
          <w:rFonts w:hint="eastAsia"/>
        </w:rPr>
        <w:t xml:space="preserve"> 满足采购需求的最低要求</w:t>
      </w:r>
      <w:r>
        <w:tab/>
      </w:r>
      <w:r>
        <w:fldChar w:fldCharType="begin"/>
      </w:r>
      <w:r>
        <w:instrText xml:space="preserve"> PAGEREF _Toc73622782 \h </w:instrText>
      </w:r>
      <w:r>
        <w:fldChar w:fldCharType="separate"/>
      </w:r>
      <w:r>
        <w:t>46</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"_Toc73622783" </w:instrText>
      </w:r>
      <w:r>
        <w:fldChar w:fldCharType="separate"/>
      </w:r>
      <w:r>
        <w:rPr>
          <w:rStyle w:val="55"/>
          <w:rFonts w:hint="eastAsia"/>
        </w:rPr>
        <w:t>第5章</w:t>
      </w:r>
      <w:r>
        <w:rPr>
          <w:rFonts w:asciiTheme="minorHAnsi" w:hAnsiTheme="minorHAnsi" w:eastAsiaTheme="minorEastAsia" w:cstheme="minorBidi"/>
          <w:b w:val="0"/>
          <w:bCs w:val="0"/>
          <w:caps w:val="0"/>
          <w:kern w:val="2"/>
          <w:sz w:val="21"/>
          <w:szCs w:val="22"/>
        </w:rPr>
        <w:tab/>
      </w:r>
      <w:r>
        <w:rPr>
          <w:rStyle w:val="55"/>
          <w:rFonts w:hint="eastAsia"/>
        </w:rPr>
        <w:t>磋商办法</w:t>
      </w:r>
      <w:r>
        <w:tab/>
      </w:r>
      <w:r>
        <w:fldChar w:fldCharType="begin"/>
      </w:r>
      <w:r>
        <w:instrText xml:space="preserve"> PAGEREF _Toc73622783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"_Toc73622784" </w:instrText>
      </w:r>
      <w:r>
        <w:fldChar w:fldCharType="separate"/>
      </w:r>
      <w:r>
        <w:rPr>
          <w:rStyle w:val="55"/>
        </w:rPr>
        <w:t>5.1</w:t>
      </w:r>
      <w:r>
        <w:rPr>
          <w:rStyle w:val="55"/>
          <w:rFonts w:hint="eastAsia"/>
        </w:rPr>
        <w:t xml:space="preserve"> 总则</w:t>
      </w:r>
      <w:r>
        <w:tab/>
      </w:r>
      <w:r>
        <w:fldChar w:fldCharType="begin"/>
      </w:r>
      <w:r>
        <w:instrText xml:space="preserve"> PAGEREF _Toc73622784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"_Toc73622785" </w:instrText>
      </w:r>
      <w:r>
        <w:fldChar w:fldCharType="separate"/>
      </w:r>
      <w:r>
        <w:rPr>
          <w:rStyle w:val="55"/>
        </w:rPr>
        <w:t>5.2</w:t>
      </w:r>
      <w:r>
        <w:rPr>
          <w:rStyle w:val="55"/>
          <w:rFonts w:hint="eastAsia"/>
        </w:rPr>
        <w:t xml:space="preserve"> 磋商程序</w:t>
      </w:r>
      <w:r>
        <w:tab/>
      </w:r>
      <w:r>
        <w:fldChar w:fldCharType="begin"/>
      </w:r>
      <w:r>
        <w:instrText xml:space="preserve"> PAGEREF _Toc73622785 \h </w:instrText>
      </w:r>
      <w:r>
        <w:fldChar w:fldCharType="separate"/>
      </w:r>
      <w:r>
        <w:t>48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"_Toc73622786" </w:instrText>
      </w:r>
      <w:r>
        <w:fldChar w:fldCharType="separate"/>
      </w:r>
      <w:r>
        <w:rPr>
          <w:rStyle w:val="55"/>
        </w:rPr>
        <w:t>5.2.1</w:t>
      </w:r>
      <w:r>
        <w:rPr>
          <w:rStyle w:val="55"/>
          <w:rFonts w:hint="eastAsia"/>
        </w:rPr>
        <w:t xml:space="preserve"> 递交施工响应文件</w:t>
      </w:r>
      <w:r>
        <w:tab/>
      </w:r>
      <w:r>
        <w:fldChar w:fldCharType="begin"/>
      </w:r>
      <w:r>
        <w:instrText xml:space="preserve"> PAGEREF _Toc73622786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"_Toc73622787" </w:instrText>
      </w:r>
      <w:r>
        <w:fldChar w:fldCharType="separate"/>
      </w:r>
      <w:r>
        <w:rPr>
          <w:rStyle w:val="55"/>
        </w:rPr>
        <w:t>5.2.2</w:t>
      </w:r>
      <w:r>
        <w:rPr>
          <w:rStyle w:val="55"/>
          <w:rFonts w:hint="eastAsia"/>
        </w:rPr>
        <w:t xml:space="preserve"> 确定邀请参加磋商的供应商数量</w:t>
      </w:r>
      <w:r>
        <w:tab/>
      </w:r>
      <w:r>
        <w:fldChar w:fldCharType="begin"/>
      </w:r>
      <w:r>
        <w:instrText xml:space="preserve"> PAGEREF _Toc73622787 \h </w:instrText>
      </w:r>
      <w:r>
        <w:fldChar w:fldCharType="separate"/>
      </w:r>
      <w:r>
        <w:t>49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"_Toc73622788" </w:instrText>
      </w:r>
      <w:r>
        <w:fldChar w:fldCharType="separate"/>
      </w:r>
      <w:r>
        <w:rPr>
          <w:rStyle w:val="55"/>
        </w:rPr>
        <w:t>5.2.3</w:t>
      </w:r>
      <w:r>
        <w:rPr>
          <w:rStyle w:val="55"/>
          <w:rFonts w:hint="eastAsia"/>
        </w:rPr>
        <w:t xml:space="preserve"> 成立磋商小组</w:t>
      </w:r>
      <w:r>
        <w:tab/>
      </w:r>
      <w:r>
        <w:fldChar w:fldCharType="begin"/>
      </w:r>
      <w:r>
        <w:instrText xml:space="preserve"> PAGEREF _Toc73622788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"_Toc73622789" </w:instrText>
      </w:r>
      <w:r>
        <w:fldChar w:fldCharType="separate"/>
      </w:r>
      <w:r>
        <w:rPr>
          <w:rStyle w:val="55"/>
        </w:rPr>
        <w:t>5.2.4</w:t>
      </w:r>
      <w:r>
        <w:rPr>
          <w:rStyle w:val="55"/>
          <w:rFonts w:hint="eastAsia"/>
        </w:rPr>
        <w:t xml:space="preserve"> 磋商</w:t>
      </w:r>
      <w:r>
        <w:tab/>
      </w:r>
      <w:r>
        <w:fldChar w:fldCharType="begin"/>
      </w:r>
      <w:r>
        <w:instrText xml:space="preserve"> PAGEREF _Toc73622789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"_Toc73622790" </w:instrText>
      </w:r>
      <w:r>
        <w:fldChar w:fldCharType="separate"/>
      </w:r>
      <w:r>
        <w:rPr>
          <w:rStyle w:val="55"/>
        </w:rPr>
        <w:t>5.2.5</w:t>
      </w:r>
      <w:r>
        <w:rPr>
          <w:rStyle w:val="55"/>
          <w:rFonts w:hint="eastAsia"/>
        </w:rPr>
        <w:t xml:space="preserve"> 符合性审查</w:t>
      </w:r>
      <w:r>
        <w:tab/>
      </w:r>
      <w:r>
        <w:fldChar w:fldCharType="begin"/>
      </w:r>
      <w:r>
        <w:instrText xml:space="preserve"> PAGEREF _Toc73622790 \h </w:instrText>
      </w:r>
      <w:r>
        <w:fldChar w:fldCharType="separate"/>
      </w:r>
      <w:r>
        <w:t>51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"_Toc73622791" </w:instrText>
      </w:r>
      <w:r>
        <w:fldChar w:fldCharType="separate"/>
      </w:r>
      <w:r>
        <w:rPr>
          <w:rStyle w:val="55"/>
        </w:rPr>
        <w:t>5.2.6</w:t>
      </w:r>
      <w:r>
        <w:rPr>
          <w:rStyle w:val="55"/>
          <w:rFonts w:hint="eastAsia"/>
        </w:rPr>
        <w:t xml:space="preserve"> 最后报价审查</w:t>
      </w:r>
      <w:r>
        <w:tab/>
      </w:r>
      <w:r>
        <w:fldChar w:fldCharType="begin"/>
      </w:r>
      <w:r>
        <w:instrText xml:space="preserve"> PAGEREF _Toc73622791 \h </w:instrText>
      </w:r>
      <w:r>
        <w:fldChar w:fldCharType="separate"/>
      </w:r>
      <w:r>
        <w:t>55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"_Toc73622792" </w:instrText>
      </w:r>
      <w:r>
        <w:fldChar w:fldCharType="separate"/>
      </w:r>
      <w:r>
        <w:rPr>
          <w:rStyle w:val="55"/>
        </w:rPr>
        <w:t>5.2.7</w:t>
      </w:r>
      <w:r>
        <w:rPr>
          <w:rStyle w:val="55"/>
          <w:rFonts w:hint="eastAsia"/>
        </w:rPr>
        <w:t xml:space="preserve"> 解释、澄清、说明的有关问题</w:t>
      </w:r>
      <w:r>
        <w:tab/>
      </w:r>
      <w:r>
        <w:fldChar w:fldCharType="begin"/>
      </w:r>
      <w:r>
        <w:instrText xml:space="preserve"> PAGEREF _Toc73622792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"_Toc73622793" </w:instrText>
      </w:r>
      <w:r>
        <w:fldChar w:fldCharType="separate"/>
      </w:r>
      <w:r>
        <w:rPr>
          <w:rStyle w:val="55"/>
        </w:rPr>
        <w:t>5.2.8</w:t>
      </w:r>
      <w:r>
        <w:rPr>
          <w:rStyle w:val="55"/>
          <w:rFonts w:hint="eastAsia"/>
        </w:rPr>
        <w:t xml:space="preserve"> 比较与评价</w:t>
      </w:r>
      <w:r>
        <w:tab/>
      </w:r>
      <w:r>
        <w:fldChar w:fldCharType="begin"/>
      </w:r>
      <w:r>
        <w:instrText xml:space="preserve"> PAGEREF _Toc73622793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"_Toc73622794" </w:instrText>
      </w:r>
      <w:r>
        <w:fldChar w:fldCharType="separate"/>
      </w:r>
      <w:r>
        <w:rPr>
          <w:rStyle w:val="55"/>
        </w:rPr>
        <w:t>5.2.9</w:t>
      </w:r>
      <w:r>
        <w:rPr>
          <w:rStyle w:val="55"/>
          <w:rFonts w:hint="eastAsia"/>
        </w:rPr>
        <w:t xml:space="preserve"> 磋商小组复核</w:t>
      </w:r>
      <w:r>
        <w:tab/>
      </w:r>
      <w:r>
        <w:fldChar w:fldCharType="begin"/>
      </w:r>
      <w:r>
        <w:instrText xml:space="preserve"> PAGEREF _Toc73622794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"_Toc73622795" </w:instrText>
      </w:r>
      <w:r>
        <w:fldChar w:fldCharType="separate"/>
      </w:r>
      <w:r>
        <w:rPr>
          <w:rStyle w:val="55"/>
        </w:rPr>
        <w:t>5.2.10</w:t>
      </w:r>
      <w:r>
        <w:rPr>
          <w:rStyle w:val="55"/>
          <w:rFonts w:hint="eastAsia"/>
        </w:rPr>
        <w:t xml:space="preserve"> 推荐成交候选供应商</w:t>
      </w:r>
      <w:r>
        <w:tab/>
      </w:r>
      <w:r>
        <w:fldChar w:fldCharType="begin"/>
      </w:r>
      <w:r>
        <w:instrText xml:space="preserve"> PAGEREF _Toc73622795 \h </w:instrText>
      </w:r>
      <w:r>
        <w:fldChar w:fldCharType="separate"/>
      </w:r>
      <w:r>
        <w:t>58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"_Toc73622796" </w:instrText>
      </w:r>
      <w:r>
        <w:fldChar w:fldCharType="separate"/>
      </w:r>
      <w:r>
        <w:rPr>
          <w:rStyle w:val="55"/>
        </w:rPr>
        <w:t>5.2.11</w:t>
      </w:r>
      <w:r>
        <w:rPr>
          <w:rStyle w:val="55"/>
          <w:rFonts w:hint="eastAsia"/>
        </w:rPr>
        <w:t xml:space="preserve"> 编写磋商报告</w:t>
      </w:r>
      <w:r>
        <w:tab/>
      </w:r>
      <w:r>
        <w:fldChar w:fldCharType="begin"/>
      </w:r>
      <w:r>
        <w:instrText xml:space="preserve"> PAGEREF _Toc73622796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"_Toc73622797" </w:instrText>
      </w:r>
      <w:r>
        <w:fldChar w:fldCharType="separate"/>
      </w:r>
      <w:r>
        <w:rPr>
          <w:rStyle w:val="55"/>
        </w:rPr>
        <w:t>5.2.12</w:t>
      </w:r>
      <w:r>
        <w:rPr>
          <w:rStyle w:val="55"/>
          <w:rFonts w:hint="eastAsia"/>
        </w:rPr>
        <w:t xml:space="preserve"> 争议处理规则</w:t>
      </w:r>
      <w:r>
        <w:tab/>
      </w:r>
      <w:r>
        <w:fldChar w:fldCharType="begin"/>
      </w:r>
      <w:r>
        <w:instrText xml:space="preserve"> PAGEREF _Toc73622797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"_Toc73622798" </w:instrText>
      </w:r>
      <w:r>
        <w:fldChar w:fldCharType="separate"/>
      </w:r>
      <w:r>
        <w:rPr>
          <w:rStyle w:val="55"/>
        </w:rPr>
        <w:t>5.2.13</w:t>
      </w:r>
      <w:r>
        <w:rPr>
          <w:rStyle w:val="55"/>
          <w:rFonts w:hint="eastAsia"/>
        </w:rPr>
        <w:t xml:space="preserve"> 供应商澄清、说明</w:t>
      </w:r>
      <w:r>
        <w:tab/>
      </w:r>
      <w:r>
        <w:fldChar w:fldCharType="begin"/>
      </w:r>
      <w:r>
        <w:instrText xml:space="preserve"> PAGEREF _Toc73622798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"_Toc73622799" </w:instrText>
      </w:r>
      <w:r>
        <w:fldChar w:fldCharType="separate"/>
      </w:r>
      <w:r>
        <w:rPr>
          <w:rStyle w:val="55"/>
        </w:rPr>
        <w:t>5.1</w:t>
      </w:r>
      <w:r>
        <w:rPr>
          <w:rStyle w:val="55"/>
          <w:rFonts w:hint="eastAsia"/>
        </w:rPr>
        <w:t xml:space="preserve"> 评审办法和标准</w:t>
      </w:r>
      <w:r>
        <w:tab/>
      </w:r>
      <w:r>
        <w:fldChar w:fldCharType="begin"/>
      </w:r>
      <w:r>
        <w:instrText xml:space="preserve"> PAGEREF _Toc73622799 \h </w:instrText>
      </w:r>
      <w:r>
        <w:fldChar w:fldCharType="separate"/>
      </w:r>
      <w:r>
        <w:t>61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"_Toc73622800" </w:instrText>
      </w:r>
      <w:r>
        <w:fldChar w:fldCharType="separate"/>
      </w:r>
      <w:r>
        <w:rPr>
          <w:rStyle w:val="55"/>
        </w:rPr>
        <w:t>5.2</w:t>
      </w:r>
      <w:r>
        <w:rPr>
          <w:rStyle w:val="55"/>
          <w:rFonts w:hint="eastAsia"/>
        </w:rPr>
        <w:t xml:space="preserve"> 采购失败情形</w:t>
      </w:r>
      <w:r>
        <w:tab/>
      </w:r>
      <w:r>
        <w:fldChar w:fldCharType="begin"/>
      </w:r>
      <w:r>
        <w:instrText xml:space="preserve"> PAGEREF _Toc73622800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"_Toc73622801" </w:instrText>
      </w:r>
      <w:r>
        <w:fldChar w:fldCharType="separate"/>
      </w:r>
      <w:r>
        <w:rPr>
          <w:rStyle w:val="55"/>
        </w:rPr>
        <w:t>5.2.1</w:t>
      </w:r>
      <w:r>
        <w:rPr>
          <w:rStyle w:val="55"/>
          <w:rFonts w:hint="eastAsia"/>
        </w:rPr>
        <w:t xml:space="preserve"> 其他</w:t>
      </w:r>
      <w:r>
        <w:tab/>
      </w:r>
      <w:r>
        <w:fldChar w:fldCharType="begin"/>
      </w:r>
      <w:r>
        <w:instrText xml:space="preserve"> PAGEREF _Toc73622801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"_Toc73622802" </w:instrText>
      </w:r>
      <w:r>
        <w:fldChar w:fldCharType="separate"/>
      </w:r>
      <w:r>
        <w:rPr>
          <w:rStyle w:val="55"/>
        </w:rPr>
        <w:t>5.3</w:t>
      </w:r>
      <w:r>
        <w:rPr>
          <w:rStyle w:val="55"/>
          <w:rFonts w:hint="eastAsia"/>
        </w:rPr>
        <w:t xml:space="preserve"> 确定成交供应商</w:t>
      </w:r>
      <w:r>
        <w:tab/>
      </w:r>
      <w:r>
        <w:fldChar w:fldCharType="begin"/>
      </w:r>
      <w:r>
        <w:instrText xml:space="preserve"> PAGEREF _Toc73622802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"_Toc73622803" </w:instrText>
      </w:r>
      <w:r>
        <w:fldChar w:fldCharType="separate"/>
      </w:r>
      <w:r>
        <w:rPr>
          <w:rStyle w:val="55"/>
        </w:rPr>
        <w:t>5.4</w:t>
      </w:r>
      <w:r>
        <w:rPr>
          <w:rStyle w:val="55"/>
          <w:rFonts w:hint="eastAsia"/>
        </w:rPr>
        <w:t xml:space="preserve"> 磋商小组成员义务</w:t>
      </w:r>
      <w:r>
        <w:tab/>
      </w:r>
      <w:r>
        <w:fldChar w:fldCharType="begin"/>
      </w:r>
      <w:r>
        <w:instrText xml:space="preserve"> PAGEREF _Toc73622803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"_Toc73622804" </w:instrText>
      </w:r>
      <w:r>
        <w:fldChar w:fldCharType="separate"/>
      </w:r>
      <w:r>
        <w:rPr>
          <w:rStyle w:val="55"/>
        </w:rPr>
        <w:t>5.5</w:t>
      </w:r>
      <w:r>
        <w:rPr>
          <w:rStyle w:val="55"/>
          <w:rFonts w:hint="eastAsia"/>
        </w:rPr>
        <w:t xml:space="preserve"> 磋商小组及其成员不得有下列行为</w:t>
      </w:r>
      <w:r>
        <w:tab/>
      </w:r>
      <w:r>
        <w:fldChar w:fldCharType="begin"/>
      </w:r>
      <w:r>
        <w:instrText xml:space="preserve"> PAGEREF _Toc73622804 \h </w:instrText>
      </w:r>
      <w:r>
        <w:fldChar w:fldCharType="separate"/>
      </w:r>
      <w:r>
        <w:t>66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"_Toc73622805" </w:instrText>
      </w:r>
      <w:r>
        <w:fldChar w:fldCharType="separate"/>
      </w:r>
      <w:r>
        <w:rPr>
          <w:rStyle w:val="55"/>
        </w:rPr>
        <w:t>5.6</w:t>
      </w:r>
      <w:r>
        <w:rPr>
          <w:rStyle w:val="55"/>
          <w:rFonts w:hint="eastAsia"/>
        </w:rPr>
        <w:t xml:space="preserve"> 磋商纪律</w:t>
      </w:r>
      <w:r>
        <w:tab/>
      </w:r>
      <w:r>
        <w:fldChar w:fldCharType="begin"/>
      </w:r>
      <w:r>
        <w:instrText xml:space="preserve"> PAGEREF _Toc73622805 \h </w:instrText>
      </w:r>
      <w:r>
        <w:fldChar w:fldCharType="separate"/>
      </w:r>
      <w:r>
        <w:t>66</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"_Toc73622806" </w:instrText>
      </w:r>
      <w:r>
        <w:fldChar w:fldCharType="separate"/>
      </w:r>
      <w:r>
        <w:rPr>
          <w:rStyle w:val="55"/>
          <w:rFonts w:hint="eastAsia"/>
        </w:rPr>
        <w:t>第6章</w:t>
      </w:r>
      <w:r>
        <w:rPr>
          <w:rFonts w:asciiTheme="minorHAnsi" w:hAnsiTheme="minorHAnsi" w:eastAsiaTheme="minorEastAsia" w:cstheme="minorBidi"/>
          <w:b w:val="0"/>
          <w:bCs w:val="0"/>
          <w:caps w:val="0"/>
          <w:kern w:val="2"/>
          <w:sz w:val="21"/>
          <w:szCs w:val="22"/>
        </w:rPr>
        <w:tab/>
      </w:r>
      <w:r>
        <w:rPr>
          <w:rStyle w:val="55"/>
          <w:rFonts w:hint="eastAsia"/>
        </w:rPr>
        <w:t>政府采购合同草案</w:t>
      </w:r>
      <w:r>
        <w:tab/>
      </w:r>
      <w:r>
        <w:fldChar w:fldCharType="begin"/>
      </w:r>
      <w:r>
        <w:instrText xml:space="preserve"> PAGEREF _Toc73622806 \h </w:instrText>
      </w:r>
      <w:r>
        <w:fldChar w:fldCharType="separate"/>
      </w:r>
      <w:r>
        <w:t>68</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"_Toc73622807" </w:instrText>
      </w:r>
      <w:r>
        <w:fldChar w:fldCharType="separate"/>
      </w:r>
      <w:r>
        <w:rPr>
          <w:rStyle w:val="55"/>
          <w:rFonts w:hint="eastAsia"/>
        </w:rPr>
        <w:t>第7章</w:t>
      </w:r>
      <w:r>
        <w:rPr>
          <w:rFonts w:asciiTheme="minorHAnsi" w:hAnsiTheme="minorHAnsi" w:eastAsiaTheme="minorEastAsia" w:cstheme="minorBidi"/>
          <w:b w:val="0"/>
          <w:bCs w:val="0"/>
          <w:caps w:val="0"/>
          <w:kern w:val="2"/>
          <w:sz w:val="21"/>
          <w:szCs w:val="22"/>
        </w:rPr>
        <w:tab/>
      </w:r>
      <w:r>
        <w:rPr>
          <w:rStyle w:val="55"/>
          <w:rFonts w:hint="eastAsia"/>
        </w:rPr>
        <w:t>工程量清单和图纸</w:t>
      </w:r>
      <w:r>
        <w:tab/>
      </w:r>
      <w:r>
        <w:fldChar w:fldCharType="begin"/>
      </w:r>
      <w:r>
        <w:instrText xml:space="preserve"> PAGEREF _Toc73622807 \h </w:instrText>
      </w:r>
      <w:r>
        <w:fldChar w:fldCharType="separate"/>
      </w:r>
      <w:r>
        <w:t>95</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3622761"/>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彭州市</w:t>
      </w:r>
      <w:r>
        <w:rPr>
          <w:rFonts w:hint="eastAsia" w:ascii="宋体" w:hAnsi="宋体"/>
          <w:b/>
          <w:sz w:val="28"/>
          <w:szCs w:val="28"/>
        </w:rPr>
        <w:t>公共资源交易服务中心</w:t>
      </w:r>
      <w:r>
        <w:rPr>
          <w:rFonts w:hint="eastAsia" w:ascii="宋体" w:hAnsi="宋体"/>
          <w:sz w:val="28"/>
          <w:szCs w:val="28"/>
        </w:rPr>
        <w:t>(以下简称“市公资交易中心”)受彭州市九尺镇人民政府委托,拟对</w:t>
      </w:r>
      <w:r>
        <w:rPr>
          <w:rFonts w:hint="eastAsia" w:ascii="宋体" w:hAnsi="宋体"/>
          <w:b/>
          <w:sz w:val="28"/>
          <w:szCs w:val="28"/>
          <w:lang w:eastAsia="zh-CN"/>
        </w:rPr>
        <w:t>彭州市九尺镇人民政府2020年彭州市农村“厕所革命”重点县项目九尺镇玉源社区张家院子村容村貌提升项目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b w:val="0"/>
          <w:bCs/>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val="0"/>
          <w:bCs/>
          <w:sz w:val="28"/>
          <w:szCs w:val="28"/>
          <w:lang w:val="en-US" w:eastAsia="zh-CN"/>
        </w:rPr>
        <w:t>彭州市政采（2021）A0021号</w:t>
      </w:r>
    </w:p>
    <w:p>
      <w:pPr>
        <w:spacing w:line="600" w:lineRule="exact"/>
        <w:ind w:firstLine="562" w:firstLineChars="200"/>
        <w:rPr>
          <w:rFonts w:ascii="宋体" w:hAnsi="宋体"/>
          <w:b/>
          <w:sz w:val="28"/>
          <w:szCs w:val="28"/>
        </w:rPr>
      </w:pPr>
      <w:r>
        <w:rPr>
          <w:rFonts w:hint="eastAsia" w:ascii="宋体" w:hAnsi="宋体"/>
          <w:b/>
          <w:sz w:val="28"/>
          <w:szCs w:val="28"/>
        </w:rPr>
        <w:t>（采购项目编号：510182202100184）</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lang w:eastAsia="zh-CN"/>
        </w:rPr>
        <w:t>彭州市九尺镇人民政府2020年彭州市农村“厕所革命”重点县项目九尺镇玉源社区张家院子村容村貌提升项目</w:t>
      </w:r>
    </w:p>
    <w:p>
      <w:pPr>
        <w:widowControl/>
        <w:numPr>
          <w:ilvl w:val="0"/>
          <w:numId w:val="2"/>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0536</w:t>
      </w:r>
      <w:r>
        <w:rPr>
          <w:rFonts w:hint="eastAsia" w:ascii="宋体" w:hAnsi="宋体"/>
          <w:sz w:val="28"/>
          <w:szCs w:val="28"/>
        </w:rPr>
        <w:t>号；预算品目：B99其他建设工程；预算金额：</w:t>
      </w:r>
      <w:r>
        <w:rPr>
          <w:rFonts w:hint="eastAsia" w:ascii="宋体" w:hAnsi="宋体"/>
          <w:sz w:val="28"/>
          <w:szCs w:val="28"/>
          <w:lang w:val="en-US" w:eastAsia="zh-CN"/>
        </w:rPr>
        <w:t>227.7</w:t>
      </w:r>
      <w:r>
        <w:rPr>
          <w:rFonts w:hint="eastAsia" w:ascii="宋体" w:hAnsi="宋体"/>
          <w:sz w:val="28"/>
          <w:szCs w:val="28"/>
        </w:rPr>
        <w:t>万元，最高限价（控制价）：</w:t>
      </w:r>
      <w:r>
        <w:rPr>
          <w:rFonts w:hint="eastAsia" w:ascii="宋体" w:hAnsi="宋体"/>
          <w:sz w:val="28"/>
          <w:szCs w:val="28"/>
          <w:lang w:val="en-US" w:eastAsia="zh-CN"/>
        </w:rPr>
        <w:t>227.7</w:t>
      </w:r>
      <w:r>
        <w:rPr>
          <w:rFonts w:hint="eastAsia" w:ascii="宋体" w:hAnsi="宋体"/>
          <w:sz w:val="28"/>
          <w:szCs w:val="28"/>
        </w:rPr>
        <w:t>万元；采购标</w:t>
      </w:r>
      <w:r>
        <w:rPr>
          <w:rFonts w:ascii="宋体" w:hAnsi="宋体"/>
          <w:sz w:val="28"/>
          <w:szCs w:val="28"/>
        </w:rPr>
        <w:t>的</w:t>
      </w:r>
      <w:r>
        <w:rPr>
          <w:rFonts w:hint="eastAsia" w:ascii="宋体" w:hAnsi="宋体"/>
          <w:sz w:val="28"/>
          <w:szCs w:val="28"/>
        </w:rPr>
        <w:t>及所属行业：</w:t>
      </w:r>
      <w:r>
        <w:rPr>
          <w:rFonts w:hint="eastAsia" w:ascii="宋体" w:hAnsi="宋体"/>
          <w:sz w:val="28"/>
          <w:szCs w:val="28"/>
          <w:lang w:eastAsia="zh-CN"/>
        </w:rPr>
        <w:t>彭州市九尺镇人民政府2020年彭州市农村“厕所革命”重点县项目九尺镇玉源社区张家院子村容村貌提升项目</w:t>
      </w:r>
      <w:r>
        <w:rPr>
          <w:rFonts w:hint="eastAsia" w:ascii="宋体" w:hAnsi="宋体"/>
          <w:sz w:val="28"/>
          <w:szCs w:val="28"/>
        </w:rPr>
        <w:t>，</w:t>
      </w:r>
      <w:r>
        <w:rPr>
          <w:rFonts w:ascii="宋体" w:hAnsi="宋体"/>
          <w:sz w:val="28"/>
          <w:szCs w:val="28"/>
        </w:rPr>
        <w:t>所属行业为</w:t>
      </w:r>
      <w:r>
        <w:rPr>
          <w:rFonts w:hint="eastAsia" w:ascii="宋体" w:hAnsi="宋体"/>
          <w:sz w:val="28"/>
          <w:szCs w:val="28"/>
        </w:rPr>
        <w:t>建筑业。采购</w:t>
      </w:r>
      <w:r>
        <w:rPr>
          <w:rFonts w:hint="eastAsia" w:ascii="宋体" w:hAnsi="宋体"/>
          <w:sz w:val="28"/>
          <w:szCs w:val="28"/>
          <w:lang w:eastAsia="zh-CN"/>
        </w:rPr>
        <w:t>彭州市九尺镇人民政府2020年彭州市农村“厕所革命”重点县项目九尺镇玉源社区张家院子村容村貌提升项目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hint="eastAsia" w:ascii="宋体" w:hAnsi="宋体" w:eastAsia="宋体"/>
          <w:sz w:val="28"/>
          <w:szCs w:val="28"/>
          <w:lang w:eastAsia="zh-CN"/>
        </w:rPr>
      </w:pPr>
      <w:r>
        <w:rPr>
          <w:rFonts w:hint="eastAsia" w:ascii="宋体" w:hAnsi="宋体"/>
          <w:sz w:val="28"/>
          <w:szCs w:val="28"/>
          <w:lang w:eastAsia="zh-CN"/>
        </w:rPr>
        <w:t>彭州市九尺镇人民政府2020年彭州市农村“厕所革命”重点县项目九尺镇玉源社区张家院子村容村貌提升项目</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sz w:val="28"/>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w:t>
      </w:r>
      <w:r>
        <w:rPr>
          <w:rFonts w:hint="eastAsia" w:ascii="宋体" w:hAnsi="宋体"/>
          <w:sz w:val="28"/>
          <w:szCs w:val="28"/>
          <w:lang w:eastAsia="zh-CN"/>
        </w:rPr>
        <w:t>中华人民共和国</w:t>
      </w:r>
      <w:r>
        <w:rPr>
          <w:rFonts w:hint="eastAsia" w:ascii="宋体" w:hAnsi="宋体"/>
          <w:sz w:val="28"/>
          <w:szCs w:val="28"/>
        </w:rPr>
        <w:t>政府采购法》第二十二条第一款规定的条件；</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p>
    <w:p>
      <w:pPr>
        <w:numPr>
          <w:ilvl w:val="0"/>
          <w:numId w:val="3"/>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wordWrap w:val="0"/>
        <w:topLinePunct/>
        <w:spacing w:line="560" w:lineRule="exact"/>
        <w:ind w:firstLine="560" w:firstLineChars="200"/>
        <w:rPr>
          <w:rFonts w:ascii="宋体" w:hAnsi="宋体"/>
          <w:sz w:val="28"/>
          <w:szCs w:val="28"/>
        </w:rPr>
      </w:pPr>
      <w:r>
        <w:rPr>
          <w:rFonts w:hint="eastAsia" w:ascii="宋体" w:hAnsi="宋体"/>
          <w:sz w:val="28"/>
          <w:szCs w:val="28"/>
        </w:rPr>
        <w:t>1、供应商具备有效的行政主管部门颁发的建筑工程施工总承包叁级</w:t>
      </w:r>
      <w:r>
        <w:rPr>
          <w:rFonts w:hint="eastAsia" w:ascii="宋体" w:hAnsi="宋体"/>
          <w:sz w:val="28"/>
          <w:szCs w:val="28"/>
          <w:lang w:eastAsia="zh-CN"/>
        </w:rPr>
        <w:t>或</w:t>
      </w:r>
      <w:r>
        <w:rPr>
          <w:rFonts w:hint="eastAsia" w:ascii="宋体" w:hAnsi="宋体"/>
          <w:sz w:val="28"/>
          <w:szCs w:val="28"/>
        </w:rPr>
        <w:t>以上资质，同时具备有效的《安全生产许可证》；</w:t>
      </w:r>
    </w:p>
    <w:p>
      <w:pPr>
        <w:topLinePunct/>
        <w:spacing w:line="560" w:lineRule="exact"/>
        <w:ind w:firstLine="645"/>
        <w:jc w:val="left"/>
        <w:rPr>
          <w:rFonts w:ascii="宋体" w:hAnsi="宋体"/>
          <w:sz w:val="28"/>
          <w:szCs w:val="28"/>
        </w:rPr>
      </w:pPr>
      <w:r>
        <w:rPr>
          <w:rFonts w:hint="eastAsia" w:ascii="宋体" w:hAnsi="宋体"/>
          <w:sz w:val="28"/>
          <w:szCs w:val="28"/>
        </w:rPr>
        <w:t>2、供应商为本项目配备的项目经理具备建造师二级或以上建造师执业资格(专业：建筑工程)，具备有效的安全生产考核合格证（B 证）；</w:t>
      </w:r>
    </w:p>
    <w:p>
      <w:pPr>
        <w:pStyle w:val="80"/>
        <w:tabs>
          <w:tab w:val="left" w:pos="567"/>
          <w:tab w:val="left" w:pos="851"/>
          <w:tab w:val="left" w:pos="960"/>
          <w:tab w:val="left" w:pos="1276"/>
        </w:tabs>
        <w:spacing w:after="0" w:line="600" w:lineRule="exact"/>
        <w:ind w:left="567" w:firstLine="0" w:firstLineChars="0"/>
        <w:rPr>
          <w:rFonts w:ascii="宋体" w:hAnsi="宋体" w:eastAsia="宋体" w:cs="Times New Roman"/>
          <w:sz w:val="28"/>
          <w:szCs w:val="28"/>
        </w:rPr>
      </w:pPr>
      <w:r>
        <w:rPr>
          <w:rFonts w:hint="eastAsia" w:ascii="宋体" w:hAnsi="宋体" w:eastAsia="宋体" w:cs="Times New Roman"/>
          <w:sz w:val="28"/>
          <w:szCs w:val="28"/>
        </w:rPr>
        <w:t>3、供应商为本项目配备的项目技术负责人应具备建筑工程专业中级</w:t>
      </w:r>
      <w:r>
        <w:rPr>
          <w:rFonts w:hint="eastAsia" w:ascii="宋体" w:hAnsi="宋体" w:eastAsia="宋体" w:cs="Times New Roman"/>
          <w:sz w:val="28"/>
          <w:szCs w:val="28"/>
          <w:lang w:eastAsia="zh-CN"/>
        </w:rPr>
        <w:t>或</w:t>
      </w:r>
      <w:r>
        <w:rPr>
          <w:rFonts w:hint="eastAsia" w:ascii="宋体" w:hAnsi="宋体" w:eastAsia="宋体" w:cs="Times New Roman"/>
          <w:sz w:val="28"/>
          <w:szCs w:val="28"/>
        </w:rPr>
        <w:t>以上职称。</w:t>
      </w:r>
    </w:p>
    <w:p>
      <w:pPr>
        <w:tabs>
          <w:tab w:val="left" w:pos="567"/>
          <w:tab w:val="left" w:pos="851"/>
          <w:tab w:val="left" w:pos="960"/>
          <w:tab w:val="left" w:pos="1276"/>
        </w:tabs>
        <w:spacing w:after="0" w:line="600" w:lineRule="exact"/>
        <w:ind w:firstLine="700" w:firstLineChars="250"/>
      </w:pPr>
      <w:r>
        <w:rPr>
          <w:rFonts w:hint="eastAsia" w:ascii="宋体" w:hAnsi="宋体"/>
          <w:sz w:val="28"/>
          <w:szCs w:val="28"/>
        </w:rPr>
        <w:t>4、供应商为省外注册企业应具有有效的《四川省省外建筑企业入川承揽业务验证登记证》或带二维码的《四川省省外施工、发包入川承揽业务信息录入证》或带二维码的《四川省省外建筑企业入川信息电子登记表》；</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FF0000"/>
          <w:sz w:val="28"/>
          <w:szCs w:val="28"/>
        </w:rPr>
      </w:pPr>
      <w:r>
        <w:rPr>
          <w:rFonts w:hint="eastAsia" w:ascii="宋体" w:hAnsi="宋体"/>
          <w:sz w:val="28"/>
          <w:szCs w:val="28"/>
        </w:rPr>
        <w:t>（一）</w:t>
      </w:r>
      <w:r>
        <w:rPr>
          <w:rFonts w:hint="eastAsia" w:ascii="宋体" w:hAnsi="宋体"/>
          <w:color w:val="000000" w:themeColor="text1"/>
          <w:sz w:val="28"/>
          <w:szCs w:val="28"/>
          <w14:textFill>
            <w14:solidFill>
              <w14:schemeClr w14:val="tx1"/>
            </w14:solidFill>
          </w14:textFill>
        </w:rPr>
        <w:t>磋商文件获取时间：2021年</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日至</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21</w:t>
      </w:r>
      <w:r>
        <w:rPr>
          <w:rFonts w:hint="eastAsia" w:ascii="宋体" w:hAnsi="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施工响应文件递交截止时间及开启时间：202</w:t>
      </w:r>
      <w:r>
        <w:rPr>
          <w:rFonts w:hint="eastAsia" w:ascii="宋体" w:hAnsi="宋体" w:eastAsia="宋体"/>
          <w:b/>
          <w:bCs w:val="0"/>
          <w:color w:val="000000" w:themeColor="text1"/>
          <w:sz w:val="28"/>
          <w:szCs w:val="28"/>
          <w14:textFill>
            <w14:solidFill>
              <w14:schemeClr w14:val="tx1"/>
            </w14:solidFill>
          </w14:textFill>
        </w:rPr>
        <w:t>1</w:t>
      </w:r>
      <w:r>
        <w:rPr>
          <w:rFonts w:ascii="宋体" w:hAnsi="宋体" w:eastAsia="宋体"/>
          <w:b/>
          <w:bCs w:val="0"/>
          <w:color w:val="000000" w:themeColor="text1"/>
          <w:sz w:val="28"/>
          <w:szCs w:val="28"/>
          <w14:textFill>
            <w14:solidFill>
              <w14:schemeClr w14:val="tx1"/>
            </w14:solidFill>
          </w14:textFill>
        </w:rPr>
        <w:t>年</w:t>
      </w:r>
      <w:r>
        <w:rPr>
          <w:rFonts w:hint="eastAsia" w:ascii="宋体" w:hAnsi="宋体" w:eastAsia="宋体"/>
          <w:b/>
          <w:bCs w:val="0"/>
          <w:color w:val="000000" w:themeColor="text1"/>
          <w:sz w:val="28"/>
          <w:szCs w:val="28"/>
          <w:u w:val="none"/>
          <w:lang w:val="en-US" w:eastAsia="zh-CN"/>
          <w14:textFill>
            <w14:solidFill>
              <w14:schemeClr w14:val="tx1"/>
            </w14:solidFill>
          </w14:textFill>
        </w:rPr>
        <w:t>10</w:t>
      </w:r>
      <w:r>
        <w:rPr>
          <w:rFonts w:ascii="宋体" w:hAnsi="宋体" w:eastAsia="宋体"/>
          <w:b/>
          <w:bCs w:val="0"/>
          <w:color w:val="000000" w:themeColor="text1"/>
          <w:sz w:val="28"/>
          <w:szCs w:val="28"/>
          <w14:textFill>
            <w14:solidFill>
              <w14:schemeClr w14:val="tx1"/>
            </w14:solidFill>
          </w14:textFill>
        </w:rPr>
        <w:t>月</w:t>
      </w:r>
      <w:r>
        <w:rPr>
          <w:rFonts w:hint="eastAsia" w:ascii="宋体" w:hAnsi="宋体" w:eastAsia="宋体"/>
          <w:b/>
          <w:bCs w:val="0"/>
          <w:color w:val="000000" w:themeColor="text1"/>
          <w:sz w:val="28"/>
          <w:szCs w:val="28"/>
          <w:lang w:val="en-US" w:eastAsia="zh-CN"/>
          <w14:textFill>
            <w14:solidFill>
              <w14:schemeClr w14:val="tx1"/>
            </w14:solidFill>
          </w14:textFill>
        </w:rPr>
        <w:t>22</w:t>
      </w:r>
      <w:bookmarkStart w:id="733" w:name="_GoBack"/>
      <w:bookmarkEnd w:id="733"/>
      <w:r>
        <w:rPr>
          <w:rFonts w:ascii="宋体" w:hAnsi="宋体" w:eastAsia="宋体"/>
          <w:b/>
          <w:color w:val="000000" w:themeColor="text1"/>
          <w:sz w:val="28"/>
          <w:szCs w:val="28"/>
          <w14:textFill>
            <w14:solidFill>
              <w14:schemeClr w14:val="tx1"/>
            </w14:solidFill>
          </w14:textFill>
        </w:rPr>
        <w:t>日</w:t>
      </w:r>
      <w:r>
        <w:rPr>
          <w:rFonts w:hint="eastAsia" w:ascii="宋体" w:hAnsi="宋体" w:eastAsia="宋体"/>
          <w:b/>
          <w:color w:val="000000" w:themeColor="text1"/>
          <w:sz w:val="28"/>
          <w:szCs w:val="28"/>
          <w14:textFill>
            <w14:solidFill>
              <w14:schemeClr w14:val="tx1"/>
            </w14:solidFill>
          </w14:textFill>
        </w:rPr>
        <w:t>上午9</w:t>
      </w:r>
      <w:r>
        <w:rPr>
          <w:rFonts w:ascii="宋体" w:hAnsi="宋体" w:eastAsia="宋体"/>
          <w:b/>
          <w:color w:val="000000" w:themeColor="text1"/>
          <w:sz w:val="28"/>
          <w:szCs w:val="28"/>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pStyle w:val="2"/>
        <w:spacing w:after="0" w:line="560" w:lineRule="exact"/>
        <w:ind w:firstLine="560" w:firstLineChars="200"/>
        <w:rPr>
          <w:rFonts w:ascii="宋体" w:hAnsi="宋体"/>
          <w:sz w:val="28"/>
          <w:szCs w:val="28"/>
        </w:rPr>
      </w:pPr>
      <w:r>
        <w:rPr>
          <w:rFonts w:hint="eastAsia" w:ascii="宋体" w:hAnsi="宋体"/>
          <w:sz w:val="28"/>
          <w:szCs w:val="28"/>
        </w:rPr>
        <w:t>（一）本项目接受中标的中小微企业以信用融资方式履约。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rPr>
        <w:t>（三）本地财政部门电话：028-83888323。</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default"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彭州市九尺镇人民政府</w:t>
      </w:r>
    </w:p>
    <w:p>
      <w:pPr>
        <w:spacing w:line="600" w:lineRule="exact"/>
        <w:ind w:firstLine="705" w:firstLineChars="252"/>
        <w:rPr>
          <w:rFonts w:ascii="宋体" w:hAnsi="宋体"/>
          <w:sz w:val="28"/>
          <w:szCs w:val="28"/>
        </w:rPr>
      </w:pPr>
      <w:r>
        <w:rPr>
          <w:rFonts w:hint="eastAsia" w:ascii="宋体" w:hAnsi="宋体"/>
          <w:sz w:val="28"/>
          <w:szCs w:val="28"/>
        </w:rPr>
        <w:t>地  址：</w:t>
      </w:r>
      <w:r>
        <w:rPr>
          <w:rFonts w:hint="eastAsia" w:ascii="宋体" w:hAnsi="宋体"/>
          <w:b w:val="0"/>
          <w:bCs/>
          <w:sz w:val="28"/>
          <w:szCs w:val="28"/>
        </w:rPr>
        <w:t>彭州市九尺镇兴隆街114号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汪滔</w:t>
      </w:r>
    </w:p>
    <w:p>
      <w:pPr>
        <w:spacing w:line="600" w:lineRule="exact"/>
        <w:ind w:firstLine="705" w:firstLineChars="252"/>
        <w:rPr>
          <w:rFonts w:ascii="宋体" w:hAnsi="宋体"/>
          <w:sz w:val="28"/>
          <w:szCs w:val="28"/>
        </w:rPr>
      </w:pPr>
      <w:r>
        <w:rPr>
          <w:rFonts w:hint="eastAsia" w:ascii="宋体" w:hAnsi="宋体"/>
          <w:sz w:val="28"/>
          <w:szCs w:val="28"/>
        </w:rPr>
        <w:t>联系电话：13880407978</w:t>
      </w:r>
    </w:p>
    <w:p>
      <w:pPr>
        <w:pStyle w:val="193"/>
        <w:spacing w:after="0" w:line="560" w:lineRule="exact"/>
        <w:ind w:left="1" w:firstLine="565" w:firstLineChars="201"/>
        <w:rPr>
          <w:rFonts w:ascii="宋体" w:hAnsi="宋体"/>
          <w:b/>
          <w:kern w:val="0"/>
          <w:sz w:val="28"/>
          <w:szCs w:val="22"/>
        </w:rPr>
      </w:pPr>
      <w:r>
        <w:rPr>
          <w:rFonts w:hint="eastAsia" w:ascii="宋体" w:hAnsi="宋体"/>
          <w:b/>
          <w:sz w:val="28"/>
          <w:szCs w:val="28"/>
        </w:rPr>
        <w:t>集中采购代理机构：彭州市公共资源交易服务中心</w:t>
      </w:r>
    </w:p>
    <w:p>
      <w:pPr>
        <w:pStyle w:val="193"/>
        <w:spacing w:after="0" w:line="560" w:lineRule="exact"/>
        <w:ind w:left="559" w:leftChars="233" w:firstLine="0" w:firstLineChars="0"/>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93"/>
        <w:spacing w:after="0" w:line="560" w:lineRule="exact"/>
        <w:ind w:left="559" w:leftChars="233" w:firstLine="0" w:firstLineChars="0"/>
        <w:rPr>
          <w:rFonts w:hint="eastAsia"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eastAsia="zh-CN"/>
        </w:rPr>
        <w:t>杨丽</w:t>
      </w:r>
    </w:p>
    <w:p>
      <w:pPr>
        <w:pStyle w:val="193"/>
        <w:spacing w:after="0" w:line="560" w:lineRule="exact"/>
        <w:ind w:left="2" w:firstLine="565" w:firstLineChars="202"/>
        <w:rPr>
          <w:rFonts w:ascii="宋体" w:hAnsi="宋体"/>
          <w:kern w:val="0"/>
          <w:sz w:val="28"/>
          <w:szCs w:val="22"/>
        </w:rPr>
      </w:pPr>
      <w:r>
        <w:rPr>
          <w:rFonts w:hint="eastAsia" w:ascii="宋体" w:hAnsi="宋体"/>
          <w:kern w:val="0"/>
          <w:sz w:val="28"/>
          <w:szCs w:val="22"/>
        </w:rPr>
        <w:t>联系电话：028-60432627</w:t>
      </w:r>
    </w:p>
    <w:p>
      <w:pPr>
        <w:spacing w:line="600" w:lineRule="exact"/>
        <w:ind w:firstLine="562" w:firstLineChars="200"/>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pStyle w:val="193"/>
        <w:spacing w:after="0" w:line="560" w:lineRule="exact"/>
        <w:ind w:left="1" w:firstLine="565" w:firstLineChars="201"/>
        <w:rPr>
          <w:rFonts w:ascii="宋体" w:hAnsi="宋体"/>
          <w:b/>
          <w:kern w:val="0"/>
          <w:sz w:val="28"/>
        </w:rPr>
      </w:pPr>
      <w:r>
        <w:rPr>
          <w:rFonts w:hint="eastAsia" w:ascii="宋体" w:hAnsi="宋体"/>
          <w:b/>
          <w:kern w:val="0"/>
          <w:sz w:val="28"/>
        </w:rPr>
        <w:t>集中采购监督机构：彭州市财政局</w:t>
      </w:r>
    </w:p>
    <w:p>
      <w:pPr>
        <w:pStyle w:val="207"/>
        <w:tabs>
          <w:tab w:val="left" w:pos="900"/>
        </w:tabs>
        <w:spacing w:line="560" w:lineRule="exact"/>
        <w:ind w:firstLine="560"/>
        <w:jc w:val="left"/>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pStyle w:val="207"/>
        <w:tabs>
          <w:tab w:val="left" w:pos="900"/>
        </w:tabs>
        <w:spacing w:line="560" w:lineRule="exact"/>
        <w:ind w:firstLine="560"/>
        <w:jc w:val="left"/>
        <w:rPr>
          <w:rFonts w:hint="eastAsia" w:ascii="宋体" w:hAnsi="宋体" w:eastAsia="宋体" w:cs="Times New Roman"/>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207"/>
        <w:tabs>
          <w:tab w:val="left" w:pos="900"/>
        </w:tabs>
        <w:spacing w:line="560" w:lineRule="exact"/>
        <w:ind w:firstLine="560"/>
        <w:jc w:val="left"/>
        <w:rPr>
          <w:rFonts w:ascii="宋体" w:hAnsi="宋体" w:eastAsia="宋体" w:cs="Times New Roman"/>
          <w:sz w:val="28"/>
          <w:szCs w:val="28"/>
        </w:rPr>
      </w:pP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3"/>
        <w:numPr>
          <w:ilvl w:val="0"/>
          <w:numId w:val="1"/>
        </w:numPr>
        <w:spacing w:before="0" w:after="0"/>
        <w:ind w:left="0" w:firstLine="0"/>
      </w:pPr>
      <w:bookmarkStart w:id="1" w:name="_Toc391885334"/>
      <w:bookmarkStart w:id="2" w:name="_Toc73622762"/>
      <w:bookmarkStart w:id="3" w:name="_Toc287623638"/>
      <w:bookmarkStart w:id="4" w:name="_Toc381263230"/>
      <w:r>
        <w:rPr>
          <w:rFonts w:hint="eastAsia"/>
        </w:rPr>
        <w:t>供应商须知</w:t>
      </w:r>
      <w:bookmarkEnd w:id="1"/>
      <w:bookmarkEnd w:id="2"/>
    </w:p>
    <w:p>
      <w:pPr>
        <w:pStyle w:val="4"/>
        <w:ind w:left="851" w:hanging="851"/>
      </w:pPr>
      <w:bookmarkStart w:id="5" w:name="_Toc73622763"/>
      <w:r>
        <w:rPr>
          <w:rFonts w:hint="eastAsia"/>
        </w:rPr>
        <w:t>供应商须知前附表</w:t>
      </w:r>
      <w:bookmarkEnd w:id="5"/>
    </w:p>
    <w:tbl>
      <w:tblPr>
        <w:tblStyle w:val="45"/>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eastAsia="宋体" w:cs="Times New Roman"/>
                <w:b/>
                <w:kern w:val="2"/>
                <w:sz w:val="24"/>
                <w:szCs w:val="24"/>
                <w:lang w:val="en-US" w:eastAsia="zh-CN" w:bidi="ar-SA"/>
              </w:rPr>
              <w:t>227.7</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ascii="宋体" w:hAnsi="宋体" w:eastAsia="宋体" w:cs="Times New Roman"/>
                <w:b/>
                <w:kern w:val="2"/>
                <w:sz w:val="24"/>
                <w:szCs w:val="24"/>
                <w:lang w:val="en-US" w:eastAsia="zh-CN" w:bidi="ar-SA"/>
              </w:rPr>
              <w:t>227.7</w:t>
            </w:r>
            <w:r>
              <w:rPr>
                <w:rFonts w:hint="eastAsia" w:cs="Times New Roman"/>
                <w:b/>
                <w:kern w:val="2"/>
              </w:rPr>
              <w:t>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default" w:ascii="宋体" w:hAnsi="宋体" w:eastAsia="宋体"/>
                <w:lang w:val="en-US" w:eastAsia="zh-CN"/>
              </w:rPr>
            </w:pPr>
            <w:r>
              <w:rPr>
                <w:rFonts w:hint="eastAsia" w:ascii="宋体" w:hAnsi="宋体"/>
              </w:rPr>
              <w:t>向市公资交易中心提出，并由市公资交易中心按相关规定作出答复（详见供应商须知2.10）。</w:t>
            </w:r>
            <w:r>
              <w:rPr>
                <w:rFonts w:hint="eastAsia" w:ascii="宋体" w:hAnsi="宋体"/>
                <w:lang w:val="en-US" w:eastAsia="zh-CN"/>
              </w:rPr>
              <w:t>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560" w:lineRule="exact"/>
              <w:ind w:right="210"/>
              <w:rPr>
                <w:rFonts w:ascii="宋体" w:hAnsi="宋体"/>
              </w:rPr>
            </w:pPr>
            <w:r>
              <w:rPr>
                <w:rFonts w:hint="eastAsia" w:ascii="宋体" w:hAnsi="宋体"/>
              </w:rPr>
              <w:t>投诉受理单位：彭州市财政局。</w:t>
            </w:r>
          </w:p>
          <w:p>
            <w:pPr>
              <w:tabs>
                <w:tab w:val="left" w:pos="7665"/>
              </w:tabs>
              <w:snapToGrid w:val="0"/>
              <w:spacing w:line="560" w:lineRule="exact"/>
              <w:ind w:right="210"/>
              <w:rPr>
                <w:rFonts w:ascii="宋体" w:hAnsi="宋体"/>
              </w:rPr>
            </w:pPr>
            <w:r>
              <w:rPr>
                <w:rFonts w:hint="eastAsia" w:ascii="宋体" w:hAnsi="宋体"/>
              </w:rPr>
              <w:t>联系电话：028-83888323。</w:t>
            </w:r>
          </w:p>
          <w:p>
            <w:pPr>
              <w:tabs>
                <w:tab w:val="left" w:pos="7665"/>
              </w:tabs>
              <w:snapToGrid w:val="0"/>
              <w:spacing w:line="360" w:lineRule="auto"/>
              <w:rPr>
                <w:rFonts w:ascii="宋体" w:hAnsi="宋体"/>
              </w:rPr>
            </w:pPr>
            <w:r>
              <w:rPr>
                <w:rFonts w:hint="eastAsia" w:ascii="宋体" w:hAnsi="宋体"/>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sz w:val="24"/>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w:t>
            </w:r>
            <w:r>
              <w:rPr>
                <w:rFonts w:hint="eastAsia" w:ascii="宋体" w:hAnsi="宋体"/>
                <w:lang w:val="en-US" w:eastAsia="zh-CN"/>
              </w:rPr>
              <w:t>彭州市</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1.本项目接受中标的中小微企业以信用融资方式履约。</w:t>
            </w:r>
          </w:p>
          <w:p>
            <w:pPr>
              <w:pStyle w:val="2"/>
              <w:spacing w:after="0" w:line="560" w:lineRule="exact"/>
              <w:ind w:firstLine="480" w:firstLineChars="200"/>
              <w:rPr>
                <w:rFonts w:ascii="宋体" w:hAnsi="宋体" w:eastAsiaTheme="minorEastAsia"/>
                <w:kern w:val="0"/>
                <w:sz w:val="24"/>
                <w:szCs w:val="24"/>
              </w:rPr>
            </w:pPr>
            <w:r>
              <w:rPr>
                <w:rFonts w:hint="eastAsia" w:ascii="宋体" w:hAnsi="宋体" w:eastAsiaTheme="minorEastAsia"/>
                <w:kern w:val="0"/>
                <w:sz w:val="24"/>
                <w:szCs w:val="24"/>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tabs>
                <w:tab w:val="left" w:pos="7665"/>
              </w:tabs>
              <w:snapToGrid w:val="0"/>
              <w:spacing w:before="152" w:after="160" w:line="360" w:lineRule="auto"/>
              <w:ind w:firstLine="480" w:firstLineChars="200"/>
              <w:rPr>
                <w:rFonts w:ascii="宋体" w:hAnsi="宋体"/>
              </w:rPr>
            </w:pPr>
            <w:r>
              <w:rPr>
                <w:rFonts w:hint="eastAsia" w:ascii="宋体" w:hAnsi="宋体" w:eastAsiaTheme="minorEastAsia"/>
                <w:kern w:val="0"/>
                <w:sz w:val="24"/>
                <w:szCs w:val="24"/>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7" w:name="_Toc494356973"/>
      <w:bookmarkEnd w:id="7"/>
      <w:bookmarkStart w:id="8" w:name="_Toc494095619"/>
      <w:bookmarkEnd w:id="8"/>
      <w:bookmarkStart w:id="9" w:name="_Toc73622764"/>
      <w:r>
        <w:rPr>
          <w:rFonts w:hint="eastAsia"/>
        </w:rPr>
        <w:t>总则</w:t>
      </w:r>
      <w:bookmarkEnd w:id="9"/>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pPr>
        <w:pStyle w:val="5"/>
        <w:spacing w:line="600" w:lineRule="exact"/>
        <w:rPr>
          <w:color w:val="auto"/>
        </w:rPr>
      </w:pPr>
      <w:bookmarkStart w:id="10" w:name="_Toc287623639"/>
      <w:r>
        <w:rPr>
          <w:rFonts w:hint="eastAsia"/>
          <w:color w:val="auto"/>
        </w:rPr>
        <w:t>有关定义</w:t>
      </w:r>
      <w:bookmarkEnd w:id="10"/>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彭州</w:t>
      </w:r>
      <w:r>
        <w:rPr>
          <w:rFonts w:hint="eastAsia" w:ascii="宋体" w:hAnsi="宋体"/>
          <w:sz w:val="28"/>
          <w:szCs w:val="28"/>
        </w:rPr>
        <w:t>市级机关、事业单位、团体组织。本次竞争性磋商项目的采购人是彭州市九尺镇人民政府。</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3" w:name="_Toc73622765"/>
      <w:r>
        <w:rPr>
          <w:rFonts w:hint="eastAsia"/>
        </w:rPr>
        <w:t>磋商</w:t>
      </w:r>
      <w:r>
        <w:t>文件</w:t>
      </w:r>
      <w:bookmarkEnd w:id="13"/>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5"/>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澄清或者修改的内容通过政府采购云平台将澄清或者修改的内容告知所有</w:t>
      </w:r>
      <w:r>
        <w:rPr>
          <w:rFonts w:hint="eastAsia" w:ascii="宋体" w:hAnsi="宋体"/>
          <w:sz w:val="28"/>
          <w:szCs w:val="28"/>
          <w:lang w:val="en-US" w:eastAsia="zh-CN"/>
        </w:rPr>
        <w:t>潜在</w:t>
      </w:r>
      <w:r>
        <w:rPr>
          <w:rFonts w:hint="eastAsia" w:ascii="宋体" w:hAnsi="宋体"/>
          <w:sz w:val="28"/>
          <w:szCs w:val="28"/>
        </w:rPr>
        <w:t>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市公资交易中心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采购人或市公资交易中心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7" w:name="_Toc73622766"/>
      <w:bookmarkStart w:id="18" w:name="_Toc320698720"/>
      <w:r>
        <w:rPr>
          <w:rFonts w:hint="eastAsia"/>
        </w:rPr>
        <w:t>施工响应文件</w:t>
      </w:r>
      <w:bookmarkEnd w:id="17"/>
      <w:bookmarkEnd w:id="18"/>
    </w:p>
    <w:p>
      <w:pPr>
        <w:pStyle w:val="5"/>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5"/>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6"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5"/>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7"/>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5"/>
        <w:spacing w:line="600" w:lineRule="exact"/>
        <w:rPr>
          <w:color w:val="auto"/>
        </w:rPr>
      </w:pPr>
      <w:bookmarkStart w:id="30" w:name="_Toc320698731"/>
      <w:r>
        <w:rPr>
          <w:rFonts w:hint="eastAsia"/>
          <w:color w:val="auto"/>
        </w:rPr>
        <w:t>施工响应文件的递交</w:t>
      </w:r>
      <w:bookmarkEnd w:id="30"/>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w:t>
      </w:r>
      <w:r>
        <w:rPr>
          <w:rFonts w:hint="eastAsia" w:ascii="宋体" w:hAnsi="宋体"/>
          <w:bCs/>
          <w:sz w:val="28"/>
          <w:szCs w:val="28"/>
          <w:lang w:val="en-US" w:eastAsia="zh-CN"/>
        </w:rPr>
        <w:t>通过</w:t>
      </w:r>
      <w:r>
        <w:rPr>
          <w:rFonts w:hint="eastAsia" w:ascii="宋体" w:hAnsi="宋体"/>
          <w:bCs/>
          <w:sz w:val="28"/>
          <w:szCs w:val="28"/>
        </w:rPr>
        <w:t>“政府采购云平台”将澄清或者修改的内容告知所有在系统中成功获取磋商文件的供应商。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登录政府采购云平台，点击“项目采购—开标评标”模块，找到对应项目，进入“开标大厅”，等待市公资交易中心开启解密后，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4" w:name="_Toc217446057"/>
      <w:bookmarkStart w:id="35" w:name="_Toc183582232"/>
      <w:bookmarkStart w:id="36" w:name="_Toc183682369"/>
      <w:bookmarkStart w:id="37" w:name="_Toc73622767"/>
      <w:r>
        <w:rPr>
          <w:rFonts w:hint="eastAsia"/>
        </w:rPr>
        <w:t>开标</w:t>
      </w:r>
      <w:bookmarkEnd w:id="34"/>
      <w:bookmarkEnd w:id="35"/>
      <w:bookmarkEnd w:id="36"/>
      <w:r>
        <w:rPr>
          <w:rFonts w:hint="eastAsia"/>
        </w:rPr>
        <w:t>及开标程序</w:t>
      </w:r>
      <w:bookmarkEnd w:id="37"/>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8" w:name="_Toc73622768"/>
      <w:r>
        <w:rPr>
          <w:rFonts w:hint="eastAsia"/>
        </w:rPr>
        <w:t>资格</w:t>
      </w:r>
      <w:r>
        <w:t>预审和评审</w:t>
      </w:r>
      <w:bookmarkEnd w:id="38"/>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9" w:name="_Toc73622769"/>
      <w:r>
        <w:t>成交通知书</w:t>
      </w:r>
      <w:bookmarkEnd w:id="39"/>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0" w:name="_Toc73622770"/>
      <w:bookmarkStart w:id="41" w:name="_Toc287623650"/>
      <w:r>
        <w:rPr>
          <w:rFonts w:hint="eastAsia"/>
        </w:rPr>
        <w:t>签订及履行合同和验收</w:t>
      </w:r>
      <w:bookmarkEnd w:id="40"/>
    </w:p>
    <w:p>
      <w:pPr>
        <w:pStyle w:val="5"/>
        <w:spacing w:line="600" w:lineRule="exact"/>
        <w:rPr>
          <w:color w:val="auto"/>
        </w:rPr>
      </w:pPr>
      <w:r>
        <w:rPr>
          <w:rFonts w:hint="eastAsia"/>
          <w:color w:val="auto"/>
        </w:rPr>
        <w:t>签订合同</w:t>
      </w:r>
      <w:bookmarkEnd w:id="4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 w:hAnsi="仿宋" w:eastAsia="仿宋"/>
          <w:b w:val="0"/>
          <w:bCs w:val="0"/>
          <w:color w:val="auto"/>
          <w:sz w:val="21"/>
          <w:szCs w:val="21"/>
          <w:lang w:val="zh-CN"/>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5" w:name="_Toc217446068"/>
      <w:r>
        <w:rPr>
          <w:rFonts w:hint="eastAsia"/>
          <w:color w:val="auto"/>
        </w:rPr>
        <w:t>履约保证金</w:t>
      </w:r>
      <w:bookmarkEnd w:id="45"/>
      <w:r>
        <w:rPr>
          <w:rFonts w:hint="eastAsia" w:ascii="仿宋" w:hAnsi="仿宋" w:eastAsia="仿宋" w:cstheme="minorBidi"/>
          <w:b w:val="0"/>
          <w:bCs w:val="0"/>
          <w:color w:val="auto"/>
          <w:sz w:val="21"/>
          <w:szCs w:val="21"/>
          <w:lang w:val="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bookmarkEnd w:id="42"/>
    <w:p>
      <w:pPr>
        <w:pStyle w:val="5"/>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6"/>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7" w:name="_Toc73622771"/>
      <w:r>
        <w:rPr>
          <w:rFonts w:hint="eastAsia"/>
        </w:rPr>
        <w:t>竞争性磋商工作纪律及要求</w:t>
      </w:r>
      <w:bookmarkEnd w:id="47"/>
    </w:p>
    <w:p>
      <w:pPr>
        <w:pStyle w:val="5"/>
        <w:spacing w:line="600" w:lineRule="exact"/>
        <w:ind w:left="0" w:firstLine="0"/>
        <w:rPr>
          <w:color w:val="auto"/>
        </w:rPr>
      </w:pPr>
      <w:bookmarkStart w:id="48" w:name="_Toc217446075"/>
      <w:r>
        <w:rPr>
          <w:rFonts w:hint="eastAsia"/>
          <w:color w:val="auto"/>
        </w:rPr>
        <w:t>供应商不得具有的情形</w:t>
      </w:r>
      <w:bookmarkEnd w:id="48"/>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与采购人或市公资交易中心、其他供应商恶意串通；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向采购人或市公资交易中心、磋商小组成员行贿或者提供其他不正当利益；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9" w:name="_Toc314574786"/>
      <w:r>
        <w:rPr>
          <w:rFonts w:hint="eastAsia"/>
          <w:color w:val="auto"/>
        </w:rPr>
        <w:t>保密</w:t>
      </w:r>
      <w:bookmarkEnd w:id="49"/>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50" w:name="_Toc405886181"/>
      <w:bookmarkStart w:id="51" w:name="_Toc73622772"/>
      <w:r>
        <w:rPr>
          <w:rFonts w:hint="eastAsia"/>
        </w:rPr>
        <w:t>询问、质疑</w:t>
      </w:r>
      <w:bookmarkEnd w:id="50"/>
      <w:r>
        <w:rPr>
          <w:rFonts w:hint="eastAsia"/>
        </w:rPr>
        <w:t>和投诉</w:t>
      </w:r>
      <w:bookmarkEnd w:id="51"/>
    </w:p>
    <w:p>
      <w:pPr>
        <w:pStyle w:val="27"/>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供应商对除上述磋商文件中的其他内容、采购过程及成交结果提出询问、质疑的，应向市公资交易中心提出。</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2" w:name="_Toc376425021"/>
      <w:bookmarkEnd w:id="52"/>
      <w:bookmarkStart w:id="53" w:name="_Toc73622773"/>
      <w:bookmarkStart w:id="54" w:name="_Toc3363724"/>
      <w:r>
        <w:rPr>
          <w:rFonts w:hint="eastAsia"/>
        </w:rPr>
        <w:t>中小企业政府采购信用融资</w:t>
      </w:r>
      <w:bookmarkEnd w:id="53"/>
      <w:bookmarkEnd w:id="54"/>
    </w:p>
    <w:p>
      <w:pPr>
        <w:pStyle w:val="2"/>
        <w:spacing w:after="0" w:line="560" w:lineRule="exact"/>
        <w:ind w:firstLine="560" w:firstLineChars="200"/>
        <w:rPr>
          <w:rFonts w:ascii="宋体" w:hAnsi="宋体"/>
          <w:sz w:val="28"/>
          <w:szCs w:val="28"/>
        </w:rPr>
      </w:pPr>
      <w:bookmarkStart w:id="55" w:name="_Toc73622774"/>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pStyle w:val="4"/>
        <w:spacing w:line="600" w:lineRule="exact"/>
      </w:pP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6" w:name="_Toc73622775"/>
      <w:r>
        <w:rPr>
          <w:rFonts w:hint="eastAsia"/>
        </w:rPr>
        <w:t>施工响应文件格式</w:t>
      </w:r>
      <w:bookmarkEnd w:id="56"/>
    </w:p>
    <w:p>
      <w:pPr>
        <w:pStyle w:val="4"/>
      </w:pPr>
      <w:bookmarkStart w:id="57" w:name="_Toc73622776"/>
      <w:bookmarkStart w:id="58" w:name="_Toc448403805"/>
      <w:bookmarkStart w:id="59" w:name="_Toc320698765"/>
      <w:r>
        <w:rPr>
          <w:rFonts w:hint="eastAsia"/>
        </w:rPr>
        <w:t>施工响应文件格式</w:t>
      </w:r>
      <w:bookmarkEnd w:id="57"/>
    </w:p>
    <w:p>
      <w:pPr>
        <w:pStyle w:val="5"/>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项目名称：XXXXXXXXXX项目</w:t>
      </w:r>
    </w:p>
    <w:p>
      <w:pPr>
        <w:spacing w:line="360" w:lineRule="auto"/>
        <w:rPr>
          <w:rFonts w:ascii="宋体" w:hAnsi="宋体"/>
          <w:b/>
          <w:sz w:val="32"/>
          <w:szCs w:val="32"/>
          <w:u w:val="single"/>
        </w:rPr>
      </w:pPr>
      <w:r>
        <w:rPr>
          <w:rFonts w:hint="eastAsia" w:ascii="宋体" w:hAnsi="宋体"/>
          <w:b/>
          <w:bCs/>
          <w:sz w:val="32"/>
          <w:szCs w:val="32"/>
        </w:rPr>
        <w:t>项目编号：</w:t>
      </w:r>
      <w:r>
        <w:rPr>
          <w:rFonts w:hint="eastAsia" w:ascii="宋体" w:hAnsi="宋体"/>
          <w:b/>
          <w:bCs/>
          <w:sz w:val="32"/>
          <w:szCs w:val="32"/>
          <w:lang w:val="en-US" w:eastAsia="zh-CN"/>
        </w:rPr>
        <w:t>彭州</w:t>
      </w:r>
      <w:r>
        <w:rPr>
          <w:rFonts w:hint="eastAsia" w:ascii="宋体" w:hAnsi="宋体"/>
          <w:b/>
          <w:bCs/>
          <w:sz w:val="32"/>
          <w:szCs w:val="32"/>
        </w:rPr>
        <w:t>市政采（202X）AXXXX号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ascii="宋体" w:hAnsi="宋体"/>
          <w:b/>
          <w:sz w:val="28"/>
          <w:szCs w:val="28"/>
          <w:u w:val="single"/>
        </w:rPr>
        <w:t>市政采（202X）AXXXX号</w:t>
      </w:r>
    </w:p>
    <w:p>
      <w:pPr>
        <w:spacing w:line="588" w:lineRule="exact"/>
        <w:rPr>
          <w:rFonts w:ascii="宋体" w:hAnsi="宋体"/>
          <w:spacing w:val="6"/>
          <w:sz w:val="28"/>
          <w:szCs w:val="28"/>
        </w:rPr>
      </w:pPr>
      <w:r>
        <w:rPr>
          <w:rFonts w:hint="eastAsia" w:ascii="宋体" w:hAnsi="宋体"/>
          <w:spacing w:val="6"/>
          <w:sz w:val="28"/>
          <w:szCs w:val="28"/>
          <w:lang w:val="en-US" w:eastAsia="zh-CN"/>
        </w:rPr>
        <w:t>彭州</w:t>
      </w:r>
      <w:r>
        <w:rPr>
          <w:rFonts w:hint="eastAsia" w:ascii="宋体" w:hAnsi="宋体"/>
          <w:spacing w:val="6"/>
          <w:sz w:val="28"/>
          <w:szCs w:val="28"/>
        </w:rPr>
        <w:t>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XXXXXXXXXX项目</w:t>
      </w:r>
      <w:r>
        <w:rPr>
          <w:rFonts w:hint="eastAsia" w:ascii="宋体" w:hAnsi="宋体"/>
          <w:b/>
          <w:bCs/>
          <w:sz w:val="28"/>
          <w:szCs w:val="28"/>
          <w:u w:val="single"/>
        </w:rPr>
        <w:t>”（项目编号：</w:t>
      </w:r>
      <w:r>
        <w:rPr>
          <w:rFonts w:hint="eastAsia" w:ascii="宋体" w:hAnsi="宋体"/>
          <w:b/>
          <w:bCs/>
          <w:sz w:val="28"/>
          <w:szCs w:val="28"/>
          <w:u w:val="single"/>
          <w:lang w:val="en-US" w:eastAsia="zh-CN"/>
        </w:rPr>
        <w:t>彭州</w:t>
      </w:r>
      <w:r>
        <w:rPr>
          <w:rFonts w:ascii="宋体" w:hAnsi="宋体"/>
          <w:b/>
          <w:sz w:val="28"/>
          <w:szCs w:val="28"/>
          <w:u w:val="single"/>
        </w:rPr>
        <w:t>市政采（202X）AXXXX号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6"/>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5"/>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XXXXXXXXXX项目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sz w:val="28"/>
          <w:szCs w:val="28"/>
          <w:u w:val="single"/>
        </w:rPr>
        <w:t>市政采（202X）AXXXX号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XXXXXXXXXX项目</w:t>
      </w:r>
      <w:r>
        <w:rPr>
          <w:rFonts w:hint="eastAsia" w:ascii="宋体" w:hAnsi="宋体"/>
          <w:sz w:val="28"/>
        </w:rPr>
        <w:t>的竞争性磋商的供应商，在此郑重承诺：</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7"/>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7"/>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7"/>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我方承诺完全响应磋商文件4.2漏项工程处理、4.3施工及验收要求。</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3"/>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pStyle w:val="2"/>
        <w:rPr>
          <w:rFonts w:ascii="宋体" w:hAnsi="宋体"/>
        </w:rPr>
      </w:pPr>
    </w:p>
    <w:p>
      <w:pPr>
        <w:rPr>
          <w:rFonts w:ascii="宋体" w:hAnsi="宋体"/>
        </w:rPr>
      </w:pPr>
    </w:p>
    <w:p>
      <w:pPr>
        <w:pStyle w:val="2"/>
      </w:pPr>
    </w:p>
    <w:p>
      <w:pPr>
        <w:rPr>
          <w:rFonts w:ascii="宋体" w:hAnsi="宋体"/>
        </w:rPr>
      </w:pPr>
    </w:p>
    <w:p>
      <w:pPr>
        <w:rPr>
          <w:rFonts w:ascii="宋体" w:hAnsi="宋体"/>
        </w:rPr>
      </w:pPr>
    </w:p>
    <w:p>
      <w:pPr>
        <w:rPr>
          <w:rFonts w:ascii="宋体" w:hAnsi="宋体"/>
        </w:rPr>
      </w:pPr>
    </w:p>
    <w:p>
      <w:pPr>
        <w:rPr>
          <w:rFonts w:ascii="宋体" w:hAnsi="宋体"/>
        </w:rPr>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pStyle w:val="3"/>
        <w:numPr>
          <w:ilvl w:val="0"/>
          <w:numId w:val="1"/>
        </w:numPr>
        <w:spacing w:before="0" w:after="0"/>
        <w:ind w:left="0" w:firstLine="0"/>
      </w:pPr>
      <w:bookmarkStart w:id="60" w:name="_Toc73622777"/>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1" w:name="_Toc73622778"/>
      <w:bookmarkStart w:id="62" w:name="_Toc60658339"/>
      <w:bookmarkStart w:id="63" w:name="_Toc321334066"/>
      <w:bookmarkStart w:id="64" w:name="_Toc496702872"/>
      <w:r>
        <w:rPr>
          <w:rFonts w:hint="eastAsia"/>
        </w:rPr>
        <w:t>技术、服务、合同</w:t>
      </w:r>
      <w:r>
        <w:t>条款</w:t>
      </w:r>
      <w:r>
        <w:rPr>
          <w:rFonts w:hint="eastAsia"/>
        </w:rPr>
        <w:t>要求</w:t>
      </w:r>
      <w:bookmarkEnd w:id="61"/>
      <w:bookmarkEnd w:id="62"/>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工期总日历天数：</w:t>
            </w:r>
            <w:r>
              <w:rPr>
                <w:rFonts w:hint="eastAsia" w:asciiTheme="minorEastAsia" w:hAnsiTheme="minorEastAsia" w:eastAsiaTheme="minorEastAsia" w:cstheme="minorEastAsia"/>
                <w:sz w:val="28"/>
                <w:szCs w:val="28"/>
                <w:lang w:val="en-US" w:eastAsia="zh-CN"/>
              </w:rPr>
              <w:t>60</w:t>
            </w:r>
            <w:r>
              <w:rPr>
                <w:rFonts w:hint="eastAsia" w:asciiTheme="minorEastAsia" w:hAnsiTheme="minorEastAsia" w:eastAsiaTheme="minorEastAsia" w:cstheme="minorEastAsia"/>
                <w:sz w:val="28"/>
                <w:szCs w:val="28"/>
              </w:rPr>
              <w:t xml:space="preserve"> 天。</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24个月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sz w:val="28"/>
                <w:szCs w:val="28"/>
              </w:rPr>
            </w:pPr>
            <w:r>
              <w:rPr>
                <w:rFonts w:hint="eastAsia" w:ascii="宋体" w:hAnsi="宋体"/>
                <w:b/>
                <w:sz w:val="28"/>
                <w:szCs w:val="28"/>
              </w:rPr>
              <w:t>★</w:t>
            </w:r>
            <w:r>
              <w:rPr>
                <w:rFonts w:hint="eastAsia" w:asciiTheme="minorEastAsia" w:hAnsiTheme="minorEastAsia" w:eastAsiaTheme="minorEastAsia" w:cstheme="minorEastAsia"/>
                <w:sz w:val="28"/>
                <w:szCs w:val="28"/>
              </w:rPr>
              <w:t>不调整</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color w:val="FF0000"/>
                <w:sz w:val="28"/>
                <w:szCs w:val="28"/>
                <w:lang w:eastAsia="zh-CN"/>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color w:val="FF0000"/>
                <w:sz w:val="28"/>
                <w:szCs w:val="28"/>
              </w:rPr>
            </w:pPr>
            <w:r>
              <w:rPr>
                <w:rFonts w:hint="eastAsia" w:ascii="宋体" w:hAnsi="宋体"/>
                <w:b/>
                <w:sz w:val="28"/>
                <w:szCs w:val="28"/>
              </w:rPr>
              <w:t>★</w:t>
            </w:r>
            <w:r>
              <w:rPr>
                <w:rFonts w:hint="eastAsia" w:asciiTheme="minorEastAsia" w:hAnsiTheme="minorEastAsia" w:eastAsiaTheme="minorEastAsia" w:cstheme="minorEastAsia"/>
                <w:color w:val="000000" w:themeColor="text1"/>
                <w:sz w:val="28"/>
                <w:szCs w:val="28"/>
                <w14:textFill>
                  <w14:solidFill>
                    <w14:schemeClr w14:val="tx1"/>
                  </w14:solidFill>
                </w14:textFill>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（1）合同签订施工单位进驻施工现场后，采购人支付合同金额 30%的预付款。</w:t>
            </w:r>
          </w:p>
          <w:p>
            <w:pPr>
              <w:spacing w:line="360" w:lineRule="auto"/>
              <w:ind w:right="24" w:rightChars="1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（2）工程竣工验收合格后支付至合同金额的60%，经竣工结算后支付至结算金额的97%，剩余3%作为质保金。</w:t>
            </w:r>
          </w:p>
          <w:p>
            <w:pPr>
              <w:spacing w:line="360" w:lineRule="auto"/>
              <w:ind w:right="24" w:rightChars="10"/>
              <w:jc w:val="left"/>
              <w:rPr>
                <w:rFonts w:hint="eastAsia"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sz w:val="28"/>
                <w:szCs w:val="28"/>
              </w:rPr>
              <w:t>（3）质保期满后无质量问题一次性支付质保金</w:t>
            </w:r>
            <w:r>
              <w:rPr>
                <w:rFonts w:hint="eastAsia" w:hAnsi="宋体" w:cs="宋体"/>
                <w:sz w:val="24"/>
                <w:szCs w:val="22"/>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增加工程量管理</w:t>
            </w:r>
          </w:p>
        </w:tc>
        <w:tc>
          <w:tcPr>
            <w:tcW w:w="5954" w:type="dxa"/>
            <w:tcBorders>
              <w:top w:val="single" w:color="auto" w:sz="4" w:space="0"/>
              <w:left w:val="nil"/>
              <w:bottom w:val="single" w:color="auto" w:sz="4" w:space="0"/>
              <w:right w:val="single" w:color="auto" w:sz="4" w:space="0"/>
            </w:tcBorders>
            <w:vAlign w:val="center"/>
          </w:tcPr>
          <w:p>
            <w:pPr>
              <w:pStyle w:val="41"/>
              <w:shd w:val="clear" w:color="auto" w:fill="FFFFFF"/>
              <w:ind w:firstLine="42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实施过程中工程量变更的管理严格按照相关文件执行。</w:t>
            </w:r>
          </w:p>
        </w:tc>
      </w:tr>
    </w:tbl>
    <w:p>
      <w:pPr>
        <w:numPr>
          <w:ilvl w:val="0"/>
          <w:numId w:val="0"/>
        </w:numPr>
        <w:spacing w:line="440" w:lineRule="exact"/>
      </w:pPr>
      <w:bookmarkStart w:id="65" w:name="_Toc60658340"/>
      <w:bookmarkStart w:id="66" w:name="_Toc73622779"/>
    </w:p>
    <w:p>
      <w:pPr>
        <w:pStyle w:val="4"/>
        <w:tabs>
          <w:tab w:val="left" w:pos="576"/>
          <w:tab w:val="clear" w:pos="567"/>
        </w:tabs>
      </w:pPr>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7" w:name="_Toc73622780"/>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9" w:name="_Toc73622781"/>
      <w:bookmarkStart w:id="70" w:name="_Toc60658342"/>
      <w:r>
        <w:rPr>
          <w:rFonts w:hint="eastAsia"/>
        </w:rPr>
        <w:t>针对本项目的其他技术服务要求</w:t>
      </w:r>
      <w:bookmarkEnd w:id="69"/>
      <w:bookmarkEnd w:id="70"/>
    </w:p>
    <w:p>
      <w:pPr>
        <w:pStyle w:val="5"/>
        <w:tabs>
          <w:tab w:val="left" w:pos="709"/>
        </w:tabs>
        <w:ind w:left="709" w:hanging="709"/>
        <w:rPr>
          <w:color w:val="auto"/>
        </w:rPr>
      </w:pPr>
      <w:r>
        <w:rPr>
          <w:rFonts w:hint="eastAsia"/>
          <w:color w:val="auto"/>
        </w:rPr>
        <w:t>材料及技术规范要求</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8"/>
        </w:numPr>
        <w:tabs>
          <w:tab w:val="left" w:pos="1134"/>
        </w:tabs>
        <w:spacing w:after="200" w:line="360" w:lineRule="auto"/>
        <w:ind w:left="0" w:firstLine="640" w:firstLineChars="0"/>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bookmarkEnd w:id="63"/>
    <w:bookmarkEnd w:id="64"/>
    <w:p>
      <w:pPr>
        <w:pStyle w:val="4"/>
        <w:tabs>
          <w:tab w:val="left" w:pos="993"/>
          <w:tab w:val="clear" w:pos="426"/>
          <w:tab w:val="clear" w:pos="567"/>
        </w:tabs>
        <w:ind w:left="0" w:firstLine="0"/>
      </w:pPr>
      <w:bookmarkStart w:id="71" w:name="_Toc54948228"/>
      <w:bookmarkStart w:id="72" w:name="_Toc73622782"/>
      <w:bookmarkStart w:id="73" w:name="_Toc437336142"/>
      <w:bookmarkStart w:id="74" w:name="_Toc386099131"/>
      <w:r>
        <w:rPr>
          <w:rFonts w:hint="eastAsia"/>
        </w:rPr>
        <w:t>满足采购需求的最低要求</w:t>
      </w:r>
      <w:bookmarkEnd w:id="71"/>
      <w:bookmarkEnd w:id="72"/>
    </w:p>
    <w:bookmarkEnd w:id="73"/>
    <w:bookmarkEnd w:id="74"/>
    <w:p>
      <w:pPr>
        <w:spacing w:line="560" w:lineRule="exact"/>
        <w:ind w:firstLine="568" w:firstLineChars="202"/>
        <w:rPr>
          <w:rFonts w:hint="eastAsia" w:ascii="宋体" w:hAnsi="宋体"/>
          <w:b/>
          <w:sz w:val="28"/>
          <w:szCs w:val="28"/>
        </w:rPr>
      </w:pPr>
      <w:r>
        <w:rPr>
          <w:rFonts w:hint="eastAsia" w:ascii="宋体" w:hAnsi="宋体"/>
          <w:b/>
          <w:sz w:val="28"/>
          <w:szCs w:val="28"/>
        </w:rPr>
        <w:t>技术、服务、商务及其他要求中加★号的要求为满足采购需求的最低要求。</w:t>
      </w:r>
    </w:p>
    <w:p>
      <w:pPr>
        <w:pStyle w:val="2"/>
        <w:rPr>
          <w:rFonts w:hint="default" w:eastAsiaTheme="minorEastAsia"/>
          <w:lang w:val="en-US" w:eastAsia="zh-CN"/>
        </w:rPr>
      </w:pPr>
      <w:r>
        <w:rPr>
          <w:rFonts w:hint="eastAsia" w:ascii="宋体" w:hAnsi="宋体"/>
          <w:b/>
          <w:sz w:val="28"/>
          <w:szCs w:val="28"/>
          <w:lang w:val="en-US" w:eastAsia="zh-CN"/>
        </w:rPr>
        <w:t>4.6</w:t>
      </w:r>
      <w:r>
        <w:rPr>
          <w:rFonts w:hint="eastAsia" w:ascii="宋体" w:hAnsi="宋体" w:eastAsia="宋体" w:cs="仿宋"/>
          <w:b/>
          <w:sz w:val="28"/>
          <w:szCs w:val="28"/>
        </w:rPr>
        <w:t>★</w:t>
      </w:r>
      <w:r>
        <w:rPr>
          <w:rFonts w:hint="eastAsia" w:ascii="宋体" w:hAnsi="宋体"/>
          <w:b/>
          <w:sz w:val="28"/>
          <w:szCs w:val="28"/>
          <w:lang w:val="en-US" w:eastAsia="zh-CN"/>
        </w:rPr>
        <w:t>针对本项目其他要求</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1、施工组织设计方案包含进度计划、质量保证措施、安全保证措施、资源配置计划、环保文明措施、应急预案、施工工艺内容</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2.环境保护要求：满足当地政府对环境保护的相关要求。</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3.工程主要内容：施工图纸及工程量清单内所有工程内容；</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4.工程质量、材料、施工等的特殊要求：工程主要材料均采用国内或本地区正规厂家合格产品，材料及工程质量均达到合格标准。</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5.报价要求：</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5.1、供应商报价应采用综合单价法。如果工程实施过程中清单中的某项工作或材料发生了变更，则只调整综合单价中的该项工作或材料，综合单价的其余部分不做调整。</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5.2、工程量清单中所列工程数量仅作为报价的共同基础，不作为最终结算和支付工程进度款的依据，工程进度款支付和竣工结算按施工合同约定执行。</w:t>
      </w:r>
    </w:p>
    <w:p>
      <w:pPr>
        <w:spacing w:line="440" w:lineRule="exact"/>
        <w:ind w:firstLine="560" w:firstLineChars="200"/>
        <w:rPr>
          <w:rFonts w:ascii="宋体" w:hAnsi="宋体"/>
          <w:color w:val="000000"/>
          <w:sz w:val="28"/>
          <w:szCs w:val="28"/>
        </w:rPr>
      </w:pPr>
      <w:r>
        <w:rPr>
          <w:rFonts w:hint="eastAsia" w:ascii="宋体" w:hAnsi="宋体"/>
          <w:color w:val="000000"/>
          <w:sz w:val="28"/>
          <w:szCs w:val="28"/>
        </w:rPr>
        <w:t>5.3、除非合同中另有约定，报价中的综合单价包括完成一个规定清单项目所需的人工费、材料和工程设备费、施工机具使用费和企业管理费、利润，以及一定范围内的风险的费用。</w:t>
      </w:r>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rPr>
      </w:pPr>
    </w:p>
    <w:p>
      <w:pPr>
        <w:rPr>
          <w:rFonts w:hint="eastAsia" w:asciiTheme="minorEastAsia" w:hAnsiTheme="minorEastAsia" w:eastAsiaTheme="minorEastAsia" w:cstheme="minorEastAsia"/>
          <w:color w:val="000000"/>
          <w:sz w:val="28"/>
          <w:szCs w:val="28"/>
        </w:rPr>
      </w:pPr>
    </w:p>
    <w:p>
      <w:pPr>
        <w:pStyle w:val="2"/>
        <w:rPr>
          <w:rFonts w:hint="eastAsia" w:asciiTheme="minorEastAsia" w:hAnsiTheme="minorEastAsia" w:eastAsiaTheme="minorEastAsia" w:cstheme="minorEastAsia"/>
          <w:color w:val="000000"/>
          <w:sz w:val="28"/>
          <w:szCs w:val="28"/>
        </w:rPr>
      </w:pPr>
    </w:p>
    <w:p>
      <w:pPr>
        <w:rPr>
          <w:rFonts w:hint="eastAsia"/>
        </w:rPr>
      </w:pPr>
    </w:p>
    <w:p>
      <w:pPr>
        <w:rPr>
          <w:rFonts w:hint="eastAsia"/>
        </w:rPr>
      </w:pPr>
    </w:p>
    <w:p>
      <w:pPr>
        <w:pStyle w:val="3"/>
        <w:numPr>
          <w:ilvl w:val="0"/>
          <w:numId w:val="1"/>
        </w:numPr>
        <w:spacing w:before="0" w:after="0"/>
        <w:ind w:left="0" w:firstLine="0"/>
      </w:pPr>
      <w:bookmarkStart w:id="75" w:name="_Toc73622783"/>
      <w:bookmarkStart w:id="76" w:name="_Toc360696963"/>
      <w:bookmarkStart w:id="77" w:name="_Toc238273564"/>
      <w:bookmarkStart w:id="78" w:name="_Toc205604899"/>
      <w:bookmarkStart w:id="79" w:name="_Toc236285891"/>
      <w:r>
        <w:rPr>
          <w:rFonts w:hint="eastAsia"/>
        </w:rPr>
        <w:t>磋商办法</w:t>
      </w:r>
      <w:bookmarkEnd w:id="75"/>
    </w:p>
    <w:p>
      <w:pPr>
        <w:pStyle w:val="4"/>
        <w:tabs>
          <w:tab w:val="left" w:pos="993"/>
          <w:tab w:val="clear" w:pos="426"/>
          <w:tab w:val="clear" w:pos="567"/>
        </w:tabs>
        <w:ind w:left="0" w:firstLine="0"/>
      </w:pPr>
      <w:bookmarkStart w:id="80" w:name="_Toc73622784"/>
      <w:r>
        <w:rPr>
          <w:rFonts w:hint="eastAsia"/>
        </w:rPr>
        <w:t>总则</w:t>
      </w:r>
      <w:bookmarkEnd w:id="80"/>
    </w:p>
    <w:p>
      <w:pPr>
        <w:widowControl w:val="0"/>
        <w:numPr>
          <w:ilvl w:val="0"/>
          <w:numId w:val="39"/>
        </w:numPr>
        <w:tabs>
          <w:tab w:val="left" w:pos="1134"/>
        </w:tabs>
        <w:spacing w:line="360" w:lineRule="auto"/>
        <w:ind w:left="0" w:firstLine="565" w:firstLineChars="202"/>
        <w:jc w:val="both"/>
        <w:rPr>
          <w:rFonts w:ascii="宋体" w:hAnsi="宋体"/>
          <w:sz w:val="28"/>
          <w:szCs w:val="28"/>
        </w:rPr>
      </w:pPr>
      <w:bookmarkStart w:id="81" w:name="_Toc73622785"/>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磋商工作由市公资交易中心负责组织，具体评审事务由采购人和市公资交易中心依法组建的磋商小组负责。磋商小组由采购人代表和评审专家组成。</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0"/>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39"/>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r>
        <w:rPr>
          <w:rFonts w:hint="eastAsia"/>
        </w:rPr>
        <w:t>磋商程序</w:t>
      </w:r>
      <w:bookmarkEnd w:id="81"/>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磋商会议在成都市公共资源交易服务中心“政府采购云平台”进行。磋商应由监督人员监督，且可根据具体情况邀请有关监督管理部门对采购活动进行现场监督。</w:t>
      </w:r>
    </w:p>
    <w:p>
      <w:pPr>
        <w:pStyle w:val="4"/>
        <w:numPr>
          <w:ilvl w:val="2"/>
          <w:numId w:val="1"/>
        </w:numPr>
        <w:tabs>
          <w:tab w:val="left" w:pos="993"/>
          <w:tab w:val="clear" w:pos="426"/>
          <w:tab w:val="clear" w:pos="567"/>
        </w:tabs>
      </w:pPr>
      <w:bookmarkStart w:id="82" w:name="_Toc63084321"/>
      <w:bookmarkStart w:id="83" w:name="_Toc63437907"/>
      <w:bookmarkStart w:id="84" w:name="_Toc320698736"/>
      <w:bookmarkStart w:id="85" w:name="_Toc73622786"/>
      <w:r>
        <w:rPr>
          <w:rFonts w:hint="eastAsia"/>
        </w:rPr>
        <w:t>递交施工响应文件</w:t>
      </w:r>
      <w:bookmarkEnd w:id="82"/>
      <w:bookmarkEnd w:id="83"/>
      <w:bookmarkEnd w:id="84"/>
      <w:bookmarkEnd w:id="85"/>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6" w:name="_Toc63437908"/>
      <w:bookmarkStart w:id="87" w:name="_Toc73622787"/>
      <w:bookmarkStart w:id="88" w:name="_Toc63084322"/>
      <w:r>
        <w:rPr>
          <w:rFonts w:hint="eastAsia"/>
        </w:rPr>
        <w:t>确定邀请参加磋商的供应商数量</w:t>
      </w:r>
      <w:bookmarkEnd w:id="86"/>
      <w:bookmarkEnd w:id="87"/>
      <w:bookmarkEnd w:id="88"/>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89" w:name="_Toc73622788"/>
      <w:bookmarkStart w:id="90" w:name="_Toc63084323"/>
      <w:bookmarkStart w:id="91" w:name="_Toc63437909"/>
      <w:bookmarkStart w:id="92" w:name="_Toc287623646"/>
      <w:r>
        <w:rPr>
          <w:rFonts w:hint="eastAsia"/>
        </w:rPr>
        <w:t>成立磋商小组</w:t>
      </w:r>
      <w:bookmarkEnd w:id="89"/>
      <w:bookmarkEnd w:id="90"/>
      <w:bookmarkEnd w:id="91"/>
      <w:bookmarkEnd w:id="92"/>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3" w:name="_Toc63437910"/>
      <w:bookmarkStart w:id="94" w:name="_Toc63084324"/>
      <w:bookmarkStart w:id="95" w:name="_Toc73622789"/>
      <w:r>
        <w:rPr>
          <w:rFonts w:hint="eastAsia"/>
        </w:rPr>
        <w:t>磋商</w:t>
      </w:r>
      <w:bookmarkEnd w:id="93"/>
      <w:bookmarkEnd w:id="94"/>
      <w:bookmarkEnd w:id="95"/>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1"/>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6" w:name="_Toc63437911"/>
      <w:bookmarkStart w:id="97" w:name="_Toc73622790"/>
      <w:bookmarkStart w:id="98" w:name="_Toc63084325"/>
      <w:r>
        <w:rPr>
          <w:rFonts w:hint="eastAsia"/>
        </w:rPr>
        <w:t>符合性审查</w:t>
      </w:r>
      <w:bookmarkEnd w:id="96"/>
      <w:bookmarkEnd w:id="97"/>
      <w:bookmarkEnd w:id="98"/>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4"/>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5"/>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2"/>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3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6"/>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7"/>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磋商小组符合性审查结束后，应当出具符合性审查报告，确定参加最后报价的供应商名单。市公资交易中心将通过和未通过符合性审查的供应商名单以及未通过符合性审查的原因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7"/>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99" w:name="_Toc73622791"/>
      <w:bookmarkStart w:id="100" w:name="_Toc63437912"/>
      <w:bookmarkStart w:id="101" w:name="_Toc63084326"/>
      <w:r>
        <w:rPr>
          <w:rFonts w:hint="eastAsia"/>
        </w:rPr>
        <w:t>最后报价审查</w:t>
      </w:r>
      <w:bookmarkEnd w:id="99"/>
      <w:bookmarkEnd w:id="100"/>
      <w:bookmarkEnd w:id="101"/>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8"/>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8"/>
        </w:numPr>
        <w:tabs>
          <w:tab w:val="left" w:pos="-2127"/>
          <w:tab w:val="left" w:pos="1134"/>
        </w:tabs>
        <w:snapToGrid w:val="0"/>
        <w:spacing w:line="620" w:lineRule="exact"/>
        <w:ind w:left="0" w:firstLine="562" w:firstLineChars="200"/>
        <w:rPr>
          <w:rFonts w:ascii="宋体" w:hAnsi="宋体"/>
          <w:sz w:val="28"/>
          <w:szCs w:val="28"/>
        </w:rPr>
      </w:pPr>
      <w:r>
        <w:rPr>
          <w:rFonts w:hint="eastAsia" w:ascii="宋体" w:hAnsi="宋体" w:cs="宋体"/>
          <w:b/>
          <w:bCs/>
          <w:sz w:val="28"/>
          <w:szCs w:val="28"/>
        </w:rPr>
        <w:t>在未提高施工响应文件中承诺的工程实质</w:t>
      </w:r>
      <w:r>
        <w:rPr>
          <w:rFonts w:ascii="宋体" w:hAnsi="宋体" w:cs="宋体"/>
          <w:b/>
          <w:bCs/>
          <w:sz w:val="28"/>
          <w:szCs w:val="28"/>
        </w:rPr>
        <w:t>性要求</w:t>
      </w:r>
      <w:r>
        <w:rPr>
          <w:rFonts w:hint="eastAsia" w:ascii="宋体" w:hAnsi="宋体" w:cs="宋体"/>
          <w:b/>
          <w:bCs/>
          <w:sz w:val="28"/>
          <w:szCs w:val="28"/>
        </w:rPr>
        <w:t>的情况下，最后报价不得高于对该项目之前的报价，否则，磋商小组应当对其施工响应文件按无效处理。</w:t>
      </w:r>
      <w:r>
        <w:rPr>
          <w:rFonts w:hint="eastAsia" w:ascii="宋体" w:hAnsi="宋体" w:cs="宋体"/>
          <w:sz w:val="28"/>
          <w:szCs w:val="28"/>
        </w:rPr>
        <w:t>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0"/>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0"/>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8"/>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1"/>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8"/>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2" w:name="_Toc63084328"/>
      <w:bookmarkStart w:id="103" w:name="_Toc73622793"/>
      <w:bookmarkStart w:id="104" w:name="_Toc63437914"/>
      <w:r>
        <w:rPr>
          <w:rFonts w:hint="eastAsia"/>
        </w:rPr>
        <w:t>比较与评价</w:t>
      </w:r>
      <w:bookmarkEnd w:id="102"/>
      <w:bookmarkEnd w:id="103"/>
      <w:bookmarkEnd w:id="104"/>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5" w:name="_Toc63437915"/>
      <w:bookmarkStart w:id="106" w:name="_Toc63084329"/>
      <w:bookmarkStart w:id="107" w:name="_Toc73622794"/>
      <w:r>
        <w:rPr>
          <w:rFonts w:hint="eastAsia"/>
        </w:rPr>
        <w:t>磋商小组复核</w:t>
      </w:r>
      <w:bookmarkEnd w:id="105"/>
      <w:bookmarkEnd w:id="106"/>
      <w:bookmarkEnd w:id="107"/>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w:t>
      </w:r>
    </w:p>
    <w:p>
      <w:pPr>
        <w:widowControl w:val="0"/>
        <w:numPr>
          <w:ilvl w:val="0"/>
          <w:numId w:val="52"/>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3"/>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采购人、采购代理机构发现磋商小组未按照磋商文件规定的评审标准进行评审的，应当重新开展采购活动，并同时报告本级财政部门。</w:t>
      </w:r>
    </w:p>
    <w:p>
      <w:pPr>
        <w:pStyle w:val="4"/>
        <w:numPr>
          <w:ilvl w:val="2"/>
          <w:numId w:val="1"/>
        </w:numPr>
        <w:tabs>
          <w:tab w:val="left" w:pos="993"/>
          <w:tab w:val="clear" w:pos="426"/>
          <w:tab w:val="clear" w:pos="567"/>
        </w:tabs>
      </w:pPr>
      <w:bookmarkStart w:id="108" w:name="_Toc63437916"/>
      <w:bookmarkStart w:id="109" w:name="_Toc73622795"/>
      <w:bookmarkStart w:id="110" w:name="_Toc63084330"/>
      <w:r>
        <w:rPr>
          <w:rFonts w:hint="eastAsia"/>
        </w:rPr>
        <w:t>推荐成交候选供应商</w:t>
      </w:r>
      <w:bookmarkEnd w:id="108"/>
      <w:bookmarkEnd w:id="109"/>
      <w:bookmarkEnd w:id="110"/>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1" w:name="_Toc63084331"/>
      <w:bookmarkStart w:id="112" w:name="_Toc63437917"/>
      <w:bookmarkStart w:id="113" w:name="_Toc73622796"/>
      <w:r>
        <w:rPr>
          <w:rFonts w:hint="eastAsia"/>
        </w:rPr>
        <w:t>编写磋商报告</w:t>
      </w:r>
      <w:bookmarkEnd w:id="111"/>
      <w:bookmarkEnd w:id="112"/>
      <w:bookmarkEnd w:id="113"/>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4" w:name="_Toc63437913"/>
      <w:bookmarkStart w:id="115" w:name="_Toc63084327"/>
      <w:bookmarkStart w:id="116" w:name="_Toc73622792"/>
      <w:bookmarkStart w:id="117" w:name="_Toc54948232"/>
      <w:bookmarkStart w:id="118" w:name="_Toc63437918"/>
      <w:bookmarkStart w:id="119" w:name="_Toc63084332"/>
      <w:bookmarkStart w:id="120" w:name="_Toc73622797"/>
      <w:r>
        <w:rPr>
          <w:rFonts w:hint="eastAsia"/>
        </w:rPr>
        <w:t>解释、澄清、说明的有关问题</w:t>
      </w:r>
      <w:bookmarkEnd w:id="114"/>
      <w:bookmarkEnd w:id="115"/>
      <w:bookmarkEnd w:id="116"/>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r>
        <w:rPr>
          <w:rFonts w:hint="eastAsia"/>
        </w:rPr>
        <w:t>争议处理规则</w:t>
      </w:r>
      <w:bookmarkEnd w:id="117"/>
      <w:bookmarkEnd w:id="118"/>
      <w:bookmarkEnd w:id="119"/>
      <w:bookmarkEnd w:id="120"/>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pPr>
        <w:pStyle w:val="4"/>
        <w:numPr>
          <w:ilvl w:val="2"/>
          <w:numId w:val="1"/>
        </w:numPr>
        <w:tabs>
          <w:tab w:val="left" w:pos="993"/>
          <w:tab w:val="clear" w:pos="426"/>
          <w:tab w:val="clear" w:pos="567"/>
        </w:tabs>
      </w:pPr>
      <w:bookmarkStart w:id="121" w:name="_Toc73622798"/>
      <w:bookmarkStart w:id="122" w:name="_Toc63437919"/>
      <w:bookmarkStart w:id="123" w:name="_Toc63084333"/>
      <w:r>
        <w:rPr>
          <w:rFonts w:hint="eastAsia"/>
        </w:rPr>
        <w:t>供应商澄清、说明</w:t>
      </w:r>
      <w:bookmarkEnd w:id="121"/>
      <w:bookmarkEnd w:id="122"/>
      <w:bookmarkEnd w:id="123"/>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5"/>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6"/>
        </w:numPr>
        <w:spacing w:after="200"/>
        <w:ind w:left="1985" w:hanging="1985"/>
      </w:pPr>
      <w:bookmarkStart w:id="124" w:name="_Toc73622799"/>
      <w:bookmarkStart w:id="125" w:name="_Toc63437920"/>
      <w:bookmarkStart w:id="126" w:name="_Toc54948233"/>
      <w:r>
        <w:rPr>
          <w:rFonts w:hint="eastAsia"/>
        </w:rPr>
        <w:t>评审办法和标准</w:t>
      </w:r>
      <w:bookmarkEnd w:id="124"/>
      <w:bookmarkEnd w:id="125"/>
      <w:bookmarkEnd w:id="126"/>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6"/>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6"/>
        </w:numPr>
        <w:spacing w:after="200"/>
        <w:ind w:left="1135" w:hanging="1135"/>
        <w:rPr>
          <w:color w:val="auto"/>
        </w:rPr>
      </w:pPr>
      <w:r>
        <w:rPr>
          <w:rFonts w:hint="eastAsia"/>
          <w:color w:val="auto"/>
        </w:rPr>
        <w:t>评分标准</w:t>
      </w:r>
    </w:p>
    <w:tbl>
      <w:tblPr>
        <w:tblStyle w:val="45"/>
        <w:tblW w:w="9509" w:type="dxa"/>
        <w:tblInd w:w="2" w:type="dxa"/>
        <w:tblLayout w:type="fixed"/>
        <w:tblCellMar>
          <w:top w:w="0" w:type="dxa"/>
          <w:left w:w="108" w:type="dxa"/>
          <w:bottom w:w="0" w:type="dxa"/>
          <w:right w:w="108" w:type="dxa"/>
        </w:tblCellMar>
      </w:tblPr>
      <w:tblGrid>
        <w:gridCol w:w="1627"/>
        <w:gridCol w:w="6615"/>
        <w:gridCol w:w="1267"/>
      </w:tblGrid>
      <w:tr>
        <w:tblPrEx>
          <w:tblLayout w:type="fixed"/>
          <w:tblCellMar>
            <w:top w:w="0" w:type="dxa"/>
            <w:left w:w="108" w:type="dxa"/>
            <w:bottom w:w="0" w:type="dxa"/>
            <w:right w:w="108" w:type="dxa"/>
          </w:tblCellMar>
        </w:tblPrEx>
        <w:trPr>
          <w:cantSplit/>
          <w:trHeight w:val="280" w:hRule="atLeast"/>
          <w:tblHeader/>
        </w:trPr>
        <w:tc>
          <w:tcPr>
            <w:tcW w:w="1627" w:type="dxa"/>
            <w:tcBorders>
              <w:top w:val="single" w:color="auto" w:sz="4" w:space="0"/>
              <w:left w:val="single" w:color="auto" w:sz="4" w:space="0"/>
              <w:bottom w:val="single" w:color="auto" w:sz="4" w:space="0"/>
              <w:right w:val="single" w:color="auto" w:sz="4" w:space="0"/>
            </w:tcBorders>
            <w:noWrap/>
            <w:vAlign w:val="center"/>
          </w:tcPr>
          <w:p>
            <w:pPr>
              <w:jc w:val="left"/>
              <w:rPr>
                <w:rFonts w:hAnsi="宋体" w:cs="宋体"/>
                <w:sz w:val="24"/>
              </w:rPr>
            </w:pPr>
            <w:r>
              <w:rPr>
                <w:rFonts w:hint="eastAsia" w:hAnsi="宋体" w:cs="宋体"/>
                <w:sz w:val="24"/>
              </w:rPr>
              <w:t>评分因素及分值</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center"/>
              <w:rPr>
                <w:rFonts w:hAnsi="宋体" w:cs="宋体"/>
                <w:sz w:val="24"/>
              </w:rPr>
            </w:pPr>
            <w:r>
              <w:rPr>
                <w:rFonts w:hint="eastAsia" w:hAnsi="宋体" w:cs="宋体"/>
                <w:sz w:val="24"/>
              </w:rPr>
              <w:t>评分标准</w:t>
            </w:r>
          </w:p>
        </w:tc>
        <w:tc>
          <w:tcPr>
            <w:tcW w:w="1267"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说明</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报价</w:t>
            </w:r>
          </w:p>
          <w:p>
            <w:pPr>
              <w:jc w:val="left"/>
              <w:rPr>
                <w:rFonts w:hAnsi="宋体" w:cs="宋体"/>
                <w:sz w:val="24"/>
              </w:rPr>
            </w:pPr>
            <w:r>
              <w:rPr>
                <w:rFonts w:hint="eastAsia" w:hAnsi="宋体" w:cs="宋体"/>
                <w:sz w:val="24"/>
              </w:rPr>
              <w:t>（</w:t>
            </w:r>
            <w:r>
              <w:rPr>
                <w:rFonts w:hint="eastAsia" w:hAnsi="宋体" w:cs="宋体"/>
                <w:sz w:val="24"/>
                <w:lang w:val="en-US" w:eastAsia="zh-CN"/>
              </w:rPr>
              <w:t>50</w:t>
            </w:r>
            <w:r>
              <w:rPr>
                <w:rFonts w:hint="eastAsia" w:hAnsi="宋体" w:cs="宋体"/>
                <w:sz w:val="24"/>
              </w:rPr>
              <w:t>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满足磋商文件要求且最后报价最低的供应商的价格为磋商基准价，其价格分为满分。其他供应商的价格分统一按照下列公式计算：</w:t>
            </w:r>
          </w:p>
          <w:p>
            <w:pPr>
              <w:ind w:firstLine="360" w:firstLineChars="150"/>
              <w:jc w:val="left"/>
              <w:rPr>
                <w:rFonts w:hint="default" w:hAnsi="宋体" w:eastAsia="宋体" w:cs="宋体"/>
                <w:sz w:val="24"/>
                <w:lang w:val="en-US" w:eastAsia="zh-CN"/>
              </w:rPr>
            </w:pPr>
            <w:r>
              <w:rPr>
                <w:rFonts w:hint="eastAsia" w:hAnsi="宋体" w:cs="宋体"/>
                <w:sz w:val="24"/>
              </w:rPr>
              <w:t>磋商报价得分=（磋商基准价/最后磋商报价）×</w:t>
            </w:r>
            <w:r>
              <w:rPr>
                <w:rFonts w:hint="eastAsia" w:hAnsi="宋体" w:cs="宋体"/>
                <w:sz w:val="24"/>
                <w:lang w:val="en-US" w:eastAsia="zh-CN"/>
              </w:rPr>
              <w:t>50</w:t>
            </w:r>
          </w:p>
          <w:p>
            <w:pPr>
              <w:ind w:firstLine="480" w:firstLineChars="200"/>
              <w:jc w:val="left"/>
              <w:rPr>
                <w:rFonts w:hAnsi="宋体" w:cs="宋体"/>
                <w:sz w:val="24"/>
              </w:rPr>
            </w:pPr>
            <w:r>
              <w:rPr>
                <w:rFonts w:hint="eastAsia" w:hAnsi="宋体" w:cs="宋体"/>
                <w:sz w:val="24"/>
                <w:lang w:eastAsia="zh-CN"/>
              </w:rPr>
              <w:t>注：</w:t>
            </w:r>
            <w:r>
              <w:rPr>
                <w:rFonts w:hint="eastAsia" w:hAnsi="宋体" w:cs="宋体"/>
                <w:sz w:val="24"/>
              </w:rPr>
              <w:t>对失信行为供应商给予10%/次的报价累加加成，用加成后的价格参与评分，若加成后的报价超过采购预算/最高限价的，其响应文件按照无效处理。报价得分保留小数点后两位，四舍五入。</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1438" w:hRule="atLeast"/>
        </w:trPr>
        <w:tc>
          <w:tcPr>
            <w:tcW w:w="1627" w:type="dxa"/>
            <w:tcBorders>
              <w:top w:val="nil"/>
              <w:left w:val="single" w:color="auto" w:sz="4" w:space="0"/>
              <w:bottom w:val="single" w:color="auto" w:sz="4" w:space="0"/>
              <w:right w:val="single" w:color="auto" w:sz="4" w:space="0"/>
            </w:tcBorders>
            <w:noWrap/>
            <w:vAlign w:val="center"/>
          </w:tcPr>
          <w:p>
            <w:pPr>
              <w:jc w:val="center"/>
              <w:rPr>
                <w:rFonts w:hAnsi="宋体" w:cs="宋体"/>
                <w:sz w:val="24"/>
              </w:rPr>
            </w:pPr>
            <w:r>
              <w:rPr>
                <w:rFonts w:hint="eastAsia" w:hAnsi="宋体" w:cs="宋体"/>
                <w:sz w:val="24"/>
              </w:rPr>
              <w:t>施工组织设计</w:t>
            </w:r>
          </w:p>
          <w:p>
            <w:pPr>
              <w:jc w:val="center"/>
              <w:rPr>
                <w:rFonts w:hAnsi="宋体" w:cs="宋体"/>
                <w:sz w:val="24"/>
              </w:rPr>
            </w:pPr>
            <w:r>
              <w:rPr>
                <w:rFonts w:hint="eastAsia" w:hAnsi="宋体" w:cs="宋体"/>
                <w:sz w:val="24"/>
              </w:rPr>
              <w:t>（35分）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每缺少一项内容扣5分，每有一处错误或偏差扣3分，扣完为止。</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278" w:hRule="atLeast"/>
        </w:trPr>
        <w:tc>
          <w:tcPr>
            <w:tcW w:w="1627" w:type="dxa"/>
            <w:tcBorders>
              <w:top w:val="nil"/>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业绩</w:t>
            </w:r>
          </w:p>
          <w:p>
            <w:pPr>
              <w:ind w:firstLine="360" w:firstLineChars="150"/>
              <w:jc w:val="left"/>
              <w:rPr>
                <w:rFonts w:hAnsi="宋体" w:cs="宋体"/>
                <w:sz w:val="24"/>
              </w:rPr>
            </w:pPr>
            <w:r>
              <w:rPr>
                <w:rFonts w:hint="eastAsia" w:hAnsi="宋体" w:cs="宋体"/>
                <w:sz w:val="24"/>
              </w:rPr>
              <w:t>(9分)</w:t>
            </w:r>
          </w:p>
        </w:tc>
        <w:tc>
          <w:tcPr>
            <w:tcW w:w="6615" w:type="dxa"/>
            <w:tcBorders>
              <w:top w:val="single" w:color="auto" w:sz="4" w:space="0"/>
              <w:left w:val="nil"/>
              <w:bottom w:val="single" w:color="auto" w:sz="4" w:space="0"/>
              <w:right w:val="single" w:color="auto" w:sz="4" w:space="0"/>
            </w:tcBorders>
            <w:noWrap/>
          </w:tcPr>
          <w:p>
            <w:pPr>
              <w:ind w:firstLine="360" w:firstLineChars="150"/>
              <w:jc w:val="left"/>
              <w:rPr>
                <w:rFonts w:hAnsi="宋体" w:cs="宋体"/>
                <w:sz w:val="24"/>
              </w:rPr>
            </w:pPr>
            <w:r>
              <w:rPr>
                <w:rFonts w:hint="eastAsia" w:hAnsi="宋体" w:cs="宋体"/>
                <w:sz w:val="24"/>
              </w:rPr>
              <w:t>供应商2017年1月1日（含1日）以来具有一个已完成类似项目业绩的得3分，在此基础上每增加1个加3分，最多得9分。（提供施工合同复印件和竣工验收报告复印件。）类似项目是指：建筑工程建设项目。</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r>
        <w:tblPrEx>
          <w:tblLayout w:type="fixed"/>
          <w:tblCellMar>
            <w:top w:w="0" w:type="dxa"/>
            <w:left w:w="108" w:type="dxa"/>
            <w:bottom w:w="0" w:type="dxa"/>
            <w:right w:w="108" w:type="dxa"/>
          </w:tblCellMar>
        </w:tblPrEx>
        <w:trPr>
          <w:cantSplit/>
          <w:trHeight w:val="4704" w:hRule="atLeast"/>
        </w:trPr>
        <w:tc>
          <w:tcPr>
            <w:tcW w:w="1627" w:type="dxa"/>
            <w:tcBorders>
              <w:top w:val="single" w:color="auto" w:sz="4" w:space="0"/>
              <w:left w:val="single" w:color="auto" w:sz="4" w:space="0"/>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优先采购节能、环境标志、无线局域网产品</w:t>
            </w:r>
          </w:p>
          <w:p>
            <w:pPr>
              <w:ind w:firstLine="360" w:firstLineChars="150"/>
              <w:jc w:val="left"/>
              <w:rPr>
                <w:rFonts w:hAnsi="宋体" w:cs="宋体"/>
                <w:sz w:val="24"/>
              </w:rPr>
            </w:pPr>
            <w:r>
              <w:rPr>
                <w:rFonts w:hint="eastAsia" w:hAnsi="宋体" w:cs="宋体"/>
                <w:sz w:val="24"/>
              </w:rPr>
              <w:t>（6分）</w:t>
            </w:r>
          </w:p>
        </w:tc>
        <w:tc>
          <w:tcPr>
            <w:tcW w:w="6615" w:type="dxa"/>
            <w:tcBorders>
              <w:top w:val="single" w:color="auto" w:sz="4" w:space="0"/>
              <w:left w:val="nil"/>
              <w:bottom w:val="single" w:color="auto" w:sz="4" w:space="0"/>
              <w:right w:val="single" w:color="auto" w:sz="4" w:space="0"/>
            </w:tcBorders>
            <w:noWrap/>
            <w:vAlign w:val="center"/>
          </w:tcPr>
          <w:p>
            <w:pPr>
              <w:ind w:firstLine="360" w:firstLineChars="150"/>
              <w:jc w:val="left"/>
              <w:rPr>
                <w:rFonts w:hAnsi="宋体" w:cs="宋体"/>
                <w:sz w:val="24"/>
              </w:rPr>
            </w:pPr>
            <w:r>
              <w:rPr>
                <w:rFonts w:hint="eastAsia" w:hAnsi="宋体" w:cs="宋体"/>
                <w:sz w:val="24"/>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ind w:firstLine="360" w:firstLineChars="150"/>
              <w:jc w:val="left"/>
              <w:rPr>
                <w:rFonts w:hAnsi="宋体" w:cs="宋体"/>
                <w:sz w:val="24"/>
              </w:rPr>
            </w:pPr>
            <w:r>
              <w:rPr>
                <w:rFonts w:hint="eastAsia" w:hAnsi="宋体" w:cs="宋体"/>
                <w:sz w:val="24"/>
              </w:rPr>
              <w:t>说明：</w:t>
            </w:r>
          </w:p>
          <w:p>
            <w:pPr>
              <w:ind w:firstLine="360" w:firstLineChars="150"/>
              <w:jc w:val="left"/>
              <w:rPr>
                <w:rFonts w:hAnsi="宋体" w:cs="宋体"/>
                <w:sz w:val="24"/>
              </w:rPr>
            </w:pPr>
            <w:r>
              <w:rPr>
                <w:rFonts w:hint="eastAsia" w:hAnsi="宋体" w:cs="宋体"/>
                <w:sz w:val="24"/>
              </w:rPr>
              <w:t>1、可重复计分；</w:t>
            </w:r>
          </w:p>
          <w:p>
            <w:pPr>
              <w:ind w:firstLine="360" w:firstLineChars="150"/>
              <w:jc w:val="left"/>
              <w:rPr>
                <w:rFonts w:hAnsi="宋体" w:cs="宋体"/>
                <w:sz w:val="24"/>
              </w:rPr>
            </w:pPr>
            <w:r>
              <w:rPr>
                <w:rFonts w:hint="eastAsia" w:hAnsi="宋体" w:cs="宋体"/>
                <w:sz w:val="24"/>
              </w:rPr>
              <w:t>2、本项目采购的产品中属于节能产品或环境标志产品政府采购品目清单中强制采购范围的，不属于本项评分范围。</w:t>
            </w:r>
          </w:p>
          <w:p>
            <w:pPr>
              <w:ind w:firstLine="360" w:firstLineChars="150"/>
              <w:jc w:val="left"/>
              <w:rPr>
                <w:rFonts w:hAnsi="宋体" w:cs="宋体"/>
                <w:sz w:val="24"/>
              </w:rPr>
            </w:pPr>
            <w:r>
              <w:rPr>
                <w:rFonts w:hint="eastAsia" w:hAnsi="宋体" w:cs="宋体"/>
                <w:sz w:val="24"/>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ind w:firstLine="360" w:firstLineChars="150"/>
              <w:jc w:val="left"/>
              <w:rPr>
                <w:rFonts w:hAnsi="宋体" w:cs="宋体"/>
                <w:sz w:val="24"/>
              </w:rPr>
            </w:pPr>
            <w:r>
              <w:rPr>
                <w:rFonts w:hint="eastAsia" w:hAnsi="宋体" w:cs="宋体"/>
                <w:sz w:val="24"/>
              </w:rPr>
              <w:t>4、供应商所投产品属于优先采购范围内的无线局域网产品的，需提供《中国政府采购网》公布的无线局域网产品政府采购清单封面及对应页且在有效期内并加盖供应商单位公章（鲜章）。</w:t>
            </w:r>
          </w:p>
        </w:tc>
        <w:tc>
          <w:tcPr>
            <w:tcW w:w="1267" w:type="dxa"/>
            <w:tcBorders>
              <w:top w:val="single" w:color="auto" w:sz="4" w:space="0"/>
              <w:left w:val="nil"/>
              <w:bottom w:val="single" w:color="auto" w:sz="4" w:space="0"/>
              <w:right w:val="single" w:color="auto" w:sz="4" w:space="0"/>
            </w:tcBorders>
            <w:noWrap/>
            <w:vAlign w:val="center"/>
          </w:tcPr>
          <w:p>
            <w:pPr>
              <w:jc w:val="left"/>
              <w:rPr>
                <w:rFonts w:hAnsi="宋体" w:cs="宋体"/>
                <w:sz w:val="24"/>
              </w:rPr>
            </w:pPr>
            <w:r>
              <w:rPr>
                <w:rFonts w:hint="eastAsia" w:hAnsi="宋体" w:cs="宋体"/>
                <w:sz w:val="24"/>
              </w:rPr>
              <w:t>共同评分因素</w:t>
            </w:r>
          </w:p>
        </w:tc>
      </w:tr>
    </w:tbl>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6"/>
        </w:numPr>
        <w:spacing w:after="200"/>
        <w:ind w:left="1985" w:hanging="1985"/>
      </w:pPr>
      <w:bookmarkStart w:id="127" w:name="_Toc494357033"/>
      <w:bookmarkEnd w:id="127"/>
      <w:bookmarkStart w:id="128" w:name="_Toc494095668"/>
      <w:bookmarkEnd w:id="128"/>
      <w:bookmarkStart w:id="129" w:name="_Toc494357022"/>
      <w:bookmarkEnd w:id="129"/>
      <w:bookmarkStart w:id="130" w:name="_Toc494357026"/>
      <w:bookmarkEnd w:id="130"/>
      <w:bookmarkStart w:id="131" w:name="_Toc494095681"/>
      <w:bookmarkEnd w:id="131"/>
      <w:bookmarkStart w:id="132" w:name="_Toc494095680"/>
      <w:bookmarkEnd w:id="132"/>
      <w:bookmarkStart w:id="133" w:name="_Toc494095669"/>
      <w:bookmarkEnd w:id="133"/>
      <w:bookmarkStart w:id="134" w:name="_Toc494357025"/>
      <w:bookmarkEnd w:id="134"/>
      <w:bookmarkStart w:id="135" w:name="_Toc494357035"/>
      <w:bookmarkEnd w:id="135"/>
      <w:bookmarkStart w:id="136" w:name="_Toc494357021"/>
      <w:bookmarkEnd w:id="136"/>
      <w:bookmarkStart w:id="137" w:name="_Toc494357023"/>
      <w:bookmarkEnd w:id="137"/>
      <w:bookmarkStart w:id="138" w:name="_Toc494095673"/>
      <w:bookmarkEnd w:id="138"/>
      <w:bookmarkStart w:id="139" w:name="_Toc494095679"/>
      <w:bookmarkEnd w:id="139"/>
      <w:bookmarkStart w:id="140" w:name="_Toc494357028"/>
      <w:bookmarkEnd w:id="140"/>
      <w:bookmarkStart w:id="141" w:name="_Toc494357034"/>
      <w:bookmarkEnd w:id="141"/>
      <w:bookmarkStart w:id="142" w:name="_Toc494095678"/>
      <w:bookmarkEnd w:id="142"/>
      <w:bookmarkStart w:id="143" w:name="_Toc494095674"/>
      <w:bookmarkEnd w:id="143"/>
      <w:bookmarkStart w:id="144" w:name="_Toc494095672"/>
      <w:bookmarkEnd w:id="144"/>
      <w:bookmarkStart w:id="145" w:name="_Toc494357030"/>
      <w:bookmarkEnd w:id="145"/>
      <w:bookmarkStart w:id="146" w:name="_Toc494095677"/>
      <w:bookmarkEnd w:id="146"/>
      <w:bookmarkStart w:id="147" w:name="_Toc494095670"/>
      <w:bookmarkEnd w:id="147"/>
      <w:bookmarkStart w:id="148" w:name="_Toc494357027"/>
      <w:bookmarkEnd w:id="148"/>
      <w:bookmarkStart w:id="149" w:name="_Toc494357032"/>
      <w:bookmarkEnd w:id="149"/>
      <w:bookmarkStart w:id="150" w:name="_Toc494095671"/>
      <w:bookmarkEnd w:id="150"/>
      <w:bookmarkStart w:id="151" w:name="_Toc494095676"/>
      <w:bookmarkEnd w:id="151"/>
      <w:bookmarkStart w:id="152" w:name="_Toc494095675"/>
      <w:bookmarkEnd w:id="152"/>
      <w:bookmarkStart w:id="153" w:name="_Toc494095682"/>
      <w:bookmarkEnd w:id="153"/>
      <w:bookmarkStart w:id="154" w:name="_Toc494357029"/>
      <w:bookmarkEnd w:id="154"/>
      <w:bookmarkStart w:id="155" w:name="_Toc494357024"/>
      <w:bookmarkEnd w:id="155"/>
      <w:bookmarkStart w:id="156" w:name="_Toc494357031"/>
      <w:bookmarkEnd w:id="156"/>
      <w:bookmarkStart w:id="157" w:name="_Toc54948234"/>
      <w:bookmarkStart w:id="158" w:name="_Toc73622800"/>
      <w:r>
        <w:rPr>
          <w:rFonts w:hint="eastAsia"/>
        </w:rPr>
        <w:t>采购失败情形</w:t>
      </w:r>
      <w:bookmarkEnd w:id="157"/>
      <w:bookmarkEnd w:id="158"/>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59" w:name="_Toc73622801"/>
      <w:bookmarkStart w:id="160" w:name="_Toc63437922"/>
      <w:bookmarkStart w:id="161" w:name="_Toc63084336"/>
      <w:r>
        <w:rPr>
          <w:rFonts w:hint="eastAsia"/>
        </w:rPr>
        <w:t>其他</w:t>
      </w:r>
      <w:bookmarkEnd w:id="159"/>
      <w:bookmarkEnd w:id="160"/>
      <w:bookmarkEnd w:id="161"/>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6"/>
        </w:numPr>
        <w:spacing w:after="200"/>
        <w:ind w:left="1985" w:hanging="1985"/>
      </w:pPr>
      <w:bookmarkStart w:id="162" w:name="_Toc54948235"/>
      <w:bookmarkStart w:id="163" w:name="_Toc73622802"/>
      <w:r>
        <w:rPr>
          <w:rFonts w:hint="eastAsia"/>
        </w:rPr>
        <w:t>确定成交供应商</w:t>
      </w:r>
      <w:bookmarkEnd w:id="162"/>
      <w:bookmarkEnd w:id="163"/>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7"/>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评审结束后，市公资交易中心在评审结束之日起2个工作日内将评审报告及有关资料送交采购人确定1名成交供应商。</w:t>
      </w:r>
    </w:p>
    <w:p>
      <w:pPr>
        <w:numPr>
          <w:ilvl w:val="0"/>
          <w:numId w:val="57"/>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w:t>
      </w:r>
      <w:r>
        <w:rPr>
          <w:rStyle w:val="325"/>
          <w:rFonts w:hint="eastAsia"/>
          <w:sz w:val="28"/>
          <w:szCs w:val="28"/>
          <w:shd w:val="clear" w:color="auto" w:fill="FFFFFF"/>
          <w:lang w:val="en-US" w:eastAsia="zh-CN"/>
        </w:rPr>
        <w:t>3</w:t>
      </w:r>
      <w:r>
        <w:rPr>
          <w:rStyle w:val="325"/>
          <w:rFonts w:hint="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采购人逾期未确定成交供应商且不提出异议的，视为确定评审报告提出的排序第一的供应商为成交供应商。</w:t>
      </w:r>
    </w:p>
    <w:p>
      <w:pPr>
        <w:numPr>
          <w:ilvl w:val="0"/>
          <w:numId w:val="57"/>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4"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7"/>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采购人、市公资交易中心不解释成交或未成交原因，不退回施工响应文件和其他磋商资料。</w:t>
      </w:r>
      <w:bookmarkEnd w:id="164"/>
    </w:p>
    <w:p>
      <w:pPr>
        <w:pStyle w:val="4"/>
        <w:numPr>
          <w:ilvl w:val="1"/>
          <w:numId w:val="56"/>
        </w:numPr>
        <w:spacing w:after="200"/>
        <w:ind w:left="1985" w:hanging="1985"/>
        <w:jc w:val="left"/>
      </w:pPr>
      <w:bookmarkStart w:id="165" w:name="_Toc73622803"/>
      <w:bookmarkStart w:id="166" w:name="_Toc54948236"/>
      <w:r>
        <w:rPr>
          <w:rFonts w:hint="eastAsia"/>
        </w:rPr>
        <w:t>磋商小组成员义务</w:t>
      </w:r>
      <w:bookmarkEnd w:id="165"/>
      <w:bookmarkEnd w:id="166"/>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6"/>
        </w:numPr>
        <w:spacing w:after="200"/>
        <w:ind w:left="1985" w:hanging="1985"/>
        <w:jc w:val="left"/>
      </w:pPr>
      <w:bookmarkStart w:id="167" w:name="_Toc54948237"/>
      <w:bookmarkStart w:id="168" w:name="_Toc73622804"/>
      <w:r>
        <w:rPr>
          <w:rFonts w:hint="eastAsia"/>
        </w:rPr>
        <w:t>磋商小组及其成员不得有下列行为</w:t>
      </w:r>
      <w:bookmarkEnd w:id="167"/>
      <w:bookmarkEnd w:id="168"/>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6"/>
        </w:numPr>
        <w:spacing w:after="200"/>
        <w:ind w:left="1985" w:hanging="1985"/>
        <w:jc w:val="left"/>
      </w:pPr>
      <w:bookmarkStart w:id="169" w:name="_Toc73622805"/>
      <w:bookmarkStart w:id="170" w:name="_Toc54948238"/>
      <w:r>
        <w:rPr>
          <w:rFonts w:hint="eastAsia"/>
        </w:rPr>
        <w:t>磋商纪律</w:t>
      </w:r>
      <w:bookmarkEnd w:id="169"/>
      <w:bookmarkEnd w:id="17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w:t>
      </w:r>
      <w:r>
        <w:rPr>
          <w:rFonts w:hint="eastAsia" w:ascii="宋体" w:hAnsi="宋体"/>
          <w:sz w:val="28"/>
          <w:szCs w:val="28"/>
          <w:lang w:eastAsia="zh-CN"/>
        </w:rPr>
        <w:t>中华人民共和国</w:t>
      </w:r>
      <w:r>
        <w:rPr>
          <w:rFonts w:hint="eastAsia" w:ascii="宋体" w:hAnsi="宋体"/>
          <w:sz w:val="28"/>
          <w:szCs w:val="28"/>
        </w:rPr>
        <w:t>政府采购法》第十二条和《</w:t>
      </w:r>
      <w:r>
        <w:rPr>
          <w:rFonts w:hint="eastAsia" w:ascii="宋体" w:hAnsi="宋体"/>
          <w:sz w:val="28"/>
          <w:szCs w:val="28"/>
          <w:lang w:eastAsia="zh-CN"/>
        </w:rPr>
        <w:t>中华人民共和国</w:t>
      </w:r>
      <w:r>
        <w:rPr>
          <w:rFonts w:hint="eastAsia" w:ascii="宋体" w:hAnsi="宋体"/>
          <w:sz w:val="28"/>
          <w:szCs w:val="28"/>
        </w:rPr>
        <w:t>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不得参加与自己有利害关系的政府采购项目的评审活动。对与自己有利害关系的评审项目，如受到邀请，应主动提出回避。财政部门、采购人或市公资交易中心也可要求该评审专家回避。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评审过程中因发生不可预见情况，确实需要与外界联系的，应告知评标区值守人员</w:t>
      </w:r>
      <w:r>
        <w:rPr>
          <w:rFonts w:hint="eastAsia" w:ascii="宋体" w:hAnsi="宋体"/>
          <w:sz w:val="28"/>
          <w:szCs w:val="28"/>
          <w:lang w:val="en-US" w:eastAsia="zh-CN"/>
        </w:rPr>
        <w:t>处</w:t>
      </w:r>
      <w:r>
        <w:rPr>
          <w:rFonts w:hint="eastAsia" w:ascii="宋体" w:hAnsi="宋体"/>
          <w:sz w:val="28"/>
          <w:szCs w:val="28"/>
        </w:rPr>
        <w:t>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十、有关部门（机构）制定的其他评审工作纪律。</w:t>
      </w:r>
    </w:p>
    <w:p>
      <w:pPr>
        <w:pStyle w:val="2"/>
      </w:pPr>
    </w:p>
    <w:p/>
    <w:p>
      <w:pPr>
        <w:pStyle w:val="2"/>
      </w:pPr>
    </w:p>
    <w:p/>
    <w:p>
      <w:pPr>
        <w:pStyle w:val="2"/>
      </w:pPr>
    </w:p>
    <w:p/>
    <w:p>
      <w:pPr>
        <w:pStyle w:val="3"/>
        <w:numPr>
          <w:ilvl w:val="0"/>
          <w:numId w:val="1"/>
        </w:numPr>
        <w:spacing w:before="0" w:after="0"/>
        <w:ind w:left="0" w:firstLine="0"/>
      </w:pPr>
      <w:bookmarkStart w:id="171" w:name="_Toc73622806"/>
      <w:r>
        <w:rPr>
          <w:rFonts w:hint="eastAsia"/>
        </w:rPr>
        <w:t>政府</w:t>
      </w:r>
      <w:r>
        <w:t>采购</w:t>
      </w:r>
      <w:r>
        <w:rPr>
          <w:rFonts w:hint="eastAsia"/>
        </w:rPr>
        <w:t>合同草案</w:t>
      </w:r>
      <w:bookmarkEnd w:id="171"/>
    </w:p>
    <w:p>
      <w:pPr>
        <w:tabs>
          <w:tab w:val="left" w:pos="0"/>
        </w:tabs>
        <w:spacing w:after="50" w:line="360" w:lineRule="auto"/>
        <w:ind w:firstLine="480" w:firstLineChars="200"/>
        <w:jc w:val="center"/>
        <w:rPr>
          <w:rFonts w:hAnsi="宋体" w:cs="宋体"/>
          <w:sz w:val="24"/>
          <w:szCs w:val="22"/>
        </w:rPr>
      </w:pPr>
      <w:bookmarkStart w:id="172" w:name="_Toc296346614"/>
      <w:bookmarkStart w:id="173" w:name="_Toc296503113"/>
      <w:bookmarkStart w:id="174" w:name="_Toc337558811"/>
      <w:r>
        <w:rPr>
          <w:rFonts w:hint="eastAsia" w:hAnsi="宋体" w:cs="宋体"/>
          <w:sz w:val="24"/>
          <w:szCs w:val="22"/>
        </w:rPr>
        <w:t>第一节 合同协议书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发包人（全称）：（甲方）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承包人（全称）：（乙方）</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175" w:name="_Toc351203481"/>
      <w:r>
        <w:rPr>
          <w:rFonts w:hint="eastAsia" w:hAnsi="宋体" w:cs="宋体"/>
          <w:sz w:val="24"/>
          <w:szCs w:val="22"/>
        </w:rPr>
        <w:t>一、工程概况</w:t>
      </w:r>
      <w:bookmarkEnd w:id="17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1.工程名称：。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2.工程地点：。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3.项目编号：。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4.工程内容：。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5.工程承包范围：。</w:t>
      </w:r>
    </w:p>
    <w:p>
      <w:pPr>
        <w:tabs>
          <w:tab w:val="left" w:pos="0"/>
        </w:tabs>
        <w:spacing w:after="50" w:line="360" w:lineRule="auto"/>
        <w:ind w:firstLine="480" w:firstLineChars="200"/>
        <w:jc w:val="left"/>
        <w:rPr>
          <w:rFonts w:hAnsi="宋体" w:cs="宋体"/>
          <w:sz w:val="24"/>
          <w:szCs w:val="22"/>
        </w:rPr>
      </w:pPr>
      <w:bookmarkStart w:id="176" w:name="_Toc351203482"/>
      <w:r>
        <w:rPr>
          <w:rFonts w:hint="eastAsia" w:hAnsi="宋体" w:cs="宋体"/>
          <w:sz w:val="24"/>
          <w:szCs w:val="22"/>
        </w:rPr>
        <w:t>二、合同工期</w:t>
      </w:r>
      <w:bookmarkEnd w:id="17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计划开工日期：年月日。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计划竣工日期：年月日。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工期总日历天数：天。工期总日历天数与根据前述计划开竣工日期计算的工期天数不一致的，以工期总日历天数为准。</w:t>
      </w:r>
    </w:p>
    <w:p>
      <w:pPr>
        <w:tabs>
          <w:tab w:val="left" w:pos="0"/>
        </w:tabs>
        <w:spacing w:after="50" w:line="360" w:lineRule="auto"/>
        <w:ind w:firstLine="480" w:firstLineChars="200"/>
        <w:jc w:val="left"/>
        <w:rPr>
          <w:rFonts w:hAnsi="宋体" w:cs="宋体"/>
          <w:sz w:val="24"/>
          <w:szCs w:val="22"/>
        </w:rPr>
      </w:pPr>
      <w:bookmarkStart w:id="177" w:name="_Toc351203483"/>
      <w:r>
        <w:rPr>
          <w:rFonts w:hint="eastAsia" w:hAnsi="宋体" w:cs="宋体"/>
          <w:sz w:val="24"/>
          <w:szCs w:val="22"/>
        </w:rPr>
        <w:t>三、质量标准</w:t>
      </w:r>
      <w:bookmarkEnd w:id="17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工程质量符合标准。</w:t>
      </w:r>
    </w:p>
    <w:p>
      <w:pPr>
        <w:tabs>
          <w:tab w:val="left" w:pos="0"/>
        </w:tabs>
        <w:spacing w:after="50" w:line="360" w:lineRule="auto"/>
        <w:ind w:firstLine="480" w:firstLineChars="200"/>
        <w:jc w:val="left"/>
        <w:rPr>
          <w:rFonts w:hAnsi="宋体" w:cs="宋体"/>
          <w:sz w:val="24"/>
          <w:szCs w:val="22"/>
        </w:rPr>
      </w:pPr>
      <w:bookmarkStart w:id="178" w:name="_Toc351203484"/>
      <w:r>
        <w:rPr>
          <w:rFonts w:hint="eastAsia" w:hAnsi="宋体" w:cs="宋体"/>
          <w:sz w:val="24"/>
          <w:szCs w:val="22"/>
        </w:rPr>
        <w:t>四、签约合同价与合同价格形式</w:t>
      </w:r>
      <w:bookmarkEnd w:id="178"/>
      <w:r>
        <w:rPr>
          <w:rFonts w:hint="eastAsia" w:hAnsi="宋体" w:cs="宋体"/>
          <w:sz w:val="24"/>
          <w:szCs w:val="22"/>
        </w:rPr>
        <w:tab/>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1.签约合同价为：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其中：</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（1）安全文明施工费：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（2）材料和工程设备暂估价金额：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（3）专业工程暂估价金额：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（4）暂列金额：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人民币（大写） (¥元)。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2.合同价格形式：。</w:t>
      </w:r>
    </w:p>
    <w:p>
      <w:pPr>
        <w:tabs>
          <w:tab w:val="left" w:pos="0"/>
        </w:tabs>
        <w:spacing w:after="50" w:line="360" w:lineRule="auto"/>
        <w:ind w:firstLine="480" w:firstLineChars="200"/>
        <w:jc w:val="left"/>
        <w:rPr>
          <w:rFonts w:hAnsi="宋体" w:cs="宋体"/>
          <w:sz w:val="24"/>
          <w:szCs w:val="22"/>
        </w:rPr>
      </w:pPr>
      <w:bookmarkStart w:id="179" w:name="_Toc351203485"/>
      <w:r>
        <w:rPr>
          <w:rFonts w:hint="eastAsia" w:hAnsi="宋体" w:cs="宋体"/>
          <w:sz w:val="24"/>
          <w:szCs w:val="22"/>
        </w:rPr>
        <w:t>五、</w:t>
      </w:r>
      <w:bookmarkEnd w:id="179"/>
      <w:r>
        <w:rPr>
          <w:rFonts w:hint="eastAsia" w:hAnsi="宋体" w:cs="宋体"/>
          <w:sz w:val="24"/>
          <w:szCs w:val="22"/>
        </w:rPr>
        <w:t>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承包人项目经理：。</w:t>
      </w:r>
    </w:p>
    <w:p>
      <w:pPr>
        <w:tabs>
          <w:tab w:val="left" w:pos="0"/>
        </w:tabs>
        <w:spacing w:after="50" w:line="360" w:lineRule="auto"/>
        <w:ind w:firstLine="480" w:firstLineChars="200"/>
        <w:jc w:val="left"/>
        <w:rPr>
          <w:rFonts w:hAnsi="宋体" w:cs="宋体"/>
          <w:sz w:val="24"/>
          <w:szCs w:val="22"/>
        </w:rPr>
      </w:pPr>
      <w:bookmarkStart w:id="180" w:name="_Toc351203486"/>
      <w:r>
        <w:rPr>
          <w:rFonts w:hint="eastAsia" w:hAnsi="宋体" w:cs="宋体"/>
          <w:sz w:val="24"/>
          <w:szCs w:val="22"/>
        </w:rPr>
        <w:t>六、合同文件构成</w:t>
      </w:r>
      <w:bookmarkEnd w:id="180"/>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本协议书与下列文件一起构成合同文件：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（1）成交通知书；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（2）专用合同条款及其附件；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（3）通用合同条款；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（4）磋商文件；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（5）响应文件：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（6）评审报告；</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（7）技术标准和要求；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（8）图纸；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（9）已标价工程量清单或预算书；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（10）其他合同文件。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在合同订立及履行过程中形成的与合同有关的文件均构成合同文件组成部分。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上述各项合同文件包括合同当事人就该项合同文件所作出的补充和修改，属于同一类内容的文件，应以最新签署的为准。专用合同条款及其附件须经合同当事人签字或盖章。</w:t>
      </w:r>
    </w:p>
    <w:p>
      <w:pPr>
        <w:tabs>
          <w:tab w:val="left" w:pos="0"/>
        </w:tabs>
        <w:spacing w:after="50" w:line="360" w:lineRule="auto"/>
        <w:ind w:firstLine="480" w:firstLineChars="200"/>
        <w:jc w:val="left"/>
        <w:rPr>
          <w:rFonts w:hAnsi="宋体" w:cs="宋体"/>
          <w:sz w:val="24"/>
          <w:szCs w:val="22"/>
        </w:rPr>
      </w:pPr>
      <w:bookmarkStart w:id="181" w:name="_Toc351203487"/>
      <w:r>
        <w:rPr>
          <w:rFonts w:hint="eastAsia" w:hAnsi="宋体" w:cs="宋体"/>
          <w:sz w:val="24"/>
          <w:szCs w:val="22"/>
        </w:rPr>
        <w:t>七、承诺</w:t>
      </w:r>
      <w:bookmarkEnd w:id="181"/>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1.发包人承诺按照法律规定履行项目审批手续、筹集工程建设资金并按照合同约定的期限和方式支付合同价款。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2.承包人承诺按照法律规定及合同约定组织完成工程施工，确保工程质量和安全，不进行转包及违法分包，并在缺陷责任期及保修期内承担相应的工程维修责任。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3.发包人和承包人通过招投标形式签订合同的，双方理解并承诺不再就同一工程另行签订与合同实质性内容相背离的协议。</w:t>
      </w:r>
    </w:p>
    <w:p>
      <w:pPr>
        <w:tabs>
          <w:tab w:val="left" w:pos="0"/>
        </w:tabs>
        <w:spacing w:after="50" w:line="360" w:lineRule="auto"/>
        <w:ind w:firstLine="480" w:firstLineChars="200"/>
        <w:jc w:val="left"/>
        <w:rPr>
          <w:rFonts w:hAnsi="宋体" w:cs="宋体"/>
          <w:sz w:val="24"/>
          <w:szCs w:val="22"/>
        </w:rPr>
      </w:pPr>
      <w:bookmarkStart w:id="182" w:name="_Toc351203488"/>
      <w:r>
        <w:rPr>
          <w:rFonts w:hint="eastAsia" w:hAnsi="宋体" w:cs="宋体"/>
          <w:sz w:val="24"/>
          <w:szCs w:val="22"/>
        </w:rPr>
        <w:t>八、词语含义</w:t>
      </w:r>
      <w:bookmarkEnd w:id="18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本协议书中词语含义与第二部分通用合同条款中赋予的含义相同。</w:t>
      </w:r>
    </w:p>
    <w:p>
      <w:pPr>
        <w:tabs>
          <w:tab w:val="left" w:pos="0"/>
        </w:tabs>
        <w:spacing w:after="50" w:line="360" w:lineRule="auto"/>
        <w:ind w:firstLine="480" w:firstLineChars="200"/>
        <w:jc w:val="left"/>
        <w:rPr>
          <w:rFonts w:hAnsi="宋体" w:cs="宋体"/>
          <w:sz w:val="24"/>
          <w:szCs w:val="22"/>
        </w:rPr>
      </w:pPr>
      <w:bookmarkStart w:id="183" w:name="_Toc351203489"/>
      <w:r>
        <w:rPr>
          <w:rFonts w:hint="eastAsia" w:hAnsi="宋体" w:cs="宋体"/>
          <w:sz w:val="24"/>
          <w:szCs w:val="22"/>
        </w:rPr>
        <w:t>九、签订时间</w:t>
      </w:r>
      <w:bookmarkEnd w:id="1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本合同于XX年XX月XX日签订。</w:t>
      </w:r>
    </w:p>
    <w:p>
      <w:pPr>
        <w:tabs>
          <w:tab w:val="left" w:pos="0"/>
        </w:tabs>
        <w:spacing w:after="50" w:line="360" w:lineRule="auto"/>
        <w:ind w:firstLine="480" w:firstLineChars="200"/>
        <w:jc w:val="left"/>
        <w:rPr>
          <w:rFonts w:hAnsi="宋体" w:cs="宋体"/>
          <w:sz w:val="24"/>
          <w:szCs w:val="22"/>
        </w:rPr>
      </w:pPr>
      <w:bookmarkStart w:id="184" w:name="_Toc351203490"/>
      <w:r>
        <w:rPr>
          <w:rFonts w:hint="eastAsia" w:hAnsi="宋体" w:cs="宋体"/>
          <w:sz w:val="24"/>
          <w:szCs w:val="22"/>
        </w:rPr>
        <w:t>十、签订地点</w:t>
      </w:r>
      <w:bookmarkEnd w:id="18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本合同在XXX签订。</w:t>
      </w:r>
    </w:p>
    <w:p>
      <w:pPr>
        <w:tabs>
          <w:tab w:val="left" w:pos="0"/>
        </w:tabs>
        <w:spacing w:after="50" w:line="360" w:lineRule="auto"/>
        <w:ind w:firstLine="480" w:firstLineChars="200"/>
        <w:jc w:val="left"/>
        <w:rPr>
          <w:rFonts w:hAnsi="宋体" w:cs="宋体"/>
          <w:sz w:val="24"/>
          <w:szCs w:val="22"/>
        </w:rPr>
      </w:pPr>
      <w:bookmarkStart w:id="185" w:name="_Toc351203491"/>
      <w:r>
        <w:rPr>
          <w:rFonts w:hint="eastAsia" w:hAnsi="宋体" w:cs="宋体"/>
          <w:sz w:val="24"/>
          <w:szCs w:val="22"/>
        </w:rPr>
        <w:t>十一、补充协议</w:t>
      </w:r>
      <w:bookmarkEnd w:id="18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合同未尽事宜，合同当事人另行签订补充协议，补充协议是合同的组成部分。</w:t>
      </w:r>
    </w:p>
    <w:p>
      <w:pPr>
        <w:tabs>
          <w:tab w:val="left" w:pos="0"/>
        </w:tabs>
        <w:spacing w:after="50" w:line="360" w:lineRule="auto"/>
        <w:ind w:firstLine="480" w:firstLineChars="200"/>
        <w:jc w:val="left"/>
        <w:rPr>
          <w:rFonts w:hAnsi="宋体" w:cs="宋体"/>
          <w:sz w:val="24"/>
          <w:szCs w:val="22"/>
        </w:rPr>
      </w:pPr>
      <w:bookmarkStart w:id="186" w:name="_Toc351203492"/>
      <w:r>
        <w:rPr>
          <w:rFonts w:hint="eastAsia" w:hAnsi="宋体" w:cs="宋体"/>
          <w:sz w:val="24"/>
          <w:szCs w:val="22"/>
        </w:rPr>
        <w:t>十二、合同生效</w:t>
      </w:r>
      <w:bookmarkEnd w:id="18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本合同自生效。</w:t>
      </w:r>
    </w:p>
    <w:p>
      <w:pPr>
        <w:tabs>
          <w:tab w:val="left" w:pos="0"/>
        </w:tabs>
        <w:spacing w:after="50" w:line="360" w:lineRule="auto"/>
        <w:ind w:firstLine="480" w:firstLineChars="200"/>
        <w:jc w:val="left"/>
        <w:rPr>
          <w:rFonts w:hAnsi="宋体" w:cs="宋体"/>
          <w:sz w:val="24"/>
          <w:szCs w:val="22"/>
        </w:rPr>
      </w:pPr>
      <w:bookmarkStart w:id="187" w:name="_Toc351203493"/>
      <w:r>
        <w:rPr>
          <w:rFonts w:hint="eastAsia" w:hAnsi="宋体" w:cs="宋体"/>
          <w:sz w:val="24"/>
          <w:szCs w:val="22"/>
        </w:rPr>
        <w:t>十三、合同份数</w:t>
      </w:r>
      <w:bookmarkEnd w:id="18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本合同一式份，均具有同等法律效力，发包人执份，承包人执份。</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  (公章)                    承包人：  (公章)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法定代表人或其委托代理人：法定代表人或其委托代理人：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（签字）（签字）</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组织机构代码：组织机构代码：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地址：地址：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邮政编码：邮政编码：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法定代表人：法定代表人：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委托代理人：委托代理人：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电话：电话：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传真：传真：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开户银行：开户银行：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账号：账号：</w:t>
      </w:r>
    </w:p>
    <w:p>
      <w:pPr>
        <w:tabs>
          <w:tab w:val="left" w:pos="0"/>
        </w:tabs>
        <w:spacing w:after="50" w:line="360" w:lineRule="auto"/>
        <w:ind w:firstLine="480" w:firstLineChars="200"/>
        <w:jc w:val="left"/>
        <w:rPr>
          <w:rFonts w:hAnsi="宋体" w:cs="宋体"/>
          <w:sz w:val="24"/>
          <w:szCs w:val="22"/>
        </w:rPr>
      </w:pPr>
      <w:bookmarkStart w:id="188" w:name="_Toc351203494"/>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t>第二节 通用合同条款</w:t>
      </w:r>
      <w:bookmarkEnd w:id="188"/>
      <w:bookmarkStart w:id="189" w:name="_Toc337558727"/>
    </w:p>
    <w:bookmarkEnd w:id="189"/>
    <w:p>
      <w:pPr>
        <w:tabs>
          <w:tab w:val="left" w:pos="0"/>
        </w:tabs>
        <w:spacing w:after="50" w:line="360" w:lineRule="auto"/>
        <w:ind w:firstLine="480" w:firstLineChars="200"/>
        <w:jc w:val="left"/>
        <w:rPr>
          <w:rFonts w:hAnsi="宋体" w:cs="宋体"/>
          <w:sz w:val="24"/>
          <w:szCs w:val="22"/>
        </w:rPr>
      </w:pPr>
      <w:bookmarkStart w:id="190" w:name="_Toc351203632"/>
      <w:r>
        <w:rPr>
          <w:rFonts w:hint="eastAsia" w:hAnsi="宋体" w:cs="宋体"/>
          <w:sz w:val="24"/>
          <w:szCs w:val="22"/>
        </w:rPr>
        <w:t>备注：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1、本项目通用合同条款参照《建设工程施工合同(示范文本)》(GF-2017-0201)通用合同条款执行。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2、如有最新版本，参照最新版本执行。</w:t>
      </w: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br w:type="page"/>
      </w:r>
      <w:r>
        <w:rPr>
          <w:rFonts w:hint="eastAsia" w:hAnsi="宋体" w:cs="宋体"/>
          <w:sz w:val="24"/>
          <w:szCs w:val="22"/>
        </w:rPr>
        <w:t>第三节 专用合同条款</w:t>
      </w:r>
      <w:bookmarkEnd w:id="190"/>
    </w:p>
    <w:p>
      <w:pPr>
        <w:tabs>
          <w:tab w:val="left" w:pos="0"/>
        </w:tabs>
        <w:spacing w:after="50" w:line="360" w:lineRule="auto"/>
        <w:ind w:firstLine="480" w:firstLineChars="200"/>
        <w:jc w:val="left"/>
        <w:rPr>
          <w:rFonts w:hAnsi="宋体" w:cs="宋体"/>
          <w:sz w:val="24"/>
          <w:szCs w:val="22"/>
        </w:rPr>
      </w:pPr>
      <w:bookmarkStart w:id="191" w:name="_Toc351203633"/>
      <w:r>
        <w:rPr>
          <w:rFonts w:hint="eastAsia" w:hAnsi="宋体" w:cs="宋体"/>
          <w:sz w:val="24"/>
          <w:szCs w:val="22"/>
        </w:rPr>
        <w:t>1</w:t>
      </w:r>
      <w:bookmarkStart w:id="192" w:name="_Toc292559361"/>
      <w:bookmarkStart w:id="193" w:name="_Toc297120456"/>
      <w:bookmarkStart w:id="194" w:name="_Toc296944495"/>
      <w:bookmarkStart w:id="195" w:name="_Toc296503156"/>
      <w:bookmarkStart w:id="196" w:name="_Toc297048342"/>
      <w:bookmarkStart w:id="197" w:name="_Toc296346657"/>
      <w:bookmarkStart w:id="198" w:name="_Toc296891196"/>
      <w:bookmarkStart w:id="199" w:name="_Toc292559866"/>
      <w:bookmarkStart w:id="200" w:name="_Toc296890984"/>
      <w:bookmarkStart w:id="201" w:name="_Toc296347155"/>
      <w:r>
        <w:rPr>
          <w:rFonts w:hint="eastAsia" w:hAnsi="宋体" w:cs="宋体"/>
          <w:sz w:val="24"/>
          <w:szCs w:val="22"/>
        </w:rPr>
        <w:t>. 一般约定</w:t>
      </w:r>
      <w:bookmarkEnd w:id="191"/>
    </w:p>
    <w:bookmarkEnd w:id="192"/>
    <w:bookmarkEnd w:id="193"/>
    <w:bookmarkEnd w:id="194"/>
    <w:bookmarkEnd w:id="195"/>
    <w:bookmarkEnd w:id="196"/>
    <w:bookmarkEnd w:id="197"/>
    <w:bookmarkEnd w:id="198"/>
    <w:bookmarkEnd w:id="199"/>
    <w:bookmarkEnd w:id="200"/>
    <w:bookmarkEnd w:id="20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 词语定义</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1.1.1.1其他合同文件包括：。</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 合同当事人及其他相关方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 监理人：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资质类别和等级：；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 设计人：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资质类别和等级：；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 工程和设备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 作为施工现场组成部分的其他场所包括：。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1.3.2 永久占地包括：。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 临时占地包括：。</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1.4法律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适用于合同的其他规范性文件：。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 标准和规范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1.5.1适用于工程的标准规范包括：。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 发包人提供国外标准、规范的名称：；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发包人提供国外标准、规范的份数：；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发包人提供国外标准、规范的名称：。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1.5.3发包人对工程的技术标准和功能要求的特殊要求：。</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 合同文件的优先顺序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合同文件组成及优先顺序为：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（1）合同协议书；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（2）成交通知书；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（3）专用合同条款及其附件；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（4）通用合同条款；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（5）磋商文件；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（6）响应文件：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（7）评审报告；</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（8）技术标准和要求；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（9）图纸；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（10）已标价工程量清单或预算书；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（11）其他合同文件。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 图纸和承包人文件</w:t>
      </w:r>
      <w:r>
        <w:rPr>
          <w:rFonts w:hint="eastAsia" w:hAnsi="宋体" w:cs="宋体"/>
          <w:sz w:val="24"/>
          <w:szCs w:val="22"/>
        </w:rPr>
        <w:tab/>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1.7.1 图纸的提供</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发包人向承包人提供图纸的数量：；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发包人向承包人提供图纸的内容：。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1.7.2 承包人文件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需要由承包人提供的文件，包括：；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承包人提供的文件的期限为：；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承包人提供的文件的数量为：；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承包人提供的文件的形式为：；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发包人审批承包人文件的期限：。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1.7.3 现场图纸准备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关于现场图纸准备的约定：。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 联络</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1.8.1发包人和承包人应当在天内将与合同有关的通知、批准、证明、证书、指示、指令、要求、请求、同意、意见、确定和决定等书面函件送达对方当事人。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1.8.2 发包人接收文件的地点：；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发包人指定的接收人为：。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承包人指定的接收人为：。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监理人接收文件的地点：；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监理人指定的接收人为：。</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 交通运输</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202" w:name="_Toc304295521"/>
      <w:bookmarkStart w:id="203" w:name="_Toc312677986"/>
      <w:bookmarkStart w:id="204" w:name="_Toc303539100"/>
      <w:bookmarkStart w:id="205" w:name="_Toc300934943"/>
      <w:bookmarkStart w:id="206" w:name="_Toc318581155"/>
      <w:r>
        <w:rPr>
          <w:rFonts w:hint="eastAsia" w:hAnsi="宋体" w:cs="宋体"/>
          <w:sz w:val="24"/>
          <w:szCs w:val="22"/>
        </w:rPr>
        <w:t>.9.1 出入现场的权利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关于出入现场的权利的约定：。</w:t>
      </w:r>
    </w:p>
    <w:bookmarkEnd w:id="202"/>
    <w:bookmarkEnd w:id="203"/>
    <w:bookmarkEnd w:id="204"/>
    <w:bookmarkEnd w:id="205"/>
    <w:bookmarkEnd w:id="20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207" w:name="_Toc300934944"/>
      <w:bookmarkStart w:id="208" w:name="_Toc304295522"/>
      <w:bookmarkStart w:id="209" w:name="_Toc318581156"/>
      <w:bookmarkStart w:id="210" w:name="_Toc303539101"/>
      <w:bookmarkStart w:id="211" w:name="_Toc312677987"/>
      <w:r>
        <w:rPr>
          <w:rFonts w:hint="eastAsia" w:hAnsi="宋体" w:cs="宋体"/>
          <w:sz w:val="24"/>
          <w:szCs w:val="22"/>
        </w:rPr>
        <w:t>.9.2 场内交通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关于场外交通和场内交通的边界的约定：。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关于发包人向承包人免费提供满足工程施工需要的场内道路和交通设施的约定：。</w:t>
      </w:r>
      <w:bookmarkEnd w:id="207"/>
      <w:bookmarkEnd w:id="208"/>
      <w:bookmarkEnd w:id="209"/>
      <w:bookmarkEnd w:id="210"/>
      <w:bookmarkEnd w:id="211"/>
      <w:bookmarkStart w:id="212" w:name="_Toc31858115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1.9.3 超大件和超重件的运输</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运输超大件或超重件所需的道路和桥梁临时加固改造费用和其他有关费用由承担。</w:t>
      </w:r>
    </w:p>
    <w:bookmarkEnd w:id="212"/>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 知识产权</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1.10.1关于发包人提供给承包人的图纸、发包人为实施工程自行编制或委托编制的技术规范以及反映发包人关于合同要求或其他类似性质的文件的著作权的归属：。</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关于发包人提供的上述文件的使用限制的要求：。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1.10.2 关于承包人为实施工程所编制文件的著作权的归属：。</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关于承包人提供的上述文件的使用限制的要求：。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1.10.3 承包人在施工过程中所采用的专利、专有技术、技术秘密的使用费的承担方式：。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1.11工程量清单错误的修正</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出现工程量清单错误时，是否调整合同价格：。</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允许调整合同价格的工程量偏差范围：。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13" w:name="_Toc351203634"/>
      <w:r>
        <w:rPr>
          <w:rFonts w:hint="eastAsia" w:hAnsi="宋体" w:cs="宋体"/>
          <w:sz w:val="24"/>
          <w:szCs w:val="22"/>
        </w:rPr>
        <w:t>2</w:t>
      </w:r>
      <w:bookmarkStart w:id="214" w:name="_Toc292559362"/>
      <w:bookmarkStart w:id="215" w:name="_Toc296891197"/>
      <w:bookmarkStart w:id="216" w:name="_Toc296347156"/>
      <w:bookmarkStart w:id="217" w:name="_Toc292559867"/>
      <w:bookmarkStart w:id="218" w:name="_Toc296346658"/>
      <w:bookmarkStart w:id="219" w:name="_Toc297048343"/>
      <w:bookmarkStart w:id="220" w:name="_Toc296890985"/>
      <w:bookmarkStart w:id="221" w:name="_Toc297120457"/>
      <w:bookmarkStart w:id="222" w:name="_Toc296944496"/>
      <w:bookmarkStart w:id="223" w:name="_Toc296503157"/>
      <w:r>
        <w:rPr>
          <w:rFonts w:hint="eastAsia" w:hAnsi="宋体" w:cs="宋体"/>
          <w:sz w:val="24"/>
          <w:szCs w:val="22"/>
        </w:rPr>
        <w:t>. 发包人</w:t>
      </w:r>
      <w:bookmarkEnd w:id="213"/>
    </w:p>
    <w:bookmarkEnd w:id="214"/>
    <w:bookmarkEnd w:id="215"/>
    <w:bookmarkEnd w:id="216"/>
    <w:bookmarkEnd w:id="217"/>
    <w:bookmarkEnd w:id="218"/>
    <w:bookmarkEnd w:id="219"/>
    <w:bookmarkEnd w:id="220"/>
    <w:bookmarkEnd w:id="221"/>
    <w:bookmarkEnd w:id="222"/>
    <w:bookmarkEnd w:id="223"/>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2.1 发包人代表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发包人代表：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身份证号：；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职务：；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发包人对发包人代表的授权范围如下：。</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 施工现场、施工条件和基础资料的提供</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2.2.1 提供施工现场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关于发包人移交施工现场的期限要求：。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2.4.2 提供施工条件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关于发包人应负责提供施工所需要的条件，包括：</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（1）将施工所需的水、电、通讯线路接至施工场地的时间、地点和供应要求：。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（2）施工场地与公共道路通道开通的时间和要求：。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（3）工程地质和地下管线资料的提供时间：。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（4）由发包人办理的施工所需所证、批件的名称和完成时间：。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（5）水准点与座标控制制点交验要求：。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（6）图纸会审和设计交底时间：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（7）协调处理施工场地周围地下管线和邻近建筑物、构筑物（含文物保护建筑）、古树名木的保护工作：。</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（8）发包人应做的其他工作：。</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2.3 资金来源证明及支付担保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发包人提供资金来源证明的期限要求：。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发包人是否提供支付担保：。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发包人提供支付担保的形式：。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24" w:name="_Toc351203635"/>
      <w:r>
        <w:rPr>
          <w:rFonts w:hint="eastAsia" w:hAnsi="宋体" w:cs="宋体"/>
          <w:sz w:val="24"/>
          <w:szCs w:val="22"/>
        </w:rPr>
        <w:t>3</w:t>
      </w:r>
      <w:bookmarkStart w:id="225" w:name="_Toc296346659"/>
      <w:bookmarkStart w:id="226" w:name="_Toc296503158"/>
      <w:bookmarkStart w:id="227" w:name="_Toc292559363"/>
      <w:bookmarkStart w:id="228" w:name="_Toc296891198"/>
      <w:bookmarkStart w:id="229" w:name="_Toc292559868"/>
      <w:bookmarkStart w:id="230" w:name="_Toc297048344"/>
      <w:bookmarkStart w:id="231" w:name="_Toc296347157"/>
      <w:bookmarkStart w:id="232" w:name="_Toc297120458"/>
      <w:bookmarkStart w:id="233" w:name="_Toc296890986"/>
      <w:bookmarkStart w:id="234" w:name="_Toc296944497"/>
      <w:r>
        <w:rPr>
          <w:rFonts w:hint="eastAsia" w:hAnsi="宋体" w:cs="宋体"/>
          <w:sz w:val="24"/>
          <w:szCs w:val="22"/>
        </w:rPr>
        <w:t>. 承包人</w:t>
      </w:r>
      <w:bookmarkEnd w:id="224"/>
    </w:p>
    <w:bookmarkEnd w:id="225"/>
    <w:bookmarkEnd w:id="226"/>
    <w:bookmarkEnd w:id="227"/>
    <w:bookmarkEnd w:id="228"/>
    <w:bookmarkEnd w:id="229"/>
    <w:bookmarkEnd w:id="230"/>
    <w:bookmarkEnd w:id="231"/>
    <w:bookmarkEnd w:id="232"/>
    <w:bookmarkEnd w:id="233"/>
    <w:bookmarkEnd w:id="23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3.1 承包人的一般义务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（1）承包人提交的竣工资料的内容：。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承包人需要提交的竣工资料套数：。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承包人提交的竣工资料的费用承担：。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承包人提交的竣工资料移交时间：。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承包人提交的竣工资料形式要求：。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（2）承包人应履行的其他义务：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完成深化设计文件提交时间：。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应提供计划、报表的名称及完成时间：。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承担施工安全保卫工作及非夜间施工照明的责任和要求：。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向发包人提供的办公和生活房屋及设施的要求：无。</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需承包人办理的有关施工场地交通、环卫和施工噪音管理手续：。</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已完工程成品保护的特殊要求及费用承担：。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施工场地周围地下管线和邻近建筑物、构筑物（含文物保护建筑）、古树名木的保护要求及费用承担：。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施工场地清洁卫生的要求：。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消防相关工程、资料完善并确保通过消防验收。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按合同约定支付竣工结算效益审计费用。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承包人应按有关法律规定纳税，应缴纳的税金包括在合同价格内。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双方约定承包人应做的其他工作：。</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 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3.2.1 项目经理：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身份证号：；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建造师执业资格等级：；</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建造师注册证书号：；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建造师执业印章号：；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安全生产考核合格证书号：；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承包人对项目经理的授权范围如下：。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关于项目经理每月在施工现场的时间要求：。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承包人未提交劳动合同，以及没有为项目经理缴纳社会保险证明的违约责任：。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3.2.2 承包人擅自更换项目经理或技术负责人的违约责任：。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3.2.3 承包人无正当理由拒绝更换项目经理的违约责任：。</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 承包人人员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3.3.1 承包人提交项目管理机构及施工现场管理人员安排报告的期限：。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3.3.2 承包人无正当理由拒绝撤换主要施工管理人员的违约责任：。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3.3.3 承包人主要施工管理人员离开施工现场的批准要求：。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3.3.4 承包人擅自更换主要施工管理人员的违约责任：。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3.3.5 承包人主要施工管理人员擅自离开施工现场的违约责任：。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bookmarkStart w:id="235" w:name="_Toc296347158"/>
      <w:bookmarkStart w:id="236" w:name="_Toc300934945"/>
      <w:bookmarkStart w:id="237" w:name="_Toc296346660"/>
      <w:bookmarkStart w:id="238" w:name="_Toc297123492"/>
      <w:bookmarkStart w:id="239" w:name="_Toc292559364"/>
      <w:bookmarkStart w:id="240" w:name="_Toc296890987"/>
      <w:bookmarkStart w:id="241" w:name="_Toc292559869"/>
      <w:bookmarkStart w:id="242" w:name="_Toc296503159"/>
      <w:bookmarkStart w:id="243" w:name="_Toc312677988"/>
      <w:bookmarkStart w:id="244" w:name="_Toc297120459"/>
      <w:bookmarkStart w:id="245" w:name="_Toc304295523"/>
      <w:bookmarkStart w:id="246" w:name="_Toc303539102"/>
      <w:bookmarkStart w:id="247" w:name="_Toc297216151"/>
      <w:bookmarkStart w:id="248" w:name="_Toc296891199"/>
      <w:bookmarkStart w:id="249" w:name="_Toc296944498"/>
      <w:bookmarkStart w:id="250" w:name="_Toc297048345"/>
      <w:r>
        <w:rPr>
          <w:rFonts w:hint="eastAsia" w:hAnsi="宋体" w:cs="宋体"/>
          <w:sz w:val="24"/>
          <w:szCs w:val="22"/>
        </w:rPr>
        <w:t>.4 分包</w:t>
      </w:r>
    </w:p>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bookmarkStart w:id="251" w:name="_Toc300934946"/>
      <w:bookmarkStart w:id="252" w:name="_Toc292559870"/>
      <w:bookmarkStart w:id="253" w:name="_Toc297123493"/>
      <w:bookmarkStart w:id="254" w:name="_Toc296503160"/>
      <w:bookmarkStart w:id="255" w:name="_Toc292559365"/>
      <w:bookmarkStart w:id="256" w:name="_Toc303539103"/>
      <w:bookmarkStart w:id="257" w:name="_Toc296346661"/>
      <w:bookmarkStart w:id="258" w:name="_Toc304295524"/>
      <w:bookmarkStart w:id="259" w:name="_Toc297048346"/>
      <w:bookmarkStart w:id="260" w:name="_Toc297216152"/>
      <w:bookmarkStart w:id="261" w:name="_Toc296890988"/>
      <w:bookmarkStart w:id="262" w:name="_Toc296891200"/>
      <w:bookmarkStart w:id="263" w:name="_Toc297120460"/>
      <w:bookmarkStart w:id="264" w:name="_Toc296944499"/>
      <w:bookmarkStart w:id="265" w:name="_Toc296347159"/>
      <w:bookmarkStart w:id="266" w:name="_Toc312677989"/>
      <w:bookmarkStart w:id="267" w:name="_Toc318581158"/>
      <w:r>
        <w:rPr>
          <w:rFonts w:hint="eastAsia" w:hAnsi="宋体" w:cs="宋体"/>
          <w:sz w:val="24"/>
          <w:szCs w:val="22"/>
        </w:rPr>
        <w:t>.4.1 分包的一般约定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禁止分包的工程包括：本工程无分包。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主体结构、关键性工作的范围：。</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Start w:id="268" w:name="_Toc297216153"/>
      <w:bookmarkStart w:id="269" w:name="_Toc303539104"/>
      <w:bookmarkStart w:id="270" w:name="_Toc297120461"/>
      <w:bookmarkStart w:id="271" w:name="_Toc296891201"/>
      <w:bookmarkStart w:id="272" w:name="_Toc296503161"/>
      <w:bookmarkStart w:id="273" w:name="_Toc296346662"/>
      <w:bookmarkStart w:id="274" w:name="_Toc304295525"/>
      <w:bookmarkStart w:id="275" w:name="_Toc297123494"/>
      <w:bookmarkStart w:id="276" w:name="_Toc296347160"/>
      <w:bookmarkStart w:id="277" w:name="_Toc296890989"/>
      <w:bookmarkStart w:id="278" w:name="_Toc296944500"/>
      <w:bookmarkStart w:id="279" w:name="_Toc300934947"/>
      <w:bookmarkStart w:id="280" w:name="_Toc297048347"/>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 xml:space="preserve">    3</w:t>
      </w:r>
      <w:bookmarkStart w:id="281" w:name="_Toc318581159"/>
      <w:bookmarkStart w:id="282" w:name="_Toc312677990"/>
      <w:r>
        <w:rPr>
          <w:rFonts w:hint="eastAsia" w:hAnsi="宋体" w:cs="宋体"/>
          <w:sz w:val="24"/>
          <w:szCs w:val="22"/>
        </w:rPr>
        <w:t>.4.2分包的确定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允许分包的专业工程包括：无。</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其他关于分包的约定：。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3.4.3 分包合同价款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关于分包合同价款支付的约定：。</w:t>
      </w:r>
    </w:p>
    <w:p>
      <w:pPr>
        <w:tabs>
          <w:tab w:val="left" w:pos="0"/>
        </w:tabs>
        <w:spacing w:after="50" w:line="360" w:lineRule="auto"/>
        <w:ind w:firstLine="480" w:firstLineChars="200"/>
        <w:jc w:val="left"/>
        <w:rPr>
          <w:rFonts w:hAnsi="宋体" w:cs="宋体"/>
          <w:sz w:val="24"/>
          <w:szCs w:val="22"/>
        </w:rPr>
      </w:pPr>
    </w:p>
    <w:bookmarkEnd w:id="281"/>
    <w:bookmarkEnd w:id="28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3.5 工程照管与成品、半成品保护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承包人负责照管工程及工程相关的材料、工程设备的起始时间：。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3.6 履约担保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承包人是否提供履约担保：。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承包人提供履约担保的形式、金额及期限：。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83" w:name="_Toc351203636"/>
      <w:r>
        <w:rPr>
          <w:rFonts w:hint="eastAsia" w:hAnsi="宋体" w:cs="宋体"/>
          <w:sz w:val="24"/>
          <w:szCs w:val="22"/>
        </w:rPr>
        <w:t>4</w:t>
      </w:r>
      <w:bookmarkStart w:id="284" w:name="_Toc296891202"/>
      <w:bookmarkStart w:id="285" w:name="_Toc296944501"/>
      <w:bookmarkStart w:id="286" w:name="_Toc267251413"/>
      <w:bookmarkStart w:id="287" w:name="_Toc296503162"/>
      <w:bookmarkStart w:id="288" w:name="_Toc292559366"/>
      <w:bookmarkStart w:id="289" w:name="_Toc296347161"/>
      <w:bookmarkStart w:id="290" w:name="_Toc296890990"/>
      <w:bookmarkStart w:id="291" w:name="_Toc296346663"/>
      <w:bookmarkStart w:id="292" w:name="_Toc297048348"/>
      <w:bookmarkStart w:id="293" w:name="_Toc297120462"/>
      <w:bookmarkStart w:id="294" w:name="_Toc292559871"/>
      <w:r>
        <w:rPr>
          <w:rFonts w:hint="eastAsia" w:hAnsi="宋体" w:cs="宋体"/>
          <w:sz w:val="24"/>
          <w:szCs w:val="22"/>
        </w:rPr>
        <w:t>. 监</w:t>
      </w:r>
      <w:bookmarkEnd w:id="284"/>
      <w:bookmarkEnd w:id="285"/>
      <w:bookmarkEnd w:id="286"/>
      <w:bookmarkEnd w:id="287"/>
      <w:bookmarkEnd w:id="288"/>
      <w:bookmarkEnd w:id="289"/>
      <w:bookmarkEnd w:id="290"/>
      <w:bookmarkEnd w:id="291"/>
      <w:bookmarkEnd w:id="292"/>
      <w:bookmarkEnd w:id="293"/>
      <w:bookmarkEnd w:id="294"/>
      <w:r>
        <w:rPr>
          <w:rFonts w:hint="eastAsia" w:hAnsi="宋体" w:cs="宋体"/>
          <w:sz w:val="24"/>
          <w:szCs w:val="22"/>
        </w:rPr>
        <w:t>理人</w:t>
      </w:r>
      <w:bookmarkEnd w:id="2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4.1监理人的一般规定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关于监理人的监理内容：。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关于监理人的监理权限：。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关于监理人在施工现场的办公场所、生活场所的提供和费用承担的约定：。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4.2 监理人员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总监理工程师：</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姓名：；</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职务：；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监理工程师执业资格证书号：；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联系电话：；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电子信箱：；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通信地址：；</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关于监理人的其他约定：。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4.3 商定或确定</w:t>
      </w:r>
    </w:p>
    <w:p>
      <w:pPr>
        <w:tabs>
          <w:tab w:val="left" w:pos="0"/>
        </w:tabs>
        <w:spacing w:after="50" w:line="360" w:lineRule="auto"/>
        <w:ind w:firstLine="480" w:firstLineChars="200"/>
        <w:jc w:val="left"/>
        <w:rPr>
          <w:rFonts w:hAnsi="宋体" w:cs="宋体"/>
          <w:sz w:val="24"/>
          <w:szCs w:val="22"/>
        </w:rPr>
      </w:pPr>
      <w:bookmarkStart w:id="295" w:name="_Toc267251418"/>
      <w:r>
        <w:rPr>
          <w:rFonts w:hint="eastAsia" w:hAnsi="宋体" w:cs="宋体"/>
          <w:sz w:val="24"/>
          <w:szCs w:val="22"/>
        </w:rPr>
        <w:t>在发包人和承包人不能通过协商达成一致意见时，发包人授权监理人对以下事项进行确定：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296" w:name="_Toc351203637"/>
      <w:r>
        <w:rPr>
          <w:rFonts w:hint="eastAsia" w:hAnsi="宋体" w:cs="宋体"/>
          <w:sz w:val="24"/>
          <w:szCs w:val="22"/>
        </w:rPr>
        <w:t>5</w:t>
      </w:r>
      <w:bookmarkEnd w:id="295"/>
      <w:bookmarkStart w:id="297" w:name="_Toc296890991"/>
      <w:bookmarkStart w:id="298" w:name="_Toc296346664"/>
      <w:bookmarkStart w:id="299" w:name="_Toc296891203"/>
      <w:bookmarkStart w:id="300" w:name="_Toc296503163"/>
      <w:bookmarkStart w:id="301" w:name="_Toc292559367"/>
      <w:bookmarkStart w:id="302" w:name="_Toc297120463"/>
      <w:bookmarkStart w:id="303" w:name="_Toc296347162"/>
      <w:bookmarkStart w:id="304" w:name="_Toc292559872"/>
      <w:bookmarkStart w:id="305" w:name="_Toc297048349"/>
      <w:bookmarkStart w:id="306" w:name="_Toc296944502"/>
      <w:r>
        <w:rPr>
          <w:rFonts w:hint="eastAsia" w:hAnsi="宋体" w:cs="宋体"/>
          <w:sz w:val="24"/>
          <w:szCs w:val="22"/>
        </w:rPr>
        <w:t>. 工程质量</w:t>
      </w:r>
      <w:bookmarkEnd w:id="296"/>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5.1 质量要求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w:t>
      </w:r>
      <w:bookmarkStart w:id="307" w:name="_Toc300934949"/>
      <w:bookmarkStart w:id="308" w:name="_Toc304295527"/>
      <w:bookmarkStart w:id="309" w:name="_Toc318581164"/>
      <w:bookmarkStart w:id="310" w:name="_Toc297123496"/>
      <w:bookmarkStart w:id="311" w:name="_Toc312677997"/>
      <w:bookmarkStart w:id="312" w:name="_Toc297216155"/>
      <w:bookmarkStart w:id="313" w:name="_Toc303539106"/>
      <w:r>
        <w:rPr>
          <w:rFonts w:hint="eastAsia" w:hAnsi="宋体" w:cs="宋体"/>
          <w:sz w:val="24"/>
          <w:szCs w:val="22"/>
        </w:rPr>
        <w:t>.1.1 特殊质量标准和要求：。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关于工程奖项的约定：。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5.2 隐蔽工程检查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5.2.1承包人提前通知监理人隐蔽工程检查的期限的约定：。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监理人不能按时进行检查时，应提前X小时提交书面延期要求。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关于延期最长不得超过：X小时。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314" w:name="_Toc351203638"/>
      <w:r>
        <w:rPr>
          <w:rFonts w:hint="eastAsia" w:hAnsi="宋体" w:cs="宋体"/>
          <w:sz w:val="24"/>
          <w:szCs w:val="22"/>
        </w:rPr>
        <w:t>6. 安全文明施工与环境保护</w:t>
      </w:r>
      <w:bookmarkEnd w:id="31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6.1安全文明施工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6.1.1 项目安全生产的达标目标及相应事项的约定：。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6.1.2 关于治安保卫的特别约定：。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关于编制施工场地治安管理计划的约定：。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6.1.3 文明施工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合同当事人对文明施工的要求：。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6.1.4 关于安全文明施工费支付比例和支付期限的约定：。</w:t>
      </w:r>
    </w:p>
    <w:p>
      <w:pPr>
        <w:tabs>
          <w:tab w:val="left" w:pos="0"/>
        </w:tabs>
        <w:spacing w:after="50" w:line="360" w:lineRule="auto"/>
        <w:ind w:firstLine="480" w:firstLineChars="200"/>
        <w:jc w:val="left"/>
        <w:rPr>
          <w:rFonts w:hAnsi="宋体" w:cs="宋体"/>
          <w:sz w:val="24"/>
          <w:szCs w:val="22"/>
        </w:rPr>
      </w:pPr>
    </w:p>
    <w:bookmarkEnd w:id="307"/>
    <w:bookmarkEnd w:id="308"/>
    <w:bookmarkEnd w:id="309"/>
    <w:bookmarkEnd w:id="310"/>
    <w:bookmarkEnd w:id="311"/>
    <w:bookmarkEnd w:id="312"/>
    <w:bookmarkEnd w:id="313"/>
    <w:p>
      <w:pPr>
        <w:tabs>
          <w:tab w:val="left" w:pos="0"/>
        </w:tabs>
        <w:spacing w:after="50" w:line="360" w:lineRule="auto"/>
        <w:ind w:firstLine="480" w:firstLineChars="200"/>
        <w:jc w:val="left"/>
        <w:rPr>
          <w:rFonts w:hAnsi="宋体" w:cs="宋体"/>
          <w:sz w:val="24"/>
          <w:szCs w:val="22"/>
        </w:rPr>
      </w:pPr>
      <w:bookmarkStart w:id="315" w:name="_Toc351203639"/>
      <w:r>
        <w:rPr>
          <w:rFonts w:hint="eastAsia" w:hAnsi="宋体" w:cs="宋体"/>
          <w:sz w:val="24"/>
          <w:szCs w:val="22"/>
        </w:rPr>
        <w:t>7. 工期和进度</w:t>
      </w:r>
      <w:bookmarkEnd w:id="315"/>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 施工组织设计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7.1.1 合同当事人约定的施工组织设计应包括的其他内容：。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7.1.2 施工组织设计的提交和修改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承包人提交详细施工组织设计的期限的约定：。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发包人和监理人在收到详细的施工组织设计后确认或提出修改意见的期限：。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16" w:name="_Toc304295541"/>
      <w:bookmarkStart w:id="317" w:name="_Toc312677479"/>
      <w:bookmarkStart w:id="318" w:name="_Toc297216173"/>
      <w:bookmarkStart w:id="319" w:name="_Toc312678005"/>
      <w:bookmarkStart w:id="320" w:name="_Toc303539123"/>
      <w:bookmarkStart w:id="321" w:name="_Toc297123514"/>
      <w:bookmarkStart w:id="322" w:name="_Toc300934966"/>
      <w:r>
        <w:rPr>
          <w:rFonts w:hint="eastAsia" w:hAnsi="宋体" w:cs="宋体"/>
          <w:sz w:val="24"/>
          <w:szCs w:val="22"/>
        </w:rPr>
        <w:t>.2 施工进度计划</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7.2.1 施工进度计划的修订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承包人提供施工组织设计（施工方案）和进度计划的时间：。</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 开工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7.3.1 开工准备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关于承包人提交工程开工报审表的期限：。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关于发包人应完成的其他开工准备工作及期限：。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关于承包人应完成的其他开工准备工作及期限：。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7.3.2开工通知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因发包人原因造成监理人未能在计划开工日期之日起X天内发出开工通知的，承包人有权提出价格调整要求，或者解除合同。</w:t>
      </w:r>
    </w:p>
    <w:p>
      <w:pPr>
        <w:tabs>
          <w:tab w:val="left" w:pos="0"/>
        </w:tabs>
        <w:spacing w:after="50" w:line="360" w:lineRule="auto"/>
        <w:ind w:firstLine="480" w:firstLineChars="200"/>
        <w:jc w:val="left"/>
        <w:rPr>
          <w:rFonts w:hAnsi="宋体" w:cs="宋体"/>
          <w:sz w:val="24"/>
          <w:szCs w:val="22"/>
        </w:rPr>
      </w:pPr>
    </w:p>
    <w:bookmarkEnd w:id="316"/>
    <w:bookmarkEnd w:id="317"/>
    <w:bookmarkEnd w:id="318"/>
    <w:bookmarkEnd w:id="319"/>
    <w:bookmarkEnd w:id="320"/>
    <w:bookmarkEnd w:id="321"/>
    <w:bookmarkEnd w:id="32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7.4 测量放线</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7.4.1发包人通过监理人向承包人提供测量基准点、基准线和水准点及其书面资料的期限：。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23" w:name="_Toc303539125"/>
      <w:bookmarkStart w:id="324" w:name="_Toc297216175"/>
      <w:bookmarkStart w:id="325" w:name="_Toc297123516"/>
      <w:bookmarkStart w:id="326" w:name="_Toc312678010"/>
      <w:bookmarkStart w:id="327" w:name="_Toc312677484"/>
      <w:bookmarkStart w:id="328" w:name="_Toc304295546"/>
      <w:bookmarkStart w:id="329" w:name="_Toc300934968"/>
      <w:r>
        <w:rPr>
          <w:rFonts w:hint="eastAsia" w:hAnsi="宋体" w:cs="宋体"/>
          <w:sz w:val="24"/>
          <w:szCs w:val="22"/>
        </w:rPr>
        <w:t>.5 工期延误</w:t>
      </w:r>
    </w:p>
    <w:bookmarkEnd w:id="323"/>
    <w:bookmarkEnd w:id="324"/>
    <w:bookmarkEnd w:id="325"/>
    <w:bookmarkEnd w:id="326"/>
    <w:bookmarkEnd w:id="327"/>
    <w:bookmarkEnd w:id="328"/>
    <w:bookmarkEnd w:id="32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7.5.1 因发包人原因导致工期延误</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因发包人原因导致工期延误的其他情形：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30" w:name="_Toc312678012"/>
      <w:bookmarkStart w:id="331" w:name="_Toc318581169"/>
      <w:bookmarkStart w:id="332" w:name="_Toc312677486"/>
      <w:bookmarkStart w:id="333" w:name="_Toc304295548"/>
      <w:bookmarkStart w:id="334" w:name="_Toc297123518"/>
      <w:bookmarkStart w:id="335" w:name="_Toc297216177"/>
      <w:bookmarkStart w:id="336" w:name="_Toc300934970"/>
      <w:bookmarkStart w:id="337" w:name="_Toc303539127"/>
      <w:r>
        <w:rPr>
          <w:rFonts w:hint="eastAsia" w:hAnsi="宋体" w:cs="宋体"/>
          <w:sz w:val="24"/>
          <w:szCs w:val="22"/>
        </w:rPr>
        <w:t>.5.2 因承包人原因导致工期延误</w:t>
      </w:r>
    </w:p>
    <w:bookmarkEnd w:id="330"/>
    <w:bookmarkEnd w:id="331"/>
    <w:bookmarkEnd w:id="33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w:t>
      </w:r>
      <w:bookmarkStart w:id="338" w:name="_Toc318581170"/>
      <w:bookmarkStart w:id="339" w:name="_Toc312678013"/>
      <w:bookmarkStart w:id="340" w:name="_Toc312677487"/>
      <w:r>
        <w:rPr>
          <w:rFonts w:hint="eastAsia" w:hAnsi="宋体" w:cs="宋体"/>
          <w:sz w:val="24"/>
          <w:szCs w:val="22"/>
        </w:rPr>
        <w:t>承包人原因造成工期延误，逾期竣工违约金的计算方法为：</w:t>
      </w:r>
    </w:p>
    <w:bookmarkEnd w:id="333"/>
    <w:bookmarkEnd w:id="334"/>
    <w:bookmarkEnd w:id="335"/>
    <w:bookmarkEnd w:id="336"/>
    <w:bookmarkEnd w:id="337"/>
    <w:bookmarkEnd w:id="338"/>
    <w:bookmarkEnd w:id="339"/>
    <w:bookmarkEnd w:id="34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因承包人原因造成工期延误，逾</w:t>
      </w:r>
      <w:bookmarkStart w:id="341" w:name="_Toc312678014"/>
      <w:bookmarkStart w:id="342" w:name="_Toc318581171"/>
      <w:r>
        <w:rPr>
          <w:rFonts w:hint="eastAsia" w:hAnsi="宋体" w:cs="宋体"/>
          <w:sz w:val="24"/>
          <w:szCs w:val="22"/>
        </w:rPr>
        <w:t>期竣工违约金的上限：签约合同价款的10%。</w:t>
      </w:r>
    </w:p>
    <w:bookmarkEnd w:id="341"/>
    <w:bookmarkEnd w:id="342"/>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43" w:name="_Toc312678015"/>
      <w:bookmarkStart w:id="344" w:name="_Toc300934971"/>
      <w:bookmarkStart w:id="345" w:name="_Toc297216178"/>
      <w:bookmarkStart w:id="346" w:name="_Toc297123519"/>
      <w:bookmarkStart w:id="347" w:name="_Toc304295549"/>
      <w:bookmarkStart w:id="348" w:name="_Toc303539128"/>
      <w:r>
        <w:rPr>
          <w:rFonts w:hint="eastAsia" w:hAnsi="宋体" w:cs="宋体"/>
          <w:sz w:val="24"/>
          <w:szCs w:val="22"/>
        </w:rPr>
        <w:t>.6 不</w:t>
      </w:r>
      <w:bookmarkEnd w:id="343"/>
      <w:bookmarkEnd w:id="344"/>
      <w:bookmarkEnd w:id="345"/>
      <w:bookmarkEnd w:id="346"/>
      <w:bookmarkEnd w:id="347"/>
      <w:bookmarkEnd w:id="348"/>
      <w:r>
        <w:rPr>
          <w:rFonts w:hint="eastAsia" w:hAnsi="宋体" w:cs="宋体"/>
          <w:sz w:val="24"/>
          <w:szCs w:val="22"/>
        </w:rPr>
        <w:t>利物质条件</w:t>
      </w:r>
    </w:p>
    <w:p>
      <w:pPr>
        <w:tabs>
          <w:tab w:val="left" w:pos="0"/>
        </w:tabs>
        <w:spacing w:after="50" w:line="360" w:lineRule="auto"/>
        <w:ind w:firstLine="480" w:firstLineChars="200"/>
        <w:jc w:val="left"/>
        <w:rPr>
          <w:rFonts w:hAnsi="宋体" w:cs="宋体"/>
          <w:sz w:val="24"/>
          <w:szCs w:val="22"/>
        </w:rPr>
      </w:pPr>
      <w:bookmarkStart w:id="349" w:name="_Toc318581172"/>
      <w:bookmarkStart w:id="350" w:name="_Toc304295550"/>
      <w:bookmarkStart w:id="351" w:name="_Toc303539129"/>
      <w:bookmarkStart w:id="352" w:name="_Toc297123520"/>
      <w:bookmarkStart w:id="353" w:name="_Toc297216179"/>
      <w:bookmarkStart w:id="354" w:name="_Toc312678016"/>
      <w:bookmarkStart w:id="355" w:name="_Toc300934972"/>
      <w:r>
        <w:rPr>
          <w:rFonts w:hint="eastAsia" w:hAnsi="宋体" w:cs="宋体"/>
          <w:sz w:val="24"/>
          <w:szCs w:val="22"/>
        </w:rPr>
        <w:t>不利物质条件的其他情形和有关约定：。</w:t>
      </w:r>
    </w:p>
    <w:p>
      <w:pPr>
        <w:tabs>
          <w:tab w:val="left" w:pos="0"/>
        </w:tabs>
        <w:spacing w:after="50" w:line="360" w:lineRule="auto"/>
        <w:ind w:firstLine="480" w:firstLineChars="200"/>
        <w:jc w:val="left"/>
        <w:rPr>
          <w:rFonts w:hAnsi="宋体" w:cs="宋体"/>
          <w:sz w:val="24"/>
          <w:szCs w:val="22"/>
        </w:rPr>
      </w:pPr>
    </w:p>
    <w:bookmarkEnd w:id="349"/>
    <w:bookmarkEnd w:id="350"/>
    <w:bookmarkEnd w:id="351"/>
    <w:bookmarkEnd w:id="352"/>
    <w:bookmarkEnd w:id="353"/>
    <w:bookmarkEnd w:id="354"/>
    <w:bookmarkEnd w:id="35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w:t>
      </w:r>
      <w:bookmarkStart w:id="356" w:name="_Toc312678017"/>
      <w:bookmarkStart w:id="357" w:name="_Toc297123521"/>
      <w:bookmarkStart w:id="358" w:name="_Toc303539130"/>
      <w:bookmarkStart w:id="359" w:name="_Toc300934973"/>
      <w:bookmarkStart w:id="360" w:name="_Toc297216180"/>
      <w:bookmarkStart w:id="361" w:name="_Toc304295551"/>
      <w:r>
        <w:rPr>
          <w:rFonts w:hint="eastAsia" w:hAnsi="宋体" w:cs="宋体"/>
          <w:sz w:val="24"/>
          <w:szCs w:val="22"/>
        </w:rPr>
        <w:t>.7异常恶劣的气候条件</w:t>
      </w:r>
    </w:p>
    <w:bookmarkEnd w:id="356"/>
    <w:bookmarkEnd w:id="357"/>
    <w:bookmarkEnd w:id="358"/>
    <w:bookmarkEnd w:id="359"/>
    <w:bookmarkEnd w:id="360"/>
    <w:bookmarkEnd w:id="36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发包人和承包人同意以下情形视为异常恶劣的气候条件：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7.8 提前竣工的奖励</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7.8.1提前竣工的奖励：无。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362" w:name="_Toc351203640"/>
      <w:r>
        <w:rPr>
          <w:rFonts w:hint="eastAsia" w:hAnsi="宋体" w:cs="宋体"/>
          <w:sz w:val="24"/>
          <w:szCs w:val="22"/>
        </w:rPr>
        <w:t>8. 材料与设备</w:t>
      </w:r>
      <w:bookmarkEnd w:id="36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8.1承包人采购材料与工程设备</w:t>
      </w:r>
    </w:p>
    <w:p>
      <w:pPr>
        <w:tabs>
          <w:tab w:val="left" w:pos="0"/>
        </w:tabs>
        <w:spacing w:after="50" w:line="360" w:lineRule="auto"/>
        <w:ind w:firstLine="480" w:firstLineChars="200"/>
        <w:jc w:val="left"/>
        <w:rPr>
          <w:rFonts w:hAnsi="宋体" w:cs="宋体"/>
          <w:sz w:val="24"/>
          <w:szCs w:val="22"/>
        </w:rPr>
      </w:pPr>
    </w:p>
    <w:bookmarkEnd w:id="297"/>
    <w:bookmarkEnd w:id="298"/>
    <w:bookmarkEnd w:id="299"/>
    <w:bookmarkEnd w:id="300"/>
    <w:bookmarkEnd w:id="301"/>
    <w:bookmarkEnd w:id="302"/>
    <w:bookmarkEnd w:id="303"/>
    <w:bookmarkEnd w:id="304"/>
    <w:bookmarkEnd w:id="305"/>
    <w:bookmarkEnd w:id="30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w:t>
      </w:r>
      <w:bookmarkStart w:id="363" w:name="_Toc297216186"/>
      <w:bookmarkStart w:id="364" w:name="_Toc292559877"/>
      <w:bookmarkStart w:id="365" w:name="_Toc292559372"/>
      <w:bookmarkStart w:id="366" w:name="_Toc296890995"/>
      <w:bookmarkStart w:id="367" w:name="_Toc297120467"/>
      <w:bookmarkStart w:id="368" w:name="_Toc297048353"/>
      <w:bookmarkStart w:id="369" w:name="_Toc280868654"/>
      <w:bookmarkStart w:id="370" w:name="_Toc296347166"/>
      <w:bookmarkStart w:id="371" w:name="_Toc296944506"/>
      <w:bookmarkStart w:id="372" w:name="_Toc297123527"/>
      <w:bookmarkStart w:id="373" w:name="_Toc304295556"/>
      <w:bookmarkStart w:id="374" w:name="_Toc303539136"/>
      <w:bookmarkStart w:id="375" w:name="_Toc296891207"/>
      <w:bookmarkStart w:id="376" w:name="_Toc296346668"/>
      <w:bookmarkStart w:id="377" w:name="_Toc296503167"/>
      <w:bookmarkStart w:id="378" w:name="_Toc312678019"/>
      <w:bookmarkStart w:id="379" w:name="_Toc300934979"/>
      <w:bookmarkStart w:id="380" w:name="_Toc312677493"/>
      <w:bookmarkStart w:id="381" w:name="_Toc267251424"/>
      <w:bookmarkStart w:id="382" w:name="_Toc280868655"/>
      <w:bookmarkStart w:id="383" w:name="_Toc280868656"/>
      <w:r>
        <w:rPr>
          <w:rFonts w:hint="eastAsia" w:hAnsi="宋体" w:cs="宋体"/>
          <w:sz w:val="24"/>
          <w:szCs w:val="22"/>
        </w:rPr>
        <w:t>.2材料与工程设备的保管与使用</w:t>
      </w:r>
    </w:p>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w:t>
      </w:r>
      <w:bookmarkStart w:id="384" w:name="_Toc292559878"/>
      <w:bookmarkStart w:id="385" w:name="_Toc292559373"/>
      <w:bookmarkStart w:id="386" w:name="_Toc297123528"/>
      <w:bookmarkStart w:id="387" w:name="_Toc297216187"/>
      <w:bookmarkStart w:id="388" w:name="_Toc296891208"/>
      <w:bookmarkStart w:id="389" w:name="_Toc312677494"/>
      <w:bookmarkStart w:id="390" w:name="_Toc297048354"/>
      <w:bookmarkStart w:id="391" w:name="_Toc296346669"/>
      <w:bookmarkStart w:id="392" w:name="_Toc296503168"/>
      <w:bookmarkStart w:id="393" w:name="_Toc312678020"/>
      <w:bookmarkStart w:id="394" w:name="_Toc296944507"/>
      <w:bookmarkStart w:id="395" w:name="_Toc300934980"/>
      <w:bookmarkStart w:id="396" w:name="_Toc297120468"/>
      <w:bookmarkStart w:id="397" w:name="_Toc296347167"/>
      <w:bookmarkStart w:id="398" w:name="_Toc318581173"/>
      <w:bookmarkStart w:id="399" w:name="_Toc296890996"/>
      <w:bookmarkStart w:id="400" w:name="_Toc304295557"/>
      <w:bookmarkStart w:id="401" w:name="_Toc303539137"/>
      <w:r>
        <w:rPr>
          <w:rFonts w:hint="eastAsia" w:hAnsi="宋体" w:cs="宋体"/>
          <w:sz w:val="24"/>
          <w:szCs w:val="22"/>
        </w:rPr>
        <w:t>.2.1发包人供应的材料设备的保管费用的承担：。</w:t>
      </w:r>
      <w:bookmarkEnd w:id="384"/>
      <w:bookmarkEnd w:id="385"/>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8.3 样品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8.3.1</w:t>
      </w:r>
      <w:r>
        <w:rPr>
          <w:rFonts w:hint="eastAsia" w:hAnsi="宋体" w:cs="宋体"/>
          <w:sz w:val="24"/>
          <w:szCs w:val="22"/>
        </w:rPr>
        <w:tab/>
      </w:r>
      <w:r>
        <w:rPr>
          <w:rFonts w:hint="eastAsia" w:hAnsi="宋体" w:cs="宋体"/>
          <w:sz w:val="24"/>
          <w:szCs w:val="22"/>
        </w:rPr>
        <w:t>样品的报送与封存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需要承包人报送样品的材料或工程设备，样品的种类、名称、规格、数量要求：。</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 施工设备和临时设施</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8.4.1 承包人提供的施工设备和临时设施</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8.4.2 关于修建临时设施费用承担的约定：。</w:t>
      </w:r>
    </w:p>
    <w:p>
      <w:pPr>
        <w:tabs>
          <w:tab w:val="left" w:pos="0"/>
        </w:tabs>
        <w:spacing w:after="50" w:line="360" w:lineRule="auto"/>
        <w:ind w:firstLine="480" w:firstLineChars="200"/>
        <w:jc w:val="left"/>
        <w:rPr>
          <w:rFonts w:hAnsi="宋体" w:cs="宋体"/>
          <w:sz w:val="24"/>
          <w:szCs w:val="22"/>
        </w:rPr>
      </w:pP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Pr>
        <w:tabs>
          <w:tab w:val="left" w:pos="0"/>
        </w:tabs>
        <w:spacing w:after="50" w:line="360" w:lineRule="auto"/>
        <w:ind w:firstLine="480" w:firstLineChars="200"/>
        <w:jc w:val="left"/>
        <w:rPr>
          <w:rFonts w:hAnsi="宋体" w:cs="宋体"/>
          <w:sz w:val="24"/>
          <w:szCs w:val="22"/>
        </w:rPr>
      </w:pPr>
      <w:bookmarkStart w:id="402" w:name="_Toc351203641"/>
      <w:r>
        <w:rPr>
          <w:rFonts w:hint="eastAsia" w:hAnsi="宋体" w:cs="宋体"/>
          <w:sz w:val="24"/>
          <w:szCs w:val="22"/>
        </w:rPr>
        <w:t>9</w:t>
      </w:r>
      <w:bookmarkEnd w:id="381"/>
      <w:bookmarkEnd w:id="382"/>
      <w:bookmarkEnd w:id="383"/>
      <w:bookmarkStart w:id="403" w:name="_Toc300934982"/>
      <w:bookmarkStart w:id="404" w:name="_Toc304295559"/>
      <w:bookmarkStart w:id="405" w:name="_Toc312677495"/>
      <w:bookmarkStart w:id="406" w:name="_Toc303539139"/>
      <w:bookmarkStart w:id="407" w:name="_Toc312678021"/>
      <w:bookmarkStart w:id="408" w:name="_Toc297216192"/>
      <w:bookmarkStart w:id="409" w:name="_Toc297123533"/>
      <w:bookmarkStart w:id="410" w:name="_Toc296944512"/>
      <w:bookmarkStart w:id="411" w:name="_Toc296346674"/>
      <w:bookmarkStart w:id="412" w:name="_Toc267251427"/>
      <w:bookmarkStart w:id="413" w:name="_Toc267251428"/>
      <w:bookmarkStart w:id="414" w:name="_Toc297048359"/>
      <w:bookmarkStart w:id="415" w:name="_Toc292559378"/>
      <w:bookmarkStart w:id="416" w:name="_Toc296891213"/>
      <w:bookmarkStart w:id="417" w:name="_Toc296503173"/>
      <w:bookmarkStart w:id="418" w:name="_Toc296891001"/>
      <w:bookmarkStart w:id="419" w:name="_Toc297120473"/>
      <w:bookmarkStart w:id="420" w:name="_Toc296347172"/>
      <w:bookmarkStart w:id="421" w:name="_Toc292559883"/>
      <w:r>
        <w:rPr>
          <w:rFonts w:hint="eastAsia" w:hAnsi="宋体" w:cs="宋体"/>
          <w:sz w:val="24"/>
          <w:szCs w:val="22"/>
        </w:rPr>
        <w:t>. 试验与检验</w:t>
      </w:r>
      <w:bookmarkEnd w:id="402"/>
    </w:p>
    <w:bookmarkEnd w:id="403"/>
    <w:bookmarkEnd w:id="404"/>
    <w:bookmarkEnd w:id="405"/>
    <w:bookmarkEnd w:id="406"/>
    <w:bookmarkEnd w:id="407"/>
    <w:bookmarkEnd w:id="408"/>
    <w:bookmarkEnd w:id="40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w:t>
      </w:r>
      <w:bookmarkStart w:id="422" w:name="_Toc312677496"/>
      <w:bookmarkStart w:id="423" w:name="_Toc300934983"/>
      <w:bookmarkStart w:id="424" w:name="_Toc312678022"/>
      <w:bookmarkStart w:id="425" w:name="_Toc303539140"/>
      <w:bookmarkStart w:id="426" w:name="_Toc297216193"/>
      <w:bookmarkStart w:id="427" w:name="_Toc304295560"/>
      <w:bookmarkStart w:id="428" w:name="_Toc297123534"/>
      <w:r>
        <w:rPr>
          <w:rFonts w:hint="eastAsia" w:hAnsi="宋体" w:cs="宋体"/>
          <w:sz w:val="24"/>
          <w:szCs w:val="22"/>
        </w:rPr>
        <w:t>.1试验设备与试验人员</w:t>
      </w:r>
    </w:p>
    <w:bookmarkEnd w:id="422"/>
    <w:bookmarkEnd w:id="423"/>
    <w:bookmarkEnd w:id="424"/>
    <w:bookmarkEnd w:id="425"/>
    <w:bookmarkEnd w:id="426"/>
    <w:bookmarkEnd w:id="427"/>
    <w:bookmarkEnd w:id="428"/>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w:t>
      </w:r>
      <w:bookmarkStart w:id="429" w:name="_Toc304295561"/>
      <w:bookmarkStart w:id="430" w:name="_Toc297216194"/>
      <w:bookmarkStart w:id="431" w:name="_Toc303539141"/>
      <w:bookmarkStart w:id="432" w:name="_Toc312678023"/>
      <w:bookmarkStart w:id="433" w:name="_Toc300934984"/>
      <w:bookmarkStart w:id="434" w:name="_Toc312677497"/>
      <w:bookmarkStart w:id="435" w:name="_Toc297123535"/>
      <w:bookmarkStart w:id="436" w:name="_Toc318581174"/>
      <w:r>
        <w:rPr>
          <w:rFonts w:hint="eastAsia" w:hAnsi="宋体" w:cs="宋体"/>
          <w:sz w:val="24"/>
          <w:szCs w:val="22"/>
        </w:rPr>
        <w:t>.1.1 试验设备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施工现场需要配置的试验场所：</w:t>
      </w:r>
      <w:bookmarkEnd w:id="429"/>
      <w:bookmarkEnd w:id="430"/>
      <w:bookmarkEnd w:id="431"/>
      <w:bookmarkEnd w:id="432"/>
      <w:bookmarkEnd w:id="433"/>
      <w:bookmarkEnd w:id="434"/>
      <w:bookmarkEnd w:id="435"/>
      <w:bookmarkStart w:id="437" w:name="_Toc303539142"/>
      <w:bookmarkStart w:id="438" w:name="_Toc312677498"/>
      <w:bookmarkStart w:id="439" w:name="_Toc297123536"/>
      <w:bookmarkStart w:id="440" w:name="_Toc304295562"/>
      <w:bookmarkStart w:id="441" w:name="_Toc312678024"/>
      <w:bookmarkStart w:id="442" w:name="_Toc297216195"/>
      <w:bookmarkStart w:id="443" w:name="_Toc300934985"/>
      <w:r>
        <w:rPr>
          <w:rFonts w:hint="eastAsia" w:hAnsi="宋体" w:cs="宋体"/>
          <w:sz w:val="24"/>
          <w:szCs w:val="22"/>
        </w:rPr>
        <w:t>。</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施工现场需要配备的试验设备：。</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施工现场需要具备的其他试验条件：。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9.2 现场工艺试验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现场工艺试验的有关约定：。</w:t>
      </w:r>
    </w:p>
    <w:p>
      <w:pPr>
        <w:tabs>
          <w:tab w:val="left" w:pos="0"/>
        </w:tabs>
        <w:spacing w:after="50" w:line="360" w:lineRule="auto"/>
        <w:ind w:firstLine="480" w:firstLineChars="200"/>
        <w:jc w:val="left"/>
        <w:rPr>
          <w:rFonts w:hAnsi="宋体" w:cs="宋体"/>
          <w:sz w:val="24"/>
          <w:szCs w:val="22"/>
        </w:rPr>
      </w:pPr>
    </w:p>
    <w:bookmarkEnd w:id="436"/>
    <w:bookmarkEnd w:id="437"/>
    <w:bookmarkEnd w:id="438"/>
    <w:bookmarkEnd w:id="439"/>
    <w:bookmarkEnd w:id="440"/>
    <w:bookmarkEnd w:id="441"/>
    <w:bookmarkEnd w:id="442"/>
    <w:bookmarkEnd w:id="443"/>
    <w:p>
      <w:pPr>
        <w:tabs>
          <w:tab w:val="left" w:pos="0"/>
        </w:tabs>
        <w:spacing w:after="50" w:line="360" w:lineRule="auto"/>
        <w:ind w:firstLine="480" w:firstLineChars="200"/>
        <w:jc w:val="left"/>
        <w:rPr>
          <w:rFonts w:hAnsi="宋体" w:cs="宋体"/>
          <w:sz w:val="24"/>
          <w:szCs w:val="22"/>
        </w:rPr>
      </w:pPr>
      <w:bookmarkStart w:id="444" w:name="_Toc351203642"/>
      <w:r>
        <w:rPr>
          <w:rFonts w:hint="eastAsia" w:hAnsi="宋体" w:cs="宋体"/>
          <w:sz w:val="24"/>
          <w:szCs w:val="22"/>
        </w:rPr>
        <w:t>1</w:t>
      </w:r>
      <w:bookmarkEnd w:id="410"/>
      <w:bookmarkEnd w:id="411"/>
      <w:bookmarkEnd w:id="412"/>
      <w:bookmarkEnd w:id="413"/>
      <w:bookmarkEnd w:id="414"/>
      <w:bookmarkEnd w:id="415"/>
      <w:bookmarkEnd w:id="416"/>
      <w:bookmarkEnd w:id="417"/>
      <w:bookmarkEnd w:id="418"/>
      <w:bookmarkEnd w:id="419"/>
      <w:bookmarkEnd w:id="420"/>
      <w:bookmarkEnd w:id="421"/>
      <w:bookmarkStart w:id="445" w:name="_Toc296944532"/>
      <w:bookmarkStart w:id="446" w:name="_Toc296347192"/>
      <w:bookmarkStart w:id="447" w:name="_Toc296891021"/>
      <w:bookmarkStart w:id="448" w:name="_Toc304295566"/>
      <w:bookmarkStart w:id="449" w:name="_Toc303539146"/>
      <w:bookmarkStart w:id="450" w:name="_Toc296891233"/>
      <w:bookmarkStart w:id="451" w:name="_Toc292559398"/>
      <w:bookmarkStart w:id="452" w:name="_Toc300934989"/>
      <w:bookmarkStart w:id="453" w:name="_Toc296346694"/>
      <w:bookmarkStart w:id="454" w:name="_Toc297216199"/>
      <w:bookmarkStart w:id="455" w:name="_Toc297123540"/>
      <w:bookmarkStart w:id="456" w:name="_Toc296503193"/>
      <w:bookmarkStart w:id="457" w:name="_Toc297120493"/>
      <w:bookmarkStart w:id="458" w:name="_Toc297048379"/>
      <w:bookmarkStart w:id="459" w:name="_Toc292559903"/>
      <w:bookmarkStart w:id="460" w:name="_Toc312677499"/>
      <w:bookmarkStart w:id="461" w:name="_Toc312678025"/>
      <w:bookmarkStart w:id="462" w:name="_Toc267251439"/>
      <w:bookmarkStart w:id="463" w:name="_Toc267251437"/>
      <w:bookmarkStart w:id="464" w:name="_Toc267251440"/>
      <w:bookmarkStart w:id="465" w:name="_Toc267251441"/>
      <w:bookmarkStart w:id="466" w:name="_Toc267251433"/>
      <w:bookmarkStart w:id="467" w:name="_Toc267251435"/>
      <w:bookmarkStart w:id="468" w:name="_Toc267251442"/>
      <w:r>
        <w:rPr>
          <w:rFonts w:hint="eastAsia" w:hAnsi="宋体" w:cs="宋体"/>
          <w:sz w:val="24"/>
          <w:szCs w:val="22"/>
        </w:rPr>
        <w:t>0. 变更</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bookmarkEnd w:id="460"/>
    <w:bookmarkEnd w:id="46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469" w:name="_Toc304295567"/>
      <w:bookmarkStart w:id="470" w:name="_Toc292559904"/>
      <w:bookmarkStart w:id="471" w:name="_Toc312677500"/>
      <w:bookmarkStart w:id="472" w:name="_Toc296891234"/>
      <w:bookmarkStart w:id="473" w:name="_Toc297123541"/>
      <w:bookmarkStart w:id="474" w:name="_Toc300934990"/>
      <w:bookmarkStart w:id="475" w:name="_Toc297120494"/>
      <w:bookmarkStart w:id="476" w:name="_Toc292559399"/>
      <w:bookmarkStart w:id="477" w:name="_Toc303539147"/>
      <w:bookmarkStart w:id="478" w:name="_Toc296346695"/>
      <w:bookmarkStart w:id="479" w:name="_Toc312678026"/>
      <w:bookmarkStart w:id="480" w:name="_Toc296503194"/>
      <w:bookmarkStart w:id="481" w:name="_Toc297216200"/>
      <w:bookmarkStart w:id="482" w:name="_Toc297048380"/>
      <w:bookmarkStart w:id="483" w:name="_Toc296944533"/>
      <w:bookmarkStart w:id="484" w:name="_Toc296347193"/>
      <w:bookmarkStart w:id="485" w:name="_Toc296891022"/>
      <w:r>
        <w:rPr>
          <w:rFonts w:hint="eastAsia" w:hAnsi="宋体" w:cs="宋体"/>
          <w:sz w:val="24"/>
          <w:szCs w:val="22"/>
        </w:rPr>
        <w:t>0.1 变更的范围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关于变更的范围的约定：。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10.2 变更估价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10.2.1 变更估价原则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关于变更估价的约定: 。</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Start w:id="486" w:name="_Toc297048383"/>
      <w:bookmarkStart w:id="487" w:name="_Toc292559402"/>
      <w:bookmarkStart w:id="488" w:name="_Toc297120497"/>
      <w:bookmarkStart w:id="489" w:name="_Toc296503197"/>
      <w:bookmarkStart w:id="490" w:name="_Toc296891237"/>
      <w:bookmarkStart w:id="491" w:name="_Toc296346698"/>
      <w:bookmarkStart w:id="492" w:name="_Toc297216203"/>
      <w:bookmarkStart w:id="493" w:name="_Toc303539150"/>
      <w:bookmarkStart w:id="494" w:name="_Toc297123544"/>
      <w:bookmarkStart w:id="495" w:name="_Toc300934993"/>
      <w:bookmarkStart w:id="496" w:name="_Toc296944536"/>
      <w:bookmarkStart w:id="497" w:name="_Toc296347196"/>
      <w:bookmarkStart w:id="498" w:name="_Toc296891025"/>
      <w:bookmarkStart w:id="499" w:name="_Toc292559907"/>
      <w:bookmarkStart w:id="500" w:name="_Toc312677503"/>
      <w:bookmarkStart w:id="501" w:name="_Toc304295570"/>
      <w:bookmarkStart w:id="502" w:name="_Toc312678029"/>
      <w:r>
        <w:rPr>
          <w:rFonts w:hint="eastAsia" w:hAnsi="宋体" w:cs="宋体"/>
          <w:sz w:val="24"/>
          <w:szCs w:val="22"/>
        </w:rPr>
        <w:t>0.3 承</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3" w:name="_Toc296346704"/>
      <w:bookmarkStart w:id="504" w:name="_Toc297216204"/>
      <w:bookmarkStart w:id="505" w:name="_Toc292559408"/>
      <w:bookmarkStart w:id="506" w:name="_Toc296347202"/>
      <w:bookmarkStart w:id="507" w:name="_Toc296891243"/>
      <w:bookmarkStart w:id="508" w:name="_Toc292559913"/>
      <w:bookmarkStart w:id="509" w:name="_Toc300934994"/>
      <w:bookmarkStart w:id="510" w:name="_Toc296891031"/>
      <w:bookmarkStart w:id="511" w:name="_Toc296503203"/>
      <w:bookmarkStart w:id="512" w:name="_Toc303539151"/>
      <w:bookmarkStart w:id="513" w:name="_Toc297048389"/>
      <w:bookmarkStart w:id="514" w:name="_Toc296944542"/>
      <w:bookmarkStart w:id="515" w:name="_Toc297123545"/>
      <w:bookmarkStart w:id="516" w:name="_Toc297120503"/>
      <w:r>
        <w:rPr>
          <w:rFonts w:hint="eastAsia" w:hAnsi="宋体" w:cs="宋体"/>
          <w:sz w:val="24"/>
          <w:szCs w:val="22"/>
        </w:rPr>
        <w:t>包人的合理化建议</w:t>
      </w: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监理人审查承包人合理化建议的期限：。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发包人审批承包人合理化建议的期限：。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w:t>
      </w:r>
      <w:bookmarkStart w:id="517" w:name="_Toc297123546"/>
      <w:bookmarkStart w:id="518" w:name="_Toc297048390"/>
      <w:bookmarkStart w:id="519" w:name="_Toc296347203"/>
      <w:bookmarkStart w:id="520" w:name="_Toc296891244"/>
      <w:bookmarkStart w:id="521" w:name="_Toc296503204"/>
      <w:bookmarkStart w:id="522" w:name="_Toc296346705"/>
      <w:bookmarkStart w:id="523" w:name="_Toc296944543"/>
      <w:bookmarkStart w:id="524" w:name="_Toc303539152"/>
      <w:bookmarkStart w:id="525" w:name="_Toc312677504"/>
      <w:bookmarkStart w:id="526" w:name="_Toc318581175"/>
      <w:bookmarkStart w:id="527" w:name="_Toc292559914"/>
      <w:bookmarkStart w:id="528" w:name="_Toc296891032"/>
      <w:bookmarkStart w:id="529" w:name="_Toc297216205"/>
      <w:bookmarkStart w:id="530" w:name="_Toc292559409"/>
      <w:bookmarkStart w:id="531" w:name="_Toc297120504"/>
      <w:bookmarkStart w:id="532" w:name="_Toc304295571"/>
      <w:bookmarkStart w:id="533" w:name="_Toc300934995"/>
      <w:bookmarkStart w:id="534" w:name="_Toc312678030"/>
      <w:r>
        <w:rPr>
          <w:rFonts w:hint="eastAsia" w:hAnsi="宋体" w:cs="宋体"/>
          <w:sz w:val="24"/>
          <w:szCs w:val="22"/>
        </w:rPr>
        <w:t>包人提出的合理化建议降低了合同价格或者提高了工程经济效益的奖励的方法和金额为：。</w:t>
      </w:r>
    </w:p>
    <w:p>
      <w:pPr>
        <w:tabs>
          <w:tab w:val="left" w:pos="0"/>
        </w:tabs>
        <w:spacing w:after="50" w:line="360" w:lineRule="auto"/>
        <w:ind w:firstLine="480" w:firstLineChars="200"/>
        <w:jc w:val="left"/>
        <w:rPr>
          <w:rFonts w:hAnsi="宋体" w:cs="宋体"/>
          <w:sz w:val="24"/>
          <w:szCs w:val="22"/>
        </w:rPr>
      </w:pP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535" w:name="_Toc297048385"/>
      <w:bookmarkStart w:id="536" w:name="_Toc297216207"/>
      <w:bookmarkStart w:id="537" w:name="_Toc296347198"/>
      <w:bookmarkStart w:id="538" w:name="_Toc296346700"/>
      <w:bookmarkStart w:id="539" w:name="_Toc296503199"/>
      <w:bookmarkStart w:id="540" w:name="_Toc297123548"/>
      <w:bookmarkStart w:id="541" w:name="_Toc296944538"/>
      <w:bookmarkStart w:id="542" w:name="_Toc292559909"/>
      <w:bookmarkStart w:id="543" w:name="_Toc296891027"/>
      <w:bookmarkStart w:id="544" w:name="_Toc304295574"/>
      <w:bookmarkStart w:id="545" w:name="_Toc296891239"/>
      <w:bookmarkStart w:id="546" w:name="_Toc292559404"/>
      <w:bookmarkStart w:id="547" w:name="_Toc312678033"/>
      <w:bookmarkStart w:id="548" w:name="_Toc297120499"/>
      <w:bookmarkStart w:id="549" w:name="_Toc300934997"/>
      <w:bookmarkStart w:id="550" w:name="_Toc312677507"/>
      <w:bookmarkStart w:id="551" w:name="_Toc303539154"/>
      <w:r>
        <w:rPr>
          <w:rFonts w:hint="eastAsia" w:hAnsi="宋体" w:cs="宋体"/>
          <w:sz w:val="24"/>
          <w:szCs w:val="22"/>
        </w:rPr>
        <w:t>0.4 暂估价</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Start w:id="552" w:name="_Toc318581177"/>
      <w:bookmarkStart w:id="553" w:name="_Toc312678035"/>
      <w:bookmarkStart w:id="554" w:name="_Toc312677509"/>
      <w:r>
        <w:rPr>
          <w:rFonts w:hint="eastAsia" w:hAnsi="宋体" w:cs="宋体"/>
          <w:sz w:val="24"/>
          <w:szCs w:val="22"/>
        </w:rPr>
        <w:t>0.4.1 依法必须招标的暂估价项目</w:t>
      </w:r>
    </w:p>
    <w:bookmarkEnd w:id="552"/>
    <w:bookmarkEnd w:id="553"/>
    <w:bookmarkEnd w:id="554"/>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对于依法必须招标的暂估价项目的确认和批准采取第种方式确定。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10.4.2 不属于依法必须招标的暂估价项目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对于不属于依法必须招标的暂估价项目的确认和批准采取第X种方式确定。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第3种方式：承包人直接实施的暂估价项目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承包人直接实施的暂估价项目的约定：。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10.5 暂列金额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合同当事人关于暂列金额使用的约定：。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555" w:name="_Toc351203643"/>
      <w:r>
        <w:rPr>
          <w:rFonts w:hint="eastAsia" w:hAnsi="宋体" w:cs="宋体"/>
          <w:sz w:val="24"/>
          <w:szCs w:val="22"/>
        </w:rPr>
        <w:t>11. 价格调整</w:t>
      </w:r>
      <w:bookmarkEnd w:id="555"/>
    </w:p>
    <w:p>
      <w:pPr>
        <w:tabs>
          <w:tab w:val="left" w:pos="0"/>
        </w:tabs>
        <w:spacing w:after="50" w:line="360" w:lineRule="auto"/>
        <w:ind w:firstLine="480" w:firstLineChars="200"/>
        <w:jc w:val="left"/>
        <w:rPr>
          <w:rFonts w:hAnsi="宋体" w:cs="宋体"/>
          <w:sz w:val="24"/>
          <w:szCs w:val="22"/>
        </w:rPr>
      </w:pPr>
      <w:bookmarkStart w:id="556" w:name="_Toc292559911"/>
      <w:bookmarkStart w:id="557" w:name="_Toc297120501"/>
      <w:bookmarkStart w:id="558" w:name="_Toc296891029"/>
      <w:bookmarkStart w:id="559" w:name="_Toc312678039"/>
      <w:bookmarkStart w:id="560" w:name="_Toc297123550"/>
      <w:bookmarkStart w:id="561" w:name="_Toc303539157"/>
      <w:bookmarkStart w:id="562" w:name="_Toc296347200"/>
      <w:bookmarkStart w:id="563" w:name="_Toc304295577"/>
      <w:bookmarkStart w:id="564" w:name="_Toc297216209"/>
      <w:bookmarkStart w:id="565" w:name="_Toc300935000"/>
      <w:bookmarkStart w:id="566" w:name="_Toc296503201"/>
      <w:bookmarkStart w:id="567" w:name="_Toc296944540"/>
      <w:bookmarkStart w:id="568" w:name="_Toc296891241"/>
      <w:bookmarkStart w:id="569" w:name="_Toc292559406"/>
      <w:bookmarkStart w:id="570" w:name="_Toc296346702"/>
      <w:bookmarkStart w:id="571" w:name="_Toc297048387"/>
      <w:r>
        <w:rPr>
          <w:rFonts w:hint="eastAsia" w:hAnsi="宋体" w:cs="宋体"/>
          <w:sz w:val="24"/>
          <w:szCs w:val="22"/>
        </w:rPr>
        <w:t>11.1 市场价格波动引起的调整</w:t>
      </w:r>
    </w:p>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市场价格波动是否调整合同价格的约定：不调整。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因市场价格波动调整合同价格，采用以下第X种方式对合同价格进行调整：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第1种方式：采用价格指数进行价格调整。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关于各可调因子、定值和变值权重，以及基本价格指数及其来源的约定：；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第2种方式：采用造价信息进行价格调整。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（2）关于基准价格的约定：。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③承包人在已标价工程量清单或预算书中载明的材料单价等于基准单价的：专用合同条款合同履行期间材料单价涨跌幅以基准单价为基础超过±%时，其超过部分据实调整。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第3种方式：其他价格调整方式：。</w:t>
      </w:r>
    </w:p>
    <w:p>
      <w:pPr>
        <w:tabs>
          <w:tab w:val="left" w:pos="0"/>
        </w:tabs>
        <w:spacing w:after="50" w:line="360" w:lineRule="auto"/>
        <w:ind w:firstLine="480" w:firstLineChars="200"/>
        <w:jc w:val="left"/>
        <w:rPr>
          <w:rFonts w:hAnsi="宋体" w:cs="宋体"/>
          <w:sz w:val="24"/>
          <w:szCs w:val="22"/>
        </w:rPr>
      </w:pPr>
    </w:p>
    <w:bookmarkEnd w:id="462"/>
    <w:bookmarkEnd w:id="463"/>
    <w:bookmarkEnd w:id="464"/>
    <w:bookmarkEnd w:id="465"/>
    <w:bookmarkEnd w:id="466"/>
    <w:bookmarkEnd w:id="467"/>
    <w:p>
      <w:pPr>
        <w:tabs>
          <w:tab w:val="left" w:pos="0"/>
        </w:tabs>
        <w:spacing w:after="50" w:line="360" w:lineRule="auto"/>
        <w:ind w:firstLine="480" w:firstLineChars="200"/>
        <w:jc w:val="left"/>
        <w:rPr>
          <w:rFonts w:hAnsi="宋体" w:cs="宋体"/>
          <w:sz w:val="24"/>
          <w:szCs w:val="22"/>
        </w:rPr>
      </w:pPr>
      <w:bookmarkStart w:id="572" w:name="_Toc296944544"/>
      <w:bookmarkStart w:id="573" w:name="_Toc292559410"/>
      <w:bookmarkStart w:id="574" w:name="_Toc296347204"/>
      <w:bookmarkStart w:id="575" w:name="_Toc297048391"/>
      <w:bookmarkStart w:id="576" w:name="_Toc296346706"/>
      <w:bookmarkStart w:id="577" w:name="_Toc292559915"/>
      <w:bookmarkStart w:id="578" w:name="_Toc296891033"/>
      <w:bookmarkStart w:id="579" w:name="_Toc296891245"/>
      <w:bookmarkStart w:id="580" w:name="_Toc296503205"/>
      <w:bookmarkStart w:id="581" w:name="_Toc297120505"/>
      <w:bookmarkStart w:id="582" w:name="_Toc351203644"/>
      <w:bookmarkStart w:id="583" w:name="_Toc304295579"/>
      <w:bookmarkStart w:id="584" w:name="_Toc303539159"/>
      <w:bookmarkStart w:id="585" w:name="_Toc297216211"/>
      <w:bookmarkStart w:id="586" w:name="_Toc312678040"/>
      <w:bookmarkStart w:id="587" w:name="_Toc300935002"/>
      <w:bookmarkStart w:id="588" w:name="_Toc297123552"/>
      <w:r>
        <w:rPr>
          <w:rFonts w:hint="eastAsia" w:hAnsi="宋体" w:cs="宋体"/>
          <w:sz w:val="24"/>
          <w:szCs w:val="22"/>
        </w:rPr>
        <w:t xml:space="preserve">12. </w:t>
      </w:r>
      <w:bookmarkEnd w:id="572"/>
      <w:bookmarkEnd w:id="573"/>
      <w:bookmarkEnd w:id="574"/>
      <w:bookmarkEnd w:id="575"/>
      <w:bookmarkEnd w:id="576"/>
      <w:bookmarkEnd w:id="577"/>
      <w:bookmarkEnd w:id="578"/>
      <w:bookmarkEnd w:id="579"/>
      <w:bookmarkEnd w:id="580"/>
      <w:bookmarkEnd w:id="581"/>
      <w:r>
        <w:rPr>
          <w:rFonts w:hint="eastAsia" w:hAnsi="宋体" w:cs="宋体"/>
          <w:sz w:val="24"/>
          <w:szCs w:val="22"/>
        </w:rPr>
        <w:t>合同价格、计量与支付</w:t>
      </w:r>
      <w:bookmarkEnd w:id="582"/>
    </w:p>
    <w:bookmarkEnd w:id="583"/>
    <w:bookmarkEnd w:id="584"/>
    <w:bookmarkEnd w:id="585"/>
    <w:bookmarkEnd w:id="586"/>
    <w:bookmarkEnd w:id="587"/>
    <w:bookmarkEnd w:id="588"/>
    <w:p>
      <w:pPr>
        <w:tabs>
          <w:tab w:val="left" w:pos="0"/>
        </w:tabs>
        <w:spacing w:after="50" w:line="360" w:lineRule="auto"/>
        <w:ind w:firstLine="480" w:firstLineChars="200"/>
        <w:jc w:val="left"/>
        <w:rPr>
          <w:rFonts w:hAnsi="宋体" w:cs="宋体"/>
          <w:sz w:val="24"/>
          <w:szCs w:val="22"/>
        </w:rPr>
      </w:pPr>
      <w:bookmarkStart w:id="589" w:name="_Toc292559916"/>
      <w:bookmarkStart w:id="590" w:name="_Toc267251461"/>
      <w:bookmarkStart w:id="591" w:name="_Toc292559411"/>
      <w:bookmarkStart w:id="592" w:name="_Toc296891034"/>
      <w:bookmarkStart w:id="593" w:name="_Toc296347205"/>
      <w:bookmarkStart w:id="594" w:name="_Toc296503206"/>
      <w:bookmarkStart w:id="595" w:name="_Toc296891246"/>
      <w:bookmarkStart w:id="596" w:name="_Toc297120506"/>
      <w:bookmarkStart w:id="597" w:name="_Toc297048392"/>
      <w:bookmarkStart w:id="598" w:name="_Toc296944545"/>
      <w:bookmarkStart w:id="599" w:name="_Toc296346707"/>
      <w:bookmarkStart w:id="600" w:name="_Toc297123553"/>
      <w:bookmarkStart w:id="601" w:name="_Toc304295580"/>
      <w:bookmarkStart w:id="602" w:name="_Toc312678041"/>
      <w:bookmarkStart w:id="603" w:name="_Toc297216212"/>
      <w:bookmarkStart w:id="604" w:name="_Toc300935003"/>
      <w:bookmarkStart w:id="605" w:name="_Toc303539160"/>
      <w:bookmarkStart w:id="606" w:name="_Toc312678042"/>
      <w:bookmarkStart w:id="607" w:name="_Toc300935004"/>
      <w:bookmarkStart w:id="608" w:name="_Toc304295581"/>
      <w:bookmarkStart w:id="609" w:name="_Toc303539161"/>
      <w:bookmarkStart w:id="610" w:name="_Toc297123554"/>
      <w:bookmarkStart w:id="611" w:name="_Toc297216213"/>
      <w:bookmarkStart w:id="612" w:name="_Toc297048393"/>
      <w:bookmarkStart w:id="613" w:name="_Toc292559917"/>
      <w:bookmarkStart w:id="614" w:name="_Toc296944546"/>
      <w:bookmarkStart w:id="615" w:name="_Toc292559412"/>
      <w:bookmarkStart w:id="616" w:name="_Toc296891247"/>
      <w:bookmarkStart w:id="617" w:name="_Toc296346708"/>
      <w:bookmarkStart w:id="618" w:name="_Toc296503207"/>
      <w:bookmarkStart w:id="619" w:name="_Toc296891035"/>
      <w:bookmarkStart w:id="620" w:name="_Toc297120507"/>
      <w:bookmarkStart w:id="621" w:name="_Toc296347206"/>
      <w:r>
        <w:rPr>
          <w:rFonts w:hint="eastAsia" w:hAnsi="宋体" w:cs="宋体"/>
          <w:sz w:val="24"/>
          <w:szCs w:val="22"/>
        </w:rPr>
        <w:t>12.1 合</w:t>
      </w:r>
      <w:bookmarkEnd w:id="589"/>
      <w:bookmarkEnd w:id="590"/>
      <w:bookmarkEnd w:id="591"/>
      <w:r>
        <w:rPr>
          <w:rFonts w:hint="eastAsia" w:hAnsi="宋体" w:cs="宋体"/>
          <w:sz w:val="24"/>
          <w:szCs w:val="22"/>
        </w:rPr>
        <w:t>同价</w:t>
      </w:r>
      <w:bookmarkEnd w:id="592"/>
      <w:bookmarkEnd w:id="593"/>
      <w:bookmarkEnd w:id="594"/>
      <w:bookmarkEnd w:id="595"/>
      <w:bookmarkEnd w:id="596"/>
      <w:bookmarkEnd w:id="597"/>
      <w:bookmarkEnd w:id="598"/>
      <w:bookmarkEnd w:id="599"/>
      <w:r>
        <w:rPr>
          <w:rFonts w:hint="eastAsia" w:hAnsi="宋体" w:cs="宋体"/>
          <w:sz w:val="24"/>
          <w:szCs w:val="22"/>
        </w:rPr>
        <w:t>格形式</w:t>
      </w:r>
    </w:p>
    <w:bookmarkEnd w:id="600"/>
    <w:bookmarkEnd w:id="601"/>
    <w:bookmarkEnd w:id="602"/>
    <w:bookmarkEnd w:id="603"/>
    <w:bookmarkEnd w:id="604"/>
    <w:bookmarkEnd w:id="60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12.1.1 单价合同。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综合单价包含的风险范围：。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风险费用的计算方法：    /   。</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风险范围以外合同价格的调整方法：。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12.1.2 总价合同。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总价包含的风险范围：。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风险费用的计算方法：。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风险范围以外合同价格的调整方法：。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12.1.3 其他价格方式：。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 预付款</w:t>
      </w:r>
    </w:p>
    <w:bookmarkEnd w:id="606"/>
    <w:bookmarkEnd w:id="607"/>
    <w:bookmarkEnd w:id="608"/>
    <w:bookmarkEnd w:id="609"/>
    <w:bookmarkEnd w:id="610"/>
    <w:bookmarkEnd w:id="61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12.2.1 预付款的支付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预付款支付比例或金额（比例20%-40%）：。</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预付款支付期限：。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预付款扣回的方式：。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12.2.2 预付款担保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承包人提交预付款担保的期限：。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预付款担保的形式为：。</w:t>
      </w:r>
    </w:p>
    <w:p>
      <w:pPr>
        <w:tabs>
          <w:tab w:val="left" w:pos="0"/>
        </w:tabs>
        <w:spacing w:after="50" w:line="360" w:lineRule="auto"/>
        <w:ind w:firstLine="480" w:firstLineChars="200"/>
        <w:jc w:val="left"/>
        <w:rPr>
          <w:rFonts w:hAnsi="宋体" w:cs="宋体"/>
          <w:sz w:val="24"/>
          <w:szCs w:val="22"/>
        </w:rPr>
      </w:pPr>
    </w:p>
    <w:bookmarkEnd w:id="612"/>
    <w:bookmarkEnd w:id="613"/>
    <w:bookmarkEnd w:id="614"/>
    <w:bookmarkEnd w:id="615"/>
    <w:bookmarkEnd w:id="616"/>
    <w:bookmarkEnd w:id="617"/>
    <w:bookmarkEnd w:id="618"/>
    <w:bookmarkEnd w:id="619"/>
    <w:bookmarkEnd w:id="620"/>
    <w:bookmarkEnd w:id="621"/>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 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 计量原则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工程量计算规则：。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12.3.1.1总价措施项目的计量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总价措施项目清单中的项目（除环境保护、安全施工、文明施工、临时设施等以费率计价的项目以外），包干计取，结算不作调整；进度支付时按发包人确认后的工程形象进度比例按月计量。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安全文明施工费的计量、支付与结算按川建发〔2017〕5号执行。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12.3.1.2规费的计量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按建设行政主管部门核定的承包人规费费率计量和结算。</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12.3.1.3税金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税金按国家或省级、行业建设主管部门的规定计取。</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12.3.2 计量周期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关于计量周期的约定：。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12.3.3 单价合同的计量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关于单价合同计量的约定：。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12.3.4 总价合同的计量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关于总价合同计量的约定：。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12.3.5总价合同采用支付分解表计量支付的，是否适用第12.3.4 项〔总价合同的计量〕约定进行计量：。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12.3.6 其他价格形式合同的计量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其他价格形式的计量方式和程序：。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 工程进度款支付</w:t>
      </w:r>
    </w:p>
    <w:p>
      <w:pPr>
        <w:tabs>
          <w:tab w:val="left" w:pos="0"/>
        </w:tabs>
        <w:spacing w:after="50" w:line="360" w:lineRule="auto"/>
        <w:ind w:firstLine="480" w:firstLineChars="200"/>
        <w:jc w:val="left"/>
        <w:rPr>
          <w:rFonts w:hAnsi="宋体" w:cs="宋体"/>
          <w:sz w:val="24"/>
          <w:szCs w:val="22"/>
        </w:rPr>
      </w:pPr>
      <w:bookmarkStart w:id="622" w:name="_Toc296503211"/>
      <w:bookmarkStart w:id="623" w:name="_Toc297216215"/>
      <w:bookmarkStart w:id="624" w:name="_Toc296347210"/>
      <w:bookmarkStart w:id="625" w:name="_Toc296891251"/>
      <w:bookmarkStart w:id="626" w:name="_Toc297120511"/>
      <w:bookmarkStart w:id="627" w:name="_Toc303539163"/>
      <w:bookmarkStart w:id="628" w:name="_Toc292559416"/>
      <w:bookmarkStart w:id="629" w:name="_Toc296891039"/>
      <w:bookmarkStart w:id="630" w:name="_Toc296944550"/>
      <w:bookmarkStart w:id="631" w:name="_Toc300935006"/>
      <w:bookmarkStart w:id="632" w:name="_Toc292559921"/>
      <w:bookmarkStart w:id="633" w:name="_Toc297123556"/>
      <w:bookmarkStart w:id="634" w:name="_Toc296346712"/>
      <w:bookmarkStart w:id="635" w:name="_Toc297048397"/>
      <w:r>
        <w:rPr>
          <w:rFonts w:hint="eastAsia" w:hAnsi="宋体" w:cs="宋体"/>
          <w:sz w:val="24"/>
          <w:szCs w:val="22"/>
        </w:rPr>
        <w:t>12.4.1 付款周期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关于付款周期的约定：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12.4.2 进度付款申请单的编制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关于进度付款申请单编制的约定：。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Pr>
          <w:rFonts w:hint="eastAsia" w:hAnsi="宋体" w:cs="宋体"/>
          <w:sz w:val="24"/>
          <w:szCs w:val="22"/>
        </w:rPr>
        <w:t>2.4.3 进度付款申请单的提交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（1）单价合同进度付款申请单提交的约定：。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（2）总价合同进度付款申请单提交的约定：。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（3）其他价格形式合同进度付款申请单提交的约定：。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12.4.4 进度款审核和支付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（1）监理人审查并报送发包人的期限：。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发包人完成审批并签发进度款支付证书的期限：。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（2）发包人支付进度款的期限：。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发包人逾期支付进度款的违约金的计算方式：。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12.4.5 支付分解表的编制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（1）总价合同支付分解表的编制与审批：。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（2）单价合同的总价项目支付分解表的编制与审批：。</w:t>
      </w:r>
    </w:p>
    <w:p>
      <w:pPr>
        <w:tabs>
          <w:tab w:val="left" w:pos="0"/>
        </w:tabs>
        <w:spacing w:after="50" w:line="360" w:lineRule="auto"/>
        <w:ind w:firstLine="480" w:firstLineChars="200"/>
        <w:jc w:val="left"/>
        <w:rPr>
          <w:rFonts w:hAnsi="宋体" w:cs="宋体"/>
          <w:sz w:val="24"/>
          <w:szCs w:val="22"/>
        </w:rPr>
      </w:pPr>
    </w:p>
    <w:bookmarkEnd w:id="468"/>
    <w:p>
      <w:pPr>
        <w:tabs>
          <w:tab w:val="left" w:pos="0"/>
        </w:tabs>
        <w:spacing w:after="50" w:line="360" w:lineRule="auto"/>
        <w:ind w:firstLine="480" w:firstLineChars="200"/>
        <w:jc w:val="left"/>
        <w:rPr>
          <w:rFonts w:hAnsi="宋体" w:cs="宋体"/>
          <w:sz w:val="24"/>
          <w:szCs w:val="22"/>
        </w:rPr>
      </w:pPr>
      <w:bookmarkStart w:id="636" w:name="_Toc351203645"/>
      <w:bookmarkStart w:id="637" w:name="_Toc300935015"/>
      <w:bookmarkStart w:id="638" w:name="_Toc312678053"/>
      <w:bookmarkStart w:id="639" w:name="_Toc292559424"/>
      <w:bookmarkStart w:id="640" w:name="_Toc296346720"/>
      <w:bookmarkStart w:id="641" w:name="_Toc304295593"/>
      <w:bookmarkStart w:id="642" w:name="_Toc297048405"/>
      <w:bookmarkStart w:id="643" w:name="_Toc297123564"/>
      <w:bookmarkStart w:id="644" w:name="_Toc296347218"/>
      <w:bookmarkStart w:id="645" w:name="_Toc296944558"/>
      <w:bookmarkStart w:id="646" w:name="_Toc303539172"/>
      <w:bookmarkStart w:id="647" w:name="_Toc297216223"/>
      <w:bookmarkStart w:id="648" w:name="_Toc292559929"/>
      <w:bookmarkStart w:id="649" w:name="_Toc296891259"/>
      <w:bookmarkStart w:id="650" w:name="_Toc296503219"/>
      <w:bookmarkStart w:id="651" w:name="_Toc297120519"/>
      <w:bookmarkStart w:id="652" w:name="_Toc296891047"/>
      <w:r>
        <w:rPr>
          <w:rFonts w:hint="eastAsia" w:hAnsi="宋体" w:cs="宋体"/>
          <w:sz w:val="24"/>
          <w:szCs w:val="22"/>
        </w:rPr>
        <w:t>13.验收和工程试车</w:t>
      </w:r>
      <w:bookmarkEnd w:id="636"/>
    </w:p>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 分部分项工程验收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13.1.1监理人不能按时进行验收时，应提前X小时提交书面延期要求。</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关于延期最长不得超过：X小时。</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653" w:name="_Toc292559428"/>
      <w:bookmarkStart w:id="654" w:name="_Toc296347222"/>
      <w:bookmarkStart w:id="655" w:name="_Toc304295596"/>
      <w:bookmarkStart w:id="656" w:name="_Toc303539173"/>
      <w:bookmarkStart w:id="657" w:name="_Toc296346724"/>
      <w:bookmarkStart w:id="658" w:name="_Toc312678056"/>
      <w:bookmarkStart w:id="659" w:name="_Toc296891051"/>
      <w:bookmarkStart w:id="660" w:name="_Toc297048409"/>
      <w:bookmarkStart w:id="661" w:name="_Toc296503223"/>
      <w:bookmarkStart w:id="662" w:name="_Toc297123565"/>
      <w:bookmarkStart w:id="663" w:name="_Toc292559933"/>
      <w:bookmarkStart w:id="664" w:name="_Toc297216224"/>
      <w:bookmarkStart w:id="665" w:name="_Toc296891263"/>
      <w:bookmarkStart w:id="666" w:name="_Toc296944562"/>
      <w:bookmarkStart w:id="667" w:name="_Toc297120523"/>
      <w:bookmarkStart w:id="668" w:name="_Toc300935016"/>
      <w:bookmarkStart w:id="669" w:name="_Toc267251476"/>
      <w:bookmarkStart w:id="670" w:name="_Toc267251473"/>
      <w:bookmarkStart w:id="671" w:name="_Toc267251474"/>
      <w:bookmarkStart w:id="672" w:name="_Toc267251472"/>
      <w:bookmarkStart w:id="673" w:name="_Toc267251471"/>
      <w:bookmarkStart w:id="674" w:name="_Toc267251475"/>
      <w:bookmarkStart w:id="675" w:name="_Toc267251470"/>
      <w:r>
        <w:rPr>
          <w:rFonts w:hint="eastAsia" w:hAnsi="宋体" w:cs="宋体"/>
          <w:sz w:val="24"/>
          <w:szCs w:val="22"/>
        </w:rPr>
        <w:t>13.2 竣工验收</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Pr>
        <w:tabs>
          <w:tab w:val="left" w:pos="0"/>
        </w:tabs>
        <w:spacing w:after="50" w:line="360" w:lineRule="auto"/>
        <w:ind w:firstLine="480" w:firstLineChars="200"/>
        <w:jc w:val="left"/>
        <w:rPr>
          <w:rFonts w:hAnsi="宋体" w:cs="宋体"/>
          <w:sz w:val="24"/>
          <w:szCs w:val="22"/>
        </w:rPr>
      </w:pPr>
      <w:bookmarkStart w:id="676" w:name="_Toc280868704"/>
      <w:bookmarkStart w:id="677" w:name="_Toc280868705"/>
      <w:bookmarkStart w:id="678" w:name="_Toc280868706"/>
      <w:bookmarkStart w:id="679" w:name="_Toc280868707"/>
      <w:bookmarkStart w:id="680" w:name="_Toc280868708"/>
      <w:bookmarkStart w:id="681" w:name="_Toc280868709"/>
      <w:r>
        <w:rPr>
          <w:rFonts w:hint="eastAsia" w:hAnsi="宋体" w:cs="宋体"/>
          <w:sz w:val="24"/>
          <w:szCs w:val="22"/>
        </w:rPr>
        <w:t>13.2.1 竣工验收程序</w:t>
      </w:r>
    </w:p>
    <w:bookmarkEnd w:id="67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关于竣工验收程序的约定：。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发包人不按照本项约定组织竣工验收、颁发工程接收证书的违约金的计算方法：。</w:t>
      </w:r>
    </w:p>
    <w:bookmarkEnd w:id="677"/>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13.2.2 移交、接收全部与部分工程</w:t>
      </w:r>
    </w:p>
    <w:bookmarkEnd w:id="678"/>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承包人向发包人移交工程的期限：。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发包人未按本合同约定接收全部或部分工程的，违约金的计算方法为：。</w:t>
      </w:r>
    </w:p>
    <w:bookmarkEnd w:id="679"/>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承包人未按时移交工程的，违约金的计算方法为：。</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 工程试车</w:t>
      </w:r>
    </w:p>
    <w:bookmarkEnd w:id="680"/>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13.3.1 试车程序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工程试车内容：。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（1）单机无负荷试车费用由承担；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（2）无负荷联动试车费用由承担。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13.3.2 投料试车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关于投料试车相关事项的约定：。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13.4 竣工退场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13.4.1 竣工退场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承包人完成竣工退场的期限：。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682" w:name="_Toc351203646"/>
      <w:r>
        <w:rPr>
          <w:rFonts w:hint="eastAsia" w:hAnsi="宋体" w:cs="宋体"/>
          <w:sz w:val="24"/>
          <w:szCs w:val="22"/>
        </w:rPr>
        <w:t>14. 竣工结算</w:t>
      </w:r>
      <w:bookmarkEnd w:id="682"/>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14.1 竣工结算申请</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承包人提交竣工结算申请单的期限：。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竣工结算申请单应包括的内容：。</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14.2 竣工结算审核</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发包人审批竣工付款申请单的期限：。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发包人完成竣工付款的期限：。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关于竣工付款证书异议部分复核的方式和程序：。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 最终结清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14.3.1 最终结清申请单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承包人提交最终结清申请单的份数：。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承包人提交最终结算申请单的期限：。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14.3.2 最终结清证书和支付</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（1）发包人完成最终结清申请单的审批并颁发最终结清证书的期限：。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（2）发包人完成支付的期限：。</w:t>
      </w:r>
    </w:p>
    <w:p>
      <w:pPr>
        <w:tabs>
          <w:tab w:val="left" w:pos="0"/>
        </w:tabs>
        <w:spacing w:after="50" w:line="360" w:lineRule="auto"/>
        <w:ind w:firstLine="480" w:firstLineChars="200"/>
        <w:jc w:val="left"/>
        <w:rPr>
          <w:rFonts w:hAnsi="宋体" w:cs="宋体"/>
          <w:sz w:val="24"/>
          <w:szCs w:val="22"/>
        </w:rPr>
      </w:pPr>
    </w:p>
    <w:bookmarkEnd w:id="669"/>
    <w:bookmarkEnd w:id="670"/>
    <w:bookmarkEnd w:id="671"/>
    <w:bookmarkEnd w:id="672"/>
    <w:bookmarkEnd w:id="673"/>
    <w:bookmarkEnd w:id="674"/>
    <w:bookmarkEnd w:id="675"/>
    <w:bookmarkEnd w:id="681"/>
    <w:p>
      <w:pPr>
        <w:tabs>
          <w:tab w:val="left" w:pos="0"/>
        </w:tabs>
        <w:spacing w:after="50" w:line="360" w:lineRule="auto"/>
        <w:ind w:firstLine="480" w:firstLineChars="200"/>
        <w:jc w:val="left"/>
        <w:rPr>
          <w:rFonts w:hAnsi="宋体" w:cs="宋体"/>
          <w:sz w:val="24"/>
          <w:szCs w:val="22"/>
        </w:rPr>
      </w:pPr>
      <w:bookmarkStart w:id="683" w:name="_Toc351203647"/>
      <w:bookmarkStart w:id="684" w:name="_Toc267251483"/>
      <w:bookmarkStart w:id="685" w:name="_Toc267251484"/>
      <w:bookmarkStart w:id="686" w:name="_Toc267251482"/>
      <w:bookmarkStart w:id="687" w:name="_Toc267251485"/>
      <w:bookmarkStart w:id="688" w:name="_Toc267251488"/>
      <w:bookmarkStart w:id="689" w:name="_Toc267251486"/>
      <w:bookmarkStart w:id="690" w:name="_Toc267251490"/>
      <w:bookmarkStart w:id="691" w:name="_Toc267251489"/>
      <w:bookmarkStart w:id="692" w:name="_Toc267251497"/>
      <w:bookmarkStart w:id="693" w:name="_Toc267251495"/>
      <w:bookmarkStart w:id="694" w:name="_Toc267251501"/>
      <w:bookmarkStart w:id="695" w:name="_Toc267251496"/>
      <w:bookmarkStart w:id="696" w:name="_Toc267251493"/>
      <w:bookmarkStart w:id="697" w:name="_Toc267251492"/>
      <w:bookmarkStart w:id="698" w:name="_Toc267251494"/>
      <w:bookmarkStart w:id="699" w:name="_Toc267251498"/>
      <w:bookmarkStart w:id="700" w:name="_Toc267251499"/>
      <w:bookmarkStart w:id="701" w:name="_Toc267251502"/>
      <w:bookmarkStart w:id="702" w:name="_Toc267251491"/>
      <w:bookmarkStart w:id="703" w:name="_Toc267251503"/>
      <w:bookmarkStart w:id="704" w:name="_Toc267251504"/>
      <w:bookmarkStart w:id="705" w:name="_Toc267251506"/>
      <w:bookmarkStart w:id="706" w:name="_Toc267251507"/>
      <w:bookmarkStart w:id="707" w:name="_Toc267251508"/>
      <w:bookmarkStart w:id="708" w:name="_Toc267251514"/>
      <w:bookmarkStart w:id="709" w:name="_Toc267251513"/>
      <w:bookmarkStart w:id="710" w:name="_Toc267251515"/>
      <w:bookmarkStart w:id="711" w:name="_Toc267251509"/>
      <w:bookmarkStart w:id="712" w:name="_Toc267251511"/>
      <w:bookmarkStart w:id="713" w:name="_Toc267251510"/>
      <w:r>
        <w:rPr>
          <w:rFonts w:hint="eastAsia" w:hAnsi="宋体" w:cs="宋体"/>
          <w:sz w:val="24"/>
          <w:szCs w:val="22"/>
        </w:rPr>
        <w:t>15. 缺陷责任期与保修</w:t>
      </w:r>
      <w:bookmarkEnd w:id="683"/>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15.1 缺陷责任期</w:t>
      </w:r>
      <w:bookmarkEnd w:id="68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缺陷责任期的具体期限：。</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 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关于是否扣留质量保证金的约定：。在工程项目竣工前，承包人按专用合同条款第3.7条提供履约担保的，发包人不得同时预留工程质量保证金。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15.2.1 承包人提供质量保证金的方式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质量保证金采用以下第种方式：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（1）质量保证金保函，保证金额为：；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（2）%的工程款；</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15.2.2 质量保证金的扣留</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质量保证金的扣留采取以下第（2）种方式：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（1）在支付工程进度款时逐次扣留，在此情形下，质量保证金的计算基数不包括预付款的支付、扣回以及价格调整的金额；</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（2）工程竣工结算时一次性扣留质量保证金；</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（3）其他扣留方式:。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关于质量保证金的补充约定：。</w:t>
      </w:r>
    </w:p>
    <w:p>
      <w:pPr>
        <w:tabs>
          <w:tab w:val="left" w:pos="0"/>
        </w:tabs>
        <w:spacing w:after="50" w:line="360" w:lineRule="auto"/>
        <w:ind w:firstLine="480" w:firstLineChars="200"/>
        <w:jc w:val="left"/>
        <w:rPr>
          <w:rFonts w:hAnsi="宋体" w:cs="宋体"/>
          <w:sz w:val="24"/>
          <w:szCs w:val="22"/>
        </w:rPr>
      </w:pPr>
    </w:p>
    <w:bookmarkEnd w:id="685"/>
    <w:bookmarkEnd w:id="68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 保修</w:t>
      </w:r>
    </w:p>
    <w:bookmarkEnd w:id="687"/>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15.3.1 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工程保修期为：。</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15.3.2 修复通知</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承包人收到保修通知并到达工程现场的合理时间：。</w:t>
      </w:r>
    </w:p>
    <w:p>
      <w:pPr>
        <w:tabs>
          <w:tab w:val="left" w:pos="0"/>
        </w:tabs>
        <w:spacing w:after="50" w:line="360" w:lineRule="auto"/>
        <w:ind w:firstLine="480" w:firstLineChars="200"/>
        <w:jc w:val="left"/>
        <w:rPr>
          <w:rFonts w:hAnsi="宋体" w:cs="宋体"/>
          <w:sz w:val="24"/>
          <w:szCs w:val="22"/>
        </w:rPr>
      </w:pPr>
    </w:p>
    <w:bookmarkEnd w:id="688"/>
    <w:bookmarkEnd w:id="689"/>
    <w:bookmarkEnd w:id="690"/>
    <w:bookmarkEnd w:id="691"/>
    <w:p>
      <w:pPr>
        <w:tabs>
          <w:tab w:val="left" w:pos="0"/>
        </w:tabs>
        <w:spacing w:after="50" w:line="360" w:lineRule="auto"/>
        <w:ind w:firstLine="480" w:firstLineChars="200"/>
        <w:jc w:val="left"/>
        <w:rPr>
          <w:rFonts w:hAnsi="宋体" w:cs="宋体"/>
          <w:sz w:val="24"/>
          <w:szCs w:val="22"/>
        </w:rPr>
      </w:pPr>
      <w:bookmarkStart w:id="714" w:name="_Toc351203648"/>
      <w:bookmarkStart w:id="715" w:name="_Toc280868717"/>
      <w:bookmarkStart w:id="716" w:name="_Toc280868718"/>
      <w:r>
        <w:rPr>
          <w:rFonts w:hint="eastAsia" w:hAnsi="宋体" w:cs="宋体"/>
          <w:sz w:val="24"/>
          <w:szCs w:val="22"/>
        </w:rPr>
        <w:t>16. 违约</w:t>
      </w:r>
      <w:bookmarkEnd w:id="71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 发包人违约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16.1.1发包人违约的情形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发包人违约的其他情形：。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 xml:space="preserve">    16.1.2 发包人违约的责任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发包人违约责任的承担方式和计算方法：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（1）因发包人原因未能在计划开工日期前7天内下达开工通知的违约责任：。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（2）因发包人原因未能按合同约定支付合同价款的违约责任：。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（3）发包人违反第10.1款〔变更的范围〕第（2）项约定，自行实施被取消的工作或转由他人实施的违约责任：。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（4）发包人提供的材料、工程设备的规格、数量或质量不符合合同约定，或因发包人原因导致交货日期延误或交货地点变更等情况的违约责任：。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（5）因发包人违反合同约定造成暂停施工的违约责任：。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（6）发包人无正当理由没有在约定期限内发出复工指示，导致承包人无法复工的违约责任：。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（7）其他：。</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16.1.3 因发包人违约解除合同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承包人按16.1.1项〔发包人违约的情形〕约定暂停施工满天后发包人仍不纠正其违约行为并致使合同目的不能实现的，承包人有权解除合同。</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 承包人违约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16.2.1 承包人违约的情形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承包人违约的其他情形：。</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16.2.2承包人违约的责任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承包人违约责任的承担方式和计算方法：。</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16.2.3 因承包人违约解除合同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关于承包人违约解除合同的特别约定：。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发包人继续使用承包人在施工现场的材料、设备、临时工程、承包人文件和由承包人或以其名义编制的其他文件的费用承担方式：。</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bookmarkStart w:id="717" w:name="_Toc351203649"/>
      <w:r>
        <w:rPr>
          <w:rFonts w:hint="eastAsia" w:hAnsi="宋体" w:cs="宋体"/>
          <w:sz w:val="24"/>
          <w:szCs w:val="22"/>
        </w:rPr>
        <w:t>17. 不可抗力</w:t>
      </w:r>
      <w:bookmarkEnd w:id="715"/>
      <w:bookmarkEnd w:id="71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17.1 不可抗力的确认</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除通用合同条款约定的不可抗力事件之外，视为不可抗力的其他情形：。</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17.2 因不可抗力解除合同</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合同解除后，发包人应在商定或确定发包人应支付款项后天内完成款项的支付。</w:t>
      </w:r>
    </w:p>
    <w:p>
      <w:pPr>
        <w:tabs>
          <w:tab w:val="left" w:pos="0"/>
        </w:tabs>
        <w:spacing w:after="50" w:line="360" w:lineRule="auto"/>
        <w:ind w:firstLine="480" w:firstLineChars="200"/>
        <w:jc w:val="left"/>
        <w:rPr>
          <w:rFonts w:hAnsi="宋体" w:cs="宋体"/>
          <w:sz w:val="24"/>
          <w:szCs w:val="22"/>
        </w:rPr>
      </w:pPr>
      <w:bookmarkStart w:id="718" w:name="_Toc351203650"/>
      <w:r>
        <w:rPr>
          <w:rFonts w:hint="eastAsia" w:hAnsi="宋体" w:cs="宋体"/>
          <w:sz w:val="24"/>
          <w:szCs w:val="22"/>
        </w:rPr>
        <w:t>18. 保险</w:t>
      </w:r>
      <w:bookmarkEnd w:id="718"/>
    </w:p>
    <w:bookmarkEnd w:id="716"/>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18.1 工程保险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关于工程保险的特别约定：。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18.2 其他保险</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关于其他保险的约定：。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承包人是否应为其施工设备等办理财产保险：应当。</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18.3 通知义务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关于变更保险合同时的通知义务的约定：。</w:t>
      </w:r>
    </w:p>
    <w:p>
      <w:pPr>
        <w:tabs>
          <w:tab w:val="left" w:pos="0"/>
        </w:tabs>
        <w:spacing w:after="50" w:line="360" w:lineRule="auto"/>
        <w:ind w:firstLine="480" w:firstLineChars="200"/>
        <w:jc w:val="left"/>
        <w:rPr>
          <w:rFonts w:hAnsi="宋体" w:cs="宋体"/>
          <w:sz w:val="24"/>
          <w:szCs w:val="22"/>
        </w:rPr>
      </w:pPr>
    </w:p>
    <w:bookmarkEnd w:id="692"/>
    <w:bookmarkEnd w:id="693"/>
    <w:bookmarkEnd w:id="694"/>
    <w:bookmarkEnd w:id="695"/>
    <w:bookmarkEnd w:id="696"/>
    <w:bookmarkEnd w:id="697"/>
    <w:bookmarkEnd w:id="698"/>
    <w:bookmarkEnd w:id="699"/>
    <w:bookmarkEnd w:id="700"/>
    <w:bookmarkEnd w:id="701"/>
    <w:bookmarkEnd w:id="702"/>
    <w:bookmarkEnd w:id="703"/>
    <w:p>
      <w:pPr>
        <w:tabs>
          <w:tab w:val="left" w:pos="0"/>
        </w:tabs>
        <w:spacing w:after="50" w:line="360" w:lineRule="auto"/>
        <w:ind w:firstLine="480" w:firstLineChars="200"/>
        <w:jc w:val="left"/>
        <w:rPr>
          <w:rFonts w:hAnsi="宋体" w:cs="宋体"/>
          <w:sz w:val="24"/>
          <w:szCs w:val="22"/>
        </w:rPr>
      </w:pPr>
      <w:bookmarkStart w:id="719" w:name="_Toc351203651"/>
      <w:r>
        <w:rPr>
          <w:rFonts w:hint="eastAsia" w:hAnsi="宋体" w:cs="宋体"/>
          <w:sz w:val="24"/>
          <w:szCs w:val="22"/>
        </w:rPr>
        <w:t>19. 争议解决</w:t>
      </w:r>
      <w:bookmarkEnd w:id="719"/>
    </w:p>
    <w:bookmarkEnd w:id="704"/>
    <w:bookmarkEnd w:id="705"/>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 争</w:t>
      </w:r>
      <w:bookmarkEnd w:id="706"/>
      <w:r>
        <w:rPr>
          <w:rFonts w:hint="eastAsia" w:hAnsi="宋体" w:cs="宋体"/>
          <w:sz w:val="24"/>
          <w:szCs w:val="22"/>
        </w:rPr>
        <w:t>议评审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合同当事人是否同意将工程争议提交争议评审小组决定：。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19.1.1 争议评审小组的确定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争议评审小组成员的确定：。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选定争议评审员的期限：。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争议评审小组成员的报酬承担方式：。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其他事项的约定：。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19.1.2 争议评审小组的决定</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合同当事人关于本项的约定：。</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19.2 仲裁或诉讼</w:t>
      </w:r>
      <w:bookmarkEnd w:id="707"/>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因合同及合同有关事项发生的争议，按下列第种方式解决：</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（1）向仲裁委员会申请仲裁；</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（2）向人民法院起诉。</w:t>
      </w:r>
      <w:bookmarkEnd w:id="708"/>
      <w:bookmarkEnd w:id="709"/>
      <w:bookmarkEnd w:id="710"/>
      <w:bookmarkEnd w:id="711"/>
      <w:bookmarkEnd w:id="712"/>
      <w:bookmarkEnd w:id="713"/>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jc w:val="left"/>
        <w:rPr>
          <w:rFonts w:hAnsi="宋体" w:cs="宋体"/>
          <w:sz w:val="24"/>
          <w:szCs w:val="22"/>
        </w:rPr>
      </w:pPr>
    </w:p>
    <w:p>
      <w:pPr>
        <w:tabs>
          <w:tab w:val="left" w:pos="0"/>
        </w:tabs>
        <w:spacing w:after="50" w:line="360" w:lineRule="auto"/>
        <w:ind w:firstLine="480" w:firstLineChars="200"/>
        <w:jc w:val="center"/>
        <w:rPr>
          <w:rFonts w:hAnsi="宋体" w:cs="宋体"/>
          <w:sz w:val="24"/>
          <w:szCs w:val="22"/>
        </w:rPr>
      </w:pPr>
      <w:r>
        <w:rPr>
          <w:rFonts w:hint="eastAsia" w:hAnsi="宋体" w:cs="宋体"/>
          <w:sz w:val="24"/>
          <w:szCs w:val="22"/>
        </w:rPr>
        <w:br w:type="page"/>
      </w:r>
      <w:r>
        <w:rPr>
          <w:rFonts w:hint="eastAsia" w:hAnsi="宋体" w:cs="宋体"/>
          <w:sz w:val="24"/>
          <w:szCs w:val="22"/>
        </w:rPr>
        <w:t>第四节合同附件格式</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附件一：工程质量保修书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发包人（全称）：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承包人（全称）：</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发包人、承包人根据《中华人民共和国建筑法》、《建设工程质量管理条例》和《房屋市政公用工程质量保修办法》，经协商一致，对签订工程质量保修书。</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1、工程质量保修范围和内容</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承包人在质量保修期内，按照有关法律、法规、规章规定和双方约定，承担本工程质量保修责任。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2、质量保修期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2.1双方根据《建设工程质量管理条例》及有关规定，约定本工程的质量保修期如下：</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（1）基础设施工程、房屋建筑的地基基础工程和主体结构工程为设计文件规定的该工程合理使用年限；</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（2）屋面防水工程、有防水要求的卫生间、房间和外墙面的防渗漏为5年；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（3）装修工程为2年；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（4）供热与供冷系统为2个采暖期、供冷期；</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（5）电气管线、给排水管道、设备安装工程为2年；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（6）住宅小区内的给排水设施、道路等配套工程为2年；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（7）其他项目的保修期限为  2  年。</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2.2 质量保修期自工程竣工验收合格之日起计算。</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3、质量保修责任</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3.1 属于保修范围、内容的项目，承包人应当在接到保修通知之日起7天内派人保修。承包人不在约定期限内派人保修的，发包人可以委托他人修理。</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3.2 发生紧急抢修事故的，承包人在接到事故通知后，应当立即到达事故现场抢修。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3.3 对于涉及结构安全的质量问题，应当按照《房屋市政公用工程质量保修办法》的规定，立即向当地建设行政主管部门报告，采取安全防范措施；由原设计单位或者具有相应资质等级的设计单位提出保修方案，承包人实施保修。</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3.4 质量保修完成后，由发包人组织验收。</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4、保修费用</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4.1保修费用由造成质量缺陷的责任方承担。</w:t>
      </w: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5、其他</w:t>
      </w:r>
    </w:p>
    <w:p>
      <w:pPr>
        <w:tabs>
          <w:tab w:val="left" w:pos="0"/>
        </w:tabs>
        <w:spacing w:after="50" w:line="360" w:lineRule="auto"/>
        <w:ind w:firstLine="480" w:firstLineChars="200"/>
        <w:jc w:val="left"/>
        <w:rPr>
          <w:rFonts w:hAnsi="宋体" w:cs="宋体"/>
          <w:sz w:val="24"/>
          <w:szCs w:val="22"/>
        </w:rPr>
      </w:pPr>
      <w:bookmarkStart w:id="720" w:name="_Toc199318336"/>
      <w:bookmarkStart w:id="721" w:name="_Toc435626179"/>
      <w:bookmarkStart w:id="722" w:name="_Toc207526821"/>
      <w:bookmarkStart w:id="723" w:name="_Toc247945911"/>
      <w:bookmarkStart w:id="724" w:name="_Toc211643904"/>
      <w:r>
        <w:rPr>
          <w:rFonts w:hint="eastAsia" w:hAnsi="宋体" w:cs="宋体"/>
          <w:sz w:val="24"/>
          <w:szCs w:val="22"/>
        </w:rPr>
        <w:t>5.1 双方约定的其他工程质量保修事项:</w:t>
      </w:r>
      <w:bookmarkEnd w:id="720"/>
      <w:bookmarkEnd w:id="721"/>
      <w:bookmarkEnd w:id="722"/>
      <w:bookmarkEnd w:id="723"/>
      <w:bookmarkEnd w:id="724"/>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质量保证金按工程竣工结算价的3%计算，质量保证金的退还按合同约定，不计利息。承包方接到保修通知书后三天内必须到场保修，否则发包方可请人保修，所发生的费用在保修金中支付。</w:t>
      </w:r>
    </w:p>
    <w:p>
      <w:pPr>
        <w:tabs>
          <w:tab w:val="left" w:pos="0"/>
        </w:tabs>
        <w:spacing w:after="50" w:line="360" w:lineRule="auto"/>
        <w:ind w:firstLine="480" w:firstLineChars="200"/>
        <w:jc w:val="left"/>
        <w:rPr>
          <w:rFonts w:hAnsi="宋体" w:cs="宋体"/>
          <w:sz w:val="24"/>
          <w:szCs w:val="22"/>
        </w:rPr>
      </w:pPr>
      <w:bookmarkStart w:id="725" w:name="_Toc211643905"/>
      <w:bookmarkStart w:id="726" w:name="_Toc247945912"/>
      <w:bookmarkStart w:id="727" w:name="_Toc207526822"/>
      <w:bookmarkStart w:id="728" w:name="_Toc435626180"/>
      <w:bookmarkStart w:id="729" w:name="_Toc199318337"/>
      <w:r>
        <w:rPr>
          <w:rFonts w:hint="eastAsia" w:hAnsi="宋体" w:cs="宋体"/>
          <w:sz w:val="24"/>
          <w:szCs w:val="22"/>
        </w:rPr>
        <w:t>5.2 本工程质量保修书,由施工合同发包人、承包人双方在竣工验收前共同签署，作为施工合同附件，其有效期限至保修期满。</w:t>
      </w:r>
      <w:bookmarkEnd w:id="725"/>
      <w:bookmarkEnd w:id="726"/>
      <w:bookmarkEnd w:id="727"/>
      <w:bookmarkEnd w:id="728"/>
      <w:bookmarkEnd w:id="729"/>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发包人（公章）：               承包人（公章）：</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rPr>
          <w:rFonts w:hAnsi="宋体" w:cs="宋体"/>
          <w:sz w:val="24"/>
          <w:szCs w:val="22"/>
        </w:rPr>
      </w:pPr>
      <w:r>
        <w:rPr>
          <w:rFonts w:hint="eastAsia" w:hAnsi="宋体" w:cs="宋体"/>
          <w:sz w:val="24"/>
          <w:szCs w:val="22"/>
        </w:rPr>
        <w:t>法定代表人（签字）：           法定代表人（签字）：</w:t>
      </w:r>
    </w:p>
    <w:p>
      <w:pPr>
        <w:tabs>
          <w:tab w:val="left" w:pos="0"/>
        </w:tabs>
        <w:spacing w:after="50" w:line="360" w:lineRule="auto"/>
        <w:ind w:firstLine="480" w:firstLineChars="200"/>
        <w:jc w:val="left"/>
        <w:rPr>
          <w:rFonts w:hAnsi="宋体" w:cs="宋体"/>
          <w:sz w:val="24"/>
          <w:szCs w:val="22"/>
        </w:rPr>
      </w:pPr>
    </w:p>
    <w:p>
      <w:pPr>
        <w:tabs>
          <w:tab w:val="left" w:pos="0"/>
        </w:tabs>
        <w:spacing w:after="50" w:line="360" w:lineRule="auto"/>
        <w:ind w:firstLine="480" w:firstLineChars="200"/>
        <w:jc w:val="left"/>
      </w:pPr>
      <w:r>
        <w:rPr>
          <w:rFonts w:hint="eastAsia" w:hAnsi="宋体" w:cs="宋体"/>
          <w:sz w:val="24"/>
          <w:szCs w:val="22"/>
        </w:rPr>
        <w:t>年月日                         年月 日</w:t>
      </w:r>
    </w:p>
    <w:p/>
    <w:p>
      <w:pPr>
        <w:tabs>
          <w:tab w:val="left" w:pos="0"/>
        </w:tabs>
        <w:spacing w:after="50" w:line="360" w:lineRule="auto"/>
        <w:ind w:firstLine="640" w:firstLineChars="200"/>
        <w:jc w:val="left"/>
        <w:rPr>
          <w:rFonts w:ascii="宋体" w:hAnsi="宋体" w:cs="宋体"/>
          <w:sz w:val="32"/>
          <w:szCs w:val="32"/>
        </w:rPr>
      </w:pPr>
    </w:p>
    <w:p>
      <w:pPr>
        <w:pStyle w:val="2"/>
      </w:pPr>
    </w:p>
    <w:bookmarkEnd w:id="172"/>
    <w:bookmarkEnd w:id="173"/>
    <w:bookmarkEnd w:id="174"/>
    <w:p>
      <w:pPr>
        <w:pStyle w:val="3"/>
        <w:numPr>
          <w:ilvl w:val="0"/>
          <w:numId w:val="1"/>
        </w:numPr>
        <w:spacing w:before="0" w:after="0"/>
        <w:ind w:left="0" w:firstLine="0"/>
      </w:pPr>
      <w:bookmarkStart w:id="730" w:name="_Toc41037911"/>
      <w:bookmarkStart w:id="731" w:name="_Toc45897714"/>
      <w:bookmarkStart w:id="732" w:name="_Toc73622807"/>
      <w:r>
        <w:rPr>
          <w:rFonts w:hint="eastAsia"/>
        </w:rPr>
        <w:t>工程量清单</w:t>
      </w:r>
      <w:bookmarkEnd w:id="730"/>
      <w:bookmarkEnd w:id="731"/>
      <w:r>
        <w:rPr>
          <w:rFonts w:hint="eastAsia"/>
        </w:rPr>
        <w:t>和图纸</w:t>
      </w:r>
      <w:bookmarkEnd w:id="732"/>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
      <w:pPr>
        <w:pStyle w:val="2"/>
      </w:pPr>
    </w:p>
    <w:p>
      <w:pPr>
        <w:pStyle w:val="2"/>
      </w:pPr>
    </w:p>
    <w:p>
      <w:pPr>
        <w:pStyle w:val="2"/>
      </w:pPr>
      <w:r>
        <w:rPr>
          <w:rFonts w:hint="eastAsia"/>
        </w:rPr>
        <w:t>附件</w:t>
      </w:r>
    </w:p>
    <w:bookmarkEnd w:id="76"/>
    <w:bookmarkEnd w:id="77"/>
    <w:bookmarkEnd w:id="78"/>
    <w:bookmarkEnd w:id="79"/>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3"/>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4"/>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5"/>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7"/>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8"/>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9"/>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0"/>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1"/>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2"/>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3"/>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4"/>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5"/>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7"/>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8"/>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9"/>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0"/>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1"/>
                    <a:stretch>
                      <a:fillRect/>
                    </a:stretch>
                  </pic:blipFill>
                  <pic:spPr>
                    <a:xfrm>
                      <a:off x="0" y="0"/>
                      <a:ext cx="5971540" cy="3562985"/>
                    </a:xfrm>
                    <a:prstGeom prst="rect">
                      <a:avLst/>
                    </a:prstGeom>
                    <a:noFill/>
                    <a:ln w="9525">
                      <a:noFill/>
                    </a:ln>
                  </pic:spPr>
                </pic:pic>
              </a:graphicData>
            </a:graphic>
          </wp:inline>
        </w:drawing>
      </w:r>
    </w:p>
    <w:p>
      <w:pPr>
        <w:widowControl/>
        <w:jc w:val="left"/>
        <w:rPr>
          <w:rFonts w:ascii="宋体" w:hAnsi="宋体" w:cs="宋体"/>
          <w:kern w:val="0"/>
          <w:sz w:val="24"/>
          <w:szCs w:val="24"/>
          <w:lang w:bidi="ar"/>
        </w:rPr>
      </w:pPr>
    </w:p>
    <w:p>
      <w:pPr>
        <w:widowControl/>
        <w:jc w:val="left"/>
      </w:pPr>
    </w:p>
    <w:p>
      <w:pPr>
        <w:widowControl/>
        <w:jc w:val="left"/>
        <w:rPr>
          <w:rFonts w:ascii="宋体" w:hAnsi="宋体" w:cs="宋体"/>
          <w:kern w:val="0"/>
          <w:sz w:val="24"/>
          <w:szCs w:val="24"/>
          <w:lang w:bidi="ar"/>
        </w:rPr>
      </w:pPr>
    </w:p>
    <w:p>
      <w:pPr>
        <w:jc w:val="both"/>
        <w:sectPr>
          <w:footerReference r:id="rId7" w:type="default"/>
          <w:pgSz w:w="11906" w:h="16838"/>
          <w:pgMar w:top="1440" w:right="1800" w:bottom="1440" w:left="1800" w:header="851" w:footer="992" w:gutter="0"/>
          <w:cols w:space="425" w:num="1"/>
          <w:docGrid w:type="lines" w:linePitch="312" w:charSpace="0"/>
        </w:sectPr>
      </w:pPr>
    </w:p>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5</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86</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92</w: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6">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0">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1">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2">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4">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5">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4">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8">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9">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1">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2">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5">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6">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7">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8">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9">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6"/>
  </w:num>
  <w:num w:numId="4">
    <w:abstractNumId w:val="45"/>
  </w:num>
  <w:num w:numId="5">
    <w:abstractNumId w:val="41"/>
  </w:num>
  <w:num w:numId="6">
    <w:abstractNumId w:val="6"/>
  </w:num>
  <w:num w:numId="7">
    <w:abstractNumId w:val="28"/>
  </w:num>
  <w:num w:numId="8">
    <w:abstractNumId w:val="57"/>
  </w:num>
  <w:num w:numId="9">
    <w:abstractNumId w:val="44"/>
  </w:num>
  <w:num w:numId="10">
    <w:abstractNumId w:val="3"/>
  </w:num>
  <w:num w:numId="11">
    <w:abstractNumId w:val="15"/>
  </w:num>
  <w:num w:numId="12">
    <w:abstractNumId w:val="16"/>
  </w:num>
  <w:num w:numId="13">
    <w:abstractNumId w:val="42"/>
  </w:num>
  <w:num w:numId="14">
    <w:abstractNumId w:val="20"/>
  </w:num>
  <w:num w:numId="15">
    <w:abstractNumId w:val="23"/>
  </w:num>
  <w:num w:numId="16">
    <w:abstractNumId w:val="48"/>
  </w:num>
  <w:num w:numId="17">
    <w:abstractNumId w:val="24"/>
  </w:num>
  <w:num w:numId="18">
    <w:abstractNumId w:val="27"/>
  </w:num>
  <w:num w:numId="19">
    <w:abstractNumId w:val="8"/>
  </w:num>
  <w:num w:numId="20">
    <w:abstractNumId w:val="55"/>
  </w:num>
  <w:num w:numId="21">
    <w:abstractNumId w:val="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37"/>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2"/>
  </w:num>
  <w:num w:numId="29">
    <w:abstractNumId w:val="1"/>
  </w:num>
  <w:num w:numId="30">
    <w:abstractNumId w:val="4"/>
  </w:num>
  <w:num w:numId="31">
    <w:abstractNumId w:val="0"/>
  </w:num>
  <w:num w:numId="32">
    <w:abstractNumId w:val="53"/>
  </w:num>
  <w:num w:numId="33">
    <w:abstractNumId w:val="36"/>
  </w:num>
  <w:num w:numId="34">
    <w:abstractNumId w:val="46"/>
  </w:num>
  <w:num w:numId="35">
    <w:abstractNumId w:val="35"/>
  </w:num>
  <w:num w:numId="36">
    <w:abstractNumId w:val="47"/>
  </w:num>
  <w:num w:numId="37">
    <w:abstractNumId w:val="52"/>
  </w:num>
  <w:num w:numId="38">
    <w:abstractNumId w:val="11"/>
  </w:num>
  <w:num w:numId="39">
    <w:abstractNumId w:val="9"/>
  </w:num>
  <w:num w:numId="40">
    <w:abstractNumId w:val="40"/>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1"/>
  </w:num>
  <w:num w:numId="44">
    <w:abstractNumId w:val="49"/>
  </w:num>
  <w:num w:numId="45">
    <w:abstractNumId w:val="14"/>
  </w:num>
  <w:num w:numId="46">
    <w:abstractNumId w:val="26"/>
  </w:num>
  <w:num w:numId="47">
    <w:abstractNumId w:val="51"/>
  </w:num>
  <w:num w:numId="48">
    <w:abstractNumId w:val="34"/>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59"/>
  </w:num>
  <w:num w:numId="52">
    <w:abstractNumId w:val="33"/>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46B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A098F"/>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03A5"/>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BA09F2"/>
    <w:rsid w:val="01C84786"/>
    <w:rsid w:val="026D3CDE"/>
    <w:rsid w:val="02A178E4"/>
    <w:rsid w:val="03C01702"/>
    <w:rsid w:val="0659196F"/>
    <w:rsid w:val="06CE658F"/>
    <w:rsid w:val="06DB71C1"/>
    <w:rsid w:val="07867D05"/>
    <w:rsid w:val="08A96258"/>
    <w:rsid w:val="08AB62F7"/>
    <w:rsid w:val="092A6DC5"/>
    <w:rsid w:val="09354546"/>
    <w:rsid w:val="09E055F8"/>
    <w:rsid w:val="0A79575D"/>
    <w:rsid w:val="0B843ADB"/>
    <w:rsid w:val="0B861ECA"/>
    <w:rsid w:val="0C602C8D"/>
    <w:rsid w:val="0D005BE3"/>
    <w:rsid w:val="0D0F545E"/>
    <w:rsid w:val="0D306090"/>
    <w:rsid w:val="0D3623CB"/>
    <w:rsid w:val="0E1D35EA"/>
    <w:rsid w:val="13A37253"/>
    <w:rsid w:val="13C2674F"/>
    <w:rsid w:val="14F61CE7"/>
    <w:rsid w:val="15D0759B"/>
    <w:rsid w:val="15E739ED"/>
    <w:rsid w:val="16A70004"/>
    <w:rsid w:val="17AB262A"/>
    <w:rsid w:val="17C36456"/>
    <w:rsid w:val="17CB03D8"/>
    <w:rsid w:val="18336062"/>
    <w:rsid w:val="19D85E42"/>
    <w:rsid w:val="1BC57EDC"/>
    <w:rsid w:val="1BC80B2E"/>
    <w:rsid w:val="1C1F3436"/>
    <w:rsid w:val="1CB872C6"/>
    <w:rsid w:val="1CF20FA0"/>
    <w:rsid w:val="1D120F4D"/>
    <w:rsid w:val="1E2533C7"/>
    <w:rsid w:val="1EA37306"/>
    <w:rsid w:val="1F470BC0"/>
    <w:rsid w:val="1F743DDE"/>
    <w:rsid w:val="1F8F5150"/>
    <w:rsid w:val="20215095"/>
    <w:rsid w:val="209330AD"/>
    <w:rsid w:val="220B581D"/>
    <w:rsid w:val="23060C75"/>
    <w:rsid w:val="23131547"/>
    <w:rsid w:val="2348029D"/>
    <w:rsid w:val="25B701F7"/>
    <w:rsid w:val="26185602"/>
    <w:rsid w:val="266A4288"/>
    <w:rsid w:val="2711054A"/>
    <w:rsid w:val="27112C99"/>
    <w:rsid w:val="2758208F"/>
    <w:rsid w:val="276F0F82"/>
    <w:rsid w:val="28B53A2B"/>
    <w:rsid w:val="28E22F7F"/>
    <w:rsid w:val="29EA1CAC"/>
    <w:rsid w:val="29F72B08"/>
    <w:rsid w:val="2A4E6610"/>
    <w:rsid w:val="2AAA4C7E"/>
    <w:rsid w:val="2AD90009"/>
    <w:rsid w:val="2C7664B9"/>
    <w:rsid w:val="2D4B715E"/>
    <w:rsid w:val="2EEF249A"/>
    <w:rsid w:val="2F683E16"/>
    <w:rsid w:val="2FE41B85"/>
    <w:rsid w:val="3040501C"/>
    <w:rsid w:val="308E1C77"/>
    <w:rsid w:val="315014BE"/>
    <w:rsid w:val="31910BFA"/>
    <w:rsid w:val="31915011"/>
    <w:rsid w:val="31EF35EF"/>
    <w:rsid w:val="3224038B"/>
    <w:rsid w:val="324A70ED"/>
    <w:rsid w:val="33A00142"/>
    <w:rsid w:val="33C818BF"/>
    <w:rsid w:val="349D3D91"/>
    <w:rsid w:val="356B4DBF"/>
    <w:rsid w:val="35C63531"/>
    <w:rsid w:val="36663993"/>
    <w:rsid w:val="37D85486"/>
    <w:rsid w:val="387E4F28"/>
    <w:rsid w:val="39601F32"/>
    <w:rsid w:val="3A31114F"/>
    <w:rsid w:val="3C4D5635"/>
    <w:rsid w:val="3CD35A5A"/>
    <w:rsid w:val="3CDB0975"/>
    <w:rsid w:val="3D4A7C7D"/>
    <w:rsid w:val="3DB96A3F"/>
    <w:rsid w:val="3E0213B6"/>
    <w:rsid w:val="3E245334"/>
    <w:rsid w:val="3F137B4C"/>
    <w:rsid w:val="3F1E6089"/>
    <w:rsid w:val="40657CDB"/>
    <w:rsid w:val="40787A50"/>
    <w:rsid w:val="40F35ED0"/>
    <w:rsid w:val="42026743"/>
    <w:rsid w:val="42237ED3"/>
    <w:rsid w:val="42E27CD9"/>
    <w:rsid w:val="44082F5B"/>
    <w:rsid w:val="44420801"/>
    <w:rsid w:val="4448112B"/>
    <w:rsid w:val="44AF2899"/>
    <w:rsid w:val="45E63AF1"/>
    <w:rsid w:val="463221C9"/>
    <w:rsid w:val="47052202"/>
    <w:rsid w:val="471515BF"/>
    <w:rsid w:val="47645C9C"/>
    <w:rsid w:val="476D4C1E"/>
    <w:rsid w:val="47800F66"/>
    <w:rsid w:val="48261234"/>
    <w:rsid w:val="48B23215"/>
    <w:rsid w:val="492F140F"/>
    <w:rsid w:val="497B0045"/>
    <w:rsid w:val="49FE39F4"/>
    <w:rsid w:val="4A264C89"/>
    <w:rsid w:val="4A624607"/>
    <w:rsid w:val="4A7F2D7E"/>
    <w:rsid w:val="4CBC5E1D"/>
    <w:rsid w:val="4E322AC3"/>
    <w:rsid w:val="4E757DE5"/>
    <w:rsid w:val="4ED2085E"/>
    <w:rsid w:val="4FE13DE8"/>
    <w:rsid w:val="500603C9"/>
    <w:rsid w:val="501905AE"/>
    <w:rsid w:val="51BD32FC"/>
    <w:rsid w:val="535E3047"/>
    <w:rsid w:val="547A00BD"/>
    <w:rsid w:val="55021557"/>
    <w:rsid w:val="554E5CC1"/>
    <w:rsid w:val="557D768E"/>
    <w:rsid w:val="55DE538D"/>
    <w:rsid w:val="55FE10AA"/>
    <w:rsid w:val="56064168"/>
    <w:rsid w:val="577A03BE"/>
    <w:rsid w:val="577B0EF2"/>
    <w:rsid w:val="58AC1791"/>
    <w:rsid w:val="59192699"/>
    <w:rsid w:val="59536312"/>
    <w:rsid w:val="5A2536BC"/>
    <w:rsid w:val="5A747B4B"/>
    <w:rsid w:val="5AE572A4"/>
    <w:rsid w:val="5CE11CD5"/>
    <w:rsid w:val="5E1D3AD6"/>
    <w:rsid w:val="5E201A66"/>
    <w:rsid w:val="5E5A2BDC"/>
    <w:rsid w:val="5EDF0405"/>
    <w:rsid w:val="5EEE495A"/>
    <w:rsid w:val="5F9B5240"/>
    <w:rsid w:val="602A5066"/>
    <w:rsid w:val="612661C0"/>
    <w:rsid w:val="618A3135"/>
    <w:rsid w:val="625F15CB"/>
    <w:rsid w:val="636F6EEA"/>
    <w:rsid w:val="63BC4D6D"/>
    <w:rsid w:val="6440362D"/>
    <w:rsid w:val="64911C68"/>
    <w:rsid w:val="64AE3D22"/>
    <w:rsid w:val="66171B4C"/>
    <w:rsid w:val="674A0884"/>
    <w:rsid w:val="68C36050"/>
    <w:rsid w:val="69931976"/>
    <w:rsid w:val="69E677F6"/>
    <w:rsid w:val="6AE30CD9"/>
    <w:rsid w:val="6B4963CA"/>
    <w:rsid w:val="6C593FF8"/>
    <w:rsid w:val="6C5C1D85"/>
    <w:rsid w:val="6C5C4D3C"/>
    <w:rsid w:val="6D505798"/>
    <w:rsid w:val="6D5B52D6"/>
    <w:rsid w:val="6DBE133E"/>
    <w:rsid w:val="6E373F7A"/>
    <w:rsid w:val="6E55178C"/>
    <w:rsid w:val="6FBA6DB3"/>
    <w:rsid w:val="6FC460A6"/>
    <w:rsid w:val="6FC52E4E"/>
    <w:rsid w:val="6FDD25CA"/>
    <w:rsid w:val="705101A3"/>
    <w:rsid w:val="70D46875"/>
    <w:rsid w:val="710A249A"/>
    <w:rsid w:val="712C4694"/>
    <w:rsid w:val="719B6137"/>
    <w:rsid w:val="719C7BD9"/>
    <w:rsid w:val="721852CC"/>
    <w:rsid w:val="728A373A"/>
    <w:rsid w:val="72B0062D"/>
    <w:rsid w:val="72EC3604"/>
    <w:rsid w:val="732700EF"/>
    <w:rsid w:val="73E546E2"/>
    <w:rsid w:val="75185375"/>
    <w:rsid w:val="75240847"/>
    <w:rsid w:val="7549584B"/>
    <w:rsid w:val="766B6AF3"/>
    <w:rsid w:val="770B5171"/>
    <w:rsid w:val="779A31BF"/>
    <w:rsid w:val="77CB4454"/>
    <w:rsid w:val="78710388"/>
    <w:rsid w:val="788D3FAC"/>
    <w:rsid w:val="7AB044BF"/>
    <w:rsid w:val="7B6F592B"/>
    <w:rsid w:val="7BAF5BBF"/>
    <w:rsid w:val="7C086CE5"/>
    <w:rsid w:val="7C5340AF"/>
    <w:rsid w:val="7C7D1A1E"/>
    <w:rsid w:val="7DF123A3"/>
    <w:rsid w:val="7E3E09D9"/>
    <w:rsid w:val="7F5D079C"/>
    <w:rsid w:val="7F83305B"/>
    <w:rsid w:val="7FC16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qFormat/>
    <w:uiPriority w:val="1"/>
  </w:style>
  <w:style w:type="table" w:default="1" w:styleId="4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99"/>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7">
    <w:name w:val="Table Elegant"/>
    <w:basedOn w:val="4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99"/>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99"/>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Char"/>
    <w:basedOn w:val="48"/>
    <w:link w:val="3"/>
    <w:qFormat/>
    <w:uiPriority w:val="0"/>
    <w:rPr>
      <w:rFonts w:ascii="宋体" w:hAnsi="宋体" w:eastAsia="宋体" w:cs="Times New Roman"/>
      <w:b/>
      <w:bCs/>
      <w:kern w:val="44"/>
      <w:sz w:val="32"/>
      <w:szCs w:val="32"/>
    </w:rPr>
  </w:style>
  <w:style w:type="character" w:customStyle="1" w:styleId="63">
    <w:name w:val="标题 2 Char"/>
    <w:basedOn w:val="48"/>
    <w:link w:val="4"/>
    <w:qFormat/>
    <w:uiPriority w:val="99"/>
    <w:rPr>
      <w:rFonts w:ascii="宋体" w:hAnsi="宋体" w:eastAsia="宋体" w:cs="Times New Roman"/>
      <w:b/>
      <w:bCs/>
      <w:iCs/>
      <w:kern w:val="0"/>
      <w:sz w:val="28"/>
      <w:szCs w:val="28"/>
    </w:rPr>
  </w:style>
  <w:style w:type="character" w:customStyle="1" w:styleId="64">
    <w:name w:val="标题 3 Char"/>
    <w:basedOn w:val="48"/>
    <w:link w:val="5"/>
    <w:qFormat/>
    <w:uiPriority w:val="99"/>
    <w:rPr>
      <w:rFonts w:ascii="宋体" w:hAnsi="宋体" w:eastAsia="宋体" w:cs="Times New Roman"/>
      <w:b/>
      <w:bCs/>
      <w:color w:val="000000"/>
      <w:sz w:val="28"/>
      <w:szCs w:val="28"/>
    </w:rPr>
  </w:style>
  <w:style w:type="character" w:customStyle="1" w:styleId="65">
    <w:name w:val="标题 4 Char"/>
    <w:basedOn w:val="48"/>
    <w:link w:val="6"/>
    <w:qFormat/>
    <w:uiPriority w:val="0"/>
    <w:rPr>
      <w:rFonts w:ascii="宋体" w:hAnsi="宋体" w:eastAsia="宋体" w:cs="Times New Roman"/>
      <w:b/>
      <w:bCs/>
      <w:kern w:val="0"/>
      <w:sz w:val="28"/>
      <w:szCs w:val="28"/>
    </w:rPr>
  </w:style>
  <w:style w:type="character" w:customStyle="1" w:styleId="66">
    <w:name w:val="标题 5 Char"/>
    <w:basedOn w:val="48"/>
    <w:link w:val="7"/>
    <w:qFormat/>
    <w:uiPriority w:val="0"/>
    <w:rPr>
      <w:rFonts w:ascii="Times New Roman" w:hAnsi="Times New Roman" w:eastAsia="宋体" w:cs="Times New Roman"/>
      <w:b/>
      <w:bCs/>
      <w:kern w:val="0"/>
      <w:sz w:val="28"/>
      <w:szCs w:val="28"/>
    </w:rPr>
  </w:style>
  <w:style w:type="character" w:customStyle="1" w:styleId="67">
    <w:name w:val="标题 6 Char"/>
    <w:basedOn w:val="48"/>
    <w:link w:val="8"/>
    <w:qFormat/>
    <w:uiPriority w:val="0"/>
    <w:rPr>
      <w:rFonts w:ascii="Arial" w:hAnsi="Arial" w:eastAsia="黑体" w:cs="Times New Roman"/>
      <w:b/>
      <w:bCs/>
      <w:sz w:val="24"/>
      <w:szCs w:val="24"/>
    </w:rPr>
  </w:style>
  <w:style w:type="character" w:customStyle="1" w:styleId="68">
    <w:name w:val="标题 7 Char"/>
    <w:basedOn w:val="48"/>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8"/>
    <w:link w:val="10"/>
    <w:qFormat/>
    <w:uiPriority w:val="0"/>
    <w:rPr>
      <w:rFonts w:ascii="Arial" w:hAnsi="Arial" w:eastAsia="黑体" w:cs="Times New Roman"/>
      <w:sz w:val="24"/>
      <w:szCs w:val="20"/>
    </w:rPr>
  </w:style>
  <w:style w:type="character" w:customStyle="1" w:styleId="70">
    <w:name w:val="标题 9 Char"/>
    <w:basedOn w:val="48"/>
    <w:link w:val="11"/>
    <w:qFormat/>
    <w:uiPriority w:val="0"/>
    <w:rPr>
      <w:rFonts w:ascii="Arial" w:hAnsi="Arial" w:eastAsia="黑体" w:cs="Times New Roman"/>
      <w:szCs w:val="20"/>
    </w:rPr>
  </w:style>
  <w:style w:type="character" w:customStyle="1" w:styleId="71">
    <w:name w:val="批注主题 Char"/>
    <w:link w:val="43"/>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6"/>
    <w:qFormat/>
    <w:uiPriority w:val="0"/>
    <w:rPr>
      <w:sz w:val="18"/>
    </w:rPr>
  </w:style>
  <w:style w:type="character" w:customStyle="1" w:styleId="74">
    <w:name w:val="fontblank12"/>
    <w:basedOn w:val="48"/>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Char"/>
    <w:link w:val="29"/>
    <w:qFormat/>
    <w:uiPriority w:val="99"/>
    <w:rPr>
      <w:sz w:val="18"/>
      <w:szCs w:val="18"/>
    </w:rPr>
  </w:style>
  <w:style w:type="character" w:customStyle="1" w:styleId="88">
    <w:name w:val="keyword"/>
    <w:basedOn w:val="48"/>
    <w:qFormat/>
    <w:uiPriority w:val="0"/>
  </w:style>
  <w:style w:type="character" w:customStyle="1" w:styleId="89">
    <w:name w:val="文档结构图 Char"/>
    <w:link w:val="15"/>
    <w:qFormat/>
    <w:uiPriority w:val="0"/>
    <w:rPr>
      <w:rFonts w:ascii="宋体"/>
      <w:sz w:val="18"/>
      <w:szCs w:val="18"/>
    </w:rPr>
  </w:style>
  <w:style w:type="character" w:customStyle="1" w:styleId="90">
    <w:name w:val="日期 Char"/>
    <w:link w:val="26"/>
    <w:qFormat/>
    <w:uiPriority w:val="0"/>
    <w:rPr>
      <w:sz w:val="24"/>
      <w:szCs w:val="24"/>
    </w:rPr>
  </w:style>
  <w:style w:type="character" w:customStyle="1" w:styleId="91">
    <w:name w:val="文章正文 Char"/>
    <w:link w:val="92"/>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6"/>
    <w:qFormat/>
    <w:uiPriority w:val="0"/>
    <w:rPr>
      <w:sz w:val="16"/>
      <w:szCs w:val="16"/>
    </w:rPr>
  </w:style>
  <w:style w:type="character" w:customStyle="1" w:styleId="94">
    <w:name w:val="正文文本缩进 Char"/>
    <w:link w:val="19"/>
    <w:qFormat/>
    <w:uiPriority w:val="0"/>
    <w:rPr>
      <w:rFonts w:ascii="宋体"/>
      <w:sz w:val="30"/>
      <w:szCs w:val="24"/>
    </w:rPr>
  </w:style>
  <w:style w:type="character" w:customStyle="1" w:styleId="95">
    <w:name w:val="正文首行缩进 Char"/>
    <w:link w:val="44"/>
    <w:qFormat/>
    <w:uiPriority w:val="0"/>
    <w:rPr>
      <w:rFonts w:ascii="宋体" w:hAnsi="宋体"/>
      <w:szCs w:val="24"/>
    </w:rPr>
  </w:style>
  <w:style w:type="character" w:customStyle="1" w:styleId="96">
    <w:name w:val="正文缩进 Char2"/>
    <w:link w:val="13"/>
    <w:qFormat/>
    <w:uiPriority w:val="99"/>
    <w:rPr>
      <w:szCs w:val="24"/>
    </w:rPr>
  </w:style>
  <w:style w:type="character" w:customStyle="1" w:styleId="97">
    <w:name w:val="称呼 Char"/>
    <w:link w:val="17"/>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28"/>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Char"/>
    <w:link w:val="30"/>
    <w:qFormat/>
    <w:uiPriority w:val="0"/>
    <w:rPr>
      <w:sz w:val="18"/>
      <w:szCs w:val="18"/>
    </w:rPr>
  </w:style>
  <w:style w:type="character" w:customStyle="1" w:styleId="105">
    <w:name w:val="正文文本缩进 2 Char"/>
    <w:link w:val="27"/>
    <w:qFormat/>
    <w:uiPriority w:val="0"/>
    <w:rPr>
      <w:szCs w:val="24"/>
    </w:rPr>
  </w:style>
  <w:style w:type="character" w:customStyle="1" w:styleId="106">
    <w:name w:val="正文文本 3 Char"/>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2"/>
    <w:qFormat/>
    <w:uiPriority w:val="0"/>
    <w:rPr>
      <w:rFonts w:ascii="Cambria" w:hAnsi="Cambria"/>
      <w:b/>
      <w:bCs/>
      <w:sz w:val="32"/>
      <w:szCs w:val="32"/>
    </w:rPr>
  </w:style>
  <w:style w:type="character" w:customStyle="1" w:styleId="109">
    <w:name w:val="纯文本 Char3"/>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18</TotalTime>
  <ScaleCrop>false</ScaleCrop>
  <LinksUpToDate>false</LinksUpToDate>
  <CharactersWithSpaces>34287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Lenovo</cp:lastModifiedBy>
  <cp:lastPrinted>2021-10-11T03:04:00Z</cp:lastPrinted>
  <dcterms:modified xsi:type="dcterms:W3CDTF">2021-10-11T04:42:25Z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