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rPr>
          <w:rFonts w:ascii="宋体" w:hAnsi="宋体"/>
        </w:rPr>
      </w:pPr>
    </w:p>
    <w:p>
      <w:pPr>
        <w:spacing w:line="360" w:lineRule="auto"/>
        <w:ind w:left="2409" w:leftChars="338" w:hanging="1699" w:hangingChars="531"/>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彭州市第四人民医院(彭州市精神卫生中心）2021年物业管理服务项目（</w:t>
      </w:r>
      <w:r>
        <w:rPr>
          <w:rFonts w:hint="eastAsia" w:ascii="华文中宋" w:hAnsi="华文中宋" w:eastAsia="华文中宋"/>
          <w:sz w:val="32"/>
          <w:szCs w:val="32"/>
          <w:lang w:val="en-US" w:eastAsia="zh-CN"/>
        </w:rPr>
        <w:t>第三次</w:t>
      </w:r>
      <w:r>
        <w:rPr>
          <w:rFonts w:hint="eastAsia" w:ascii="华文中宋" w:hAnsi="华文中宋" w:eastAsia="华文中宋"/>
          <w:sz w:val="32"/>
          <w:szCs w:val="32"/>
          <w:lang w:eastAsia="zh-CN"/>
        </w:rPr>
        <w:t>）</w:t>
      </w:r>
    </w:p>
    <w:p>
      <w:pPr>
        <w:spacing w:line="360" w:lineRule="auto"/>
        <w:ind w:left="2409" w:leftChars="338" w:hanging="1699" w:hangingChars="531"/>
        <w:rPr>
          <w:rFonts w:ascii="华文中宋" w:hAnsi="华文中宋" w:eastAsia="华文中宋"/>
          <w:sz w:val="32"/>
          <w:szCs w:val="32"/>
        </w:rPr>
      </w:pPr>
      <w:r>
        <w:rPr>
          <w:rFonts w:hint="eastAsia" w:ascii="华文中宋" w:hAnsi="华文中宋" w:eastAsia="华文中宋"/>
          <w:sz w:val="32"/>
          <w:szCs w:val="32"/>
        </w:rPr>
        <w:t>项目编号：</w:t>
      </w:r>
      <w:r>
        <w:rPr>
          <w:rFonts w:hint="eastAsia" w:ascii="华文中宋" w:hAnsi="华文中宋" w:eastAsia="华文中宋"/>
          <w:sz w:val="32"/>
          <w:szCs w:val="32"/>
          <w:lang w:val="en-US" w:eastAsia="zh-CN"/>
        </w:rPr>
        <w:t>彭州市政采（2021）A0034号-2</w:t>
      </w:r>
    </w:p>
    <w:p>
      <w:pPr>
        <w:spacing w:line="360" w:lineRule="auto"/>
        <w:ind w:firstLine="1280" w:firstLineChars="400"/>
        <w:rPr>
          <w:rFonts w:ascii="宋体" w:hAnsi="宋体"/>
          <w:sz w:val="32"/>
          <w:szCs w:val="32"/>
        </w:rPr>
      </w:pPr>
    </w:p>
    <w:p>
      <w:pPr>
        <w:spacing w:line="360" w:lineRule="auto"/>
        <w:ind w:firstLine="1256" w:firstLineChars="349"/>
        <w:rPr>
          <w:rFonts w:ascii="宋体" w:hAnsi="宋体"/>
          <w:spacing w:val="20"/>
          <w:sz w:val="32"/>
          <w:szCs w:val="32"/>
        </w:rPr>
      </w:pPr>
    </w:p>
    <w:p>
      <w:pPr>
        <w:spacing w:line="360" w:lineRule="auto"/>
        <w:rPr>
          <w:rFonts w:ascii="宋体" w:hAnsi="宋体"/>
          <w:kern w:val="24"/>
          <w:sz w:val="32"/>
          <w:szCs w:val="32"/>
        </w:rPr>
      </w:pPr>
    </w:p>
    <w:p>
      <w:pPr>
        <w:spacing w:line="360" w:lineRule="auto"/>
        <w:rPr>
          <w:rFonts w:ascii="宋体" w:hAnsi="宋体"/>
          <w:kern w:val="24"/>
          <w:sz w:val="32"/>
          <w:szCs w:val="32"/>
        </w:rPr>
      </w:pPr>
    </w:p>
    <w:p>
      <w:pPr>
        <w:spacing w:line="360" w:lineRule="auto"/>
        <w:rPr>
          <w:rFonts w:ascii="宋体" w:hAnsi="宋体"/>
          <w:kern w:val="24"/>
          <w:sz w:val="32"/>
          <w:szCs w:val="32"/>
        </w:rPr>
      </w:pPr>
    </w:p>
    <w:p>
      <w:pPr>
        <w:spacing w:line="360" w:lineRule="auto"/>
        <w:jc w:val="center"/>
        <w:rPr>
          <w:rFonts w:ascii="宋体" w:hAnsi="宋体"/>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彭州市第四人民医院(彭州市精神卫生中心）</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市公共资源交易服务中心共同编制</w:t>
      </w:r>
    </w:p>
    <w:p>
      <w:pPr>
        <w:spacing w:line="360" w:lineRule="auto"/>
        <w:jc w:val="center"/>
        <w:rPr>
          <w:rFonts w:ascii="华文中宋" w:hAnsi="华文中宋" w:eastAsia="华文中宋"/>
          <w:sz w:val="28"/>
          <w:szCs w:val="32"/>
        </w:rPr>
      </w:pPr>
      <w:r>
        <w:rPr>
          <w:rFonts w:hint="eastAsia" w:ascii="华文中宋" w:hAnsi="华文中宋" w:eastAsia="华文中宋"/>
          <w:sz w:val="32"/>
          <w:szCs w:val="32"/>
        </w:rPr>
        <w:t>二〇二</w:t>
      </w:r>
      <w:r>
        <w:rPr>
          <w:rFonts w:hint="eastAsia" w:ascii="华文中宋" w:hAnsi="华文中宋" w:eastAsia="华文中宋"/>
          <w:sz w:val="32"/>
          <w:szCs w:val="32"/>
          <w:lang w:val="en-US" w:eastAsia="zh-CN"/>
        </w:rPr>
        <w:t>二</w:t>
      </w:r>
      <w:r>
        <w:rPr>
          <w:rFonts w:hint="eastAsia" w:ascii="华文中宋" w:hAnsi="华文中宋" w:eastAsia="华文中宋"/>
          <w:sz w:val="32"/>
          <w:szCs w:val="32"/>
        </w:rPr>
        <w:t>年</w:t>
      </w:r>
      <w:r>
        <w:rPr>
          <w:rFonts w:hint="eastAsia" w:ascii="华文中宋" w:hAnsi="华文中宋" w:eastAsia="华文中宋"/>
          <w:sz w:val="32"/>
          <w:szCs w:val="32"/>
          <w:lang w:val="en-US" w:eastAsia="zh-CN"/>
        </w:rPr>
        <w:t>一</w:t>
      </w:r>
      <w:r>
        <w:rPr>
          <w:rFonts w:hint="eastAsia" w:ascii="华文中宋" w:hAnsi="华文中宋" w:eastAsia="华文中宋"/>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宋体" w:hAnsi="宋体"/>
          <w:b w:val="0"/>
          <w:bCs/>
          <w:sz w:val="36"/>
        </w:rPr>
      </w:pPr>
      <w:bookmarkStart w:id="0" w:name="_Toc101247312"/>
      <w:bookmarkStart w:id="1" w:name="_Toc101234248"/>
      <w:bookmarkStart w:id="2" w:name="_Toc101328520"/>
      <w:bookmarkStart w:id="3" w:name="_Toc148505181"/>
      <w:r>
        <w:rPr>
          <w:rFonts w:hint="eastAsia" w:ascii="宋体" w:hAnsi="宋体"/>
          <w:b w:val="0"/>
          <w:bCs/>
          <w:sz w:val="32"/>
          <w:szCs w:val="32"/>
        </w:rPr>
        <w:t>目 录</w:t>
      </w:r>
    </w:p>
    <w:p>
      <w:pPr>
        <w:pStyle w:val="29"/>
        <w:tabs>
          <w:tab w:val="right" w:leader="dot" w:pos="8306"/>
          <w:tab w:val="clear" w:pos="709"/>
          <w:tab w:val="clear" w:pos="8364"/>
        </w:tabs>
      </w:pPr>
      <w:r>
        <w:rPr>
          <w:rFonts w:hint="eastAsia"/>
          <w:b w:val="0"/>
          <w:bCs/>
        </w:rPr>
        <w:fldChar w:fldCharType="begin"/>
      </w:r>
      <w:r>
        <w:rPr>
          <w:rFonts w:hint="eastAsia" w:ascii="宋体" w:hAnsi="宋体"/>
          <w:b w:val="0"/>
          <w:bCs/>
          <w:smallCaps/>
        </w:rPr>
        <w:instrText xml:space="preserve"> TOC \o "1-2" \h \z \u </w:instrText>
      </w:r>
      <w:r>
        <w:rPr>
          <w:rFonts w:hint="eastAsia"/>
          <w:b w:val="0"/>
          <w:bCs/>
        </w:rPr>
        <w:fldChar w:fldCharType="separate"/>
      </w:r>
      <w:r>
        <w:rPr>
          <w:rFonts w:hint="eastAsia"/>
          <w:bCs/>
        </w:rPr>
        <w:fldChar w:fldCharType="begin"/>
      </w:r>
      <w:r>
        <w:rPr>
          <w:rFonts w:hint="eastAsia"/>
          <w:bCs/>
        </w:rPr>
        <w:instrText xml:space="preserve"> HYPERLINK \l _Toc6864 </w:instrText>
      </w:r>
      <w:r>
        <w:rPr>
          <w:rFonts w:hint="eastAsia"/>
          <w:bCs/>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_Toc6864 \h </w:instrText>
      </w:r>
      <w:r>
        <w:fldChar w:fldCharType="separate"/>
      </w:r>
      <w:r>
        <w:t>2</w:t>
      </w:r>
      <w:r>
        <w:fldChar w:fldCharType="end"/>
      </w:r>
      <w:r>
        <w:rPr>
          <w:rFonts w:hint="eastAsia"/>
          <w:bCs/>
        </w:rPr>
        <w:fldChar w:fldCharType="end"/>
      </w:r>
    </w:p>
    <w:p>
      <w:pPr>
        <w:pStyle w:val="29"/>
        <w:tabs>
          <w:tab w:val="right" w:leader="dot" w:pos="8306"/>
          <w:tab w:val="clear" w:pos="709"/>
          <w:tab w:val="clear" w:pos="8364"/>
        </w:tabs>
      </w:pPr>
      <w:r>
        <w:rPr>
          <w:rFonts w:hint="eastAsia"/>
          <w:bCs/>
        </w:rPr>
        <w:fldChar w:fldCharType="begin"/>
      </w:r>
      <w:r>
        <w:rPr>
          <w:rFonts w:hint="eastAsia"/>
          <w:bCs/>
        </w:rPr>
        <w:instrText xml:space="preserve"> HYPERLINK \l _Toc30484 </w:instrText>
      </w:r>
      <w:r>
        <w:rPr>
          <w:rFonts w:hint="eastAsia"/>
          <w:bCs/>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_Toc30484 \h </w:instrText>
      </w:r>
      <w:r>
        <w:fldChar w:fldCharType="separate"/>
      </w:r>
      <w:r>
        <w:t>7</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_Toc640 </w:instrText>
      </w:r>
      <w:r>
        <w:rPr>
          <w:rFonts w:hint="eastAsia"/>
          <w:bCs/>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_Toc640 \h </w:instrText>
      </w:r>
      <w:r>
        <w:fldChar w:fldCharType="separate"/>
      </w:r>
      <w:r>
        <w:t>7</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_Toc27841 </w:instrText>
      </w:r>
      <w:r>
        <w:rPr>
          <w:rFonts w:hint="eastAsia"/>
          <w:bCs/>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_Toc27841 \h </w:instrText>
      </w:r>
      <w:r>
        <w:fldChar w:fldCharType="separate"/>
      </w:r>
      <w:r>
        <w:t>9</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_Toc226 </w:instrText>
      </w:r>
      <w:r>
        <w:rPr>
          <w:rFonts w:hint="eastAsia"/>
          <w:bCs/>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_Toc226 \h </w:instrText>
      </w:r>
      <w:r>
        <w:fldChar w:fldCharType="separate"/>
      </w:r>
      <w:r>
        <w:t>11</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_Toc8831 </w:instrText>
      </w:r>
      <w:r>
        <w:rPr>
          <w:rFonts w:hint="eastAsia"/>
          <w:bCs/>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_Toc8831 \h </w:instrText>
      </w:r>
      <w:r>
        <w:fldChar w:fldCharType="separate"/>
      </w:r>
      <w:r>
        <w:t>12</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_Toc24478 </w:instrText>
      </w:r>
      <w:r>
        <w:rPr>
          <w:rFonts w:hint="eastAsia"/>
          <w:bCs/>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_Toc24478 \h </w:instrText>
      </w:r>
      <w:r>
        <w:fldChar w:fldCharType="separate"/>
      </w:r>
      <w:r>
        <w:t>18</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_Toc20111 </w:instrText>
      </w:r>
      <w:r>
        <w:rPr>
          <w:rFonts w:hint="eastAsia"/>
          <w:bCs/>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_Toc20111 \h </w:instrText>
      </w:r>
      <w:r>
        <w:fldChar w:fldCharType="separate"/>
      </w:r>
      <w:r>
        <w:t>20</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_Toc10812 </w:instrText>
      </w:r>
      <w:r>
        <w:rPr>
          <w:rFonts w:hint="eastAsia"/>
          <w:bCs/>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_Toc10812 \h </w:instrText>
      </w:r>
      <w:r>
        <w:fldChar w:fldCharType="separate"/>
      </w:r>
      <w:r>
        <w:t>22</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_Toc2918 </w:instrText>
      </w:r>
      <w:r>
        <w:rPr>
          <w:rFonts w:hint="eastAsia"/>
          <w:bCs/>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_Toc2918 \h </w:instrText>
      </w:r>
      <w:r>
        <w:fldChar w:fldCharType="separate"/>
      </w:r>
      <w:r>
        <w:t>24</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_Toc581 </w:instrText>
      </w:r>
      <w:r>
        <w:rPr>
          <w:rFonts w:hint="eastAsia"/>
          <w:bCs/>
        </w:rPr>
        <w:fldChar w:fldCharType="separate"/>
      </w:r>
      <w:r>
        <w:rPr>
          <w:rFonts w:hint="default" w:ascii="Times New Roman" w:hAnsi="Times New Roman" w:eastAsia="宋体" w:cs="Times New Roman"/>
          <w:i w:val="0"/>
          <w:szCs w:val="28"/>
        </w:rPr>
        <w:t xml:space="preserve">2.9 </w:t>
      </w:r>
      <w:r>
        <w:rPr>
          <w:rFonts w:hint="eastAsia"/>
        </w:rPr>
        <w:t>其他要求（实质性要求）</w:t>
      </w:r>
      <w:r>
        <w:tab/>
      </w:r>
      <w:r>
        <w:fldChar w:fldCharType="begin"/>
      </w:r>
      <w:r>
        <w:instrText xml:space="preserve"> PAGEREF _Toc581 \h </w:instrText>
      </w:r>
      <w:r>
        <w:fldChar w:fldCharType="separate"/>
      </w:r>
      <w:r>
        <w:t>25</w:t>
      </w:r>
      <w:r>
        <w:fldChar w:fldCharType="end"/>
      </w:r>
      <w:r>
        <w:rPr>
          <w:rFonts w:hint="eastAsia"/>
          <w:bCs/>
        </w:rPr>
        <w:fldChar w:fldCharType="end"/>
      </w:r>
    </w:p>
    <w:p>
      <w:pPr>
        <w:pStyle w:val="29"/>
        <w:tabs>
          <w:tab w:val="right" w:leader="dot" w:pos="8306"/>
          <w:tab w:val="clear" w:pos="709"/>
          <w:tab w:val="clear" w:pos="8364"/>
        </w:tabs>
      </w:pPr>
      <w:r>
        <w:rPr>
          <w:rFonts w:hint="eastAsia"/>
          <w:bCs/>
        </w:rPr>
        <w:fldChar w:fldCharType="begin"/>
      </w:r>
      <w:r>
        <w:rPr>
          <w:rFonts w:hint="eastAsia"/>
          <w:bCs/>
        </w:rPr>
        <w:instrText xml:space="preserve"> HYPERLINK \l _Toc10689 </w:instrText>
      </w:r>
      <w:r>
        <w:rPr>
          <w:rFonts w:hint="eastAsia"/>
          <w:bCs/>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_Toc10689 \h </w:instrText>
      </w:r>
      <w:r>
        <w:fldChar w:fldCharType="separate"/>
      </w:r>
      <w:r>
        <w:t>26</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_Toc15732 </w:instrText>
      </w:r>
      <w:r>
        <w:rPr>
          <w:rFonts w:hint="eastAsia"/>
          <w:bCs/>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_Toc15732 \h </w:instrText>
      </w:r>
      <w:r>
        <w:fldChar w:fldCharType="separate"/>
      </w:r>
      <w:r>
        <w:t>26</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_Toc6299 </w:instrText>
      </w:r>
      <w:r>
        <w:rPr>
          <w:rFonts w:hint="eastAsia"/>
          <w:bCs/>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资格响应文件</w:t>
      </w:r>
      <w:r>
        <w:tab/>
      </w:r>
      <w:r>
        <w:fldChar w:fldCharType="begin"/>
      </w:r>
      <w:r>
        <w:instrText xml:space="preserve"> PAGEREF _Toc6299 \h </w:instrText>
      </w:r>
      <w:r>
        <w:fldChar w:fldCharType="separate"/>
      </w:r>
      <w:r>
        <w:t>27</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_Toc26197 </w:instrText>
      </w:r>
      <w:r>
        <w:rPr>
          <w:rFonts w:hint="eastAsia"/>
          <w:bCs/>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商务技术响应文件</w:t>
      </w:r>
      <w:r>
        <w:tab/>
      </w:r>
      <w:r>
        <w:fldChar w:fldCharType="begin"/>
      </w:r>
      <w:r>
        <w:instrText xml:space="preserve"> PAGEREF _Toc26197 \h </w:instrText>
      </w:r>
      <w:r>
        <w:fldChar w:fldCharType="separate"/>
      </w:r>
      <w:r>
        <w:t>34</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_Toc14789 </w:instrText>
      </w:r>
      <w:r>
        <w:rPr>
          <w:rFonts w:hint="eastAsia"/>
          <w:bCs/>
        </w:rPr>
        <w:fldChar w:fldCharType="separate"/>
      </w:r>
      <w:r>
        <w:rPr>
          <w:rFonts w:hint="default" w:ascii="Times New Roman" w:hAnsi="Times New Roman" w:eastAsia="宋体" w:cs="Times New Roman"/>
          <w:i w:val="0"/>
          <w:szCs w:val="28"/>
        </w:rPr>
        <w:t xml:space="preserve">3.4 </w:t>
      </w:r>
      <w:r>
        <w:rPr>
          <w:rFonts w:hint="eastAsia" w:ascii="宋体" w:hAnsi="宋体"/>
        </w:rPr>
        <w:t>报价</w:t>
      </w:r>
      <w:r>
        <w:rPr>
          <w:rFonts w:hint="eastAsia" w:ascii="宋体" w:hAnsi="宋体"/>
          <w:bCs/>
          <w:szCs w:val="28"/>
        </w:rPr>
        <w:t>要求</w:t>
      </w:r>
      <w:r>
        <w:rPr>
          <w:rFonts w:hint="eastAsia" w:ascii="宋体" w:hAnsi="宋体"/>
        </w:rPr>
        <w:t>响应文件</w:t>
      </w:r>
      <w:r>
        <w:tab/>
      </w:r>
      <w:r>
        <w:fldChar w:fldCharType="begin"/>
      </w:r>
      <w:r>
        <w:instrText xml:space="preserve"> PAGEREF _Toc14789 \h </w:instrText>
      </w:r>
      <w:r>
        <w:fldChar w:fldCharType="separate"/>
      </w:r>
      <w:r>
        <w:t>38</w:t>
      </w:r>
      <w:r>
        <w:fldChar w:fldCharType="end"/>
      </w:r>
      <w:r>
        <w:rPr>
          <w:rFonts w:hint="eastAsia"/>
          <w:bCs/>
        </w:rPr>
        <w:fldChar w:fldCharType="end"/>
      </w:r>
    </w:p>
    <w:p>
      <w:pPr>
        <w:pStyle w:val="29"/>
        <w:tabs>
          <w:tab w:val="right" w:leader="dot" w:pos="8306"/>
          <w:tab w:val="clear" w:pos="709"/>
          <w:tab w:val="clear" w:pos="8364"/>
        </w:tabs>
      </w:pPr>
      <w:r>
        <w:rPr>
          <w:rFonts w:hint="eastAsia"/>
          <w:bCs/>
        </w:rPr>
        <w:fldChar w:fldCharType="begin"/>
      </w:r>
      <w:r>
        <w:rPr>
          <w:rFonts w:hint="eastAsia"/>
          <w:bCs/>
        </w:rPr>
        <w:instrText xml:space="preserve"> HYPERLINK \l _Toc15117 </w:instrText>
      </w:r>
      <w:r>
        <w:rPr>
          <w:rFonts w:hint="eastAsia"/>
          <w:bCs/>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_Toc15117 \h </w:instrText>
      </w:r>
      <w:r>
        <w:fldChar w:fldCharType="separate"/>
      </w:r>
      <w:r>
        <w:t>38</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_Toc28704 </w:instrText>
      </w:r>
      <w:r>
        <w:rPr>
          <w:rFonts w:hint="eastAsia"/>
          <w:bCs/>
        </w:rPr>
        <w:fldChar w:fldCharType="separate"/>
      </w:r>
      <w:r>
        <w:rPr>
          <w:rFonts w:hint="default" w:ascii="Times New Roman" w:hAnsi="Times New Roman" w:eastAsia="宋体" w:cs="Times New Roman"/>
          <w:i w:val="0"/>
          <w:szCs w:val="28"/>
        </w:rPr>
        <w:t xml:space="preserve">4.2 </w:t>
      </w:r>
      <w:r>
        <w:rPr>
          <w:rFonts w:hint="eastAsia"/>
        </w:rPr>
        <w:t>报价要求</w:t>
      </w:r>
      <w:r>
        <w:tab/>
      </w:r>
      <w:r>
        <w:fldChar w:fldCharType="begin"/>
      </w:r>
      <w:r>
        <w:instrText xml:space="preserve"> PAGEREF _Toc28704 \h </w:instrText>
      </w:r>
      <w:r>
        <w:fldChar w:fldCharType="separate"/>
      </w:r>
      <w:r>
        <w:t>47</w:t>
      </w:r>
      <w:r>
        <w:fldChar w:fldCharType="end"/>
      </w:r>
      <w:r>
        <w:rPr>
          <w:rFonts w:hint="eastAsia"/>
          <w:bCs/>
        </w:rPr>
        <w:fldChar w:fldCharType="end"/>
      </w:r>
    </w:p>
    <w:p>
      <w:pPr>
        <w:pStyle w:val="29"/>
        <w:tabs>
          <w:tab w:val="right" w:leader="dot" w:pos="8306"/>
          <w:tab w:val="clear" w:pos="709"/>
          <w:tab w:val="clear" w:pos="8364"/>
        </w:tabs>
      </w:pPr>
      <w:r>
        <w:rPr>
          <w:rFonts w:hint="eastAsia"/>
          <w:bCs/>
        </w:rPr>
        <w:fldChar w:fldCharType="begin"/>
      </w:r>
      <w:r>
        <w:rPr>
          <w:rFonts w:hint="eastAsia"/>
          <w:bCs/>
        </w:rPr>
        <w:instrText xml:space="preserve"> HYPERLINK \l _Toc25368 </w:instrText>
      </w:r>
      <w:r>
        <w:rPr>
          <w:rFonts w:hint="eastAsia"/>
          <w:bCs/>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_Toc25368 \h </w:instrText>
      </w:r>
      <w:r>
        <w:fldChar w:fldCharType="separate"/>
      </w:r>
      <w:r>
        <w:t>48</w:t>
      </w:r>
      <w:r>
        <w:fldChar w:fldCharType="end"/>
      </w:r>
      <w:r>
        <w:rPr>
          <w:rFonts w:hint="eastAsia"/>
          <w:bCs/>
        </w:rPr>
        <w:fldChar w:fldCharType="end"/>
      </w:r>
    </w:p>
    <w:p>
      <w:pPr>
        <w:pStyle w:val="29"/>
        <w:tabs>
          <w:tab w:val="right" w:leader="dot" w:pos="8306"/>
          <w:tab w:val="clear" w:pos="709"/>
          <w:tab w:val="clear" w:pos="8364"/>
        </w:tabs>
      </w:pPr>
      <w:r>
        <w:rPr>
          <w:rFonts w:hint="eastAsia"/>
          <w:bCs/>
        </w:rPr>
        <w:fldChar w:fldCharType="begin"/>
      </w:r>
      <w:r>
        <w:rPr>
          <w:rFonts w:hint="eastAsia"/>
          <w:bCs/>
        </w:rPr>
        <w:instrText xml:space="preserve"> HYPERLINK \l _Toc23758 </w:instrText>
      </w:r>
      <w:r>
        <w:rPr>
          <w:rFonts w:hint="eastAsia"/>
          <w:bCs/>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_Toc23758 \h </w:instrText>
      </w:r>
      <w:r>
        <w:fldChar w:fldCharType="separate"/>
      </w:r>
      <w:r>
        <w:t>52</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_Toc7232 </w:instrText>
      </w:r>
      <w:r>
        <w:rPr>
          <w:rFonts w:hint="eastAsia"/>
          <w:bCs/>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_Toc7232 \h </w:instrText>
      </w:r>
      <w:r>
        <w:fldChar w:fldCharType="separate"/>
      </w:r>
      <w:r>
        <w:t>52</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_Toc10972 </w:instrText>
      </w:r>
      <w:r>
        <w:rPr>
          <w:rFonts w:hint="eastAsia"/>
          <w:bCs/>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_Toc10972 \h </w:instrText>
      </w:r>
      <w:r>
        <w:fldChar w:fldCharType="separate"/>
      </w:r>
      <w:r>
        <w:t>53</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_Toc24612 </w:instrText>
      </w:r>
      <w:r>
        <w:rPr>
          <w:rFonts w:hint="eastAsia"/>
          <w:bCs/>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_Toc24612 \h </w:instrText>
      </w:r>
      <w:r>
        <w:fldChar w:fldCharType="separate"/>
      </w:r>
      <w:r>
        <w:t>53</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_Toc1319 </w:instrText>
      </w:r>
      <w:r>
        <w:rPr>
          <w:rFonts w:hint="eastAsia"/>
          <w:bCs/>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_Toc1319 \h </w:instrText>
      </w:r>
      <w:r>
        <w:fldChar w:fldCharType="separate"/>
      </w:r>
      <w:r>
        <w:t>59</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_Toc20219 </w:instrText>
      </w:r>
      <w:r>
        <w:rPr>
          <w:rFonts w:hint="eastAsia"/>
          <w:bCs/>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_Toc20219 \h </w:instrText>
      </w:r>
      <w:r>
        <w:fldChar w:fldCharType="separate"/>
      </w:r>
      <w:r>
        <w:t>60</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_Toc28818 </w:instrText>
      </w:r>
      <w:r>
        <w:rPr>
          <w:rFonts w:hint="eastAsia"/>
          <w:bCs/>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_Toc28818 \h </w:instrText>
      </w:r>
      <w:r>
        <w:fldChar w:fldCharType="separate"/>
      </w:r>
      <w:r>
        <w:t>64</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_Toc20866 </w:instrText>
      </w:r>
      <w:r>
        <w:rPr>
          <w:rFonts w:hint="eastAsia"/>
          <w:bCs/>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_Toc20866 \h </w:instrText>
      </w:r>
      <w:r>
        <w:fldChar w:fldCharType="separate"/>
      </w:r>
      <w:r>
        <w:t>64</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_Toc21704 </w:instrText>
      </w:r>
      <w:r>
        <w:rPr>
          <w:rFonts w:hint="eastAsia"/>
          <w:bCs/>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评审专家在政府采购活动中承担以下义务</w:t>
      </w:r>
      <w:r>
        <w:tab/>
      </w:r>
      <w:r>
        <w:fldChar w:fldCharType="begin"/>
      </w:r>
      <w:r>
        <w:instrText xml:space="preserve"> PAGEREF _Toc21704 \h </w:instrText>
      </w:r>
      <w:r>
        <w:fldChar w:fldCharType="separate"/>
      </w:r>
      <w:r>
        <w:t>65</w:t>
      </w:r>
      <w:r>
        <w:fldChar w:fldCharType="end"/>
      </w:r>
      <w:r>
        <w:rPr>
          <w:rFonts w:hint="eastAsia"/>
          <w:bCs/>
        </w:rPr>
        <w:fldChar w:fldCharType="end"/>
      </w:r>
    </w:p>
    <w:p>
      <w:pPr>
        <w:pStyle w:val="35"/>
        <w:tabs>
          <w:tab w:val="right" w:leader="dot" w:pos="8306"/>
          <w:tab w:val="clear" w:pos="620"/>
          <w:tab w:val="clear" w:pos="8364"/>
        </w:tabs>
      </w:pPr>
      <w:r>
        <w:rPr>
          <w:rFonts w:hint="eastAsia"/>
          <w:bCs/>
        </w:rPr>
        <w:fldChar w:fldCharType="begin"/>
      </w:r>
      <w:r>
        <w:rPr>
          <w:rFonts w:hint="eastAsia"/>
          <w:bCs/>
        </w:rPr>
        <w:instrText xml:space="preserve"> HYPERLINK \l _Toc13099 </w:instrText>
      </w:r>
      <w:r>
        <w:rPr>
          <w:rFonts w:hint="eastAsia"/>
          <w:bCs/>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评审专家在政府采购活动中应当遵守以下工作纪律</w:t>
      </w:r>
      <w:r>
        <w:tab/>
      </w:r>
      <w:r>
        <w:fldChar w:fldCharType="begin"/>
      </w:r>
      <w:r>
        <w:instrText xml:space="preserve"> PAGEREF _Toc13099 \h </w:instrText>
      </w:r>
      <w:r>
        <w:fldChar w:fldCharType="separate"/>
      </w:r>
      <w:r>
        <w:t>66</w:t>
      </w:r>
      <w:r>
        <w:fldChar w:fldCharType="end"/>
      </w:r>
      <w:r>
        <w:rPr>
          <w:rFonts w:hint="eastAsia"/>
          <w:bCs/>
        </w:rPr>
        <w:fldChar w:fldCharType="end"/>
      </w:r>
    </w:p>
    <w:p>
      <w:pPr>
        <w:pStyle w:val="29"/>
        <w:tabs>
          <w:tab w:val="right" w:leader="dot" w:pos="8306"/>
          <w:tab w:val="clear" w:pos="709"/>
          <w:tab w:val="clear" w:pos="8364"/>
        </w:tabs>
      </w:pPr>
      <w:r>
        <w:rPr>
          <w:rFonts w:hint="eastAsia"/>
          <w:bCs/>
        </w:rPr>
        <w:fldChar w:fldCharType="begin"/>
      </w:r>
      <w:r>
        <w:rPr>
          <w:rFonts w:hint="eastAsia"/>
          <w:bCs/>
        </w:rPr>
        <w:instrText xml:space="preserve"> HYPERLINK \l _Toc4116 </w:instrText>
      </w:r>
      <w:r>
        <w:rPr>
          <w:rFonts w:hint="eastAsia"/>
          <w:bCs/>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拟签订的合同文本</w:t>
      </w:r>
      <w:r>
        <w:tab/>
      </w:r>
      <w:r>
        <w:fldChar w:fldCharType="begin"/>
      </w:r>
      <w:r>
        <w:instrText xml:space="preserve"> PAGEREF _Toc4116 \h </w:instrText>
      </w:r>
      <w:r>
        <w:fldChar w:fldCharType="separate"/>
      </w:r>
      <w:r>
        <w:t>68</w:t>
      </w:r>
      <w:r>
        <w:fldChar w:fldCharType="end"/>
      </w:r>
      <w:r>
        <w:rPr>
          <w:rFonts w:hint="eastAsia"/>
          <w:bCs/>
        </w:rPr>
        <w:fldChar w:fldCharType="end"/>
      </w:r>
    </w:p>
    <w:p>
      <w:pPr>
        <w:tabs>
          <w:tab w:val="left" w:pos="620"/>
          <w:tab w:val="right" w:leader="dot" w:pos="8364"/>
        </w:tabs>
        <w:ind w:left="180"/>
        <w:rPr>
          <w:rFonts w:ascii="宋体" w:hAnsi="宋体"/>
          <w:b/>
          <w:bCs/>
          <w:caps/>
          <w:smallCaps/>
          <w:sz w:val="20"/>
          <w:szCs w:val="20"/>
        </w:rPr>
      </w:pPr>
      <w:r>
        <w:rPr>
          <w:rFonts w:hint="eastAsia"/>
          <w:bCs/>
        </w:rPr>
        <w:fldChar w:fldCharType="end"/>
      </w:r>
    </w:p>
    <w:p/>
    <w:p/>
    <w:p>
      <w:pPr>
        <w:pStyle w:val="2"/>
      </w:pPr>
    </w:p>
    <w:p/>
    <w:p>
      <w:pPr>
        <w:pStyle w:val="2"/>
      </w:pPr>
    </w:p>
    <w:p/>
    <w:p>
      <w:pPr>
        <w:pStyle w:val="2"/>
      </w:pPr>
    </w:p>
    <w:p/>
    <w:p>
      <w:pPr>
        <w:pStyle w:val="2"/>
      </w:pPr>
      <w:bookmarkStart w:id="235" w:name="_GoBack"/>
      <w:bookmarkEnd w:id="235"/>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6864"/>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lang w:val="en-US" w:eastAsia="zh-CN"/>
        </w:rPr>
        <w:t>彭州</w:t>
      </w:r>
      <w:r>
        <w:rPr>
          <w:rFonts w:hint="eastAsia" w:ascii="宋体" w:hAnsi="宋体"/>
          <w:sz w:val="28"/>
          <w:szCs w:val="28"/>
        </w:rPr>
        <w:t>市公共资源交易服务中心(以下简称“市公资交易中心”)受</w:t>
      </w:r>
      <w:r>
        <w:rPr>
          <w:rFonts w:hint="eastAsia" w:ascii="宋体" w:hAnsi="宋体"/>
          <w:sz w:val="28"/>
          <w:szCs w:val="28"/>
          <w:lang w:eastAsia="zh-CN"/>
        </w:rPr>
        <w:t>彭州市第四人民医院(彭州市精神卫生中心）</w:t>
      </w:r>
      <w:r>
        <w:rPr>
          <w:rFonts w:hint="eastAsia" w:ascii="宋体" w:hAnsi="宋体"/>
          <w:sz w:val="28"/>
          <w:szCs w:val="28"/>
        </w:rPr>
        <w:t>委托，拟对</w:t>
      </w:r>
      <w:r>
        <w:rPr>
          <w:rFonts w:hint="eastAsia" w:ascii="宋体" w:hAnsi="宋体"/>
          <w:sz w:val="28"/>
          <w:szCs w:val="28"/>
        </w:rPr>
        <w:fldChar w:fldCharType="begin"/>
      </w:r>
      <w:r>
        <w:rPr>
          <w:rFonts w:hint="eastAsia" w:ascii="宋体" w:hAnsi="宋体"/>
          <w:sz w:val="28"/>
          <w:szCs w:val="28"/>
        </w:rPr>
        <w:instrText xml:space="preserve"> HYPERLINK "https://www.zcygov.cn/proj-procurement/project-result-detail/5f91afc69cadba47?utm=web-bid-inviting-front.6a89804f.0.0.9e17a170727d11ec8fbecb8530280368" \t "https://www.zcygov.cn/bid-inviting/purchaseFileMake/_blank" </w:instrText>
      </w:r>
      <w:r>
        <w:rPr>
          <w:rFonts w:hint="eastAsia" w:ascii="宋体" w:hAnsi="宋体"/>
          <w:sz w:val="28"/>
          <w:szCs w:val="28"/>
        </w:rPr>
        <w:fldChar w:fldCharType="separate"/>
      </w:r>
      <w:r>
        <w:rPr>
          <w:rFonts w:hint="eastAsia" w:ascii="宋体" w:hAnsi="宋体"/>
          <w:sz w:val="28"/>
          <w:szCs w:val="28"/>
        </w:rPr>
        <w:t>彭州市第四人民医院(彭州市精神卫生中心）物业管理服务项目（第三次）</w:t>
      </w:r>
      <w:r>
        <w:rPr>
          <w:rFonts w:hint="eastAsia" w:ascii="宋体" w:hAnsi="宋体"/>
          <w:sz w:val="28"/>
          <w:szCs w:val="28"/>
        </w:rPr>
        <w:fldChar w:fldCharType="end"/>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val="en-US" w:eastAsia="zh-CN"/>
        </w:rPr>
        <w:t>彭州市政采（2021）A0034号-2</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（采购项目编号：510182202100267）</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项目名称：</w:t>
      </w:r>
      <w:r>
        <w:rPr>
          <w:rFonts w:hint="eastAsia" w:ascii="宋体" w:hAnsi="宋体"/>
          <w:b/>
          <w:sz w:val="28"/>
          <w:szCs w:val="28"/>
        </w:rPr>
        <w:fldChar w:fldCharType="begin"/>
      </w:r>
      <w:r>
        <w:rPr>
          <w:rFonts w:hint="eastAsia" w:ascii="宋体" w:hAnsi="宋体"/>
          <w:b/>
          <w:sz w:val="28"/>
          <w:szCs w:val="28"/>
        </w:rPr>
        <w:instrText xml:space="preserve"> HYPERLINK "https://www.zcygov.cn/proj-procurement/project-result-detail/5f91afc69cadba47?utm=web-bid-inviting-front.6a89804f.0.0.9e17a170727d11ec8fbecb8530280368" \t "https://www.zcygov.cn/bid-inviting/purchaseFileMake/_blank" </w:instrText>
      </w:r>
      <w:r>
        <w:rPr>
          <w:rFonts w:hint="eastAsia" w:ascii="宋体" w:hAnsi="宋体"/>
          <w:b/>
          <w:sz w:val="28"/>
          <w:szCs w:val="28"/>
        </w:rPr>
        <w:fldChar w:fldCharType="separate"/>
      </w:r>
      <w:r>
        <w:rPr>
          <w:rFonts w:hint="eastAsia" w:ascii="宋体" w:hAnsi="宋体"/>
          <w:b/>
          <w:sz w:val="28"/>
          <w:szCs w:val="28"/>
        </w:rPr>
        <w:t>彭州市第四人民医院(彭州市精神卫生中心）物业管理服务项目（第三次）</w:t>
      </w:r>
      <w:r>
        <w:rPr>
          <w:rFonts w:hint="eastAsia" w:ascii="宋体" w:hAnsi="宋体"/>
          <w:b/>
          <w:sz w:val="28"/>
          <w:szCs w:val="28"/>
        </w:rPr>
        <w:fldChar w:fldCharType="end"/>
      </w:r>
    </w:p>
    <w:p>
      <w:pPr>
        <w:numPr>
          <w:ilvl w:val="0"/>
          <w:numId w:val="7"/>
        </w:numPr>
        <w:spacing w:after="200" w:line="56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"/plan/list/detail?id=1000000000006467391&amp;encrypt=e78c88fd6d8835331e4e556ec53953db" \t "https://www.zcygov.cn/project-center/purchasePlans/_blank" </w:instrText>
      </w:r>
      <w:r>
        <w:rPr>
          <w:rFonts w:hint="eastAsia" w:ascii="宋体" w:hAnsi="宋体"/>
          <w:sz w:val="28"/>
          <w:szCs w:val="28"/>
        </w:rPr>
        <w:fldChar w:fldCharType="separate"/>
      </w:r>
      <w:r>
        <w:rPr>
          <w:rFonts w:hint="eastAsia" w:ascii="宋体" w:hAnsi="宋体"/>
          <w:sz w:val="28"/>
          <w:szCs w:val="28"/>
        </w:rPr>
        <w:t>(2021)0705号</w:t>
      </w:r>
      <w:r>
        <w:rPr>
          <w:rFonts w:hint="eastAsia" w:ascii="宋体" w:hAnsi="宋体"/>
          <w:sz w:val="28"/>
          <w:szCs w:val="28"/>
        </w:rPr>
        <w:fldChar w:fldCharType="end"/>
      </w:r>
      <w:r>
        <w:rPr>
          <w:rFonts w:hint="eastAsia" w:ascii="宋体" w:hAnsi="宋体"/>
          <w:sz w:val="28"/>
          <w:szCs w:val="28"/>
        </w:rPr>
        <w:t>；预算品目：C1204物业管理服务；预算金额：</w:t>
      </w:r>
      <w:r>
        <w:rPr>
          <w:rFonts w:hint="eastAsia" w:ascii="宋体" w:hAnsi="宋体"/>
          <w:sz w:val="28"/>
          <w:szCs w:val="28"/>
          <w:lang w:val="en-US" w:eastAsia="zh-CN"/>
        </w:rPr>
        <w:t>34.98万</w:t>
      </w:r>
      <w:r>
        <w:rPr>
          <w:rFonts w:hint="eastAsia" w:ascii="宋体" w:hAnsi="宋体"/>
          <w:sz w:val="28"/>
          <w:szCs w:val="28"/>
        </w:rPr>
        <w:t>元；最高限价：</w:t>
      </w:r>
      <w:r>
        <w:rPr>
          <w:rFonts w:hint="eastAsia" w:ascii="宋体" w:hAnsi="宋体"/>
          <w:sz w:val="28"/>
          <w:szCs w:val="28"/>
          <w:lang w:val="en-US" w:eastAsia="zh-CN"/>
        </w:rPr>
        <w:t>34.98万</w:t>
      </w:r>
      <w:r>
        <w:rPr>
          <w:rFonts w:hint="eastAsia" w:ascii="宋体" w:hAnsi="宋体"/>
          <w:sz w:val="28"/>
          <w:szCs w:val="28"/>
        </w:rPr>
        <w:t>元/年；采购标的：物业管理服务；所属行业：</w:t>
      </w:r>
      <w:r>
        <w:rPr>
          <w:rFonts w:hint="eastAsia" w:ascii="宋体" w:hAnsi="宋体"/>
          <w:sz w:val="28"/>
          <w:szCs w:val="28"/>
          <w:lang w:val="en-US" w:eastAsia="zh-CN"/>
        </w:rPr>
        <w:t>物业管理服务</w:t>
      </w:r>
      <w:r>
        <w:rPr>
          <w:rFonts w:hint="eastAsia" w:ascii="宋体" w:hAnsi="宋体"/>
          <w:sz w:val="28"/>
          <w:szCs w:val="28"/>
        </w:rPr>
        <w:t>。</w:t>
      </w:r>
    </w:p>
    <w:p>
      <w:pPr>
        <w:numPr>
          <w:ilvl w:val="0"/>
          <w:numId w:val="0"/>
        </w:numPr>
        <w:spacing w:after="200" w:line="560" w:lineRule="exact"/>
        <w:rPr>
          <w:rFonts w:ascii="宋体" w:hAnsi="宋体"/>
          <w:b/>
          <w:sz w:val="28"/>
          <w:szCs w:val="28"/>
        </w:rPr>
      </w:pPr>
    </w:p>
    <w:p>
      <w:pPr>
        <w:numPr>
          <w:ilvl w:val="0"/>
          <w:numId w:val="6"/>
        </w:numPr>
        <w:spacing w:line="360" w:lineRule="auto"/>
        <w:ind w:left="0" w:firstLine="567"/>
        <w:rPr>
          <w:rFonts w:ascii="宋体" w:hAnsi="宋体"/>
          <w:sz w:val="28"/>
        </w:rPr>
      </w:pPr>
      <w:r>
        <w:rPr>
          <w:rFonts w:hint="eastAsia" w:ascii="宋体" w:hAnsi="宋体"/>
          <w:b/>
          <w:sz w:val="28"/>
          <w:szCs w:val="28"/>
        </w:rPr>
        <w:t>招标项目简介</w:t>
      </w:r>
    </w:p>
    <w:p>
      <w:pPr>
        <w:spacing w:line="360" w:lineRule="auto"/>
        <w:ind w:firstLine="560" w:firstLineChars="200"/>
        <w:rPr>
          <w:rFonts w:hint="eastAsia" w:ascii="宋体" w:hAnsi="宋体"/>
          <w:sz w:val="28"/>
          <w:szCs w:val="28"/>
        </w:rPr>
      </w:pPr>
      <w:r>
        <w:rPr>
          <w:rFonts w:hint="eastAsia" w:ascii="宋体" w:hAnsi="宋体"/>
          <w:sz w:val="28"/>
          <w:szCs w:val="28"/>
        </w:rPr>
        <w:t>本次采购服务内容为彭州市九尺镇天鹅村355号彭州市第四人民医院内</w:t>
      </w:r>
      <w:r>
        <w:rPr>
          <w:rFonts w:hint="eastAsia" w:ascii="宋体" w:hAnsi="宋体"/>
          <w:sz w:val="28"/>
          <w:szCs w:val="28"/>
          <w:lang w:val="en-US" w:eastAsia="zh-CN"/>
        </w:rPr>
        <w:t>物业管理服务。</w:t>
      </w:r>
    </w:p>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8"/>
        </w:numPr>
        <w:spacing w:line="360" w:lineRule="auto"/>
        <w:ind w:left="0" w:firstLine="567"/>
        <w:rPr>
          <w:rFonts w:ascii="宋体" w:hAnsi="宋体"/>
          <w:sz w:val="28"/>
          <w:szCs w:val="28"/>
        </w:rPr>
      </w:pPr>
      <w:r>
        <w:rPr>
          <w:rFonts w:hint="eastAsia" w:ascii="宋体" w:hAnsi="宋体"/>
          <w:sz w:val="28"/>
          <w:szCs w:val="28"/>
        </w:rPr>
        <w:t>符合《</w:t>
      </w:r>
      <w:r>
        <w:rPr>
          <w:rFonts w:hint="eastAsia" w:ascii="宋体" w:hAnsi="宋体"/>
          <w:sz w:val="28"/>
          <w:szCs w:val="28"/>
          <w:lang w:val="en-US" w:eastAsia="zh-CN"/>
        </w:rPr>
        <w:t>中华人民共和国</w:t>
      </w:r>
      <w:r>
        <w:rPr>
          <w:rFonts w:hint="eastAsia" w:ascii="宋体" w:hAnsi="宋体"/>
          <w:sz w:val="28"/>
          <w:szCs w:val="28"/>
        </w:rPr>
        <w:t>政府采购法》第二十二条第一款规定的条件；</w:t>
      </w:r>
    </w:p>
    <w:p>
      <w:pPr>
        <w:numPr>
          <w:ilvl w:val="1"/>
          <w:numId w:val="8"/>
        </w:numPr>
        <w:spacing w:line="360" w:lineRule="auto"/>
        <w:ind w:left="0" w:firstLine="567"/>
        <w:rPr>
          <w:rFonts w:hint="eastAsia" w:ascii="宋体" w:hAnsi="宋体"/>
          <w:sz w:val="28"/>
          <w:szCs w:val="28"/>
          <w:lang w:val="en-US" w:eastAsia="zh-CN"/>
        </w:rPr>
      </w:pPr>
      <w:r>
        <w:rPr>
          <w:rFonts w:hint="eastAsia" w:ascii="宋体" w:hAnsi="宋体"/>
          <w:sz w:val="28"/>
          <w:szCs w:val="28"/>
          <w:lang w:val="en-US" w:eastAsia="zh-CN"/>
        </w:rPr>
        <w:t>本项目为专门面向中小企业采购项目，服务全部由符合政策要求的中小企业承接；（说明：监狱企业、残疾人福利性单位视同小型、微型企业）</w:t>
      </w:r>
    </w:p>
    <w:p>
      <w:pPr>
        <w:numPr>
          <w:ilvl w:val="1"/>
          <w:numId w:val="8"/>
        </w:numPr>
        <w:spacing w:line="360" w:lineRule="auto"/>
        <w:ind w:left="0" w:firstLine="567"/>
        <w:rPr>
          <w:rFonts w:ascii="宋体" w:hAnsi="宋体"/>
          <w:sz w:val="28"/>
          <w:szCs w:val="28"/>
        </w:rPr>
      </w:pPr>
      <w:r>
        <w:rPr>
          <w:rFonts w:ascii="宋体" w:hAnsi="宋体"/>
          <w:sz w:val="28"/>
          <w:szCs w:val="28"/>
        </w:rPr>
        <w:t xml:space="preserve"> </w:t>
      </w:r>
      <w:r>
        <w:rPr>
          <w:rFonts w:hint="eastAsia" w:ascii="宋体" w:hAnsi="宋体"/>
          <w:sz w:val="28"/>
          <w:szCs w:val="28"/>
        </w:rPr>
        <w:t xml:space="preserve">未被列入失信被执行人、重大税收违法案件当事人名单、政府采购严重违法失信行为记录名单； </w:t>
      </w:r>
    </w:p>
    <w:p>
      <w:pPr>
        <w:numPr>
          <w:ilvl w:val="1"/>
          <w:numId w:val="8"/>
        </w:numPr>
        <w:spacing w:line="360" w:lineRule="auto"/>
        <w:ind w:left="0" w:firstLine="567"/>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8"/>
        </w:numPr>
        <w:spacing w:line="360" w:lineRule="auto"/>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1"/>
          <w:numId w:val="8"/>
        </w:numPr>
        <w:spacing w:line="360" w:lineRule="auto"/>
        <w:ind w:left="0" w:firstLine="567"/>
        <w:rPr>
          <w:rFonts w:ascii="宋体" w:hAnsi="宋体"/>
          <w:sz w:val="28"/>
          <w:szCs w:val="28"/>
        </w:rPr>
      </w:pPr>
      <w:r>
        <w:rPr>
          <w:rFonts w:hint="eastAsia" w:ascii="宋体" w:hAnsi="宋体"/>
          <w:sz w:val="28"/>
          <w:szCs w:val="28"/>
        </w:rPr>
        <w:t>不属于国家相关法律法规规定的其他禁止参加投标的情形；</w:t>
      </w:r>
    </w:p>
    <w:p>
      <w:pPr>
        <w:numPr>
          <w:ilvl w:val="1"/>
          <w:numId w:val="8"/>
        </w:numPr>
        <w:spacing w:line="360" w:lineRule="auto"/>
        <w:ind w:left="0" w:firstLine="567"/>
        <w:rPr>
          <w:rFonts w:ascii="宋体" w:hAnsi="宋体"/>
          <w:sz w:val="28"/>
          <w:szCs w:val="28"/>
        </w:rPr>
      </w:pPr>
      <w:r>
        <w:rPr>
          <w:rFonts w:hint="eastAsia" w:ascii="宋体" w:hAnsi="宋体"/>
          <w:sz w:val="28"/>
          <w:szCs w:val="28"/>
        </w:rPr>
        <w:t>本项目不接受联合体投标。</w:t>
      </w:r>
    </w:p>
    <w:p>
      <w:pPr>
        <w:numPr>
          <w:ilvl w:val="0"/>
          <w:numId w:val="6"/>
        </w:numPr>
        <w:spacing w:line="360" w:lineRule="auto"/>
        <w:ind w:left="0" w:firstLine="567"/>
        <w:rPr>
          <w:rFonts w:ascii="宋体" w:hAnsi="宋体"/>
          <w:b/>
          <w:i/>
          <w:sz w:val="28"/>
        </w:rPr>
      </w:pPr>
      <w:r>
        <w:rPr>
          <w:rFonts w:hint="eastAsia" w:ascii="宋体" w:hAnsi="宋体"/>
          <w:b/>
          <w:sz w:val="28"/>
          <w:szCs w:val="28"/>
        </w:rPr>
        <w:t>招标文件获取时间</w:t>
      </w:r>
    </w:p>
    <w:p>
      <w:pPr>
        <w:numPr>
          <w:ilvl w:val="0"/>
          <w:numId w:val="9"/>
        </w:numPr>
        <w:spacing w:line="360" w:lineRule="auto"/>
        <w:ind w:left="0" w:firstLine="567"/>
        <w:rPr>
          <w:rFonts w:ascii="宋体" w:hAnsi="宋体"/>
          <w:b/>
          <w:sz w:val="28"/>
        </w:rPr>
      </w:pPr>
      <w:r>
        <w:rPr>
          <w:rFonts w:hint="eastAsia" w:ascii="宋体" w:hAnsi="宋体"/>
          <w:b/>
          <w:sz w:val="28"/>
          <w:szCs w:val="28"/>
        </w:rPr>
        <w:t>招标文件获取时间：202</w:t>
      </w:r>
      <w:r>
        <w:rPr>
          <w:rFonts w:hint="eastAsia" w:ascii="宋体" w:hAnsi="宋体"/>
          <w:b/>
          <w:sz w:val="28"/>
          <w:szCs w:val="28"/>
          <w:lang w:val="en-US" w:eastAsia="zh-CN"/>
        </w:rPr>
        <w:t>2</w:t>
      </w:r>
      <w:r>
        <w:rPr>
          <w:rFonts w:hint="eastAsia" w:ascii="宋体" w:hAnsi="宋体"/>
          <w:b/>
          <w:sz w:val="28"/>
          <w:szCs w:val="28"/>
        </w:rPr>
        <w:t>年</w:t>
      </w:r>
      <w:r>
        <w:rPr>
          <w:rFonts w:hint="eastAsia" w:ascii="宋体" w:hAnsi="宋体"/>
          <w:b/>
          <w:sz w:val="28"/>
          <w:szCs w:val="28"/>
          <w:lang w:val="en-US" w:eastAsia="zh-CN"/>
        </w:rPr>
        <w:t>1</w:t>
      </w:r>
      <w:r>
        <w:rPr>
          <w:rFonts w:hint="eastAsia" w:ascii="宋体" w:hAnsi="宋体"/>
          <w:b/>
          <w:sz w:val="28"/>
          <w:szCs w:val="28"/>
        </w:rPr>
        <w:t>月</w:t>
      </w:r>
      <w:r>
        <w:rPr>
          <w:rFonts w:hint="eastAsia" w:ascii="宋体" w:hAnsi="宋体"/>
          <w:b/>
          <w:sz w:val="28"/>
          <w:szCs w:val="28"/>
          <w:lang w:val="en-US" w:eastAsia="zh-CN"/>
        </w:rPr>
        <w:t>21</w:t>
      </w:r>
      <w:r>
        <w:rPr>
          <w:rFonts w:hint="eastAsia" w:ascii="宋体" w:hAnsi="宋体"/>
          <w:b/>
          <w:sz w:val="28"/>
          <w:szCs w:val="28"/>
        </w:rPr>
        <w:t>日至202</w:t>
      </w:r>
      <w:r>
        <w:rPr>
          <w:rFonts w:hint="eastAsia" w:ascii="宋体" w:hAnsi="宋体"/>
          <w:b/>
          <w:sz w:val="28"/>
          <w:szCs w:val="28"/>
          <w:lang w:val="en-US" w:eastAsia="zh-CN"/>
        </w:rPr>
        <w:t>2</w:t>
      </w:r>
      <w:r>
        <w:rPr>
          <w:rFonts w:hint="eastAsia" w:ascii="宋体" w:hAnsi="宋体"/>
          <w:b/>
          <w:sz w:val="28"/>
          <w:szCs w:val="28"/>
        </w:rPr>
        <w:t>年</w:t>
      </w:r>
      <w:r>
        <w:rPr>
          <w:rFonts w:hint="eastAsia" w:ascii="宋体" w:hAnsi="宋体"/>
          <w:b/>
          <w:sz w:val="28"/>
          <w:szCs w:val="28"/>
          <w:lang w:val="en-US" w:eastAsia="zh-CN"/>
        </w:rPr>
        <w:t>2</w:t>
      </w:r>
      <w:r>
        <w:rPr>
          <w:rFonts w:hint="eastAsia" w:ascii="宋体" w:hAnsi="宋体"/>
          <w:b/>
          <w:sz w:val="28"/>
          <w:szCs w:val="28"/>
        </w:rPr>
        <w:t>月</w:t>
      </w:r>
      <w:r>
        <w:rPr>
          <w:rFonts w:hint="eastAsia" w:ascii="宋体" w:hAnsi="宋体"/>
          <w:b/>
          <w:sz w:val="28"/>
          <w:szCs w:val="28"/>
          <w:lang w:val="en-US" w:eastAsia="zh-CN"/>
        </w:rPr>
        <w:t>9</w:t>
      </w:r>
      <w:r>
        <w:rPr>
          <w:rFonts w:hint="eastAsia" w:ascii="宋体" w:hAnsi="宋体"/>
          <w:b/>
          <w:sz w:val="28"/>
          <w:szCs w:val="28"/>
        </w:rPr>
        <w:t>日。</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5" w:firstLineChars="202"/>
        <w:rPr>
          <w:rFonts w:ascii="宋体" w:hAnsi="宋体"/>
          <w:sz w:val="28"/>
          <w:szCs w:val="28"/>
        </w:rPr>
      </w:pPr>
      <w:r>
        <w:rPr>
          <w:rFonts w:hint="eastAsia" w:ascii="宋体" w:hAnsi="宋体"/>
          <w:sz w:val="28"/>
          <w:szCs w:val="28"/>
        </w:rPr>
        <w:t>投标人要参加投标，应在成都市公共资源交易服务中心“政府采购云平台（www.zcygov.cn）”获取采购文件。登录政府采购云平台(www.zcygov.cn)—我的工作台—项目采购—获取采购文件—申请获取采购文件。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sz w:val="28"/>
          <w:szCs w:val="28"/>
        </w:rPr>
      </w:pPr>
      <w:r>
        <w:rPr>
          <w:rFonts w:hint="eastAsia" w:ascii="宋体" w:hAnsi="宋体"/>
          <w:sz w:val="28"/>
          <w:szCs w:val="28"/>
        </w:rPr>
        <w:t>（3）首次登录政府采购云平台(www.zcygov.cn)的新用户,</w:t>
      </w:r>
      <w:r>
        <w:rPr>
          <w:rFonts w:hint="eastAsia"/>
        </w:rPr>
        <w:t xml:space="preserve"> </w:t>
      </w:r>
      <w:r>
        <w:rPr>
          <w:rFonts w:hint="eastAsia" w:ascii="宋体" w:hAnsi="宋体"/>
          <w:sz w:val="28"/>
          <w:szCs w:val="28"/>
        </w:rPr>
        <w:t>应先点击网页左上角切换至“成都市本级”，再点击“供应商入驻”，注册成功后即可登录。</w:t>
      </w:r>
    </w:p>
    <w:p>
      <w:pPr>
        <w:spacing w:line="360" w:lineRule="auto"/>
        <w:ind w:firstLine="565" w:firstLineChars="202"/>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5" w:firstLineChars="202"/>
        <w:rPr>
          <w:rFonts w:ascii="宋体" w:hAnsi="宋体"/>
          <w:sz w:val="28"/>
          <w:szCs w:val="28"/>
        </w:rPr>
      </w:pPr>
      <w:r>
        <w:rPr>
          <w:rFonts w:hint="eastAsia" w:ascii="宋体" w:hAnsi="宋体"/>
          <w:sz w:val="28"/>
          <w:szCs w:val="28"/>
        </w:rPr>
        <w:t>登录政府采购云平台（www.zcygov.cn）获取。</w:t>
      </w:r>
    </w:p>
    <w:p>
      <w:pPr>
        <w:numPr>
          <w:ilvl w:val="0"/>
          <w:numId w:val="6"/>
        </w:numPr>
        <w:spacing w:line="360" w:lineRule="auto"/>
        <w:ind w:left="0" w:firstLine="567"/>
        <w:rPr>
          <w:rFonts w:ascii="宋体" w:hAnsi="宋体"/>
          <w:b/>
          <w:sz w:val="28"/>
          <w:szCs w:val="28"/>
        </w:rPr>
      </w:pPr>
      <w:bookmarkStart w:id="8" w:name="_Toc186274101"/>
      <w:bookmarkStart w:id="9" w:name="_Toc174185149"/>
      <w:bookmarkStart w:id="10" w:name="_Toc180051012"/>
      <w:bookmarkStart w:id="11" w:name="_Toc184023104"/>
      <w:bookmarkStart w:id="12" w:name="_Toc184013605"/>
      <w:r>
        <w:rPr>
          <w:rFonts w:hint="eastAsia" w:ascii="宋体" w:hAnsi="宋体"/>
          <w:b/>
          <w:sz w:val="28"/>
          <w:szCs w:val="28"/>
        </w:rPr>
        <w:t>投标文件提交截止时间及开标时间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8" w:firstLineChars="202"/>
        <w:rPr>
          <w:rFonts w:ascii="宋体" w:hAnsi="宋体"/>
          <w:b/>
          <w:sz w:val="28"/>
          <w:szCs w:val="28"/>
        </w:rPr>
      </w:pPr>
      <w:r>
        <w:rPr>
          <w:rFonts w:hint="eastAsia" w:ascii="宋体" w:hAnsi="宋体"/>
          <w:b/>
          <w:sz w:val="28"/>
          <w:szCs w:val="28"/>
        </w:rPr>
        <w:t>（一）投标文件提交截止时间及开标时间：202</w:t>
      </w:r>
      <w:r>
        <w:rPr>
          <w:rFonts w:hint="eastAsia" w:ascii="宋体" w:hAnsi="宋体"/>
          <w:b/>
          <w:sz w:val="28"/>
          <w:szCs w:val="28"/>
          <w:lang w:val="en-US" w:eastAsia="zh-CN"/>
        </w:rPr>
        <w:t>2</w:t>
      </w:r>
      <w:r>
        <w:rPr>
          <w:rFonts w:hint="eastAsia" w:ascii="宋体" w:hAnsi="宋体"/>
          <w:b/>
          <w:sz w:val="28"/>
          <w:szCs w:val="28"/>
        </w:rPr>
        <w:t>年</w:t>
      </w:r>
      <w:r>
        <w:rPr>
          <w:rFonts w:hint="eastAsia" w:ascii="宋体" w:hAnsi="宋体"/>
          <w:b/>
          <w:sz w:val="28"/>
          <w:szCs w:val="28"/>
          <w:lang w:val="en-US" w:eastAsia="zh-CN"/>
        </w:rPr>
        <w:t>2</w:t>
      </w:r>
      <w:r>
        <w:rPr>
          <w:rFonts w:hint="eastAsia" w:ascii="宋体" w:hAnsi="宋体"/>
          <w:b/>
          <w:sz w:val="28"/>
          <w:szCs w:val="28"/>
        </w:rPr>
        <w:t>月</w:t>
      </w:r>
      <w:r>
        <w:rPr>
          <w:rFonts w:hint="eastAsia" w:ascii="宋体" w:hAnsi="宋体"/>
          <w:b/>
          <w:sz w:val="28"/>
          <w:szCs w:val="28"/>
          <w:lang w:val="en-US" w:eastAsia="zh-CN"/>
        </w:rPr>
        <w:t>10</w:t>
      </w:r>
      <w:r>
        <w:rPr>
          <w:rFonts w:hint="eastAsia" w:ascii="宋体" w:hAnsi="宋体"/>
          <w:b/>
          <w:sz w:val="28"/>
          <w:szCs w:val="28"/>
        </w:rPr>
        <w:t>日上午09:30。</w:t>
      </w:r>
    </w:p>
    <w:p>
      <w:pPr>
        <w:spacing w:line="560" w:lineRule="exact"/>
        <w:ind w:firstLine="565" w:firstLineChars="202"/>
        <w:rPr>
          <w:rFonts w:ascii="宋体" w:hAnsi="宋体"/>
          <w:sz w:val="28"/>
          <w:szCs w:val="28"/>
        </w:rPr>
      </w:pPr>
      <w:r>
        <w:rPr>
          <w:rFonts w:hint="eastAsia" w:ascii="宋体" w:hAnsi="宋体"/>
          <w:sz w:val="28"/>
          <w:szCs w:val="28"/>
        </w:rPr>
        <w:t>（二）投标文件提交方式、地点：投标截止时间前，投标人应将加密的电子投标文件提交至“政府采购云平台”对应项目（包件）。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530" w:lineRule="exact"/>
        <w:ind w:firstLine="420" w:firstLineChars="150"/>
        <w:jc w:val="left"/>
        <w:rPr>
          <w:rFonts w:ascii="宋体" w:hAnsi="宋体"/>
          <w:sz w:val="28"/>
          <w:szCs w:val="28"/>
        </w:rPr>
      </w:pPr>
      <w:r>
        <w:rPr>
          <w:rFonts w:hint="eastAsia" w:ascii="宋体" w:hAnsi="宋体"/>
          <w:sz w:val="28"/>
          <w:szCs w:val="28"/>
        </w:rPr>
        <w:t>（一）本项目为不见面开标项目。</w:t>
      </w:r>
    </w:p>
    <w:p>
      <w:pPr>
        <w:spacing w:line="530" w:lineRule="exact"/>
        <w:ind w:firstLine="420" w:firstLineChars="150"/>
        <w:jc w:val="left"/>
        <w:rPr>
          <w:rFonts w:ascii="宋体" w:hAnsi="宋体"/>
          <w:sz w:val="28"/>
          <w:szCs w:val="28"/>
        </w:rPr>
      </w:pPr>
      <w:r>
        <w:rPr>
          <w:rFonts w:hint="eastAsia" w:ascii="宋体" w:hAnsi="宋体"/>
          <w:sz w:val="28"/>
          <w:szCs w:val="28"/>
        </w:rPr>
        <w:t>（二）开标地点为：政府采购云平台（www.zcygov.cn）。</w:t>
      </w:r>
    </w:p>
    <w:p>
      <w:pPr>
        <w:spacing w:line="530" w:lineRule="exact"/>
        <w:ind w:firstLine="420" w:firstLineChars="150"/>
        <w:jc w:val="left"/>
        <w:rPr>
          <w:rFonts w:ascii="宋体" w:hAnsi="宋体"/>
          <w:sz w:val="28"/>
          <w:szCs w:val="28"/>
        </w:rPr>
      </w:pPr>
      <w:r>
        <w:rPr>
          <w:rFonts w:hint="eastAsia" w:ascii="宋体" w:hAnsi="宋体"/>
          <w:sz w:val="28"/>
          <w:szCs w:val="28"/>
        </w:rPr>
        <w:t>（三）本项目只接受投标人加密并递交至“政府采购云平台”的投标文件。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政采中小企业政府采购信用融资</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宋体" w:hAnsi="宋体"/>
          <w:sz w:val="28"/>
          <w:szCs w:val="28"/>
        </w:rPr>
      </w:pPr>
      <w:r>
        <w:rPr>
          <w:rFonts w:hint="eastAsia" w:ascii="宋体" w:hAnsi="宋体"/>
          <w:sz w:val="28"/>
          <w:szCs w:val="28"/>
        </w:rPr>
        <w:t>（一）本项目接受中标的中小微企业以信用融资方式履约。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7" w:leftChars="0"/>
        <w:textAlignment w:val="auto"/>
        <w:rPr>
          <w:rFonts w:ascii="宋体" w:hAnsi="宋体"/>
          <w:sz w:val="28"/>
          <w:szCs w:val="28"/>
        </w:rPr>
      </w:pPr>
      <w:r>
        <w:rPr>
          <w:rFonts w:hint="eastAsia" w:ascii="宋体" w:hAnsi="宋体"/>
          <w:sz w:val="28"/>
          <w:szCs w:val="28"/>
        </w:rPr>
        <w:t>（三）本地财政部门电话：028-83888323。</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pStyle w:val="149"/>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kern w:val="0"/>
          <w:sz w:val="28"/>
          <w:szCs w:val="22"/>
        </w:rPr>
      </w:pPr>
      <w:r>
        <w:rPr>
          <w:rFonts w:hint="eastAsia" w:ascii="宋体" w:hAnsi="宋体"/>
          <w:b/>
          <w:kern w:val="0"/>
          <w:sz w:val="28"/>
          <w:szCs w:val="22"/>
        </w:rPr>
        <w:t>采购人：</w:t>
      </w:r>
      <w:r>
        <w:rPr>
          <w:rFonts w:hint="eastAsia" w:ascii="仿宋_GB2312" w:eastAsia="仿宋_GB2312"/>
          <w:sz w:val="32"/>
          <w:szCs w:val="32"/>
        </w:rPr>
        <w:t>彭州市第四人民医院（彭州市精神卫生中心）</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  址：</w:t>
      </w:r>
      <w:r>
        <w:rPr>
          <w:rFonts w:hint="eastAsia" w:ascii="仿宋_GB2312" w:hAnsi="宋体" w:eastAsia="仿宋_GB2312"/>
          <w:sz w:val="32"/>
          <w:szCs w:val="32"/>
        </w:rPr>
        <w:t>彭州市九尺镇天鹅村</w:t>
      </w:r>
      <w:r>
        <w:rPr>
          <w:rFonts w:ascii="仿宋_GB2312" w:hAnsi="宋体" w:eastAsia="仿宋_GB2312"/>
          <w:sz w:val="32"/>
          <w:szCs w:val="32"/>
        </w:rPr>
        <w:t>355</w:t>
      </w:r>
      <w:r>
        <w:rPr>
          <w:rFonts w:hint="eastAsia" w:ascii="仿宋_GB2312" w:hAnsi="宋体" w:eastAsia="仿宋_GB2312"/>
          <w:sz w:val="32"/>
          <w:szCs w:val="32"/>
        </w:rPr>
        <w:t>号</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王力</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b/>
          <w:sz w:val="28"/>
          <w:szCs w:val="28"/>
          <w:lang w:val="en-US"/>
        </w:rPr>
      </w:pPr>
      <w:r>
        <w:rPr>
          <w:rFonts w:hint="eastAsia" w:ascii="宋体" w:hAnsi="宋体"/>
          <w:kern w:val="0"/>
          <w:sz w:val="28"/>
          <w:szCs w:val="22"/>
        </w:rPr>
        <w:t>联系电话：</w:t>
      </w:r>
      <w:r>
        <w:rPr>
          <w:rFonts w:hint="eastAsia" w:ascii="宋体" w:hAnsi="宋体"/>
          <w:kern w:val="0"/>
          <w:sz w:val="28"/>
          <w:szCs w:val="22"/>
          <w:lang w:val="en-US" w:eastAsia="zh-CN"/>
        </w:rPr>
        <w:t>028-69267579</w:t>
      </w:r>
    </w:p>
    <w:p>
      <w:pPr>
        <w:pStyle w:val="149"/>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李仕静秋</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szCs w:val="22"/>
        </w:rPr>
        <w:t>联系电话：</w:t>
      </w:r>
      <w:r>
        <w:rPr>
          <w:rFonts w:hint="eastAsia" w:ascii="宋体" w:hAnsi="宋体"/>
          <w:kern w:val="0"/>
          <w:sz w:val="28"/>
        </w:rPr>
        <w:t>028-60432627</w:t>
      </w:r>
    </w:p>
    <w:p>
      <w:pPr>
        <w:keepNext w:val="0"/>
        <w:keepLines w:val="0"/>
        <w:pageBreakBefore w:val="0"/>
        <w:widowControl w:val="0"/>
        <w:kinsoku/>
        <w:wordWrap/>
        <w:overflowPunct/>
        <w:topLinePunct w:val="0"/>
        <w:autoSpaceDE/>
        <w:autoSpaceDN/>
        <w:bidi w:val="0"/>
        <w:adjustRightInd/>
        <w:snapToGrid/>
        <w:spacing w:line="560" w:lineRule="exact"/>
        <w:ind w:firstLine="568" w:firstLineChars="202"/>
        <w:textAlignment w:val="auto"/>
        <w:rPr>
          <w:rFonts w:ascii="宋体" w:hAnsi="宋体"/>
          <w:sz w:val="28"/>
          <w:szCs w:val="28"/>
        </w:rPr>
      </w:pPr>
      <w:r>
        <w:rPr>
          <w:rFonts w:hint="eastAsia" w:ascii="宋体" w:hAnsi="宋体" w:cstheme="minorBidi"/>
          <w:b/>
          <w:sz w:val="28"/>
          <w:szCs w:val="28"/>
        </w:rPr>
        <w:t>技术支持电话：4008817190</w:t>
      </w:r>
    </w:p>
    <w:p>
      <w:pPr>
        <w:pStyle w:val="82"/>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2"/>
        <w:jc w:val="left"/>
        <w:textAlignment w:val="auto"/>
        <w:rPr>
          <w:rFonts w:ascii="宋体" w:hAnsi="宋体" w:eastAsia="宋体" w:cs="Times New Roman"/>
          <w:b/>
          <w:kern w:val="0"/>
          <w:sz w:val="28"/>
        </w:rPr>
      </w:pPr>
      <w:r>
        <w:rPr>
          <w:rFonts w:hint="eastAsia" w:ascii="宋体" w:hAnsi="宋体" w:eastAsia="宋体" w:cs="Times New Roman"/>
          <w:b/>
          <w:kern w:val="0"/>
          <w:sz w:val="28"/>
        </w:rPr>
        <w:t>集中采购监督机构：彭州市财政局</w:t>
      </w:r>
    </w:p>
    <w:p>
      <w:pPr>
        <w:pStyle w:val="82"/>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jc w:val="left"/>
        <w:textAlignment w:val="auto"/>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tabs>
          <w:tab w:val="left" w:pos="900"/>
        </w:tabs>
        <w:spacing w:line="360" w:lineRule="auto"/>
        <w:ind w:firstLine="560" w:firstLineChars="200"/>
        <w:rPr>
          <w:rFonts w:ascii="宋体" w:hAnsi="宋体" w:cstheme="minorBidi"/>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pStyle w:val="2"/>
      </w:pPr>
    </w:p>
    <w:p>
      <w:pPr>
        <w:pStyle w:val="2"/>
      </w:pPr>
    </w:p>
    <w:p>
      <w:pPr>
        <w:pStyle w:val="2"/>
      </w:pPr>
    </w:p>
    <w:p>
      <w:pPr>
        <w:pStyle w:val="2"/>
      </w:pPr>
    </w:p>
    <w:p>
      <w:pPr>
        <w:pStyle w:val="2"/>
      </w:pPr>
    </w:p>
    <w:p>
      <w:pPr>
        <w:widowControl/>
        <w:jc w:val="left"/>
        <w:rPr>
          <w:rFonts w:ascii="宋体" w:hAnsi="宋体"/>
          <w:b/>
          <w:bCs/>
          <w:spacing w:val="-20"/>
          <w:kern w:val="44"/>
          <w:sz w:val="32"/>
          <w:szCs w:val="32"/>
        </w:rPr>
      </w:pPr>
      <w:r>
        <w:rPr>
          <w:rFonts w:ascii="宋体" w:hAnsi="宋体"/>
          <w:b/>
          <w:bCs/>
          <w:spacing w:val="-20"/>
          <w:kern w:val="44"/>
          <w:sz w:val="32"/>
          <w:szCs w:val="32"/>
        </w:rPr>
        <w:br w:type="page"/>
      </w:r>
    </w:p>
    <w:p>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30484"/>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189727030"/>
      <w:bookmarkStart w:id="15" w:name="_Toc213397010"/>
      <w:bookmarkStart w:id="16" w:name="_Toc316462344"/>
      <w:bookmarkStart w:id="17" w:name="_Toc213396760"/>
      <w:bookmarkStart w:id="18" w:name="_Toc213396946"/>
      <w:bookmarkStart w:id="19" w:name="_Toc217446032"/>
      <w:bookmarkStart w:id="20" w:name="_Toc213496268"/>
      <w:bookmarkStart w:id="21" w:name="_Toc640"/>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3"/>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76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lang w:val="zh-CN"/>
              </w:rPr>
            </w:pPr>
            <w:r>
              <w:rPr>
                <w:rFonts w:hint="eastAsia" w:ascii="宋体" w:hAnsi="宋体" w:cs="宋体"/>
                <w:b/>
                <w:lang w:val="zh-CN"/>
              </w:rPr>
              <w:t>人民币</w:t>
            </w:r>
            <w:r>
              <w:rPr>
                <w:rFonts w:hint="eastAsia" w:ascii="宋体" w:hAnsi="宋体" w:cs="宋体"/>
                <w:b/>
                <w:lang w:val="en-US" w:eastAsia="zh-CN"/>
              </w:rPr>
              <w:t>34.98万元</w:t>
            </w:r>
            <w:r>
              <w:rPr>
                <w:rFonts w:hint="eastAsia" w:ascii="宋体" w:hAnsi="宋体" w:cs="宋体"/>
                <w:b/>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lang w:val="zh-CN"/>
              </w:rPr>
            </w:pPr>
            <w:r>
              <w:rPr>
                <w:rFonts w:hint="eastAsia" w:ascii="宋体" w:hAnsi="宋体" w:cs="宋体"/>
                <w:b/>
                <w:lang w:val="zh-CN"/>
              </w:rPr>
              <w:t>本项目最高限价为人民币</w:t>
            </w:r>
            <w:r>
              <w:rPr>
                <w:rFonts w:hint="eastAsia" w:ascii="宋体" w:hAnsi="宋体" w:cs="宋体"/>
                <w:b/>
                <w:lang w:val="en-US" w:eastAsia="zh-CN"/>
              </w:rPr>
              <w:t>34.98万元</w:t>
            </w:r>
            <w:r>
              <w:rPr>
                <w:rFonts w:hint="eastAsia" w:ascii="宋体" w:hAnsi="宋体" w:cs="宋体"/>
                <w:b/>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tcPr>
          <w:p>
            <w:pPr>
              <w:overflowPunct w:val="0"/>
              <w:spacing w:line="560" w:lineRule="exact"/>
              <w:rPr>
                <w:rFonts w:ascii="宋体" w:hAnsi="宋体" w:cs="宋体"/>
                <w:lang w:val="zh-CN"/>
              </w:rPr>
            </w:pPr>
            <w:r>
              <w:rPr>
                <w:rFonts w:hint="eastAsia" w:ascii="宋体" w:hAnsi="宋体" w:cs="宋体"/>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投标文件的提交</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详见投标人须知2.4.12</w:t>
            </w:r>
          </w:p>
          <w:p>
            <w:pPr>
              <w:tabs>
                <w:tab w:val="left" w:pos="7665"/>
              </w:tabs>
              <w:snapToGrid w:val="0"/>
              <w:jc w:val="left"/>
              <w:rPr>
                <w:rFonts w:ascii="宋体" w:hAnsi="宋体"/>
              </w:rPr>
            </w:pPr>
            <w:r>
              <w:rPr>
                <w:rFonts w:hint="eastAsia" w:ascii="宋体" w:hAnsi="宋体"/>
              </w:rPr>
              <w:t>注：投标人使用</w:t>
            </w:r>
            <w:r>
              <w:rPr>
                <w:rFonts w:ascii="宋体" w:hAnsi="宋体"/>
              </w:rPr>
              <w:t>CA证书在</w:t>
            </w:r>
            <w:r>
              <w:rPr>
                <w:rFonts w:hint="eastAsia" w:ascii="宋体" w:hAnsi="宋体"/>
              </w:rPr>
              <w:t>投标截止时间前，将电子投标文件上传至政府</w:t>
            </w:r>
            <w:r>
              <w:rPr>
                <w:rFonts w:ascii="宋体" w:hAnsi="宋体"/>
              </w:rPr>
              <w:t>采购</w:t>
            </w:r>
            <w:r>
              <w:rPr>
                <w:rFonts w:hint="eastAsia" w:ascii="宋体" w:hAnsi="宋体"/>
              </w:rPr>
              <w:t>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分钟内，使用对投标文件进行加密的CA证书在线完成对投标人提交至政府采购云平台的投标文件的解密。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向市公资交易中心提出，并由市公资交易中心按相关规定作出答复（详见投标人须知2.8）。</w:t>
            </w:r>
            <w:r>
              <w:rPr>
                <w:rFonts w:hint="eastAsia" w:ascii="宋体" w:hAnsi="宋体" w:eastAsia="宋体" w:cs="Times New Roman"/>
                <w:lang w:val="en-US" w:eastAsia="zh-CN"/>
              </w:rPr>
              <w:t>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hint="eastAsia" w:ascii="宋体" w:hAnsi="宋体" w:eastAsia="宋体" w:cs="Times New Roman"/>
                <w:lang w:val="zh-CN"/>
              </w:rPr>
            </w:pPr>
            <w:r>
              <w:rPr>
                <w:rFonts w:hint="eastAsia" w:ascii="宋体" w:hAnsi="宋体" w:eastAsia="宋体" w:cs="Times New Roman"/>
                <w:lang w:val="zh-CN"/>
              </w:rPr>
              <w:t>投诉受理单位：彭州市财政局。</w:t>
            </w:r>
          </w:p>
          <w:p>
            <w:pPr>
              <w:tabs>
                <w:tab w:val="left" w:pos="7665"/>
              </w:tabs>
              <w:snapToGrid w:val="0"/>
              <w:spacing w:line="360" w:lineRule="auto"/>
              <w:ind w:right="210"/>
              <w:rPr>
                <w:rFonts w:hint="eastAsia" w:ascii="宋体" w:hAnsi="宋体" w:eastAsia="宋体" w:cs="Times New Roman"/>
                <w:lang w:val="zh-CN"/>
              </w:rPr>
            </w:pPr>
            <w:r>
              <w:rPr>
                <w:rFonts w:hint="eastAsia" w:ascii="宋体" w:hAnsi="宋体" w:eastAsia="宋体" w:cs="Times New Roman"/>
                <w:lang w:val="zh-CN"/>
              </w:rPr>
              <w:t>联系电话：028-83888323。</w:t>
            </w:r>
          </w:p>
          <w:p>
            <w:pPr>
              <w:tabs>
                <w:tab w:val="left" w:pos="7665"/>
              </w:tabs>
              <w:snapToGrid w:val="0"/>
              <w:spacing w:line="360" w:lineRule="auto"/>
              <w:rPr>
                <w:rFonts w:ascii="宋体" w:hAnsi="宋体"/>
              </w:rPr>
            </w:pPr>
            <w:r>
              <w:rPr>
                <w:rFonts w:hint="eastAsia" w:ascii="宋体" w:hAnsi="宋体" w:eastAsia="宋体" w:cs="Times New Roman"/>
                <w:lang w:val="zh-CN"/>
              </w:rPr>
              <w:t>地址：彭州市牡丹大道北二段486号</w:t>
            </w:r>
            <w:r>
              <w:rPr>
                <w:rFonts w:hint="eastAsia" w:ascii="宋体" w:hAnsi="宋体" w:eastAsia="宋体" w:cs="Times New Roma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投标文件资格性、符合性审查情况、采用综合评分法时的得分情况、评标结果等将在成都市公共资源交易服务中心网、四川政府采购网上采购结果公告栏中予以公告。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w:t>
            </w:r>
            <w:r>
              <w:rPr>
                <w:rFonts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eastAsia="宋体" w:cs="宋体"/>
                <w:lang w:val="zh-CN"/>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27841"/>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一、本招标文件仅适用于本次公开招标采购项目。</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w:t>
      </w:r>
      <w:r>
        <w:rPr>
          <w:rFonts w:hint="eastAsia" w:ascii="宋体" w:hAnsi="宋体"/>
          <w:sz w:val="28"/>
          <w:szCs w:val="28"/>
          <w:lang w:val="en-US" w:eastAsia="zh-CN"/>
        </w:rPr>
        <w:t>彭州市</w:t>
      </w:r>
      <w:r>
        <w:rPr>
          <w:rFonts w:hint="eastAsia" w:ascii="宋体" w:hAnsi="宋体"/>
          <w:sz w:val="28"/>
          <w:szCs w:val="28"/>
        </w:rPr>
        <w:t>机关、事业单位、团体组织。本次招标的采购人是彭州市第四人民医院(彭州市精神卫生中心）。</w:t>
      </w:r>
    </w:p>
    <w:p>
      <w:pPr>
        <w:numPr>
          <w:ilvl w:val="0"/>
          <w:numId w:val="11"/>
        </w:numPr>
        <w:tabs>
          <w:tab w:val="left" w:pos="1134"/>
        </w:tabs>
        <w:spacing w:line="360" w:lineRule="auto"/>
        <w:ind w:left="0" w:firstLine="566"/>
        <w:rPr>
          <w:rFonts w:ascii="宋体" w:hAnsi="宋体"/>
          <w:sz w:val="28"/>
          <w:szCs w:val="28"/>
        </w:rPr>
      </w:pPr>
      <w:r>
        <w:rPr>
          <w:rFonts w:hint="eastAsia" w:ascii="宋体" w:hAnsi="宋体"/>
          <w:sz w:val="28"/>
          <w:szCs w:val="28"/>
        </w:rPr>
        <w:t xml:space="preserve"> “投标人”系指在按照招标文件“投标邀请”中第六、七、八条规定获取了招标文件，拟参加投标和向采购人提供服务的供应商。“乙方”是指本项目的中标供应商。</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numPr>
          <w:ilvl w:val="0"/>
          <w:numId w:val="11"/>
        </w:numPr>
        <w:tabs>
          <w:tab w:val="left" w:pos="1200"/>
        </w:tabs>
        <w:spacing w:line="600" w:lineRule="exact"/>
        <w:ind w:left="0" w:firstLine="567"/>
        <w:rPr>
          <w:rFonts w:ascii="宋体" w:hAnsi="宋体"/>
          <w:sz w:val="28"/>
          <w:szCs w:val="28"/>
        </w:rPr>
      </w:pPr>
      <w:r>
        <w:rPr>
          <w:rFonts w:hint="eastAsia" w:ascii="宋体" w:hAnsi="宋体"/>
          <w:sz w:val="28"/>
          <w:szCs w:val="28"/>
        </w:rPr>
        <w:t>本</w:t>
      </w:r>
      <w:r>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1"/>
        </w:numPr>
        <w:tabs>
          <w:tab w:val="left" w:pos="1134"/>
        </w:tabs>
        <w:spacing w:line="360" w:lineRule="auto"/>
        <w:ind w:left="0" w:firstLine="560" w:firstLineChars="200"/>
        <w:rPr>
          <w:rFonts w:ascii="宋体" w:hAnsi="宋体"/>
          <w:sz w:val="28"/>
          <w:szCs w:val="28"/>
        </w:rPr>
      </w:pPr>
      <w:r>
        <w:rPr>
          <w:rFonts w:hint="eastAsia" w:ascii="宋体" w:hAnsi="宋体"/>
          <w:sz w:val="28"/>
          <w:szCs w:val="28"/>
        </w:rPr>
        <w:t>不见面开标是指，市公资交易中心依托政府采购云平台组织开标活动，供应商在线参与开标的一种组织形式。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217390843"/>
      <w:bookmarkStart w:id="24" w:name="_Toc183582207"/>
      <w:bookmarkStart w:id="25" w:name="_Toc217446036"/>
      <w:bookmarkStart w:id="26" w:name="_Toc183682344"/>
      <w:r>
        <w:rPr>
          <w:rFonts w:hint="eastAsia" w:ascii="宋体" w:hAnsi="宋体"/>
          <w:b/>
          <w:bCs/>
          <w:sz w:val="28"/>
          <w:szCs w:val="28"/>
        </w:rPr>
        <w:t>合格的投标人</w:t>
      </w:r>
      <w:bookmarkEnd w:id="23"/>
      <w:bookmarkEnd w:id="24"/>
      <w:bookmarkEnd w:id="25"/>
      <w:bookmarkEnd w:id="26"/>
      <w:r>
        <w:rPr>
          <w:rFonts w:hint="eastAsia" w:ascii="宋体" w:hAnsi="宋体"/>
          <w:b/>
          <w:bCs/>
          <w:sz w:val="28"/>
          <w:szCs w:val="28"/>
        </w:rPr>
        <w:t>（实质性要求）</w:t>
      </w:r>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2"/>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投标费用（实质性要求）</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充分、公平竞争保障措施（实质性要求）</w:t>
      </w:r>
    </w:p>
    <w:p>
      <w:pPr>
        <w:numPr>
          <w:ilvl w:val="0"/>
          <w:numId w:val="13"/>
        </w:numPr>
        <w:tabs>
          <w:tab w:val="left" w:pos="1134"/>
        </w:tabs>
        <w:adjustRightInd w:val="0"/>
        <w:spacing w:line="560" w:lineRule="exact"/>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color w:val="FF0000"/>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FF0000"/>
          <w:sz w:val="28"/>
          <w:szCs w:val="28"/>
        </w:rPr>
        <w:t>（说明：无供应商为本项目提供整体设计、规范编制或者项目管理、监理、检测等服务。）</w:t>
      </w:r>
    </w:p>
    <w:p>
      <w:pPr>
        <w:keepNext/>
        <w:keepLines/>
        <w:numPr>
          <w:ilvl w:val="1"/>
          <w:numId w:val="5"/>
        </w:numPr>
        <w:spacing w:line="360" w:lineRule="auto"/>
        <w:jc w:val="left"/>
        <w:outlineLvl w:val="1"/>
        <w:rPr>
          <w:rFonts w:ascii="宋体" w:hAnsi="宋体"/>
          <w:b/>
          <w:bCs/>
          <w:sz w:val="28"/>
          <w:szCs w:val="28"/>
        </w:rPr>
      </w:pPr>
      <w:bookmarkStart w:id="27" w:name="_Toc183682347"/>
      <w:bookmarkStart w:id="28" w:name="_Toc183582210"/>
      <w:bookmarkStart w:id="29" w:name="_Toc217446039"/>
      <w:bookmarkStart w:id="30" w:name="_Toc226"/>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77400780"/>
      <w:bookmarkStart w:id="35" w:name="_Toc89075876"/>
      <w:bookmarkStart w:id="36" w:name="_Toc183682351"/>
      <w:bookmarkStart w:id="37" w:name="_Toc183582214"/>
      <w:bookmarkStart w:id="38" w:name="_Toc217446042"/>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rPr>
        <w:t>市公资交易中心</w:t>
      </w:r>
      <w:r>
        <w:rPr>
          <w:rFonts w:hint="eastAsia" w:ascii="宋体" w:hAnsi="宋体"/>
          <w:sz w:val="28"/>
          <w:szCs w:val="28"/>
        </w:rPr>
        <w:t>可以对已发出的招标文件进行必要的澄清或者修改。</w:t>
      </w:r>
    </w:p>
    <w:p>
      <w:pPr>
        <w:numPr>
          <w:ilvl w:val="0"/>
          <w:numId w:val="16"/>
        </w:numPr>
        <w:spacing w:after="200" w:line="360" w:lineRule="auto"/>
        <w:ind w:left="0" w:firstLine="567"/>
        <w:rPr>
          <w:rFonts w:ascii="宋体" w:hAnsi="宋体"/>
          <w:sz w:val="28"/>
          <w:szCs w:val="28"/>
        </w:rPr>
      </w:pPr>
      <w:r>
        <w:rPr>
          <w:rFonts w:hint="eastAsia" w:ascii="宋体" w:hAnsi="宋体"/>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市公资交易中心应当在投标截止时间至少15日前，通过政府采购云平台通知所有已获取招标文件的潜在投标人；不足15日的，采购人或市公资交易中心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8831"/>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217446043"/>
      <w:bookmarkStart w:id="42" w:name="_Toc183582215"/>
      <w:r>
        <w:rPr>
          <w:rFonts w:hint="eastAsia" w:ascii="宋体" w:hAnsi="宋体"/>
          <w:b/>
          <w:bCs/>
          <w:sz w:val="28"/>
          <w:szCs w:val="28"/>
        </w:rPr>
        <w:t>投标文件的语言</w:t>
      </w:r>
      <w:bookmarkEnd w:id="40"/>
      <w:bookmarkEnd w:id="41"/>
      <w:bookmarkEnd w:id="42"/>
      <w:r>
        <w:rPr>
          <w:rFonts w:hint="eastAsia" w:ascii="宋体" w:hAnsi="宋体"/>
          <w:b/>
          <w:bCs/>
          <w:sz w:val="28"/>
          <w:szCs w:val="28"/>
        </w:rPr>
        <w:t>（实质性要求）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w:t>
      </w:r>
      <w:r>
        <w:rPr>
          <w:rFonts w:ascii="宋体" w:hAnsi="宋体"/>
          <w:sz w:val="28"/>
          <w:szCs w:val="28"/>
        </w:rPr>
        <w:t>、</w:t>
      </w:r>
      <w:r>
        <w:rPr>
          <w:rFonts w:hint="eastAsia" w:ascii="宋体" w:hAnsi="宋体"/>
          <w:sz w:val="28"/>
          <w:szCs w:val="28"/>
        </w:rPr>
        <w:t>投标人提交的投标文件以及投标人与采购人或</w:t>
      </w:r>
      <w:r>
        <w:rPr>
          <w:rFonts w:hint="eastAsia" w:cs="Arial"/>
          <w:sz w:val="28"/>
          <w:szCs w:val="28"/>
        </w:rPr>
        <w:t>市公资交易中心</w:t>
      </w:r>
      <w:r>
        <w:rPr>
          <w:rFonts w:hint="eastAsia" w:ascii="宋体" w:hAnsi="宋体"/>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w:t>
      </w:r>
      <w:r>
        <w:rPr>
          <w:rFonts w:ascii="宋体" w:hAnsi="宋体"/>
          <w:sz w:val="28"/>
          <w:szCs w:val="28"/>
        </w:rPr>
        <w:t>、</w:t>
      </w:r>
      <w:r>
        <w:rPr>
          <w:rFonts w:hint="eastAsia" w:ascii="宋体" w:hAnsi="宋体"/>
          <w:sz w:val="28"/>
          <w:szCs w:val="28"/>
        </w:rPr>
        <w:t>翻译的中文资料与外文资料如果出现差异和矛盾时，以中文为准。涉嫌提供虚假材料的按照相关法律法规处理。</w:t>
      </w:r>
    </w:p>
    <w:p>
      <w:pPr>
        <w:spacing w:line="360" w:lineRule="auto"/>
        <w:ind w:firstLine="560" w:firstLineChars="200"/>
        <w:rPr>
          <w:rFonts w:ascii="宋体" w:hAnsi="宋体"/>
          <w:sz w:val="28"/>
          <w:szCs w:val="28"/>
        </w:rPr>
      </w:pPr>
      <w:r>
        <w:rPr>
          <w:rFonts w:hint="eastAsia" w:ascii="宋体" w:hAnsi="宋体"/>
          <w:sz w:val="28"/>
          <w:szCs w:val="28"/>
        </w:rPr>
        <w:t>三、如因未翻译而造成对供应商的不利后果，由供应商承担。</w:t>
      </w:r>
    </w:p>
    <w:p>
      <w:pPr>
        <w:keepNext/>
        <w:keepLines/>
        <w:numPr>
          <w:ilvl w:val="2"/>
          <w:numId w:val="5"/>
        </w:numPr>
        <w:spacing w:line="360" w:lineRule="auto"/>
        <w:ind w:left="0" w:firstLine="0"/>
        <w:outlineLvl w:val="2"/>
        <w:rPr>
          <w:rFonts w:ascii="宋体" w:hAnsi="宋体"/>
          <w:b/>
          <w:bCs/>
          <w:sz w:val="28"/>
          <w:szCs w:val="28"/>
        </w:rPr>
      </w:pPr>
      <w:bookmarkStart w:id="43" w:name="_Toc217446044"/>
      <w:bookmarkStart w:id="44" w:name="_Toc183682353"/>
      <w:bookmarkStart w:id="45" w:name="_Toc183582216"/>
      <w:r>
        <w:rPr>
          <w:rFonts w:hint="eastAsia" w:ascii="宋体" w:hAnsi="宋体"/>
          <w:b/>
          <w:bCs/>
          <w:sz w:val="28"/>
          <w:szCs w:val="28"/>
        </w:rPr>
        <w:t>计量单位</w:t>
      </w:r>
      <w:bookmarkEnd w:id="43"/>
      <w:bookmarkEnd w:id="44"/>
      <w:bookmarkEnd w:id="45"/>
      <w:r>
        <w:rPr>
          <w:rFonts w:hint="eastAsia" w:ascii="宋体" w:hAnsi="宋体"/>
          <w:b/>
          <w:bCs/>
          <w:sz w:val="28"/>
          <w:szCs w:val="28"/>
        </w:rPr>
        <w:t>（实质性要求）</w:t>
      </w:r>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r>
        <w:rPr>
          <w:rFonts w:hint="eastAsia" w:ascii="宋体" w:hAnsi="宋体"/>
          <w:b/>
          <w:bCs/>
          <w:sz w:val="28"/>
          <w:szCs w:val="28"/>
        </w:rPr>
        <w:t>（</w:t>
      </w:r>
      <w:r>
        <w:rPr>
          <w:rFonts w:ascii="宋体" w:hAnsi="宋体"/>
          <w:b/>
          <w:bCs/>
          <w:sz w:val="28"/>
          <w:szCs w:val="28"/>
        </w:rPr>
        <w:t>实质性</w:t>
      </w:r>
      <w:r>
        <w:rPr>
          <w:rFonts w:hint="eastAsia" w:ascii="宋体" w:hAnsi="宋体"/>
          <w:b/>
          <w:bCs/>
          <w:sz w:val="28"/>
          <w:szCs w:val="28"/>
        </w:rPr>
        <w:t>要求）</w:t>
      </w:r>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r>
        <w:rPr>
          <w:rFonts w:hint="eastAsia" w:ascii="宋体" w:hAnsi="宋体"/>
          <w:b/>
          <w:bCs/>
          <w:sz w:val="28"/>
          <w:szCs w:val="28"/>
        </w:rPr>
        <w:t>（实质性要求）</w:t>
      </w:r>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r>
        <w:rPr>
          <w:rFonts w:hint="eastAsia" w:ascii="宋体" w:hAnsi="宋体"/>
          <w:b/>
          <w:bCs/>
          <w:sz w:val="28"/>
          <w:szCs w:val="28"/>
        </w:rPr>
        <w:t>（实质性要求）</w:t>
      </w:r>
    </w:p>
    <w:p>
      <w:pPr>
        <w:pStyle w:val="120"/>
        <w:spacing w:line="360" w:lineRule="auto"/>
        <w:ind w:firstLine="560" w:firstLineChars="200"/>
        <w:jc w:val="both"/>
        <w:rPr>
          <w:rFonts w:cs="Times New Roman"/>
          <w:kern w:val="2"/>
          <w:sz w:val="28"/>
          <w:szCs w:val="28"/>
        </w:rPr>
      </w:pPr>
      <w:r>
        <w:rPr>
          <w:rFonts w:hint="eastAsia" w:cs="Times New Roman"/>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rFonts w:hint="eastAsia"/>
          <w:sz w:val="28"/>
          <w:szCs w:val="28"/>
        </w:rPr>
      </w:pPr>
      <w:r>
        <w:rPr>
          <w:rFonts w:hint="eastAsia"/>
          <w:sz w:val="28"/>
          <w:szCs w:val="28"/>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w:t>
      </w:r>
      <w:r>
        <w:rPr>
          <w:rFonts w:ascii="宋体" w:hAnsi="宋体"/>
          <w:sz w:val="28"/>
          <w:szCs w:val="28"/>
        </w:rPr>
        <w:t>、</w:t>
      </w: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217446048"/>
      <w:bookmarkStart w:id="50" w:name="_Toc183582217"/>
      <w:bookmarkStart w:id="51" w:name="_Toc183682354"/>
      <w:r>
        <w:rPr>
          <w:rFonts w:hint="eastAsia" w:ascii="宋体" w:hAnsi="宋体"/>
          <w:b/>
          <w:bCs/>
          <w:sz w:val="28"/>
          <w:szCs w:val="28"/>
        </w:rPr>
        <w:t>投标文件的组成</w:t>
      </w:r>
      <w:bookmarkEnd w:id="49"/>
      <w:bookmarkEnd w:id="50"/>
      <w:bookmarkEnd w:id="51"/>
      <w:r>
        <w:rPr>
          <w:rFonts w:hint="eastAsia" w:ascii="宋体" w:hAnsi="宋体"/>
          <w:b/>
          <w:bCs/>
          <w:sz w:val="28"/>
          <w:szCs w:val="28"/>
        </w:rPr>
        <w:t>（实质性要求）</w:t>
      </w:r>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ind w:hanging="2410"/>
      </w:pPr>
      <w:r>
        <w:rPr>
          <w:rFonts w:hint="eastAsia"/>
        </w:rPr>
        <w:t>资格响应文件</w:t>
      </w:r>
    </w:p>
    <w:p>
      <w:pPr>
        <w:pStyle w:val="150"/>
        <w:numPr>
          <w:ilvl w:val="0"/>
          <w:numId w:val="17"/>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关于投标人申明的函；</w:t>
      </w:r>
    </w:p>
    <w:p>
      <w:pPr>
        <w:pStyle w:val="150"/>
        <w:numPr>
          <w:ilvl w:val="0"/>
          <w:numId w:val="17"/>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50"/>
        <w:numPr>
          <w:ilvl w:val="0"/>
          <w:numId w:val="17"/>
        </w:numPr>
        <w:tabs>
          <w:tab w:val="left" w:pos="993"/>
        </w:tabs>
        <w:spacing w:after="200" w:line="360" w:lineRule="auto"/>
        <w:ind w:left="0" w:firstLine="420" w:firstLineChars="0"/>
        <w:rPr>
          <w:rFonts w:ascii="宋体" w:hAnsi="宋体"/>
          <w:b/>
          <w:bCs/>
          <w:color w:val="auto"/>
          <w:kern w:val="0"/>
          <w:sz w:val="28"/>
          <w:szCs w:val="28"/>
        </w:rPr>
      </w:pPr>
      <w:r>
        <w:rPr>
          <w:rFonts w:hint="eastAsia" w:ascii="宋体" w:hAnsi="宋体"/>
          <w:b/>
          <w:color w:val="auto"/>
          <w:sz w:val="28"/>
          <w:szCs w:val="28"/>
        </w:rPr>
        <w:t>中小企业</w:t>
      </w:r>
      <w:r>
        <w:rPr>
          <w:rFonts w:ascii="宋体" w:hAnsi="宋体"/>
          <w:b/>
          <w:color w:val="auto"/>
          <w:sz w:val="28"/>
          <w:szCs w:val="28"/>
        </w:rPr>
        <w:t>声明函</w:t>
      </w:r>
      <w:r>
        <w:rPr>
          <w:rFonts w:hint="eastAsia" w:ascii="宋体" w:hAnsi="宋体"/>
          <w:b/>
          <w:color w:val="auto"/>
          <w:sz w:val="28"/>
          <w:szCs w:val="28"/>
        </w:rPr>
        <w:t>（说明：提供了《残疾人福利性单位声明</w:t>
      </w:r>
      <w:r>
        <w:rPr>
          <w:rFonts w:ascii="宋体" w:hAnsi="宋体"/>
          <w:b/>
          <w:color w:val="auto"/>
          <w:sz w:val="28"/>
          <w:szCs w:val="28"/>
        </w:rPr>
        <w:t>函</w:t>
      </w:r>
      <w:r>
        <w:rPr>
          <w:rFonts w:hint="eastAsia" w:ascii="宋体" w:hAnsi="宋体"/>
          <w:b/>
          <w:color w:val="auto"/>
          <w:sz w:val="28"/>
          <w:szCs w:val="28"/>
        </w:rPr>
        <w:t>》或监狱企业证明文件复印件的不需提供）</w:t>
      </w:r>
      <w:r>
        <w:rPr>
          <w:rFonts w:ascii="宋体" w:hAnsi="宋体"/>
          <w:b/>
          <w:color w:val="auto"/>
          <w:sz w:val="28"/>
          <w:szCs w:val="28"/>
        </w:rPr>
        <w:t>；</w:t>
      </w:r>
    </w:p>
    <w:p>
      <w:pPr>
        <w:pStyle w:val="150"/>
        <w:numPr>
          <w:ilvl w:val="0"/>
          <w:numId w:val="17"/>
        </w:numPr>
        <w:tabs>
          <w:tab w:val="left" w:pos="993"/>
        </w:tabs>
        <w:spacing w:after="200" w:line="360" w:lineRule="auto"/>
        <w:ind w:left="0" w:firstLine="420" w:firstLineChars="0"/>
        <w:rPr>
          <w:rFonts w:hint="eastAsia" w:ascii="宋体" w:hAnsi="宋体"/>
          <w:b/>
          <w:color w:val="auto"/>
          <w:sz w:val="28"/>
          <w:szCs w:val="28"/>
        </w:rPr>
      </w:pPr>
      <w:r>
        <w:rPr>
          <w:rFonts w:hint="eastAsia" w:ascii="宋体" w:hAnsi="宋体"/>
          <w:b/>
          <w:color w:val="auto"/>
          <w:sz w:val="28"/>
          <w:szCs w:val="28"/>
        </w:rPr>
        <w:t>残疾人福利性单位声明函（说明：提供了《中小企业声明函》或监狱企业证明文件复印件的不需提供）；</w:t>
      </w:r>
    </w:p>
    <w:p>
      <w:pPr>
        <w:pStyle w:val="150"/>
        <w:numPr>
          <w:ilvl w:val="0"/>
          <w:numId w:val="17"/>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50"/>
        <w:numPr>
          <w:ilvl w:val="0"/>
          <w:numId w:val="18"/>
        </w:numPr>
        <w:spacing w:after="200" w:line="360" w:lineRule="auto"/>
        <w:ind w:left="0" w:firstLine="573" w:firstLineChars="0"/>
        <w:rPr>
          <w:rFonts w:ascii="宋体" w:hAnsi="宋体"/>
          <w:b/>
          <w:bCs/>
          <w:color w:val="auto"/>
          <w:kern w:val="0"/>
          <w:sz w:val="28"/>
          <w:szCs w:val="28"/>
        </w:rPr>
      </w:pPr>
      <w:r>
        <w:rPr>
          <w:rFonts w:hint="eastAsia" w:ascii="宋体" w:hAnsi="宋体"/>
          <w:b/>
          <w:color w:val="auto"/>
          <w:sz w:val="28"/>
          <w:szCs w:val="28"/>
        </w:rPr>
        <w:t>由省级以上监狱管理局、戒毒管理局（含新疆生产建设兵团）出具的投标人属于监狱企业的证明文件复印件（说明：提供了《中小</w:t>
      </w:r>
      <w:r>
        <w:rPr>
          <w:rFonts w:ascii="宋体" w:hAnsi="宋体"/>
          <w:b/>
          <w:color w:val="auto"/>
          <w:sz w:val="28"/>
          <w:szCs w:val="28"/>
        </w:rPr>
        <w:t>企业声明函</w:t>
      </w:r>
      <w:r>
        <w:rPr>
          <w:rFonts w:hint="eastAsia" w:ascii="宋体" w:hAnsi="宋体"/>
          <w:b/>
          <w:color w:val="auto"/>
          <w:sz w:val="28"/>
          <w:szCs w:val="28"/>
        </w:rPr>
        <w:t>》或《残疾人福利性单位声明</w:t>
      </w:r>
      <w:r>
        <w:rPr>
          <w:rFonts w:ascii="宋体" w:hAnsi="宋体"/>
          <w:b/>
          <w:color w:val="auto"/>
          <w:sz w:val="28"/>
          <w:szCs w:val="28"/>
        </w:rPr>
        <w:t>函</w:t>
      </w:r>
      <w:r>
        <w:rPr>
          <w:rFonts w:hint="eastAsia" w:ascii="宋体" w:hAnsi="宋体"/>
          <w:b/>
          <w:color w:val="auto"/>
          <w:sz w:val="28"/>
          <w:szCs w:val="28"/>
        </w:rPr>
        <w:t>》的不需提供）；</w:t>
      </w:r>
    </w:p>
    <w:p>
      <w:pPr>
        <w:pStyle w:val="150"/>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r>
        <w:rPr>
          <w:rFonts w:hint="eastAsia" w:ascii="宋体" w:hAnsi="宋体"/>
          <w:b/>
          <w:sz w:val="28"/>
          <w:szCs w:val="28"/>
        </w:rPr>
        <w:t>或其他能够证明</w:t>
      </w:r>
      <w:r>
        <w:rPr>
          <w:rFonts w:ascii="宋体" w:hAnsi="宋体"/>
          <w:b/>
          <w:sz w:val="28"/>
          <w:szCs w:val="28"/>
        </w:rPr>
        <w:t>供应商具有独立承担民事责任能力的</w:t>
      </w:r>
      <w:r>
        <w:rPr>
          <w:rFonts w:hint="eastAsia" w:ascii="宋体" w:hAnsi="宋体"/>
          <w:b/>
          <w:sz w:val="28"/>
          <w:szCs w:val="28"/>
        </w:rPr>
        <w:t>相关证明材料复印件</w:t>
      </w:r>
      <w:r>
        <w:rPr>
          <w:rFonts w:hint="eastAsia" w:ascii="宋体" w:hAnsi="宋体"/>
          <w:b/>
          <w:bCs/>
          <w:kern w:val="0"/>
          <w:sz w:val="28"/>
          <w:szCs w:val="28"/>
        </w:rPr>
        <w:t>；</w:t>
      </w:r>
    </w:p>
    <w:p>
      <w:pPr>
        <w:pStyle w:val="150"/>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采购人对投标人履行合同所必</w:t>
      </w:r>
      <w:r>
        <w:rPr>
          <w:rFonts w:hint="eastAsia" w:ascii="宋体" w:hAnsi="宋体"/>
          <w:b/>
          <w:bCs/>
          <w:kern w:val="0"/>
          <w:sz w:val="28"/>
          <w:szCs w:val="28"/>
          <w:lang w:val="en-US" w:eastAsia="zh-CN"/>
        </w:rPr>
        <w:t>需</w:t>
      </w:r>
      <w:r>
        <w:rPr>
          <w:rFonts w:hint="eastAsia" w:ascii="宋体" w:hAnsi="宋体"/>
          <w:b/>
          <w:bCs/>
          <w:kern w:val="0"/>
          <w:sz w:val="28"/>
          <w:szCs w:val="28"/>
        </w:rPr>
        <w:t>的设备和专业技术能力无其他特殊要求，投标人可不提供证明材料；</w:t>
      </w:r>
    </w:p>
    <w:p>
      <w:pPr>
        <w:pStyle w:val="150"/>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采购人对法律、行政法规规定的其他条件无其他特殊要求，投标人可不提供证明材料。</w:t>
      </w:r>
    </w:p>
    <w:p>
      <w:pPr>
        <w:pStyle w:val="6"/>
        <w:ind w:hanging="2410"/>
      </w:pPr>
      <w:r>
        <w:rPr>
          <w:rFonts w:hint="eastAsia"/>
        </w:rPr>
        <w:t>商务技术响应文件</w:t>
      </w:r>
    </w:p>
    <w:p>
      <w:pPr>
        <w:numPr>
          <w:ilvl w:val="0"/>
          <w:numId w:val="19"/>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19"/>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法定代表人或主要负责人身份证明书（说明</w:t>
      </w:r>
      <w:r>
        <w:rPr>
          <w:rFonts w:ascii="宋体" w:hAnsi="宋体"/>
          <w:b/>
          <w:sz w:val="28"/>
          <w:szCs w:val="28"/>
        </w:rPr>
        <w:t>：</w:t>
      </w:r>
      <w:r>
        <w:rPr>
          <w:rFonts w:hint="eastAsia" w:ascii="宋体" w:hAnsi="宋体"/>
          <w:b/>
          <w:sz w:val="28"/>
          <w:szCs w:val="28"/>
          <w:lang w:val="zh-CN"/>
        </w:rPr>
        <w:t>主要</w:t>
      </w:r>
      <w:r>
        <w:rPr>
          <w:rFonts w:ascii="宋体" w:hAnsi="宋体"/>
          <w:b/>
          <w:sz w:val="28"/>
          <w:szCs w:val="28"/>
          <w:lang w:val="zh-CN"/>
        </w:rPr>
        <w:t>负责人为供应商提供的其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sz w:val="28"/>
          <w:szCs w:val="28"/>
        </w:rPr>
        <w:t>。</w:t>
      </w:r>
      <w:r>
        <w:rPr>
          <w:rFonts w:hint="eastAsia" w:ascii="宋体" w:hAnsi="宋体"/>
          <w:b/>
          <w:sz w:val="28"/>
          <w:szCs w:val="28"/>
        </w:rPr>
        <w:t>）。</w:t>
      </w:r>
    </w:p>
    <w:p>
      <w:pPr>
        <w:numPr>
          <w:ilvl w:val="0"/>
          <w:numId w:val="19"/>
        </w:numPr>
        <w:tabs>
          <w:tab w:val="left" w:pos="1134"/>
        </w:tabs>
        <w:spacing w:line="360" w:lineRule="auto"/>
        <w:ind w:hanging="279"/>
        <w:jc w:val="left"/>
        <w:rPr>
          <w:rFonts w:ascii="宋体" w:hAnsi="宋体"/>
          <w:b/>
          <w:sz w:val="28"/>
          <w:szCs w:val="28"/>
        </w:rPr>
      </w:pPr>
      <w:r>
        <w:rPr>
          <w:rFonts w:hint="eastAsia" w:ascii="宋体" w:hAnsi="宋体"/>
          <w:b/>
          <w:kern w:val="0"/>
          <w:sz w:val="28"/>
          <w:szCs w:val="28"/>
        </w:rPr>
        <w:t>服务方案及服务承诺</w:t>
      </w:r>
      <w:r>
        <w:rPr>
          <w:rFonts w:hint="eastAsia" w:ascii="宋体" w:hAnsi="宋体"/>
          <w:b/>
          <w:sz w:val="28"/>
          <w:szCs w:val="28"/>
        </w:rPr>
        <w:t>；</w:t>
      </w:r>
    </w:p>
    <w:p>
      <w:pPr>
        <w:numPr>
          <w:ilvl w:val="0"/>
          <w:numId w:val="19"/>
        </w:numPr>
        <w:tabs>
          <w:tab w:val="left" w:pos="1134"/>
        </w:tabs>
        <w:spacing w:line="360" w:lineRule="auto"/>
        <w:ind w:hanging="279"/>
        <w:jc w:val="left"/>
        <w:rPr>
          <w:rFonts w:ascii="宋体" w:hAnsi="宋体"/>
          <w:b/>
          <w:sz w:val="28"/>
          <w:szCs w:val="28"/>
        </w:rPr>
      </w:pPr>
      <w:r>
        <w:rPr>
          <w:rFonts w:hint="eastAsia" w:ascii="宋体" w:hAnsi="宋体"/>
          <w:b/>
          <w:sz w:val="28"/>
          <w:szCs w:val="28"/>
        </w:rPr>
        <w:t>承诺函。</w:t>
      </w:r>
    </w:p>
    <w:p>
      <w:pPr>
        <w:pStyle w:val="6"/>
        <w:ind w:hanging="2410"/>
      </w:pPr>
      <w:r>
        <w:rPr>
          <w:rFonts w:hint="eastAsia"/>
        </w:rPr>
        <w:t>报价要求响应文件</w:t>
      </w:r>
    </w:p>
    <w:p>
      <w:pPr>
        <w:numPr>
          <w:ilvl w:val="0"/>
          <w:numId w:val="20"/>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20"/>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w:t>
      </w:r>
    </w:p>
    <w:p>
      <w:pPr>
        <w:keepNext/>
        <w:keepLines/>
        <w:numPr>
          <w:ilvl w:val="2"/>
          <w:numId w:val="5"/>
        </w:numPr>
        <w:spacing w:line="360" w:lineRule="auto"/>
        <w:ind w:left="0" w:firstLine="0"/>
        <w:outlineLvl w:val="2"/>
        <w:rPr>
          <w:rFonts w:ascii="宋体" w:hAnsi="宋体"/>
          <w:b/>
          <w:bCs/>
          <w:sz w:val="28"/>
          <w:szCs w:val="28"/>
        </w:rPr>
      </w:pPr>
      <w:bookmarkStart w:id="52" w:name="_Toc316292020"/>
      <w:bookmarkEnd w:id="52"/>
      <w:bookmarkStart w:id="53" w:name="_Toc316291395"/>
      <w:bookmarkEnd w:id="53"/>
      <w:bookmarkStart w:id="54" w:name="_Toc316291396"/>
      <w:bookmarkEnd w:id="54"/>
      <w:bookmarkStart w:id="55" w:name="_Toc316292019"/>
      <w:bookmarkEnd w:id="55"/>
      <w:bookmarkStart w:id="56" w:name="_Toc217446049"/>
      <w:bookmarkStart w:id="57" w:name="_Toc183682355"/>
      <w:bookmarkStart w:id="58" w:name="_Toc183582218"/>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1"/>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投标报价（实质性要求）</w:t>
      </w:r>
    </w:p>
    <w:p>
      <w:pPr>
        <w:numPr>
          <w:ilvl w:val="0"/>
          <w:numId w:val="22"/>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217446050"/>
      <w:bookmarkStart w:id="60" w:name="_Toc183582223"/>
      <w:bookmarkStart w:id="61" w:name="_Toc183682360"/>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评标委员会不得未经要求投标人确认，直接将投标人投标文件作无效处理。如因断电、断网、系统故障或其他不可抗力等因素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End w:id="62"/>
      <w:bookmarkStart w:id="63" w:name="_Toc316291400"/>
      <w:bookmarkEnd w:id="63"/>
      <w:bookmarkStart w:id="64" w:name="_Toc183682361"/>
      <w:bookmarkStart w:id="65" w:name="_Toc183582224"/>
      <w:bookmarkStart w:id="66" w:name="_Toc217446051"/>
      <w:r>
        <w:rPr>
          <w:rFonts w:hint="eastAsia" w:ascii="宋体" w:hAnsi="宋体"/>
          <w:b/>
          <w:bCs/>
          <w:sz w:val="28"/>
          <w:szCs w:val="28"/>
        </w:rPr>
        <w:t>投标有效期</w:t>
      </w:r>
      <w:bookmarkEnd w:id="64"/>
      <w:bookmarkEnd w:id="65"/>
      <w:bookmarkEnd w:id="66"/>
    </w:p>
    <w:p>
      <w:pPr>
        <w:numPr>
          <w:ilvl w:val="0"/>
          <w:numId w:val="23"/>
        </w:numPr>
        <w:tabs>
          <w:tab w:val="left" w:pos="1134"/>
        </w:tabs>
        <w:spacing w:line="360" w:lineRule="auto"/>
        <w:ind w:left="0" w:firstLine="567"/>
        <w:rPr>
          <w:rFonts w:ascii="宋体" w:hAnsi="宋体"/>
          <w:sz w:val="28"/>
          <w:szCs w:val="28"/>
        </w:rPr>
      </w:pPr>
      <w:r>
        <w:rPr>
          <w:rFonts w:hint="eastAsia" w:ascii="宋体" w:hAnsi="宋体"/>
          <w:b/>
          <w:bCs/>
          <w:sz w:val="28"/>
          <w:szCs w:val="28"/>
        </w:rPr>
        <w:t>（实质性要求）</w:t>
      </w: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特殊情况下，采购人可于投标有效期满之前要求投标人同意延长有效期，要求与答复均应为书面形式。投标人可以拒绝上述要求。同意延长投标有效期的投标人不能修改其投标文件。</w:t>
      </w:r>
    </w:p>
    <w:p>
      <w:pPr>
        <w:pStyle w:val="5"/>
        <w:numPr>
          <w:ilvl w:val="2"/>
          <w:numId w:val="5"/>
        </w:numPr>
        <w:tabs>
          <w:tab w:val="left" w:pos="851"/>
        </w:tabs>
        <w:spacing w:after="200" w:line="240" w:lineRule="auto"/>
        <w:ind w:left="0" w:firstLine="0"/>
        <w:rPr>
          <w:color w:val="auto"/>
        </w:rPr>
      </w:pPr>
      <w:bookmarkStart w:id="67" w:name="_Toc217446054"/>
      <w:bookmarkStart w:id="68" w:name="_Toc183682364"/>
      <w:bookmarkStart w:id="69" w:name="_Toc183582227"/>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b/>
          <w:bCs/>
          <w:sz w:val="28"/>
          <w:szCs w:val="28"/>
        </w:rPr>
        <w:t>（实质性要求）</w:t>
      </w:r>
      <w:r>
        <w:rPr>
          <w:rFonts w:hint="eastAsia" w:ascii="宋体" w:hAnsi="宋体"/>
          <w:sz w:val="28"/>
          <w:szCs w:val="28"/>
        </w:rPr>
        <w:t>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w:t>
      </w:r>
      <w:r>
        <w:rPr>
          <w:rFonts w:hint="eastAsia" w:ascii="宋体" w:hAnsi="宋体"/>
          <w:b/>
          <w:bCs/>
          <w:sz w:val="28"/>
          <w:szCs w:val="28"/>
        </w:rPr>
        <w:t>（实质性要求）</w:t>
      </w:r>
      <w:r>
        <w:rPr>
          <w:rFonts w:hint="eastAsia" w:ascii="宋体" w:hAnsi="宋体"/>
          <w:b/>
          <w:sz w:val="28"/>
          <w:szCs w:val="28"/>
        </w:rPr>
        <w:t>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pStyle w:val="5"/>
        <w:numPr>
          <w:ilvl w:val="2"/>
          <w:numId w:val="5"/>
        </w:numPr>
        <w:spacing w:after="200" w:line="240" w:lineRule="auto"/>
        <w:ind w:left="0" w:firstLine="0"/>
        <w:rPr>
          <w:color w:val="auto"/>
        </w:rPr>
      </w:pPr>
      <w:r>
        <w:rPr>
          <w:rFonts w:hint="eastAsia"/>
          <w:color w:val="auto"/>
        </w:rPr>
        <w:t>投标文件的</w:t>
      </w:r>
      <w:bookmarkEnd w:id="67"/>
      <w:bookmarkEnd w:id="68"/>
      <w:bookmarkEnd w:id="69"/>
      <w:r>
        <w:rPr>
          <w:rFonts w:hint="eastAsia"/>
          <w:color w:val="auto"/>
        </w:rPr>
        <w:t>提交</w:t>
      </w:r>
    </w:p>
    <w:p>
      <w:pPr>
        <w:tabs>
          <w:tab w:val="left" w:pos="0"/>
        </w:tabs>
        <w:spacing w:line="360" w:lineRule="auto"/>
        <w:ind w:firstLine="420" w:firstLineChars="150"/>
        <w:rPr>
          <w:rFonts w:ascii="宋体" w:hAnsi="宋体" w:eastAsiaTheme="minorEastAsia" w:cstheme="minorBidi"/>
          <w:bCs/>
          <w:sz w:val="28"/>
          <w:szCs w:val="28"/>
        </w:rPr>
      </w:pPr>
      <w:bookmarkStart w:id="70" w:name="_Toc316475586"/>
      <w:bookmarkEnd w:id="70"/>
      <w:bookmarkStart w:id="71" w:name="_Toc316475587"/>
      <w:bookmarkEnd w:id="71"/>
      <w:bookmarkStart w:id="72" w:name="_Toc217446055"/>
      <w:bookmarkStart w:id="73" w:name="_Toc183682365"/>
      <w:bookmarkStart w:id="74" w:name="_Toc183582228"/>
      <w:r>
        <w:rPr>
          <w:rFonts w:hint="eastAsia" w:ascii="宋体" w:hAnsi="宋体" w:eastAsiaTheme="minorEastAsia" w:cstheme="minorBidi"/>
          <w:bCs/>
          <w:sz w:val="28"/>
          <w:szCs w:val="28"/>
        </w:rPr>
        <w:t>一、</w:t>
      </w:r>
      <w:r>
        <w:rPr>
          <w:rFonts w:hint="eastAsia" w:ascii="宋体" w:hAnsi="宋体"/>
          <w:b/>
          <w:bCs/>
          <w:sz w:val="28"/>
          <w:szCs w:val="28"/>
        </w:rPr>
        <w:t>（实质性要求）</w:t>
      </w:r>
      <w:r>
        <w:rPr>
          <w:rFonts w:hint="eastAsia" w:ascii="宋体" w:hAnsi="宋体" w:eastAsiaTheme="minorEastAsia" w:cstheme="minorBidi"/>
          <w:bCs/>
          <w:sz w:val="28"/>
          <w:szCs w:val="28"/>
        </w:rPr>
        <w:t>投标人应当在投标文件提交截止时间前，将生成的已加密的电子投标文件成功提交至“政府采购云平台”。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二、因招标文件的修改推迟投标截止日期的，投标人按市公资交易中心在“四川政府采购网”和“成都市公共资源交易服务中心”网站上发布的澄清公告中修改的时间提交投标文件。</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三、投标人应充分考虑提交文件的不可预见因素，未在投标截止时间前完成提交的，在投标截止时间后将无法提交</w:t>
      </w:r>
      <w:r>
        <w:rPr>
          <w:rFonts w:hint="eastAsia" w:ascii="宋体" w:hAnsi="宋体"/>
          <w:bCs/>
          <w:sz w:val="28"/>
          <w:szCs w:val="28"/>
        </w:rPr>
        <w:t>。</w:t>
      </w:r>
    </w:p>
    <w:p>
      <w:pPr>
        <w:pStyle w:val="5"/>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补充、修改（实质性要求）</w:t>
      </w:r>
    </w:p>
    <w:p>
      <w:pPr>
        <w:numPr>
          <w:ilvl w:val="0"/>
          <w:numId w:val="24"/>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numPr>
          <w:ilvl w:val="0"/>
          <w:numId w:val="24"/>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在投标截止时间之后，投标人不得对其提交的投标文件做任何补充、修改。</w:t>
      </w:r>
    </w:p>
    <w:p>
      <w:pPr>
        <w:pStyle w:val="5"/>
        <w:numPr>
          <w:ilvl w:val="2"/>
          <w:numId w:val="5"/>
        </w:numPr>
        <w:spacing w:after="200" w:line="276" w:lineRule="auto"/>
        <w:ind w:left="0" w:firstLine="0"/>
        <w:rPr>
          <w:color w:val="auto"/>
        </w:rPr>
      </w:pPr>
      <w:r>
        <w:rPr>
          <w:rFonts w:hint="eastAsia"/>
          <w:color w:val="auto"/>
        </w:rPr>
        <w:t>投标文件的撤回（实质性要求）</w:t>
      </w:r>
    </w:p>
    <w:p>
      <w:pPr>
        <w:spacing w:before="120" w:after="200" w:line="360" w:lineRule="auto"/>
        <w:ind w:firstLine="565" w:firstLineChars="202"/>
        <w:rPr>
          <w:rFonts w:ascii="宋体" w:hAnsi="宋体"/>
          <w:bCs/>
          <w:sz w:val="28"/>
          <w:szCs w:val="28"/>
        </w:rPr>
      </w:pPr>
      <w:bookmarkStart w:id="75" w:name="_Toc77400782"/>
      <w:bookmarkStart w:id="76" w:name="_Toc183582231"/>
      <w:bookmarkStart w:id="77" w:name="_Toc89075878"/>
      <w:bookmarkStart w:id="78" w:name="_Toc217446056"/>
      <w:bookmarkStart w:id="79" w:name="_Toc183682368"/>
      <w:r>
        <w:rPr>
          <w:rFonts w:hint="eastAsia" w:ascii="宋体" w:hAnsi="宋体"/>
          <w:bCs/>
          <w:sz w:val="28"/>
          <w:szCs w:val="28"/>
        </w:rPr>
        <w:t>在投标截止时间之前，投标人可对已提交的投标文件进行撤回。在投标截止时间之后，投标人不得撤回投标文件。</w:t>
      </w:r>
    </w:p>
    <w:p>
      <w:pPr>
        <w:pStyle w:val="5"/>
        <w:numPr>
          <w:ilvl w:val="2"/>
          <w:numId w:val="5"/>
        </w:numPr>
        <w:spacing w:after="200" w:line="276" w:lineRule="auto"/>
        <w:ind w:left="0" w:firstLine="0"/>
        <w:rPr>
          <w:color w:val="auto"/>
        </w:rPr>
      </w:pPr>
      <w:r>
        <w:rPr>
          <w:rFonts w:hint="eastAsia"/>
          <w:color w:val="auto"/>
        </w:rPr>
        <w:t>投标文件的解密（实质性要求）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登录政府采购云平台，点击“项目采购—开标评标”模块，找到对应项目，进入“开标大厅”，等待市公资交易中心开启解密后，进行线上解密。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24478"/>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bookmarkStart w:id="81" w:name="_Toc217446057"/>
      <w:bookmarkStart w:id="82" w:name="_Toc183582232"/>
      <w:bookmarkStart w:id="83" w:name="_Toc183682369"/>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80"/>
        <w:numPr>
          <w:ilvl w:val="0"/>
          <w:numId w:val="25"/>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本项目为不见面开标项目。提交电子投标文件的投标人不足3家的，不予开标。</w:t>
      </w:r>
    </w:p>
    <w:p>
      <w:pPr>
        <w:pStyle w:val="80"/>
        <w:numPr>
          <w:ilvl w:val="0"/>
          <w:numId w:val="25"/>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80"/>
        <w:numPr>
          <w:ilvl w:val="0"/>
          <w:numId w:val="25"/>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w:t>
      </w:r>
      <w:r>
        <w:rPr>
          <w:rFonts w:ascii="宋体" w:hAnsi="宋体" w:eastAsia="宋体" w:cs="宋体"/>
          <w:b/>
          <w:sz w:val="28"/>
          <w:szCs w:val="28"/>
        </w:rPr>
        <w:t>64位win7以上操作系统</w:t>
      </w:r>
      <w:r>
        <w:rPr>
          <w:rFonts w:hint="eastAsia" w:ascii="宋体" w:hAnsi="宋体" w:eastAsia="宋体" w:cs="宋体"/>
          <w:b/>
          <w:sz w:val="28"/>
          <w:szCs w:val="28"/>
        </w:rPr>
        <w:t>，</w:t>
      </w:r>
      <w:r>
        <w:rPr>
          <w:rFonts w:ascii="宋体" w:hAnsi="宋体" w:eastAsia="宋体" w:cs="宋体"/>
          <w:b/>
          <w:sz w:val="28"/>
          <w:szCs w:val="28"/>
        </w:rPr>
        <w:t>谷歌浏览器</w:t>
      </w:r>
      <w:r>
        <w:rPr>
          <w:rFonts w:hint="eastAsia" w:ascii="宋体" w:hAnsi="宋体" w:eastAsia="宋体" w:cs="宋体"/>
          <w:b/>
          <w:sz w:val="28"/>
          <w:szCs w:val="28"/>
        </w:rPr>
        <w:t>；</w:t>
      </w:r>
      <w:r>
        <w:rPr>
          <w:rFonts w:ascii="宋体" w:hAnsi="宋体" w:eastAsia="宋体" w:cs="宋体"/>
          <w:b/>
          <w:sz w:val="28"/>
          <w:szCs w:val="28"/>
        </w:rPr>
        <w:t>正确的CA及签章驱动</w:t>
      </w:r>
      <w:r>
        <w:rPr>
          <w:rFonts w:hint="eastAsia" w:ascii="宋体" w:hAnsi="宋体" w:eastAsia="宋体" w:cs="宋体"/>
          <w:b/>
          <w:sz w:val="28"/>
          <w:szCs w:val="28"/>
        </w:rPr>
        <w:t>等</w:t>
      </w:r>
      <w:r>
        <w:rPr>
          <w:rFonts w:ascii="宋体" w:hAnsi="宋体" w:eastAsia="宋体" w:cs="宋体"/>
          <w:b/>
          <w:sz w:val="28"/>
          <w:szCs w:val="28"/>
        </w:rPr>
        <w:t>；能流畅访问互联网</w:t>
      </w:r>
      <w:r>
        <w:rPr>
          <w:rFonts w:hint="eastAsia" w:ascii="宋体" w:hAnsi="宋体" w:eastAsia="宋体" w:cs="宋体"/>
          <w:b/>
          <w:sz w:val="28"/>
          <w:szCs w:val="28"/>
        </w:rPr>
        <w:t>。</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rPr>
          <w:rFonts w:ascii="宋体" w:hAnsi="宋体"/>
          <w:sz w:val="28"/>
          <w:szCs w:val="28"/>
        </w:rPr>
      </w:pPr>
      <w:bookmarkStart w:id="87" w:name="_Toc217446064"/>
      <w:bookmarkStart w:id="88" w:name="_Toc183682377"/>
      <w:bookmarkStart w:id="89" w:name="_Toc183582240"/>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hint="eastAsia" w:ascii="宋体" w:hAnsi="宋体"/>
          <w:sz w:val="28"/>
          <w:szCs w:val="28"/>
        </w:rPr>
      </w:pPr>
      <w:r>
        <w:rPr>
          <w:rFonts w:hint="eastAsia" w:ascii="宋体" w:hAnsi="宋体"/>
          <w:sz w:val="28"/>
          <w:szCs w:val="28"/>
        </w:rPr>
        <w:t>二、中标通知书对采购人和中标人均具有法律效力。</w:t>
      </w:r>
    </w:p>
    <w:p>
      <w:pPr>
        <w:spacing w:line="580" w:lineRule="exact"/>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20111"/>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和转包（实质性要求）</w:t>
      </w:r>
    </w:p>
    <w:p>
      <w:pPr>
        <w:keepNext/>
        <w:keepLines/>
        <w:numPr>
          <w:ilvl w:val="3"/>
          <w:numId w:val="5"/>
        </w:numPr>
        <w:spacing w:line="360" w:lineRule="auto"/>
        <w:ind w:left="1695" w:hanging="1275"/>
        <w:outlineLvl w:val="2"/>
        <w:rPr>
          <w:rFonts w:ascii="宋体" w:hAnsi="宋体"/>
          <w:b/>
          <w:bCs/>
          <w:sz w:val="28"/>
          <w:szCs w:val="28"/>
        </w:rPr>
      </w:pPr>
      <w:r>
        <w:rPr>
          <w:rFonts w:hint="eastAsia" w:ascii="宋体" w:hAnsi="宋体"/>
          <w:b/>
          <w:bCs/>
          <w:sz w:val="28"/>
          <w:szCs w:val="28"/>
        </w:rPr>
        <w:t>合同分包</w:t>
      </w:r>
    </w:p>
    <w:p>
      <w:pPr>
        <w:pStyle w:val="120"/>
        <w:spacing w:line="360" w:lineRule="auto"/>
        <w:ind w:firstLine="560" w:firstLineChars="200"/>
        <w:rPr>
          <w:sz w:val="28"/>
          <w:szCs w:val="28"/>
          <w:lang w:val="zh-CN"/>
        </w:rPr>
      </w:pPr>
      <w:r>
        <w:rPr>
          <w:rFonts w:hint="eastAsia"/>
          <w:sz w:val="28"/>
          <w:szCs w:val="28"/>
          <w:lang w:val="zh-CN"/>
        </w:rPr>
        <w:t>本项目不允许分包</w:t>
      </w:r>
      <w:r>
        <w:rPr>
          <w:sz w:val="28"/>
          <w:szCs w:val="28"/>
          <w:lang w:val="zh-CN"/>
        </w:rPr>
        <w:t xml:space="preserve"> </w:t>
      </w:r>
    </w:p>
    <w:p>
      <w:pPr>
        <w:keepNext/>
        <w:keepLines/>
        <w:numPr>
          <w:ilvl w:val="3"/>
          <w:numId w:val="5"/>
        </w:numPr>
        <w:spacing w:line="360" w:lineRule="auto"/>
        <w:ind w:left="169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r>
        <w:rPr>
          <w:rFonts w:hint="eastAsia" w:ascii="宋体" w:hAnsi="宋体"/>
          <w:b/>
          <w:bCs/>
          <w:sz w:val="28"/>
          <w:szCs w:val="28"/>
        </w:rPr>
        <w:t>（实质性要求）</w:t>
      </w:r>
    </w:p>
    <w:p>
      <w:pPr>
        <w:spacing w:line="360" w:lineRule="auto"/>
        <w:ind w:firstLine="495"/>
        <w:rPr>
          <w:rFonts w:ascii="宋体" w:hAnsi="宋体"/>
          <w:sz w:val="28"/>
          <w:szCs w:val="28"/>
        </w:rPr>
      </w:pPr>
      <w:r>
        <w:rPr>
          <w:rFonts w:hint="eastAsia" w:ascii="宋体" w:hAnsi="宋体"/>
          <w:sz w:val="28"/>
          <w:szCs w:val="28"/>
        </w:rPr>
        <w:t>本项目不收取履约保证金。</w:t>
      </w:r>
    </w:p>
    <w:p>
      <w:pPr>
        <w:keepNext/>
        <w:keepLines/>
        <w:numPr>
          <w:ilvl w:val="2"/>
          <w:numId w:val="5"/>
        </w:numPr>
        <w:spacing w:line="360" w:lineRule="auto"/>
        <w:ind w:left="0" w:firstLine="0"/>
        <w:outlineLvl w:val="2"/>
        <w:rPr>
          <w:rFonts w:ascii="宋体" w:hAnsi="宋体"/>
          <w:b/>
          <w:bCs/>
          <w:sz w:val="28"/>
          <w:szCs w:val="28"/>
        </w:rPr>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考核</w:t>
      </w:r>
    </w:p>
    <w:bookmarkEnd w:id="88"/>
    <w:bookmarkEnd w:id="89"/>
    <w:p>
      <w:pPr>
        <w:pStyle w:val="25"/>
        <w:spacing w:line="360" w:lineRule="auto"/>
        <w:ind w:left="0" w:leftChars="0" w:firstLine="565" w:firstLineChars="202"/>
        <w:rPr>
          <w:rFonts w:ascii="宋体" w:hAnsi="宋体"/>
          <w:sz w:val="28"/>
          <w:szCs w:val="28"/>
        </w:rPr>
      </w:pPr>
      <w:bookmarkStart w:id="98" w:name="_Toc217446074"/>
      <w:bookmarkStart w:id="99" w:name="_Toc183582243"/>
      <w:bookmarkStart w:id="100" w:name="_Toc183682380"/>
      <w:r>
        <w:rPr>
          <w:rFonts w:hint="eastAsia" w:ascii="宋体" w:hAnsi="宋体"/>
          <w:sz w:val="28"/>
          <w:szCs w:val="28"/>
        </w:rPr>
        <w:t>采购人严格按照国家相关法律法规的要求组织验收或考核，采购</w:t>
      </w:r>
      <w:r>
        <w:rPr>
          <w:rFonts w:ascii="宋体" w:hAnsi="宋体"/>
          <w:sz w:val="28"/>
          <w:szCs w:val="28"/>
        </w:rPr>
        <w:t>预算金额大</w:t>
      </w:r>
      <w:r>
        <w:rPr>
          <w:rFonts w:hint="eastAsia" w:ascii="宋体" w:hAnsi="宋体"/>
          <w:sz w:val="28"/>
          <w:szCs w:val="28"/>
        </w:rPr>
        <w:t>的采购</w:t>
      </w:r>
      <w:r>
        <w:rPr>
          <w:rFonts w:ascii="宋体" w:hAnsi="宋体"/>
          <w:sz w:val="28"/>
          <w:szCs w:val="28"/>
        </w:rPr>
        <w:t>项目、政府</w:t>
      </w:r>
      <w:r>
        <w:rPr>
          <w:rFonts w:hint="eastAsia" w:ascii="宋体" w:hAnsi="宋体"/>
          <w:sz w:val="28"/>
          <w:szCs w:val="28"/>
        </w:rPr>
        <w:t>向</w:t>
      </w:r>
      <w:r>
        <w:rPr>
          <w:rFonts w:ascii="宋体" w:hAnsi="宋体"/>
          <w:sz w:val="28"/>
          <w:szCs w:val="28"/>
        </w:rPr>
        <w:t>社会公共提供的公共服务项目、采购人和实际使用人或者受益者分离、有质疑投诉举报的的采购项目，</w:t>
      </w:r>
      <w:r>
        <w:rPr>
          <w:rFonts w:hint="eastAsia" w:ascii="宋体" w:hAnsi="宋体"/>
          <w:sz w:val="28"/>
          <w:szCs w:val="28"/>
        </w:rPr>
        <w:t>可以</w:t>
      </w:r>
      <w:r>
        <w:rPr>
          <w:rFonts w:ascii="宋体" w:hAnsi="宋体"/>
          <w:sz w:val="28"/>
          <w:szCs w:val="28"/>
        </w:rPr>
        <w:t>邀请国家认可的</w:t>
      </w:r>
      <w:r>
        <w:rPr>
          <w:rFonts w:hint="eastAsia" w:ascii="宋体" w:hAnsi="宋体"/>
          <w:sz w:val="28"/>
          <w:szCs w:val="28"/>
        </w:rPr>
        <w:t>第三方</w:t>
      </w:r>
      <w:r>
        <w:rPr>
          <w:rFonts w:ascii="宋体" w:hAnsi="宋体"/>
          <w:sz w:val="28"/>
          <w:szCs w:val="28"/>
        </w:rPr>
        <w:t>检测机构或者集采机构参与</w:t>
      </w:r>
      <w:r>
        <w:rPr>
          <w:rFonts w:hint="eastAsia" w:ascii="宋体" w:hAnsi="宋体"/>
          <w:sz w:val="28"/>
          <w:szCs w:val="28"/>
        </w:rPr>
        <w:t>履约</w:t>
      </w:r>
      <w:r>
        <w:rPr>
          <w:rFonts w:ascii="宋体" w:hAnsi="宋体"/>
          <w:sz w:val="28"/>
          <w:szCs w:val="28"/>
        </w:rPr>
        <w:t>验收工作</w:t>
      </w:r>
      <w:r>
        <w:rPr>
          <w:rFonts w:hint="eastAsia" w:ascii="宋体" w:hAnsi="宋体"/>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10812"/>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rPr>
        <w:t>市公资交易中心</w:t>
      </w:r>
      <w:r>
        <w:rPr>
          <w:rFonts w:hint="eastAsia" w:ascii="宋体" w:hAnsi="宋体"/>
          <w:sz w:val="28"/>
          <w:szCs w:val="28"/>
        </w:rPr>
        <w:t>、其他投标人恶意串通；</w:t>
      </w:r>
    </w:p>
    <w:p>
      <w:pPr>
        <w:numPr>
          <w:ilvl w:val="1"/>
          <w:numId w:val="26"/>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rPr>
        <w:t>市公资交易中心</w:t>
      </w:r>
      <w:r>
        <w:rPr>
          <w:rFonts w:hint="eastAsia" w:ascii="宋体" w:hAnsi="宋体"/>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rPr>
        <w:t>市公资交易中心</w:t>
      </w:r>
      <w:r>
        <w:rPr>
          <w:rFonts w:hint="eastAsia" w:ascii="宋体" w:hAnsi="宋体"/>
          <w:sz w:val="28"/>
          <w:szCs w:val="28"/>
        </w:rPr>
        <w:t>进行协商谈判；</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6"/>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left="567"/>
        <w:rPr>
          <w:rFonts w:ascii="宋体" w:hAnsi="宋体"/>
          <w:sz w:val="28"/>
          <w:szCs w:val="28"/>
        </w:rPr>
      </w:pPr>
      <w:r>
        <w:rPr>
          <w:rFonts w:hint="eastAsia" w:ascii="宋体" w:hAnsi="宋体"/>
          <w:sz w:val="28"/>
          <w:szCs w:val="28"/>
        </w:rPr>
        <w:t>十二、拒绝有关部门的监督检查或者向监督检查部门提供虚假情况；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十三、法律法规规定的其他禁止情形。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投标人有上述情形的，按照规定追究法律责任，具备一至十一条情形之一的，其</w:t>
      </w:r>
      <w:r>
        <w:rPr>
          <w:rFonts w:ascii="宋体" w:hAnsi="宋体"/>
          <w:b/>
          <w:sz w:val="28"/>
          <w:szCs w:val="28"/>
        </w:rPr>
        <w:t>投标文件无效，</w:t>
      </w:r>
      <w:r>
        <w:rPr>
          <w:rFonts w:hint="eastAsia" w:ascii="宋体" w:hAnsi="宋体"/>
          <w:b/>
          <w:sz w:val="28"/>
          <w:szCs w:val="28"/>
        </w:rPr>
        <w:t>或</w:t>
      </w:r>
      <w:r>
        <w:rPr>
          <w:rFonts w:ascii="宋体" w:hAnsi="宋体"/>
          <w:b/>
          <w:sz w:val="28"/>
          <w:szCs w:val="28"/>
        </w:rPr>
        <w:t>取消被</w:t>
      </w:r>
      <w:r>
        <w:rPr>
          <w:rFonts w:hint="eastAsia" w:ascii="宋体" w:hAnsi="宋体"/>
          <w:b/>
          <w:sz w:val="28"/>
          <w:szCs w:val="28"/>
        </w:rPr>
        <w:t>确认为中标</w:t>
      </w:r>
      <w:r>
        <w:rPr>
          <w:rFonts w:ascii="宋体" w:hAnsi="宋体"/>
          <w:b/>
          <w:sz w:val="28"/>
          <w:szCs w:val="28"/>
        </w:rPr>
        <w:t>供应商的资格或认定</w:t>
      </w:r>
      <w:r>
        <w:rPr>
          <w:rFonts w:hint="eastAsia" w:ascii="宋体" w:hAnsi="宋体"/>
          <w:b/>
          <w:sz w:val="28"/>
          <w:szCs w:val="28"/>
        </w:rPr>
        <w:t>中标</w:t>
      </w:r>
      <w:r>
        <w:rPr>
          <w:rFonts w:ascii="宋体" w:hAnsi="宋体"/>
          <w:b/>
          <w:sz w:val="28"/>
          <w:szCs w:val="28"/>
        </w:rPr>
        <w:t>无效</w:t>
      </w:r>
      <w:r>
        <w:rPr>
          <w:rFonts w:hint="eastAsia" w:ascii="宋体" w:hAnsi="宋体"/>
          <w:b/>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在政府采购活动中，采购人员</w:t>
      </w:r>
      <w:r>
        <w:rPr>
          <w:rFonts w:hint="eastAsia" w:cs="Helvetica"/>
          <w:sz w:val="28"/>
          <w:szCs w:val="28"/>
        </w:rPr>
        <w:t>（如</w:t>
      </w:r>
      <w:r>
        <w:rPr>
          <w:rFonts w:hint="eastAsia"/>
          <w:sz w:val="28"/>
          <w:szCs w:val="28"/>
        </w:rPr>
        <w:t>采购人内部负责采购项目的具体经办工作人员或直接分管采购项目的负责人、</w:t>
      </w:r>
      <w:r>
        <w:rPr>
          <w:rFonts w:hint="eastAsia" w:cs="Arial"/>
          <w:sz w:val="28"/>
          <w:szCs w:val="28"/>
        </w:rPr>
        <w:t>市公资交易中心</w:t>
      </w:r>
      <w:r>
        <w:rPr>
          <w:rFonts w:hint="eastAsia"/>
          <w:sz w:val="28"/>
          <w:szCs w:val="28"/>
        </w:rPr>
        <w:t>负责采购项目的具体经办工作人员或直接分管采购活动的负责人等</w:t>
      </w:r>
      <w:r>
        <w:rPr>
          <w:rFonts w:hint="eastAsia" w:cs="Helvetica"/>
          <w:sz w:val="28"/>
          <w:szCs w:val="28"/>
        </w:rPr>
        <w:t>）</w:t>
      </w:r>
      <w:r>
        <w:rPr>
          <w:rFonts w:hint="eastAsia" w:ascii="宋体" w:hAnsi="宋体" w:cs="Helvetica"/>
          <w:sz w:val="28"/>
          <w:szCs w:val="28"/>
        </w:rPr>
        <w:t>及相关人员（包括</w:t>
      </w:r>
      <w:r>
        <w:rPr>
          <w:rFonts w:ascii="宋体" w:hAnsi="宋体" w:cs="Helvetica"/>
          <w:sz w:val="28"/>
          <w:szCs w:val="28"/>
        </w:rPr>
        <w:t>评标委员会的组成人员</w:t>
      </w:r>
      <w:r>
        <w:rPr>
          <w:rFonts w:hint="eastAsia" w:ascii="宋体" w:hAnsi="宋体" w:cs="Helvetica"/>
          <w:sz w:val="28"/>
          <w:szCs w:val="28"/>
        </w:rPr>
        <w:t>）与</w:t>
      </w:r>
      <w:r>
        <w:rPr>
          <w:rFonts w:hint="eastAsia" w:ascii="宋体" w:hAnsi="宋体"/>
          <w:sz w:val="28"/>
          <w:szCs w:val="28"/>
        </w:rPr>
        <w:t>供应商</w:t>
      </w:r>
      <w:r>
        <w:rPr>
          <w:rFonts w:hint="eastAsia" w:ascii="宋体" w:hAnsi="宋体" w:cs="Helvetica"/>
          <w:sz w:val="28"/>
          <w:szCs w:val="28"/>
        </w:rPr>
        <w:t>有下列利害关系之一的，应当回避：</w:t>
      </w:r>
    </w:p>
    <w:p>
      <w:pPr>
        <w:shd w:val="clear" w:color="auto" w:fill="FFFFFF"/>
        <w:spacing w:line="360" w:lineRule="auto"/>
        <w:ind w:left="708" w:hanging="708" w:hangingChars="253"/>
        <w:rPr>
          <w:rFonts w:ascii="宋体" w:hAnsi="宋体" w:cs="Helvetica"/>
          <w:sz w:val="28"/>
          <w:szCs w:val="28"/>
        </w:rPr>
      </w:pPr>
      <w:r>
        <w:rPr>
          <w:rFonts w:hint="eastAsia" w:ascii="宋体" w:hAnsi="宋体" w:cs="Helvetica"/>
          <w:sz w:val="28"/>
          <w:szCs w:val="28"/>
        </w:rPr>
        <w:t>　　（一）参加采购活动前3年内与</w:t>
      </w:r>
      <w:r>
        <w:rPr>
          <w:rFonts w:hint="eastAsia" w:ascii="宋体" w:hAnsi="宋体"/>
          <w:sz w:val="28"/>
          <w:szCs w:val="28"/>
        </w:rPr>
        <w:t>供应商</w:t>
      </w:r>
      <w:r>
        <w:rPr>
          <w:rFonts w:hint="eastAsia" w:ascii="宋体" w:hAnsi="宋体" w:cs="Helvetica"/>
          <w:sz w:val="28"/>
          <w:szCs w:val="28"/>
        </w:rPr>
        <w:t>存在劳动关系；</w:t>
      </w:r>
    </w:p>
    <w:p>
      <w:pPr>
        <w:shd w:val="clear" w:color="auto" w:fill="FFFFFF"/>
        <w:spacing w:line="360" w:lineRule="auto"/>
        <w:rPr>
          <w:rFonts w:ascii="宋体" w:hAnsi="宋体" w:cs="Helvetica"/>
          <w:sz w:val="28"/>
          <w:szCs w:val="28"/>
        </w:rPr>
      </w:pPr>
      <w:r>
        <w:rPr>
          <w:rFonts w:hint="eastAsia" w:ascii="宋体" w:hAnsi="宋体" w:cs="Helvetica"/>
          <w:sz w:val="28"/>
          <w:szCs w:val="28"/>
        </w:rPr>
        <w:t>　　（二）参加采购活动前3年内担任</w:t>
      </w:r>
      <w:r>
        <w:rPr>
          <w:rFonts w:hint="eastAsia" w:ascii="宋体" w:hAnsi="宋体"/>
          <w:sz w:val="28"/>
          <w:szCs w:val="28"/>
        </w:rPr>
        <w:t>供应商</w:t>
      </w:r>
      <w:r>
        <w:rPr>
          <w:rFonts w:hint="eastAsia" w:ascii="宋体" w:hAnsi="宋体" w:cs="Helvetica"/>
          <w:sz w:val="28"/>
          <w:szCs w:val="28"/>
        </w:rPr>
        <w:t>的董事、监事；</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（三）参加采购活动前3年内是</w:t>
      </w:r>
      <w:r>
        <w:rPr>
          <w:rFonts w:hint="eastAsia" w:ascii="宋体" w:hAnsi="宋体"/>
          <w:sz w:val="28"/>
          <w:szCs w:val="28"/>
        </w:rPr>
        <w:t>供应商</w:t>
      </w:r>
      <w:r>
        <w:rPr>
          <w:rFonts w:hint="eastAsia" w:ascii="宋体" w:hAnsi="宋体" w:cs="Helvetica"/>
          <w:sz w:val="28"/>
          <w:szCs w:val="28"/>
        </w:rPr>
        <w:t>的控股股东或者实际控制人；</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（四）与</w:t>
      </w:r>
      <w:r>
        <w:rPr>
          <w:rFonts w:hint="eastAsia" w:ascii="宋体" w:hAnsi="宋体"/>
          <w:sz w:val="28"/>
          <w:szCs w:val="28"/>
        </w:rPr>
        <w:t>供应商</w:t>
      </w:r>
      <w:r>
        <w:rPr>
          <w:rFonts w:hint="eastAsia" w:ascii="宋体" w:hAnsi="宋体" w:cs="Helvetica"/>
          <w:sz w:val="28"/>
          <w:szCs w:val="28"/>
        </w:rPr>
        <w:t>的法定代表人或者负责人有夫妻、直系血亲、三代以内旁系血亲或者近姻亲关系；</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（五）与</w:t>
      </w:r>
      <w:r>
        <w:rPr>
          <w:rFonts w:hint="eastAsia" w:ascii="宋体" w:hAnsi="宋体"/>
          <w:sz w:val="28"/>
          <w:szCs w:val="28"/>
        </w:rPr>
        <w:t>供应商</w:t>
      </w:r>
      <w:r>
        <w:rPr>
          <w:rFonts w:hint="eastAsia" w:ascii="宋体" w:hAnsi="宋体" w:cs="Helvetica"/>
          <w:sz w:val="28"/>
          <w:szCs w:val="28"/>
        </w:rPr>
        <w:t>有其他可能影响政府采购活动公平、公正进行的关系。</w:t>
      </w:r>
    </w:p>
    <w:p>
      <w:pPr>
        <w:shd w:val="clear" w:color="auto" w:fill="FFFFFF"/>
        <w:spacing w:line="360" w:lineRule="auto"/>
        <w:ind w:firstLine="570"/>
        <w:rPr>
          <w:rFonts w:ascii="宋体" w:hAnsi="宋体" w:cs="Helvetica"/>
          <w:sz w:val="28"/>
          <w:szCs w:val="28"/>
        </w:rPr>
      </w:pPr>
      <w:r>
        <w:rPr>
          <w:rFonts w:hint="eastAsia" w:ascii="宋体" w:hAnsi="宋体"/>
          <w:sz w:val="28"/>
          <w:szCs w:val="28"/>
        </w:rPr>
        <w:t>供应商</w:t>
      </w:r>
      <w:r>
        <w:rPr>
          <w:rFonts w:hint="eastAsia" w:ascii="宋体" w:hAnsi="宋体" w:cs="Helvetica"/>
          <w:sz w:val="28"/>
          <w:szCs w:val="28"/>
        </w:rPr>
        <w:t>认为采购人员及相关人员与其他</w:t>
      </w:r>
      <w:r>
        <w:rPr>
          <w:rFonts w:hint="eastAsia" w:ascii="宋体" w:hAnsi="宋体"/>
          <w:sz w:val="28"/>
          <w:szCs w:val="28"/>
        </w:rPr>
        <w:t>供应商</w:t>
      </w:r>
      <w:r>
        <w:rPr>
          <w:rFonts w:hint="eastAsia" w:ascii="宋体" w:hAnsi="宋体" w:cs="Helvetica"/>
          <w:sz w:val="28"/>
          <w:szCs w:val="28"/>
        </w:rPr>
        <w:t>有利害关系的，可以向采购人或者</w:t>
      </w:r>
      <w:r>
        <w:rPr>
          <w:rFonts w:hint="eastAsia" w:ascii="宋体" w:hAnsi="宋体" w:cs="Arial"/>
          <w:sz w:val="28"/>
          <w:szCs w:val="28"/>
        </w:rPr>
        <w:t>采购代理机构</w:t>
      </w:r>
      <w:r>
        <w:rPr>
          <w:rFonts w:hint="eastAsia" w:ascii="宋体" w:hAnsi="宋体" w:cs="Helvetica"/>
          <w:sz w:val="28"/>
          <w:szCs w:val="28"/>
        </w:rPr>
        <w:t>书面提出回避申请，并说明理由。采购人或者</w:t>
      </w:r>
      <w:r>
        <w:rPr>
          <w:rFonts w:hint="eastAsia" w:ascii="宋体" w:hAnsi="宋体" w:cs="Arial"/>
          <w:sz w:val="28"/>
          <w:szCs w:val="28"/>
        </w:rPr>
        <w:t>采购代理机构</w:t>
      </w:r>
      <w:r>
        <w:rPr>
          <w:rFonts w:hint="eastAsia" w:ascii="宋体" w:hAnsi="宋体" w:cs="Helvetica"/>
          <w:sz w:val="28"/>
          <w:szCs w:val="28"/>
        </w:rPr>
        <w:t>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3" w:name="_Toc217446078"/>
      <w:bookmarkStart w:id="104" w:name="_Toc2918"/>
      <w:r>
        <w:rPr>
          <w:rFonts w:hint="eastAsia" w:ascii="宋体" w:hAnsi="宋体"/>
          <w:b/>
          <w:bCs/>
          <w:sz w:val="28"/>
          <w:szCs w:val="28"/>
        </w:rPr>
        <w:t>询问、质疑和投诉</w:t>
      </w:r>
      <w:bookmarkEnd w:id="103"/>
      <w:bookmarkEnd w:id="104"/>
      <w:bookmarkStart w:id="105" w:name="_Toc217446079"/>
    </w:p>
    <w:bookmarkEnd w:id="99"/>
    <w:bookmarkEnd w:id="100"/>
    <w:bookmarkEnd w:id="105"/>
    <w:p>
      <w:pPr>
        <w:numPr>
          <w:ilvl w:val="0"/>
          <w:numId w:val="27"/>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27"/>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28"/>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参加本次政府采购活动应当具备的条件，招标项目技术、服务、商务及其他要求，评标细则及标准，和中标结果中关于资格审查提出询问或质疑的，向采购人提出；</w:t>
      </w:r>
    </w:p>
    <w:p>
      <w:pPr>
        <w:numPr>
          <w:ilvl w:val="1"/>
          <w:numId w:val="28"/>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供应商对除上述招标文件中的其他内容，采购过程及中标结果（除资格审查）提出询问或质疑的，向市公资交易中心提出</w:t>
      </w:r>
      <w:r>
        <w:rPr>
          <w:rFonts w:hint="eastAsia" w:ascii="宋体" w:hAnsi="宋体"/>
          <w:sz w:val="28"/>
          <w:szCs w:val="28"/>
        </w:rPr>
        <w:t>。</w:t>
      </w:r>
    </w:p>
    <w:p>
      <w:pPr>
        <w:numPr>
          <w:ilvl w:val="0"/>
          <w:numId w:val="27"/>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27"/>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供应商可通过“政府采购云平台”，或现场等方式向采购人或市公资交易中心提交质疑资料。</w:t>
      </w:r>
    </w:p>
    <w:p>
      <w:pPr>
        <w:numPr>
          <w:ilvl w:val="0"/>
          <w:numId w:val="27"/>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（一）质疑书正本1份；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（二）法定代表人或主要负责人授权委托书1份（委托代理人办理质疑事宜的需提供）；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（三）法定代表人或主要负责人身份证复印件1份；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（四）委托代理人身份证复印件1份（委托代理人办理质疑事宜的需提供）；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（五）针对质疑事项必要的证明材料。</w:t>
      </w:r>
    </w:p>
    <w:p>
      <w:pPr>
        <w:numPr>
          <w:ilvl w:val="0"/>
          <w:numId w:val="27"/>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rPr>
        <w:t>市公资交易中心的质疑答复不满意，或者采购人</w:t>
      </w:r>
      <w:r>
        <w:rPr>
          <w:rFonts w:ascii="宋体" w:hAnsi="宋体"/>
          <w:sz w:val="28"/>
          <w:szCs w:val="28"/>
        </w:rPr>
        <w:t>或</w:t>
      </w:r>
      <w:r>
        <w:rPr>
          <w:rFonts w:hint="eastAsia" w:ascii="宋体" w:hAnsi="宋体"/>
          <w:sz w:val="28"/>
          <w:szCs w:val="28"/>
        </w:rPr>
        <w:t>市公资交易中心未在规定期限内作出答复的，供应商可以在答复期满后15个工作日内向同级财政部门提起投诉。</w:t>
      </w: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pStyle w:val="2"/>
      </w:pPr>
    </w:p>
    <w:p>
      <w:pPr>
        <w:pStyle w:val="2"/>
      </w:pPr>
    </w:p>
    <w:p>
      <w:pPr>
        <w:pStyle w:val="2"/>
      </w:pPr>
    </w:p>
    <w:p>
      <w:pPr>
        <w:pStyle w:val="2"/>
      </w:pPr>
    </w:p>
    <w:p>
      <w:pPr>
        <w:pStyle w:val="2"/>
      </w:pPr>
    </w:p>
    <w:p>
      <w:pPr>
        <w:pStyle w:val="4"/>
        <w:numPr>
          <w:ilvl w:val="1"/>
          <w:numId w:val="5"/>
        </w:numPr>
        <w:tabs>
          <w:tab w:val="left" w:pos="426"/>
          <w:tab w:val="left" w:pos="567"/>
        </w:tabs>
        <w:spacing w:before="0" w:after="200"/>
        <w:ind w:left="1985" w:hanging="1985"/>
        <w:jc w:val="both"/>
      </w:pPr>
      <w:bookmarkStart w:id="106" w:name="_Toc87450112"/>
      <w:bookmarkStart w:id="107" w:name="_Toc58943334"/>
      <w:bookmarkStart w:id="108" w:name="_Toc581"/>
      <w:r>
        <w:rPr>
          <w:rFonts w:hint="eastAsia"/>
        </w:rPr>
        <w:t>其他</w:t>
      </w:r>
      <w:bookmarkEnd w:id="106"/>
      <w:bookmarkEnd w:id="107"/>
      <w:r>
        <w:rPr>
          <w:rFonts w:hint="eastAsia"/>
        </w:rPr>
        <w:t>要求（实质性要求）</w:t>
      </w:r>
      <w:bookmarkEnd w:id="108"/>
    </w:p>
    <w:p>
      <w:pPr>
        <w:ind w:firstLine="562" w:firstLineChars="200"/>
        <w:rPr>
          <w:rFonts w:ascii="宋体" w:hAnsi="宋体"/>
          <w:sz w:val="28"/>
        </w:rPr>
      </w:pPr>
      <w:r>
        <w:rPr>
          <w:rFonts w:hint="eastAsia" w:ascii="宋体" w:hAnsi="宋体"/>
          <w:b/>
          <w:sz w:val="28"/>
          <w:szCs w:val="28"/>
        </w:rPr>
        <w:t>一、</w:t>
      </w:r>
      <w:r>
        <w:rPr>
          <w:rFonts w:hint="eastAsia" w:ascii="宋体" w:hAnsi="宋体"/>
          <w:sz w:val="28"/>
        </w:rPr>
        <w:t>供应商为本项目提供的所有服务符合现行的国家相关强制性标准、行业标准。</w:t>
      </w:r>
    </w:p>
    <w:p>
      <w:pPr>
        <w:ind w:firstLine="560" w:firstLineChars="200"/>
        <w:rPr>
          <w:rFonts w:ascii="宋体" w:hAnsi="宋体"/>
          <w:sz w:val="28"/>
        </w:rPr>
      </w:pPr>
      <w:r>
        <w:rPr>
          <w:rFonts w:hint="eastAsia" w:ascii="宋体" w:hAnsi="宋体"/>
          <w:sz w:val="28"/>
        </w:rPr>
        <w:t>二、本项目涉及产品采购且属于政府强制采购节能产品清单中的产品，投标人提供的该产品须具有国家确定的认证机构出具的节能产品认证证书。</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widowControl/>
        <w:jc w:val="left"/>
        <w:rPr>
          <w:rFonts w:ascii="宋体" w:hAnsi="宋体"/>
          <w:b/>
          <w:bCs/>
          <w:spacing w:val="-20"/>
          <w:kern w:val="44"/>
          <w:sz w:val="32"/>
          <w:szCs w:val="32"/>
        </w:rPr>
      </w:pPr>
      <w:bookmarkStart w:id="109" w:name="_Toc316292049"/>
      <w:bookmarkEnd w:id="109"/>
      <w:bookmarkStart w:id="110" w:name="_Toc315871046"/>
      <w:bookmarkEnd w:id="110"/>
      <w:bookmarkStart w:id="111" w:name="_Toc315871045"/>
      <w:bookmarkEnd w:id="111"/>
      <w:bookmarkStart w:id="112" w:name="_Toc316292052"/>
      <w:bookmarkEnd w:id="112"/>
      <w:bookmarkStart w:id="113" w:name="_Toc316292050"/>
      <w:bookmarkEnd w:id="113"/>
      <w:bookmarkStart w:id="114" w:name="_Toc315871048"/>
      <w:bookmarkEnd w:id="114"/>
      <w:bookmarkStart w:id="115" w:name="_Toc315871047"/>
      <w:bookmarkEnd w:id="115"/>
      <w:bookmarkStart w:id="116" w:name="_Toc315871049"/>
      <w:bookmarkEnd w:id="116"/>
      <w:bookmarkStart w:id="117" w:name="_Toc315871050"/>
      <w:bookmarkEnd w:id="117"/>
      <w:bookmarkStart w:id="118" w:name="_Toc316292051"/>
      <w:bookmarkEnd w:id="118"/>
      <w:bookmarkStart w:id="119" w:name="_Toc316292048"/>
      <w:bookmarkEnd w:id="119"/>
      <w:r>
        <w:rPr>
          <w:rFonts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20" w:name="_Toc10689"/>
      <w:r>
        <w:rPr>
          <w:rFonts w:hint="eastAsia" w:ascii="宋体" w:hAnsi="宋体"/>
          <w:b/>
          <w:bCs/>
          <w:spacing w:val="-20"/>
          <w:kern w:val="44"/>
          <w:sz w:val="32"/>
          <w:szCs w:val="32"/>
        </w:rPr>
        <w:t>投标文件格式</w:t>
      </w:r>
      <w:bookmarkEnd w:id="120"/>
    </w:p>
    <w:p>
      <w:pPr>
        <w:keepNext/>
        <w:keepLines/>
        <w:numPr>
          <w:ilvl w:val="1"/>
          <w:numId w:val="5"/>
        </w:numPr>
        <w:spacing w:before="260" w:after="260" w:line="360" w:lineRule="auto"/>
        <w:jc w:val="left"/>
        <w:outlineLvl w:val="1"/>
        <w:rPr>
          <w:rFonts w:ascii="宋体" w:hAnsi="宋体"/>
          <w:b/>
          <w:bCs/>
          <w:sz w:val="28"/>
          <w:szCs w:val="28"/>
        </w:rPr>
      </w:pPr>
      <w:bookmarkStart w:id="121" w:name="_Toc15732"/>
      <w:r>
        <w:rPr>
          <w:rFonts w:hint="eastAsia" w:ascii="宋体" w:hAnsi="宋体"/>
          <w:b/>
          <w:bCs/>
          <w:sz w:val="28"/>
          <w:szCs w:val="28"/>
        </w:rPr>
        <w:t>投标文件封面格式</w:t>
      </w:r>
      <w:bookmarkEnd w:id="121"/>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jc w:val="center"/>
        <w:rPr>
          <w:sz w:val="96"/>
          <w:szCs w:val="96"/>
        </w:rPr>
      </w:pPr>
      <w:r>
        <w:rPr>
          <w:rFonts w:hint="eastAsia"/>
          <w:sz w:val="96"/>
          <w:szCs w:val="96"/>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rPr>
          <w:rFonts w:ascii="宋体" w:hAnsi="宋体"/>
          <w:b/>
          <w:sz w:val="32"/>
          <w:szCs w:val="32"/>
        </w:rPr>
      </w:pPr>
      <w:r>
        <w:rPr>
          <w:rFonts w:hint="eastAsia" w:ascii="宋体" w:hAnsi="宋体"/>
          <w:b/>
          <w:sz w:val="32"/>
          <w:szCs w:val="32"/>
        </w:rPr>
        <w:t>项目名称：</w:t>
      </w:r>
      <w:r>
        <w:rPr>
          <w:rFonts w:hint="eastAsia" w:ascii="宋体" w:hAnsi="宋体"/>
          <w:b/>
          <w:sz w:val="32"/>
          <w:szCs w:val="32"/>
          <w:lang w:eastAsia="zh-CN"/>
        </w:rPr>
        <w:t>彭州市第四人民医院(彭州市精神卫生中心）2021年物业管理服务项目（</w:t>
      </w:r>
      <w:r>
        <w:rPr>
          <w:rFonts w:hint="eastAsia" w:ascii="宋体" w:hAnsi="宋体"/>
          <w:b/>
          <w:sz w:val="32"/>
          <w:szCs w:val="32"/>
          <w:lang w:val="en-US" w:eastAsia="zh-CN"/>
        </w:rPr>
        <w:t>第三次</w:t>
      </w:r>
      <w:r>
        <w:rPr>
          <w:rFonts w:hint="eastAsia" w:ascii="宋体" w:hAnsi="宋体"/>
          <w:b/>
          <w:sz w:val="32"/>
          <w:szCs w:val="32"/>
          <w:lang w:eastAsia="zh-CN"/>
        </w:rPr>
        <w:t>）</w:t>
      </w:r>
    </w:p>
    <w:p>
      <w:pPr>
        <w:rPr>
          <w:rFonts w:ascii="宋体" w:hAnsi="宋体"/>
          <w:b/>
          <w:sz w:val="32"/>
          <w:szCs w:val="32"/>
        </w:rPr>
      </w:pPr>
      <w:r>
        <w:rPr>
          <w:rFonts w:hint="eastAsia" w:ascii="宋体" w:hAnsi="宋体"/>
          <w:b/>
          <w:sz w:val="32"/>
          <w:szCs w:val="32"/>
        </w:rPr>
        <w:t>项目编号：</w:t>
      </w:r>
      <w:r>
        <w:rPr>
          <w:rFonts w:hint="eastAsia" w:ascii="宋体" w:hAnsi="宋体"/>
          <w:b/>
          <w:sz w:val="32"/>
          <w:szCs w:val="32"/>
          <w:lang w:val="en-US" w:eastAsia="zh-CN"/>
        </w:rPr>
        <w:t>彭州市政采（2021）A0034号-2</w:t>
      </w:r>
    </w:p>
    <w:p>
      <w:pPr>
        <w:rPr>
          <w:rFonts w:ascii="宋体" w:hAnsi="宋体"/>
          <w:b/>
          <w:sz w:val="32"/>
          <w:szCs w:val="32"/>
        </w:rPr>
      </w:pPr>
    </w:p>
    <w:p>
      <w:pPr>
        <w:rPr>
          <w:rFonts w:ascii="宋体" w:hAnsi="宋体"/>
          <w:b/>
          <w:sz w:val="32"/>
          <w:szCs w:val="32"/>
        </w:rPr>
      </w:pPr>
    </w:p>
    <w:p>
      <w:pPr>
        <w:rPr>
          <w:rFonts w:ascii="宋体" w:hAnsi="宋体"/>
          <w:b/>
          <w:sz w:val="32"/>
          <w:szCs w:val="32"/>
        </w:rPr>
      </w:pPr>
    </w:p>
    <w:p>
      <w:pPr>
        <w:pStyle w:val="2"/>
      </w:pPr>
    </w:p>
    <w:p>
      <w:pPr>
        <w:pStyle w:val="2"/>
      </w:pPr>
    </w:p>
    <w:p>
      <w:pPr>
        <w:pStyle w:val="2"/>
      </w:pPr>
    </w:p>
    <w:p>
      <w:pPr>
        <w:pStyle w:val="2"/>
      </w:pPr>
    </w:p>
    <w:p>
      <w:pPr>
        <w:pStyle w:val="2"/>
      </w:pPr>
    </w:p>
    <w:p>
      <w:pPr>
        <w:pStyle w:val="2"/>
      </w:pPr>
    </w:p>
    <w:p>
      <w:pPr>
        <w:pStyle w:val="2"/>
      </w:pPr>
    </w:p>
    <w:p>
      <w:pPr>
        <w:pStyle w:val="2"/>
      </w:pPr>
    </w:p>
    <w:p>
      <w:pPr>
        <w:rPr>
          <w:rFonts w:ascii="宋体" w:hAnsi="宋体"/>
          <w:b/>
          <w:sz w:val="32"/>
          <w:szCs w:val="32"/>
        </w:rPr>
      </w:pPr>
      <w:r>
        <w:rPr>
          <w:rFonts w:hint="eastAsia" w:ascii="宋体" w:hAnsi="宋体"/>
          <w:b/>
          <w:sz w:val="32"/>
          <w:szCs w:val="32"/>
        </w:rPr>
        <w:t>投标人名称：XXXX</w:t>
      </w:r>
    </w:p>
    <w:p>
      <w:pPr>
        <w:rPr>
          <w:rFonts w:ascii="宋体" w:hAnsi="宋体"/>
          <w:b/>
          <w:sz w:val="32"/>
          <w:szCs w:val="32"/>
        </w:rPr>
      </w:pPr>
      <w:r>
        <w:rPr>
          <w:rFonts w:hint="eastAsia" w:ascii="宋体" w:hAnsi="宋体"/>
          <w:b/>
          <w:sz w:val="32"/>
          <w:szCs w:val="32"/>
        </w:rPr>
        <w:t>日       期：202X年XX月XX日</w:t>
      </w:r>
    </w:p>
    <w:p>
      <w:pPr>
        <w:rPr>
          <w:rFonts w:ascii="宋体" w:hAnsi="宋体"/>
          <w:b/>
          <w:sz w:val="32"/>
          <w:szCs w:val="32"/>
        </w:rPr>
      </w:pPr>
    </w:p>
    <w:p>
      <w:pPr>
        <w:spacing w:line="360" w:lineRule="auto"/>
        <w:ind w:firstLine="569" w:firstLineChars="177"/>
        <w:rPr>
          <w:rFonts w:ascii="宋体" w:hAnsi="宋体"/>
          <w:b/>
          <w:bCs/>
          <w:sz w:val="32"/>
          <w:szCs w:val="32"/>
        </w:rPr>
      </w:pPr>
    </w:p>
    <w:p>
      <w:pPr>
        <w:keepNext/>
        <w:keepLines/>
        <w:numPr>
          <w:ilvl w:val="1"/>
          <w:numId w:val="5"/>
        </w:numPr>
        <w:spacing w:before="260" w:after="260" w:line="360" w:lineRule="auto"/>
        <w:jc w:val="left"/>
        <w:outlineLvl w:val="1"/>
        <w:rPr>
          <w:rFonts w:ascii="宋体" w:hAnsi="宋体"/>
          <w:b/>
          <w:bCs/>
          <w:sz w:val="28"/>
          <w:szCs w:val="28"/>
        </w:rPr>
      </w:pPr>
      <w:bookmarkStart w:id="122" w:name="_Toc6299"/>
      <w:r>
        <w:rPr>
          <w:rFonts w:hint="eastAsia" w:ascii="宋体" w:hAnsi="宋体"/>
          <w:b/>
          <w:bCs/>
          <w:sz w:val="28"/>
          <w:szCs w:val="28"/>
        </w:rPr>
        <w:t>资格响应文件</w:t>
      </w:r>
      <w:bookmarkEnd w:id="122"/>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关于投标人申明的函</w:t>
      </w:r>
    </w:p>
    <w:p>
      <w:pPr>
        <w:spacing w:line="360" w:lineRule="auto"/>
        <w:rPr>
          <w:rFonts w:ascii="宋体" w:hAnsi="宋体"/>
          <w:sz w:val="28"/>
          <w:szCs w:val="28"/>
        </w:rPr>
      </w:pPr>
      <w:bookmarkStart w:id="123" w:name="_Toc238581782"/>
      <w:bookmarkStart w:id="124" w:name="_Toc119296788"/>
      <w:bookmarkStart w:id="125" w:name="_Toc146903609"/>
      <w:bookmarkStart w:id="126" w:name="_Toc119295087"/>
      <w:bookmarkStart w:id="127" w:name="_Toc52184753"/>
      <w:bookmarkStart w:id="128" w:name="_Toc119203988"/>
      <w:r>
        <w:rPr>
          <w:rFonts w:hint="eastAsia" w:ascii="宋体" w:hAnsi="宋体"/>
          <w:sz w:val="28"/>
          <w:szCs w:val="28"/>
        </w:rPr>
        <w:t>致：</w:t>
      </w:r>
      <w:r>
        <w:rPr>
          <w:rFonts w:hint="eastAsia" w:ascii="宋体" w:hAnsi="宋体"/>
          <w:sz w:val="28"/>
          <w:szCs w:val="28"/>
          <w:lang w:val="en-US" w:eastAsia="zh-CN"/>
        </w:rPr>
        <w:t>彭州</w:t>
      </w:r>
      <w:r>
        <w:rPr>
          <w:rFonts w:hint="eastAsia" w:ascii="宋体" w:hAnsi="宋体"/>
          <w:sz w:val="28"/>
          <w:szCs w:val="28"/>
        </w:rPr>
        <w:t>市公共资源交易服务中心</w:t>
      </w:r>
      <w:bookmarkEnd w:id="123"/>
    </w:p>
    <w:p>
      <w:pPr>
        <w:spacing w:line="360" w:lineRule="auto"/>
        <w:ind w:firstLine="565" w:firstLineChars="202"/>
        <w:rPr>
          <w:rFonts w:ascii="宋体" w:hAnsi="宋体"/>
          <w:sz w:val="28"/>
          <w:szCs w:val="28"/>
        </w:rPr>
      </w:pPr>
      <w:bookmarkStart w:id="129" w:name="_Toc238581783"/>
      <w:r>
        <w:rPr>
          <w:rFonts w:hint="eastAsia" w:ascii="宋体" w:hAnsi="宋体"/>
          <w:sz w:val="28"/>
          <w:szCs w:val="28"/>
        </w:rPr>
        <w:t>关于我方对</w:t>
      </w:r>
      <w:r>
        <w:rPr>
          <w:rFonts w:hint="eastAsia" w:ascii="宋体" w:hAnsi="宋体"/>
          <w:b/>
          <w:sz w:val="28"/>
          <w:szCs w:val="28"/>
          <w:u w:val="single"/>
          <w:lang w:eastAsia="zh-CN"/>
        </w:rPr>
        <w:t>彭州市第四人民医院(彭州市精神卫生中心）2021年物业管理服务项目（</w:t>
      </w:r>
      <w:r>
        <w:rPr>
          <w:rFonts w:hint="eastAsia" w:ascii="宋体" w:hAnsi="宋体"/>
          <w:b/>
          <w:sz w:val="28"/>
          <w:szCs w:val="28"/>
          <w:u w:val="single"/>
          <w:lang w:val="en-US" w:eastAsia="zh-CN"/>
        </w:rPr>
        <w:t>第三次</w:t>
      </w:r>
      <w:r>
        <w:rPr>
          <w:rFonts w:hint="eastAsia" w:ascii="宋体" w:hAnsi="宋体"/>
          <w:b/>
          <w:sz w:val="28"/>
          <w:szCs w:val="28"/>
          <w:u w:val="single"/>
          <w:lang w:eastAsia="zh-CN"/>
        </w:rPr>
        <w:t>）</w:t>
      </w:r>
      <w:r>
        <w:rPr>
          <w:rFonts w:hint="eastAsia" w:ascii="宋体" w:hAnsi="宋体"/>
          <w:b/>
          <w:sz w:val="28"/>
          <w:szCs w:val="28"/>
          <w:u w:val="single"/>
        </w:rPr>
        <w:t>（项目编号：</w:t>
      </w:r>
      <w:r>
        <w:rPr>
          <w:rFonts w:hint="eastAsia" w:ascii="宋体" w:hAnsi="宋体"/>
          <w:b/>
          <w:sz w:val="28"/>
          <w:szCs w:val="28"/>
          <w:u w:val="single"/>
          <w:lang w:val="en-US" w:eastAsia="zh-CN"/>
        </w:rPr>
        <w:t>彭州市政采（2021）A0034号-2</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9"/>
    </w:p>
    <w:p>
      <w:pPr>
        <w:widowControl/>
        <w:numPr>
          <w:ilvl w:val="2"/>
          <w:numId w:val="29"/>
        </w:numPr>
        <w:spacing w:line="360" w:lineRule="auto"/>
        <w:ind w:left="0" w:firstLine="560" w:firstLineChars="200"/>
        <w:rPr>
          <w:rFonts w:ascii="宋体" w:hAnsi="宋体"/>
          <w:sz w:val="28"/>
          <w:szCs w:val="28"/>
        </w:rPr>
      </w:pPr>
      <w:bookmarkStart w:id="130" w:name="_Toc238581784"/>
      <w:r>
        <w:rPr>
          <w:rFonts w:hint="eastAsia" w:ascii="宋体" w:hAnsi="宋体"/>
          <w:sz w:val="28"/>
          <w:szCs w:val="28"/>
        </w:rPr>
        <w:t>投标人名称及概况：</w:t>
      </w:r>
      <w:bookmarkEnd w:id="124"/>
      <w:bookmarkEnd w:id="125"/>
      <w:bookmarkEnd w:id="126"/>
      <w:bookmarkEnd w:id="127"/>
      <w:bookmarkEnd w:id="128"/>
      <w:bookmarkEnd w:id="130"/>
    </w:p>
    <w:p>
      <w:pPr>
        <w:widowControl/>
        <w:numPr>
          <w:ilvl w:val="0"/>
          <w:numId w:val="30"/>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0"/>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0"/>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0"/>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法定代表人或主要负责人姓名：XXXX</w:t>
      </w:r>
    </w:p>
    <w:p>
      <w:pPr>
        <w:widowControl/>
        <w:numPr>
          <w:ilvl w:val="2"/>
          <w:numId w:val="29"/>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80" w:lineRule="exact"/>
        <w:rPr>
          <w:rFonts w:ascii="宋体" w:hAnsi="宋体"/>
          <w:sz w:val="28"/>
          <w:szCs w:val="28"/>
        </w:rPr>
      </w:pPr>
    </w:p>
    <w:p>
      <w:pPr>
        <w:spacing w:line="360" w:lineRule="auto"/>
        <w:rPr>
          <w:rFonts w:ascii="宋体" w:hAnsi="宋体"/>
          <w:b/>
          <w:bCs/>
          <w:sz w:val="32"/>
          <w:szCs w:val="32"/>
        </w:rPr>
      </w:pP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致：</w:t>
      </w:r>
      <w:r>
        <w:rPr>
          <w:rFonts w:hint="eastAsia" w:ascii="宋体" w:hAnsi="宋体"/>
          <w:sz w:val="28"/>
          <w:szCs w:val="28"/>
          <w:lang w:val="en-US" w:eastAsia="zh-CN"/>
        </w:rPr>
        <w:t>彭州</w:t>
      </w:r>
      <w:r>
        <w:rPr>
          <w:rFonts w:hint="eastAsia" w:ascii="宋体" w:hAnsi="宋体"/>
          <w:sz w:val="28"/>
          <w:szCs w:val="28"/>
        </w:rPr>
        <w:t>市公共资源交易服务中心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彭州市第四人民医院(彭州市精神卫生中心）2021年物业管理服务项目（</w:t>
      </w:r>
      <w:r>
        <w:rPr>
          <w:rFonts w:hint="eastAsia" w:ascii="宋体" w:hAnsi="宋体"/>
          <w:b/>
          <w:sz w:val="28"/>
          <w:szCs w:val="28"/>
          <w:u w:val="single"/>
          <w:lang w:val="en-US" w:eastAsia="zh-CN"/>
        </w:rPr>
        <w:t>第三次</w:t>
      </w:r>
      <w:r>
        <w:rPr>
          <w:rFonts w:hint="eastAsia" w:ascii="宋体" w:hAnsi="宋体"/>
          <w:b/>
          <w:sz w:val="28"/>
          <w:szCs w:val="28"/>
          <w:u w:val="single"/>
          <w:lang w:eastAsia="zh-CN"/>
        </w:rPr>
        <w:t>）</w:t>
      </w:r>
      <w:r>
        <w:rPr>
          <w:rFonts w:hint="eastAsia" w:ascii="宋体" w:hAnsi="宋体"/>
          <w:b/>
          <w:sz w:val="28"/>
          <w:szCs w:val="28"/>
          <w:u w:val="single"/>
        </w:rPr>
        <w:t>（项目编号：</w:t>
      </w:r>
      <w:r>
        <w:rPr>
          <w:rFonts w:hint="eastAsia" w:ascii="宋体" w:hAnsi="宋体"/>
          <w:b/>
          <w:sz w:val="28"/>
          <w:szCs w:val="28"/>
          <w:u w:val="single"/>
          <w:lang w:val="en-US" w:eastAsia="zh-CN"/>
        </w:rPr>
        <w:t>彭州市政采（2021）A0034号-2</w:t>
      </w:r>
      <w:r>
        <w:rPr>
          <w:rFonts w:hint="eastAsia" w:ascii="宋体" w:hAnsi="宋体"/>
          <w:b/>
          <w:sz w:val="28"/>
          <w:szCs w:val="28"/>
          <w:u w:val="single"/>
        </w:rPr>
        <w:t>）</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三、与我单位负责人为同一人或者存在直接控股、管理关系的不同供应商：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bCs/>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2"/>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2"/>
        <w:ind w:firstLine="560" w:firstLineChars="20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投标人</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，投标人投标文件将被认定为无效；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投标人无依法缴纳社会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ascii="宋体" w:hAnsi="宋体"/>
          <w:sz w:val="28"/>
          <w:szCs w:val="28"/>
        </w:rPr>
        <w:t>8</w:t>
      </w:r>
      <w:r>
        <w:rPr>
          <w:rFonts w:hint="eastAsia" w:ascii="宋体" w:hAnsi="宋体"/>
          <w:sz w:val="28"/>
          <w:szCs w:val="28"/>
        </w:rPr>
        <w:t>.</w:t>
      </w:r>
      <w:r>
        <w:rPr>
          <w:rFonts w:ascii="宋体" w:hAnsi="宋体"/>
          <w:sz w:val="28"/>
          <w:szCs w:val="28"/>
        </w:rPr>
        <w:t>对声明中第九条的说明：如</w:t>
      </w:r>
      <w:r>
        <w:rPr>
          <w:rFonts w:hint="eastAsia" w:ascii="宋体" w:hAnsi="宋体"/>
          <w:sz w:val="28"/>
          <w:szCs w:val="28"/>
        </w:rPr>
        <w:t>投标人无依法缴纳税收</w:t>
      </w:r>
      <w:r>
        <w:rPr>
          <w:rFonts w:ascii="宋体" w:hAnsi="宋体"/>
          <w:sz w:val="28"/>
          <w:szCs w:val="28"/>
        </w:rPr>
        <w:t>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tabs>
          <w:tab w:val="left" w:pos="1260"/>
        </w:tabs>
        <w:spacing w:line="560" w:lineRule="exact"/>
        <w:ind w:firstLine="560" w:firstLineChars="200"/>
        <w:rPr>
          <w:rFonts w:ascii="宋体" w:hAnsi="宋体"/>
          <w:sz w:val="28"/>
          <w:szCs w:val="28"/>
        </w:rPr>
      </w:pPr>
    </w:p>
    <w:p>
      <w:pPr>
        <w:widowControl/>
        <w:jc w:val="left"/>
        <w:rPr>
          <w:rFonts w:ascii="宋体" w:hAnsi="宋体" w:cs="宋体"/>
          <w:b/>
          <w:bCs/>
          <w:kern w:val="0"/>
          <w:sz w:val="28"/>
          <w:szCs w:val="28"/>
        </w:rPr>
      </w:pPr>
      <w:r>
        <w:br w:type="page"/>
      </w:r>
    </w:p>
    <w:p>
      <w:pPr>
        <w:pStyle w:val="5"/>
        <w:numPr>
          <w:ilvl w:val="2"/>
          <w:numId w:val="5"/>
        </w:numPr>
        <w:spacing w:after="200" w:line="240" w:lineRule="auto"/>
        <w:ind w:left="851"/>
        <w:rPr>
          <w:color w:val="auto"/>
        </w:rPr>
      </w:pPr>
      <w:r>
        <w:rPr>
          <w:rFonts w:hint="eastAsia"/>
          <w:color w:val="auto"/>
        </w:rPr>
        <w:t>中小企业声明函</w:t>
      </w:r>
    </w:p>
    <w:p>
      <w:pPr>
        <w:spacing w:line="50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00" w:lineRule="exact"/>
        <w:ind w:firstLine="584" w:firstLineChars="200"/>
        <w:rPr>
          <w:rFonts w:ascii="宋体" w:hAnsi="宋体"/>
          <w:spacing w:val="6"/>
          <w:sz w:val="28"/>
          <w:szCs w:val="28"/>
        </w:rPr>
      </w:pPr>
      <w:r>
        <w:rPr>
          <w:rFonts w:hint="eastAsia" w:ascii="宋体" w:hAnsi="宋体"/>
          <w:spacing w:val="6"/>
          <w:sz w:val="28"/>
          <w:szCs w:val="28"/>
        </w:rPr>
        <w:t>本公司郑重声明，根据《政府采购促进中小企业发展管理办法》（财库〔</w:t>
      </w:r>
      <w:r>
        <w:rPr>
          <w:rFonts w:ascii="宋体" w:hAnsi="宋体"/>
          <w:spacing w:val="6"/>
          <w:sz w:val="28"/>
          <w:szCs w:val="28"/>
        </w:rPr>
        <w:t>2020〕46号）的规定，本公司参加</w:t>
      </w:r>
      <w:r>
        <w:rPr>
          <w:rFonts w:hint="eastAsia" w:ascii="宋体" w:hAnsi="宋体"/>
          <w:b/>
          <w:sz w:val="28"/>
          <w:szCs w:val="28"/>
          <w:u w:val="single"/>
          <w:lang w:eastAsia="zh-CN"/>
        </w:rPr>
        <w:t>彭州市第四人民医院(彭州市精神卫生中心）</w:t>
      </w:r>
      <w:r>
        <w:rPr>
          <w:rFonts w:hint="eastAsia" w:ascii="宋体" w:hAnsi="宋体"/>
          <w:spacing w:val="6"/>
          <w:sz w:val="28"/>
          <w:szCs w:val="28"/>
        </w:rPr>
        <w:t>的</w:t>
      </w:r>
      <w:r>
        <w:rPr>
          <w:rFonts w:hint="eastAsia" w:ascii="宋体" w:hAnsi="宋体"/>
          <w:b/>
          <w:sz w:val="28"/>
          <w:szCs w:val="28"/>
          <w:u w:val="single"/>
          <w:lang w:eastAsia="zh-CN"/>
        </w:rPr>
        <w:t>彭州市第四人民医院(彭州市精神卫生中心）2021年物业管理服务项目（</w:t>
      </w:r>
      <w:r>
        <w:rPr>
          <w:rFonts w:hint="eastAsia" w:ascii="宋体" w:hAnsi="宋体"/>
          <w:b/>
          <w:sz w:val="28"/>
          <w:szCs w:val="28"/>
          <w:u w:val="single"/>
          <w:lang w:val="en-US" w:eastAsia="zh-CN"/>
        </w:rPr>
        <w:t>第三次</w:t>
      </w:r>
      <w:r>
        <w:rPr>
          <w:rFonts w:hint="eastAsia" w:ascii="宋体" w:hAnsi="宋体"/>
          <w:b/>
          <w:sz w:val="28"/>
          <w:szCs w:val="28"/>
          <w:u w:val="single"/>
          <w:lang w:eastAsia="zh-CN"/>
        </w:rPr>
        <w:t>）</w:t>
      </w:r>
      <w:r>
        <w:rPr>
          <w:rFonts w:hint="eastAsia" w:ascii="宋体" w:hAnsi="宋体"/>
          <w:b/>
          <w:sz w:val="28"/>
          <w:szCs w:val="28"/>
          <w:u w:val="single"/>
        </w:rPr>
        <w:t>（</w:t>
      </w:r>
      <w:r>
        <w:rPr>
          <w:rFonts w:hint="eastAsia" w:ascii="宋体" w:hAnsi="宋体" w:cs="宋体"/>
          <w:b/>
          <w:kern w:val="0"/>
          <w:sz w:val="28"/>
          <w:szCs w:val="28"/>
          <w:u w:val="single"/>
          <w:lang w:val="en-US" w:eastAsia="zh-CN"/>
        </w:rPr>
        <w:t>彭州市政采（2021）A0034号-2</w:t>
      </w:r>
      <w:r>
        <w:rPr>
          <w:rFonts w:hint="eastAsia" w:ascii="宋体" w:hAnsi="宋体"/>
          <w:b/>
          <w:sz w:val="28"/>
          <w:szCs w:val="28"/>
          <w:u w:val="single"/>
        </w:rPr>
        <w:t>）</w:t>
      </w:r>
      <w:r>
        <w:rPr>
          <w:rFonts w:hint="eastAsia" w:ascii="宋体" w:hAnsi="宋体"/>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u w:val="single"/>
        </w:rPr>
        <w:t>XXXX（标的名称）</w:t>
      </w:r>
      <w:r>
        <w:rPr>
          <w:rFonts w:hint="eastAsia" w:ascii="宋体" w:hAnsi="宋体"/>
          <w:spacing w:val="6"/>
          <w:sz w:val="28"/>
          <w:szCs w:val="28"/>
        </w:rPr>
        <w:t>，属于</w:t>
      </w:r>
      <w:r>
        <w:rPr>
          <w:rFonts w:hint="eastAsia" w:ascii="宋体" w:hAnsi="宋体"/>
          <w:spacing w:val="6"/>
          <w:sz w:val="28"/>
          <w:szCs w:val="28"/>
          <w:u w:val="single"/>
        </w:rPr>
        <w:t>XXXX（采购文件中明确的所属行业）</w:t>
      </w:r>
      <w:r>
        <w:rPr>
          <w:rFonts w:hint="eastAsia" w:ascii="宋体" w:hAnsi="宋体"/>
          <w:spacing w:val="6"/>
          <w:sz w:val="28"/>
          <w:szCs w:val="28"/>
        </w:rPr>
        <w:t>；承接企业为</w:t>
      </w:r>
      <w:r>
        <w:rPr>
          <w:rFonts w:ascii="宋体" w:hAnsi="宋体"/>
          <w:spacing w:val="6"/>
          <w:sz w:val="28"/>
          <w:szCs w:val="28"/>
          <w:u w:val="single"/>
        </w:rPr>
        <w:t>XXX</w:t>
      </w:r>
      <w:r>
        <w:rPr>
          <w:rFonts w:hint="eastAsia" w:ascii="宋体" w:hAnsi="宋体"/>
          <w:spacing w:val="6"/>
          <w:sz w:val="28"/>
          <w:szCs w:val="28"/>
          <w:u w:val="single"/>
        </w:rPr>
        <w:t>X</w:t>
      </w:r>
      <w:r>
        <w:rPr>
          <w:rFonts w:ascii="宋体" w:hAnsi="宋体"/>
          <w:spacing w:val="6"/>
          <w:sz w:val="28"/>
          <w:szCs w:val="28"/>
          <w:u w:val="single"/>
        </w:rPr>
        <w:t>（企业名称）</w:t>
      </w:r>
      <w:r>
        <w:rPr>
          <w:rFonts w:hint="eastAsia" w:ascii="宋体" w:hAnsi="宋体"/>
          <w:spacing w:val="6"/>
          <w:sz w:val="28"/>
          <w:szCs w:val="28"/>
        </w:rPr>
        <w:t>，从业人员</w:t>
      </w:r>
      <w:r>
        <w:rPr>
          <w:rFonts w:ascii="宋体" w:hAnsi="宋体"/>
          <w:spacing w:val="6"/>
          <w:sz w:val="28"/>
          <w:szCs w:val="28"/>
          <w:u w:val="single"/>
        </w:rPr>
        <w:t>XX</w:t>
      </w:r>
      <w:r>
        <w:rPr>
          <w:rFonts w:hint="eastAsia" w:ascii="宋体" w:hAnsi="宋体"/>
          <w:spacing w:val="6"/>
          <w:sz w:val="28"/>
          <w:szCs w:val="28"/>
        </w:rPr>
        <w:t>人，营业收入为</w:t>
      </w:r>
      <w:r>
        <w:rPr>
          <w:rFonts w:ascii="宋体" w:hAnsi="宋体"/>
          <w:spacing w:val="6"/>
          <w:sz w:val="28"/>
          <w:szCs w:val="28"/>
          <w:u w:val="single"/>
        </w:rPr>
        <w:t>XX</w:t>
      </w:r>
      <w:r>
        <w:rPr>
          <w:rFonts w:hint="eastAsia" w:ascii="宋体" w:hAnsi="宋体"/>
          <w:spacing w:val="6"/>
          <w:sz w:val="28"/>
          <w:szCs w:val="28"/>
        </w:rPr>
        <w:t>万元，资产总额为</w:t>
      </w:r>
      <w:r>
        <w:rPr>
          <w:rFonts w:ascii="宋体" w:hAnsi="宋体"/>
          <w:spacing w:val="6"/>
          <w:sz w:val="28"/>
          <w:szCs w:val="28"/>
          <w:u w:val="single"/>
        </w:rPr>
        <w:t>XX</w:t>
      </w:r>
      <w:r>
        <w:rPr>
          <w:rFonts w:hint="eastAsia" w:ascii="宋体" w:hAnsi="宋体"/>
          <w:spacing w:val="6"/>
          <w:sz w:val="28"/>
          <w:szCs w:val="28"/>
        </w:rPr>
        <w:t>万元，属于</w:t>
      </w:r>
      <w:r>
        <w:rPr>
          <w:rFonts w:ascii="宋体" w:hAnsi="宋体"/>
          <w:spacing w:val="6"/>
          <w:sz w:val="28"/>
          <w:szCs w:val="28"/>
          <w:u w:val="single"/>
        </w:rPr>
        <w:t>XXXX（中型企业、小型企业、微型企业）</w:t>
      </w:r>
      <w:r>
        <w:rPr>
          <w:rFonts w:hint="eastAsia" w:ascii="宋体" w:hAnsi="宋体"/>
          <w:spacing w:val="6"/>
          <w:sz w:val="28"/>
          <w:szCs w:val="28"/>
        </w:rPr>
        <w:t>。</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本企业对上述声明内容的真实性负责。如有虚假，将依法承担相应责任。</w:t>
      </w:r>
    </w:p>
    <w:p>
      <w:pPr>
        <w:spacing w:line="500" w:lineRule="exact"/>
        <w:ind w:firstLine="586" w:firstLineChars="200"/>
        <w:rPr>
          <w:rFonts w:ascii="宋体" w:hAnsi="宋体"/>
          <w:b/>
          <w:spacing w:val="6"/>
          <w:sz w:val="28"/>
          <w:szCs w:val="28"/>
        </w:rPr>
      </w:pPr>
    </w:p>
    <w:p>
      <w:pPr>
        <w:spacing w:line="500" w:lineRule="exact"/>
        <w:ind w:firstLine="586" w:firstLineChars="200"/>
        <w:rPr>
          <w:rFonts w:ascii="宋体" w:hAnsi="宋体"/>
          <w:b/>
          <w:spacing w:val="6"/>
          <w:sz w:val="28"/>
          <w:szCs w:val="28"/>
        </w:rPr>
      </w:pPr>
    </w:p>
    <w:p>
      <w:pPr>
        <w:spacing w:line="500" w:lineRule="exact"/>
        <w:ind w:firstLine="586" w:firstLineChars="200"/>
        <w:rPr>
          <w:rFonts w:ascii="宋体" w:hAnsi="宋体"/>
          <w:b/>
          <w:spacing w:val="6"/>
          <w:sz w:val="28"/>
          <w:szCs w:val="28"/>
        </w:rPr>
      </w:pPr>
    </w:p>
    <w:p>
      <w:pPr>
        <w:spacing w:line="500" w:lineRule="exact"/>
        <w:ind w:firstLine="586" w:firstLineChars="200"/>
        <w:rPr>
          <w:rFonts w:ascii="宋体" w:hAnsi="宋体"/>
          <w:b/>
          <w:spacing w:val="6"/>
          <w:sz w:val="28"/>
          <w:szCs w:val="28"/>
        </w:rPr>
      </w:pPr>
    </w:p>
    <w:p>
      <w:pPr>
        <w:spacing w:line="500" w:lineRule="exact"/>
        <w:ind w:firstLine="586" w:firstLineChars="200"/>
        <w:rPr>
          <w:rFonts w:ascii="宋体" w:hAnsi="宋体"/>
          <w:b/>
          <w:spacing w:val="6"/>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企业名称：</w:t>
      </w:r>
      <w:r>
        <w:rPr>
          <w:rFonts w:ascii="宋体" w:hAnsi="宋体"/>
          <w:sz w:val="28"/>
          <w:szCs w:val="28"/>
          <w:u w:val="single"/>
        </w:rPr>
        <w:t>XXXX</w:t>
      </w:r>
      <w:r>
        <w:rPr>
          <w:rFonts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w:t>
      </w:r>
      <w:r>
        <w:rPr>
          <w:rFonts w:ascii="宋体" w:hAnsi="宋体"/>
          <w:spacing w:val="6"/>
          <w:sz w:val="28"/>
          <w:szCs w:val="28"/>
        </w:rPr>
        <w:t xml:space="preserve">  </w:t>
      </w:r>
      <w:r>
        <w:rPr>
          <w:rFonts w:hint="eastAsia" w:ascii="宋体" w:hAnsi="宋体"/>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pPr>
        <w:pStyle w:val="80"/>
        <w:tabs>
          <w:tab w:val="left" w:pos="567"/>
          <w:tab w:val="left" w:pos="709"/>
          <w:tab w:val="left" w:pos="851"/>
        </w:tabs>
        <w:spacing w:before="60" w:line="360" w:lineRule="auto"/>
        <w:ind w:firstLine="562"/>
        <w:rPr>
          <w:rFonts w:ascii="宋体" w:hAnsi="宋体"/>
          <w:b/>
          <w:sz w:val="28"/>
          <w:szCs w:val="28"/>
        </w:rPr>
      </w:pPr>
      <w:r>
        <w:rPr>
          <w:rFonts w:hint="eastAsia" w:ascii="宋体" w:hAnsi="宋体"/>
          <w:b/>
          <w:kern w:val="0"/>
          <w:sz w:val="28"/>
          <w:szCs w:val="28"/>
        </w:rPr>
        <w:t>说明：</w:t>
      </w:r>
      <w:r>
        <w:rPr>
          <w:rFonts w:ascii="宋体" w:hAnsi="宋体"/>
          <w:b/>
          <w:sz w:val="28"/>
          <w:szCs w:val="28"/>
        </w:rPr>
        <w:t xml:space="preserve"> </w:t>
      </w:r>
      <w:r>
        <w:rPr>
          <w:rFonts w:hint="eastAsia" w:ascii="宋体" w:hAnsi="宋体"/>
          <w:b/>
          <w:sz w:val="28"/>
          <w:szCs w:val="28"/>
        </w:rPr>
        <w:t>从业人员、营业收入、资产总额填报上一年度数据，无上一年度数据的新成立企业可不填报。</w:t>
      </w:r>
    </w:p>
    <w:p>
      <w:pPr>
        <w:pStyle w:val="80"/>
        <w:tabs>
          <w:tab w:val="left" w:pos="567"/>
          <w:tab w:val="left" w:pos="709"/>
          <w:tab w:val="left" w:pos="851"/>
        </w:tabs>
        <w:spacing w:before="60" w:line="360" w:lineRule="auto"/>
        <w:ind w:firstLine="562"/>
        <w:rPr>
          <w:rFonts w:ascii="宋体" w:hAnsi="宋体"/>
          <w:b/>
          <w:sz w:val="28"/>
          <w:szCs w:val="28"/>
        </w:rPr>
      </w:pPr>
    </w:p>
    <w:p>
      <w:pPr>
        <w:pStyle w:val="80"/>
        <w:tabs>
          <w:tab w:val="left" w:pos="567"/>
          <w:tab w:val="left" w:pos="709"/>
          <w:tab w:val="left" w:pos="851"/>
        </w:tabs>
        <w:spacing w:before="60" w:line="360" w:lineRule="auto"/>
        <w:ind w:firstLine="562"/>
        <w:rPr>
          <w:rFonts w:ascii="宋体" w:hAnsi="宋体"/>
          <w:b/>
          <w:sz w:val="28"/>
          <w:szCs w:val="28"/>
        </w:rPr>
      </w:pPr>
    </w:p>
    <w:p>
      <w:pPr>
        <w:pStyle w:val="5"/>
        <w:numPr>
          <w:ilvl w:val="2"/>
          <w:numId w:val="5"/>
        </w:numPr>
        <w:spacing w:after="200" w:line="240" w:lineRule="auto"/>
        <w:ind w:left="851"/>
        <w:rPr>
          <w:color w:val="auto"/>
        </w:rPr>
      </w:pPr>
      <w:r>
        <w:rPr>
          <w:rFonts w:hint="eastAsia"/>
          <w:color w:val="auto"/>
        </w:rPr>
        <w:t>残疾人福利性单位声明函</w:t>
      </w:r>
    </w:p>
    <w:p>
      <w:pPr>
        <w:spacing w:line="500" w:lineRule="exact"/>
        <w:jc w:val="center"/>
        <w:rPr>
          <w:rFonts w:ascii="宋体" w:hAnsi="宋体"/>
          <w:b/>
          <w:spacing w:val="6"/>
          <w:sz w:val="28"/>
          <w:szCs w:val="28"/>
        </w:rPr>
      </w:pPr>
      <w:r>
        <w:rPr>
          <w:rFonts w:hint="eastAsia" w:ascii="宋体" w:hAnsi="宋体"/>
          <w:b/>
          <w:spacing w:val="6"/>
          <w:sz w:val="28"/>
          <w:szCs w:val="28"/>
        </w:rPr>
        <w:t>残疾人福利性单位声明函</w:t>
      </w:r>
    </w:p>
    <w:p>
      <w:pPr>
        <w:spacing w:line="440" w:lineRule="exact"/>
        <w:rPr>
          <w:rFonts w:ascii="仿宋_GB2312" w:eastAsia="仿宋_GB2312"/>
          <w:b/>
          <w:spacing w:val="6"/>
          <w:sz w:val="30"/>
          <w:szCs w:val="30"/>
        </w:rPr>
      </w:pP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lang w:eastAsia="zh-CN"/>
        </w:rPr>
        <w:t>彭州市第四人民医院(彭州市精神卫生中心）</w:t>
      </w:r>
      <w:r>
        <w:rPr>
          <w:rFonts w:hint="eastAsia" w:ascii="宋体" w:hAnsi="宋体"/>
          <w:spacing w:val="6"/>
          <w:sz w:val="28"/>
          <w:szCs w:val="28"/>
        </w:rPr>
        <w:t>单位的</w:t>
      </w:r>
      <w:r>
        <w:rPr>
          <w:rFonts w:hint="eastAsia" w:ascii="宋体" w:hAnsi="宋体"/>
          <w:b/>
          <w:sz w:val="28"/>
          <w:szCs w:val="28"/>
          <w:u w:val="single"/>
          <w:lang w:eastAsia="zh-CN"/>
        </w:rPr>
        <w:t>彭州市第四人民医院(彭州市精神卫生中心）2021年物业管理服务项目（</w:t>
      </w:r>
      <w:r>
        <w:rPr>
          <w:rFonts w:hint="eastAsia" w:ascii="宋体" w:hAnsi="宋体"/>
          <w:b/>
          <w:sz w:val="28"/>
          <w:szCs w:val="28"/>
          <w:u w:val="single"/>
          <w:lang w:val="en-US" w:eastAsia="zh-CN"/>
        </w:rPr>
        <w:t>第三次</w:t>
      </w:r>
      <w:r>
        <w:rPr>
          <w:rFonts w:hint="eastAsia" w:ascii="宋体" w:hAnsi="宋体"/>
          <w:b/>
          <w:sz w:val="28"/>
          <w:szCs w:val="28"/>
          <w:u w:val="single"/>
          <w:lang w:eastAsia="zh-CN"/>
        </w:rPr>
        <w:t>）</w:t>
      </w:r>
      <w:r>
        <w:rPr>
          <w:rFonts w:hint="eastAsia" w:ascii="宋体" w:hAnsi="宋体"/>
          <w:b/>
          <w:sz w:val="28"/>
          <w:szCs w:val="28"/>
          <w:u w:val="single"/>
        </w:rPr>
        <w:t>（</w:t>
      </w:r>
      <w:r>
        <w:rPr>
          <w:rFonts w:hint="eastAsia" w:ascii="宋体" w:hAnsi="宋体" w:cs="宋体"/>
          <w:b/>
          <w:kern w:val="0"/>
          <w:sz w:val="28"/>
          <w:szCs w:val="28"/>
          <w:u w:val="single"/>
          <w:lang w:val="en-US" w:eastAsia="zh-CN"/>
        </w:rPr>
        <w:t>彭州市政采（2021）A0034号-2</w:t>
      </w:r>
      <w:r>
        <w:rPr>
          <w:rFonts w:hint="eastAsia" w:ascii="宋体" w:hAnsi="宋体"/>
          <w:b/>
          <w:sz w:val="28"/>
          <w:szCs w:val="28"/>
          <w:u w:val="single"/>
        </w:rPr>
        <w:t>）</w:t>
      </w:r>
      <w:r>
        <w:rPr>
          <w:rFonts w:hint="eastAsia" w:ascii="宋体" w:hAnsi="宋体"/>
          <w:spacing w:val="6"/>
          <w:sz w:val="28"/>
          <w:szCs w:val="28"/>
        </w:rPr>
        <w:t>采购活动由本单位提供服务。</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w:t>
      </w:r>
      <w:r>
        <w:rPr>
          <w:rFonts w:ascii="宋体" w:hAnsi="宋体"/>
          <w:spacing w:val="6"/>
          <w:sz w:val="28"/>
          <w:szCs w:val="28"/>
        </w:rPr>
        <w:t xml:space="preserve">  </w:t>
      </w:r>
      <w:r>
        <w:rPr>
          <w:rFonts w:hint="eastAsia" w:ascii="宋体" w:hAnsi="宋体"/>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pPr>
        <w:ind w:firstLine="563"/>
        <w:rPr>
          <w:rFonts w:ascii="宋体" w:hAnsi="宋体"/>
          <w:b/>
          <w:kern w:val="0"/>
          <w:sz w:val="28"/>
          <w:szCs w:val="28"/>
        </w:rPr>
      </w:pPr>
    </w:p>
    <w:p>
      <w:pPr>
        <w:tabs>
          <w:tab w:val="left" w:pos="1260"/>
        </w:tabs>
        <w:spacing w:line="560" w:lineRule="exact"/>
        <w:ind w:firstLine="420" w:firstLineChars="200"/>
        <w:rPr>
          <w:rFonts w:ascii="宋体" w:hAnsi="宋体"/>
          <w:szCs w:val="28"/>
        </w:rPr>
      </w:pPr>
    </w:p>
    <w:p>
      <w:pPr>
        <w:tabs>
          <w:tab w:val="left" w:pos="1260"/>
        </w:tabs>
        <w:spacing w:line="560" w:lineRule="exact"/>
        <w:ind w:firstLine="420" w:firstLineChars="200"/>
        <w:rPr>
          <w:rFonts w:ascii="宋体" w:hAnsi="宋体"/>
          <w:szCs w:val="28"/>
        </w:rPr>
      </w:pPr>
    </w:p>
    <w:p/>
    <w:p/>
    <w:p/>
    <w:p>
      <w:pPr>
        <w:tabs>
          <w:tab w:val="left" w:pos="3969"/>
        </w:tabs>
        <w:spacing w:line="588" w:lineRule="exact"/>
        <w:ind w:right="-58"/>
        <w:rPr>
          <w:rFonts w:ascii="宋体" w:hAnsi="宋体"/>
          <w:bCs/>
          <w:sz w:val="28"/>
          <w:u w:val="single"/>
        </w:rPr>
      </w:pPr>
    </w:p>
    <w:p>
      <w:pPr>
        <w:widowControl/>
        <w:jc w:val="left"/>
        <w:rPr>
          <w:rFonts w:ascii="宋体" w:hAnsi="宋体"/>
          <w:b/>
          <w:bCs/>
          <w:sz w:val="28"/>
          <w:szCs w:val="28"/>
        </w:rPr>
      </w:pPr>
      <w:r>
        <w:rPr>
          <w:rFonts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ind w:firstLine="560" w:firstLineChars="200"/>
        <w:rPr>
          <w:rFonts w:ascii="宋体" w:hAnsi="宋体"/>
          <w:sz w:val="28"/>
          <w:szCs w:val="28"/>
        </w:rPr>
      </w:pPr>
      <w:r>
        <w:rPr>
          <w:rFonts w:hint="eastAsia" w:ascii="宋体" w:hAnsi="宋体"/>
          <w:sz w:val="28"/>
          <w:szCs w:val="28"/>
        </w:rPr>
        <w:t>投标人按招标文件要求，应提供以下相关资格证明材料：</w:t>
      </w:r>
    </w:p>
    <w:p>
      <w:pPr>
        <w:ind w:firstLine="560" w:firstLineChars="200"/>
        <w:rPr>
          <w:color w:val="FF0000"/>
          <w:sz w:val="28"/>
          <w:szCs w:val="28"/>
        </w:rPr>
      </w:pP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一</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Theme="minorEastAsia" w:cstheme="minorBidi"/>
          <w:kern w:val="0"/>
          <w:sz w:val="28"/>
          <w:szCs w:val="28"/>
        </w:rPr>
      </w:pPr>
      <w:r>
        <w:rPr>
          <w:rFonts w:hint="eastAsia" w:ascii="宋体" w:hAnsi="宋体" w:eastAsiaTheme="minorEastAsia" w:cstheme="minorBidi"/>
          <w:kern w:val="0"/>
          <w:sz w:val="28"/>
          <w:szCs w:val="28"/>
        </w:rPr>
        <w:t>二</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营业执照复印件（正本或副本）或法人证书复印件（正本或副本）或其他能够证明供应商具有独立承担民事责任能力的相关证明材料复印件；</w:t>
      </w:r>
      <w:r>
        <w:rPr>
          <w:rFonts w:ascii="宋体" w:hAnsi="宋体" w:eastAsiaTheme="minorEastAsia" w:cstheme="minorBidi"/>
          <w:kern w:val="0"/>
          <w:sz w:val="28"/>
          <w:szCs w:val="28"/>
        </w:rPr>
        <w:t xml:space="preserve"> </w:t>
      </w:r>
    </w:p>
    <w:p>
      <w:pPr>
        <w:spacing w:line="360" w:lineRule="auto"/>
        <w:ind w:firstLine="560" w:firstLineChars="200"/>
        <w:rPr>
          <w:rFonts w:ascii="宋体" w:hAnsi="宋体" w:eastAsiaTheme="minorEastAsia" w:cstheme="minorBidi"/>
          <w:kern w:val="0"/>
          <w:sz w:val="28"/>
          <w:szCs w:val="28"/>
        </w:rPr>
      </w:pPr>
      <w:r>
        <w:rPr>
          <w:rFonts w:hint="eastAsia" w:ascii="宋体" w:hAnsi="宋体" w:eastAsiaTheme="minorEastAsia" w:cstheme="minorBidi"/>
          <w:kern w:val="0"/>
          <w:sz w:val="28"/>
          <w:szCs w:val="28"/>
        </w:rPr>
        <w:t>三</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采购人对投标人履行合同所必</w:t>
      </w:r>
      <w:r>
        <w:rPr>
          <w:rFonts w:hint="eastAsia" w:ascii="宋体" w:hAnsi="宋体" w:eastAsiaTheme="minorEastAsia" w:cstheme="minorBidi"/>
          <w:kern w:val="0"/>
          <w:sz w:val="28"/>
          <w:szCs w:val="28"/>
          <w:lang w:val="en-US" w:eastAsia="zh-CN"/>
        </w:rPr>
        <w:t>需</w:t>
      </w:r>
      <w:r>
        <w:rPr>
          <w:rFonts w:hint="eastAsia" w:ascii="宋体" w:hAnsi="宋体" w:eastAsiaTheme="minorEastAsia" w:cstheme="minorBidi"/>
          <w:kern w:val="0"/>
          <w:sz w:val="28"/>
          <w:szCs w:val="28"/>
        </w:rPr>
        <w:t>的设备和专业技术能力无其他特殊要求，投标人可不提供证明材料；</w:t>
      </w:r>
    </w:p>
    <w:p>
      <w:pPr>
        <w:spacing w:line="360" w:lineRule="auto"/>
        <w:ind w:firstLine="560" w:firstLineChars="200"/>
        <w:rPr>
          <w:rFonts w:ascii="宋体" w:hAnsi="宋体" w:eastAsiaTheme="minorEastAsia" w:cstheme="minorBidi"/>
          <w:kern w:val="0"/>
          <w:sz w:val="28"/>
          <w:szCs w:val="28"/>
        </w:rPr>
      </w:pPr>
      <w:r>
        <w:rPr>
          <w:rFonts w:hint="eastAsia" w:ascii="宋体" w:hAnsi="宋体" w:eastAsiaTheme="minorEastAsia" w:cstheme="minorBidi"/>
          <w:kern w:val="0"/>
          <w:sz w:val="28"/>
          <w:szCs w:val="28"/>
        </w:rPr>
        <w:t>四</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采购人对法律、行政法规规定的其他条件无其他特殊要求，投标人可不提供证明材料。</w:t>
      </w:r>
    </w:p>
    <w:p>
      <w:pPr>
        <w:spacing w:line="360" w:lineRule="auto"/>
        <w:ind w:firstLine="560" w:firstLineChars="200"/>
        <w:rPr>
          <w:sz w:val="28"/>
          <w:szCs w:val="28"/>
        </w:rPr>
      </w:pPr>
    </w:p>
    <w:p>
      <w:pPr>
        <w:spacing w:line="360" w:lineRule="auto"/>
        <w:ind w:firstLine="560" w:firstLineChars="200"/>
        <w:rPr>
          <w:sz w:val="28"/>
          <w:szCs w:val="28"/>
        </w:rPr>
      </w:pPr>
    </w:p>
    <w:p>
      <w:pPr>
        <w:tabs>
          <w:tab w:val="left" w:pos="3969"/>
        </w:tabs>
        <w:spacing w:line="588" w:lineRule="exact"/>
        <w:ind w:right="-58"/>
        <w:rPr>
          <w:rFonts w:ascii="宋体" w:hAnsi="宋体"/>
          <w:bCs/>
          <w:sz w:val="28"/>
          <w:u w:val="single"/>
        </w:rPr>
      </w:pPr>
    </w:p>
    <w:p>
      <w:pPr>
        <w:widowControl/>
        <w:jc w:val="left"/>
        <w:rPr>
          <w:rFonts w:ascii="宋体" w:hAnsi="宋体"/>
          <w:b/>
          <w:bCs/>
          <w:sz w:val="28"/>
          <w:szCs w:val="28"/>
        </w:rPr>
      </w:pPr>
      <w:r>
        <w:rPr>
          <w:rFonts w:ascii="宋体" w:hAnsi="宋体"/>
          <w:b/>
          <w:bCs/>
          <w:sz w:val="28"/>
          <w:szCs w:val="28"/>
        </w:rPr>
        <w:br w:type="page"/>
      </w:r>
    </w:p>
    <w:p>
      <w:pPr>
        <w:keepNext/>
        <w:keepLines/>
        <w:numPr>
          <w:ilvl w:val="1"/>
          <w:numId w:val="5"/>
        </w:numPr>
        <w:spacing w:line="360" w:lineRule="auto"/>
        <w:jc w:val="left"/>
        <w:outlineLvl w:val="1"/>
        <w:rPr>
          <w:rFonts w:ascii="宋体" w:hAnsi="宋体"/>
          <w:b/>
          <w:bCs/>
          <w:sz w:val="28"/>
          <w:szCs w:val="28"/>
        </w:rPr>
      </w:pPr>
      <w:bookmarkStart w:id="131" w:name="_Toc26197"/>
      <w:r>
        <w:rPr>
          <w:rFonts w:hint="eastAsia" w:ascii="宋体" w:hAnsi="宋体"/>
          <w:b/>
          <w:bCs/>
          <w:sz w:val="28"/>
          <w:szCs w:val="28"/>
        </w:rPr>
        <w:t>商务技术响应文件</w:t>
      </w:r>
      <w:bookmarkEnd w:id="131"/>
    </w:p>
    <w:p>
      <w:pPr>
        <w:keepNext/>
        <w:keepLines/>
        <w:numPr>
          <w:ilvl w:val="2"/>
          <w:numId w:val="5"/>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lang w:val="en-US" w:eastAsia="zh-CN"/>
        </w:rPr>
        <w:t>彭州</w:t>
      </w:r>
      <w:r>
        <w:rPr>
          <w:rFonts w:hint="eastAsia" w:ascii="宋体" w:hAnsi="宋体"/>
          <w:bCs/>
          <w:sz w:val="28"/>
          <w:szCs w:val="28"/>
        </w:rPr>
        <w:t>市公共资源交易服务中心：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彭州市第四人民医院(彭州市精神卫生中心）2021年物业管理服务项目（</w:t>
      </w:r>
      <w:r>
        <w:rPr>
          <w:rFonts w:hint="eastAsia" w:ascii="宋体" w:hAnsi="宋体"/>
          <w:b/>
          <w:sz w:val="28"/>
          <w:szCs w:val="28"/>
          <w:u w:val="single"/>
          <w:lang w:val="en-US" w:eastAsia="zh-CN"/>
        </w:rPr>
        <w:t>第三次</w:t>
      </w:r>
      <w:r>
        <w:rPr>
          <w:rFonts w:hint="eastAsia" w:ascii="宋体" w:hAnsi="宋体"/>
          <w:b/>
          <w:sz w:val="28"/>
          <w:szCs w:val="28"/>
          <w:u w:val="single"/>
          <w:lang w:eastAsia="zh-CN"/>
        </w:rPr>
        <w:t>）</w:t>
      </w:r>
      <w:r>
        <w:rPr>
          <w:rFonts w:hint="eastAsia" w:ascii="宋体" w:hAnsi="宋体"/>
          <w:b/>
          <w:bCs/>
          <w:sz w:val="28"/>
          <w:szCs w:val="28"/>
          <w:u w:val="single"/>
        </w:rPr>
        <w:t>（项目编号：</w:t>
      </w:r>
      <w:r>
        <w:rPr>
          <w:rFonts w:hint="eastAsia" w:ascii="宋体" w:hAnsi="宋体"/>
          <w:b/>
          <w:bCs/>
          <w:sz w:val="28"/>
          <w:szCs w:val="28"/>
          <w:u w:val="single"/>
          <w:lang w:val="en-US" w:eastAsia="zh-CN"/>
        </w:rPr>
        <w:t>彭州市政采（2021）A0034号-2</w:t>
      </w:r>
      <w:r>
        <w:rPr>
          <w:rFonts w:hint="eastAsia" w:ascii="宋体" w:hAnsi="宋体"/>
          <w:b/>
          <w:bCs/>
          <w:sz w:val="28"/>
          <w:szCs w:val="28"/>
          <w:u w:val="single"/>
        </w:rPr>
        <w:t>）</w:t>
      </w:r>
      <w:r>
        <w:rPr>
          <w:rFonts w:hint="eastAsia" w:ascii="宋体" w:hAnsi="宋体"/>
          <w:bCs/>
          <w:sz w:val="28"/>
          <w:szCs w:val="28"/>
        </w:rPr>
        <w:t>招标文件，决定参加贵单位组织的本项目投标。</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1"/>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ind w:left="283" w:leftChars="135" w:firstLine="700" w:firstLineChars="250"/>
        <w:rPr>
          <w:rFonts w:ascii="宋体" w:hAnsi="宋体"/>
          <w:sz w:val="28"/>
          <w:szCs w:val="28"/>
          <w:u w:val="single"/>
        </w:rPr>
      </w:pPr>
    </w:p>
    <w:p>
      <w:pPr>
        <w:tabs>
          <w:tab w:val="left" w:pos="630"/>
          <w:tab w:val="left" w:pos="7560"/>
        </w:tabs>
        <w:spacing w:line="360" w:lineRule="auto"/>
        <w:rPr>
          <w:rFonts w:ascii="宋体" w:hAnsi="宋体"/>
          <w:sz w:val="28"/>
          <w:szCs w:val="28"/>
        </w:rPr>
      </w:pPr>
      <w:bookmarkStart w:id="132" w:name="_Toc240367172"/>
      <w:bookmarkStart w:id="133" w:name="_Toc239849853"/>
      <w:bookmarkStart w:id="134" w:name="_Toc231030275"/>
      <w:bookmarkStart w:id="135" w:name="_Toc239846734"/>
      <w:bookmarkStart w:id="136" w:name="_Toc229802674"/>
      <w:bookmarkStart w:id="137" w:name="_Toc314574804"/>
      <w:bookmarkStart w:id="138" w:name="_Toc237145395"/>
      <w:bookmarkStart w:id="139" w:name="_Toc265494342"/>
      <w:bookmarkStart w:id="140" w:name="_Toc240865266"/>
    </w:p>
    <w:p>
      <w:pPr>
        <w:pStyle w:val="2"/>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法定代表人或主要负责人身份证明书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lang w:val="zh-CN"/>
        </w:rPr>
        <w:t>。</w:t>
      </w:r>
    </w:p>
    <w:p>
      <w:pPr>
        <w:tabs>
          <w:tab w:val="left" w:pos="6300"/>
        </w:tabs>
        <w:spacing w:line="360" w:lineRule="auto"/>
        <w:ind w:firstLine="573"/>
        <w:rPr>
          <w:rFonts w:ascii="宋体" w:hAnsi="宋体"/>
          <w:sz w:val="28"/>
          <w:lang w:val="zh-CN"/>
        </w:rPr>
      </w:pPr>
      <w:bookmarkStart w:id="141" w:name="_Toc263768866"/>
      <w:r>
        <w:rPr>
          <w:rFonts w:hint="eastAsia" w:ascii="宋体" w:hAnsi="宋体"/>
          <w:sz w:val="28"/>
          <w:lang w:val="zh-CN"/>
        </w:rPr>
        <w:t>特此证明。</w:t>
      </w:r>
      <w:bookmarkEnd w:id="141"/>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p>
    <w:p>
      <w:pPr>
        <w:spacing w:after="180" w:line="300" w:lineRule="auto"/>
        <w:rPr>
          <w:rFonts w:ascii="宋体" w:hAnsi="宋体"/>
          <w:b/>
          <w:sz w:val="28"/>
          <w:szCs w:val="28"/>
        </w:rPr>
      </w:pPr>
    </w:p>
    <w:bookmarkEnd w:id="132"/>
    <w:bookmarkEnd w:id="133"/>
    <w:bookmarkEnd w:id="134"/>
    <w:bookmarkEnd w:id="135"/>
    <w:bookmarkEnd w:id="136"/>
    <w:bookmarkEnd w:id="137"/>
    <w:bookmarkEnd w:id="138"/>
    <w:bookmarkEnd w:id="139"/>
    <w:bookmarkEnd w:id="140"/>
    <w:p>
      <w:pPr>
        <w:pStyle w:val="5"/>
        <w:numPr>
          <w:ilvl w:val="2"/>
          <w:numId w:val="5"/>
        </w:numPr>
        <w:spacing w:after="200" w:line="240" w:lineRule="auto"/>
        <w:ind w:left="851"/>
        <w:rPr>
          <w:color w:val="auto"/>
        </w:rPr>
      </w:pPr>
      <w:bookmarkStart w:id="142" w:name="_Toc315871054"/>
      <w:bookmarkEnd w:id="142"/>
      <w:bookmarkStart w:id="143" w:name="_Toc316475719"/>
      <w:r>
        <w:rPr>
          <w:rFonts w:hint="eastAsia"/>
          <w:color w:val="auto"/>
        </w:rPr>
        <w:t>服务方案及服务承诺</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sz w:val="28"/>
          <w:szCs w:val="28"/>
          <w:u w:val="single"/>
          <w:lang w:eastAsia="zh-CN"/>
        </w:rPr>
        <w:t>彭州市第四人民医院(彭州市精神卫生中心）2021年物业管理服务项目（</w:t>
      </w:r>
      <w:r>
        <w:rPr>
          <w:rFonts w:hint="eastAsia" w:ascii="宋体" w:hAnsi="宋体"/>
          <w:b/>
          <w:sz w:val="28"/>
          <w:szCs w:val="28"/>
          <w:u w:val="single"/>
          <w:lang w:val="en-US" w:eastAsia="zh-CN"/>
        </w:rPr>
        <w:t>第三次</w:t>
      </w:r>
      <w:r>
        <w:rPr>
          <w:rFonts w:hint="eastAsia" w:ascii="宋体" w:hAnsi="宋体"/>
          <w:b/>
          <w:sz w:val="28"/>
          <w:szCs w:val="28"/>
          <w:u w:val="single"/>
          <w:lang w:eastAsia="zh-CN"/>
        </w:rPr>
        <w:t>）</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lang w:val="en-US" w:eastAsia="zh-CN"/>
        </w:rPr>
        <w:t>彭州市政采（2021）A0034号-2</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footerReference r:id="rId3" w:type="default"/>
          <w:pgSz w:w="11906" w:h="16838"/>
          <w:pgMar w:top="1440" w:right="1800" w:bottom="1440" w:left="1800" w:header="851" w:footer="992" w:gutter="0"/>
          <w:cols w:space="720" w:num="1"/>
        </w:sectPr>
      </w:pPr>
    </w:p>
    <w:p>
      <w:pPr>
        <w:keepNext/>
        <w:keepLines/>
        <w:numPr>
          <w:ilvl w:val="2"/>
          <w:numId w:val="5"/>
        </w:numPr>
        <w:spacing w:line="360" w:lineRule="auto"/>
        <w:ind w:hanging="3260"/>
        <w:outlineLvl w:val="2"/>
        <w:rPr>
          <w:rFonts w:ascii="宋体" w:hAnsi="宋体"/>
          <w:b/>
          <w:sz w:val="28"/>
          <w:szCs w:val="28"/>
        </w:rPr>
      </w:pPr>
      <w:r>
        <w:rPr>
          <w:rFonts w:hint="eastAsia" w:ascii="宋体" w:hAnsi="宋体"/>
          <w:b/>
          <w:sz w:val="28"/>
          <w:szCs w:val="28"/>
        </w:rPr>
        <w:t>承诺函</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sz w:val="28"/>
          <w:szCs w:val="28"/>
          <w:u w:val="single"/>
          <w:lang w:eastAsia="zh-CN"/>
        </w:rPr>
        <w:t>彭州市第四人民医院(彭州市精神卫生中心）2021年物业管理服务项目（</w:t>
      </w:r>
      <w:r>
        <w:rPr>
          <w:rFonts w:hint="eastAsia" w:ascii="宋体" w:hAnsi="宋体"/>
          <w:b/>
          <w:sz w:val="28"/>
          <w:szCs w:val="28"/>
          <w:u w:val="single"/>
          <w:lang w:val="en-US" w:eastAsia="zh-CN"/>
        </w:rPr>
        <w:t>第三次</w:t>
      </w:r>
      <w:r>
        <w:rPr>
          <w:rFonts w:hint="eastAsia" w:ascii="宋体" w:hAnsi="宋体"/>
          <w:b/>
          <w:sz w:val="28"/>
          <w:szCs w:val="28"/>
          <w:u w:val="single"/>
          <w:lang w:eastAsia="zh-CN"/>
        </w:rPr>
        <w:t>）</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lang w:val="en-US" w:eastAsia="zh-CN"/>
        </w:rPr>
        <w:t>彭州市政采（2021）A0034号-2</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ind w:firstLine="562" w:firstLineChars="200"/>
        <w:rPr>
          <w:rFonts w:ascii="宋体" w:hAnsi="宋体"/>
          <w:sz w:val="28"/>
        </w:rPr>
      </w:pPr>
      <w:r>
        <w:rPr>
          <w:rFonts w:hint="eastAsia" w:ascii="宋体" w:hAnsi="宋体"/>
          <w:b/>
          <w:sz w:val="28"/>
          <w:szCs w:val="28"/>
        </w:rPr>
        <w:t>一、</w:t>
      </w:r>
      <w:r>
        <w:rPr>
          <w:rFonts w:hint="eastAsia" w:ascii="宋体" w:hAnsi="宋体"/>
          <w:sz w:val="28"/>
        </w:rPr>
        <w:t>供应商为本项目提供的所有服务符合现行的国家相关强制性标准、行业标准。</w:t>
      </w:r>
    </w:p>
    <w:p>
      <w:pPr>
        <w:ind w:firstLine="560" w:firstLineChars="200"/>
        <w:rPr>
          <w:rFonts w:ascii="宋体" w:hAnsi="宋体"/>
          <w:sz w:val="28"/>
        </w:rPr>
      </w:pPr>
      <w:r>
        <w:rPr>
          <w:rFonts w:hint="eastAsia" w:ascii="宋体" w:hAnsi="宋体"/>
          <w:sz w:val="28"/>
        </w:rPr>
        <w:t>二、本项目涉及产品采购且属于政府强制采购节能产品清单中的产品，投标人提供的该产品须具有国家确定的认证机构出具的节能产品认证证书。</w:t>
      </w:r>
    </w:p>
    <w:p>
      <w:pPr>
        <w:ind w:firstLine="560" w:firstLineChars="200"/>
        <w:rPr>
          <w:rFonts w:ascii="宋体" w:hAnsi="宋体"/>
          <w:sz w:val="28"/>
        </w:rPr>
      </w:pPr>
      <w:r>
        <w:rPr>
          <w:rFonts w:hint="eastAsia" w:ascii="宋体" w:hAnsi="宋体"/>
          <w:sz w:val="28"/>
        </w:rPr>
        <w:t>三、参加本次采购活动，我方完全同意公开招标文件第二章关于 “投标</w:t>
      </w:r>
      <w:r>
        <w:rPr>
          <w:rFonts w:ascii="宋体" w:hAnsi="宋体"/>
          <w:sz w:val="28"/>
        </w:rPr>
        <w:t>费用</w:t>
      </w:r>
      <w:r>
        <w:rPr>
          <w:rFonts w:hint="eastAsia" w:ascii="宋体" w:hAnsi="宋体"/>
          <w:sz w:val="28"/>
        </w:rPr>
        <w:t>”、“知识产权”、“合同分包和</w:t>
      </w:r>
      <w:r>
        <w:rPr>
          <w:rFonts w:ascii="宋体" w:hAnsi="宋体"/>
          <w:sz w:val="28"/>
        </w:rPr>
        <w:t>转包</w:t>
      </w:r>
      <w:r>
        <w:rPr>
          <w:rFonts w:hint="eastAsia" w:ascii="宋体" w:hAnsi="宋体"/>
          <w:sz w:val="28"/>
        </w:rPr>
        <w:t>”、“履约保证金”等实质性要求，并承诺严格按照公开招标文件要求履行。</w:t>
      </w:r>
    </w:p>
    <w:p>
      <w:pPr>
        <w:ind w:firstLine="560" w:firstLineChars="200"/>
        <w:rPr>
          <w:rFonts w:hint="eastAsia" w:ascii="宋体" w:hAnsi="宋体"/>
          <w:sz w:val="28"/>
        </w:rPr>
      </w:pPr>
      <w:r>
        <w:rPr>
          <w:rFonts w:hint="eastAsia" w:ascii="宋体" w:hAnsi="宋体"/>
          <w:sz w:val="28"/>
        </w:rPr>
        <w:t>我方对上述承诺的内容事项真实性负责。如经查实上述承诺的内容事项存在虚假，我方愿意接受以提供虚假材料谋取成交的法律责任。</w:t>
      </w:r>
    </w:p>
    <w:p>
      <w:pPr>
        <w:ind w:firstLine="560" w:firstLineChars="200"/>
      </w:pPr>
      <w:r>
        <w:rPr>
          <w:rFonts w:hint="eastAsia" w:ascii="宋体" w:hAnsi="宋体"/>
          <w:sz w:val="28"/>
          <w:szCs w:val="28"/>
        </w:rPr>
        <w:t>特此承诺。</w:t>
      </w:r>
    </w:p>
    <w:p>
      <w:pPr>
        <w:pStyle w:val="2"/>
      </w:pPr>
    </w:p>
    <w:p>
      <w:pPr>
        <w:pStyle w:val="2"/>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ind w:firstLine="560" w:firstLineChars="200"/>
        <w:rPr>
          <w:rFonts w:ascii="宋体" w:hAnsi="宋体"/>
          <w:sz w:val="28"/>
        </w:rPr>
        <w:sectPr>
          <w:pgSz w:w="11906" w:h="16838"/>
          <w:pgMar w:top="1134" w:right="1274" w:bottom="1440" w:left="1418" w:header="851" w:footer="992" w:gutter="0"/>
          <w:cols w:space="720" w:num="1"/>
          <w:docGrid w:type="lines" w:linePitch="312" w:charSpace="0"/>
        </w:sectPr>
      </w:pPr>
    </w:p>
    <w:p>
      <w:pPr>
        <w:keepNext/>
        <w:keepLines/>
        <w:numPr>
          <w:ilvl w:val="1"/>
          <w:numId w:val="5"/>
        </w:numPr>
        <w:spacing w:before="260" w:after="260" w:line="360" w:lineRule="auto"/>
        <w:jc w:val="left"/>
        <w:outlineLvl w:val="1"/>
        <w:rPr>
          <w:rFonts w:ascii="宋体" w:hAnsi="宋体"/>
          <w:b/>
          <w:sz w:val="28"/>
        </w:rPr>
      </w:pPr>
      <w:bookmarkStart w:id="144" w:name="_Toc14789"/>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144"/>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tabs>
          <w:tab w:val="left" w:pos="1134"/>
        </w:tabs>
        <w:spacing w:line="560" w:lineRule="exact"/>
        <w:ind w:firstLine="427" w:firstLineChars="152"/>
        <w:rPr>
          <w:rFonts w:ascii="宋体" w:hAnsi="宋体"/>
          <w:b/>
          <w:bCs/>
          <w:sz w:val="28"/>
          <w:szCs w:val="28"/>
        </w:rPr>
      </w:pPr>
      <w:r>
        <w:rPr>
          <w:rFonts w:hint="eastAsia" w:ascii="宋体" w:hAnsi="宋体"/>
          <w:b/>
          <w:bCs/>
          <w:sz w:val="28"/>
          <w:szCs w:val="28"/>
        </w:rPr>
        <w:t xml:space="preserve">标项1： </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7" w:firstLineChars="152"/>
        <w:rPr>
          <w:rFonts w:ascii="宋体" w:hAnsi="宋体"/>
          <w:b/>
          <w:sz w:val="28"/>
          <w:szCs w:val="28"/>
        </w:rPr>
      </w:pPr>
      <w:r>
        <w:rPr>
          <w:rFonts w:hint="eastAsia" w:ascii="宋体" w:hAnsi="宋体"/>
          <w:b/>
          <w:sz w:val="28"/>
          <w:szCs w:val="28"/>
        </w:rPr>
        <w:t>投标报价以投标人在政府采购云平台开标一览表中填写的报价为准。</w:t>
      </w:r>
    </w:p>
    <w:p>
      <w:pPr>
        <w:pStyle w:val="2"/>
      </w:pPr>
    </w:p>
    <w:p>
      <w:pPr>
        <w:pStyle w:val="2"/>
      </w:pPr>
    </w:p>
    <w:p>
      <w:pPr>
        <w:pStyle w:val="2"/>
      </w:pPr>
    </w:p>
    <w:p>
      <w:pPr>
        <w:pStyle w:val="2"/>
      </w:pPr>
    </w:p>
    <w:p>
      <w:pPr>
        <w:pStyle w:val="2"/>
      </w:pPr>
    </w:p>
    <w:p>
      <w:pPr>
        <w:pStyle w:val="2"/>
      </w:pPr>
    </w:p>
    <w:p>
      <w:pPr>
        <w:pStyle w:val="2"/>
      </w:pPr>
    </w:p>
    <w:p>
      <w:pPr>
        <w:pStyle w:val="2"/>
      </w:pPr>
    </w:p>
    <w:p>
      <w:pPr>
        <w:pStyle w:val="13"/>
        <w:spacing w:after="0" w:line="240" w:lineRule="auto"/>
        <w:ind w:firstLine="0"/>
        <w:rPr>
          <w:rFonts w:ascii="宋体" w:hAnsi="宋体"/>
          <w:b/>
          <w:sz w:val="28"/>
        </w:rPr>
      </w:pPr>
    </w:p>
    <w:bookmarkEnd w:id="143"/>
    <w:p>
      <w:pPr>
        <w:keepNext/>
        <w:keepLines/>
        <w:numPr>
          <w:ilvl w:val="0"/>
          <w:numId w:val="5"/>
        </w:numPr>
        <w:spacing w:line="360" w:lineRule="auto"/>
        <w:ind w:left="0" w:firstLine="0"/>
        <w:jc w:val="center"/>
        <w:outlineLvl w:val="0"/>
        <w:rPr>
          <w:rFonts w:ascii="宋体" w:hAnsi="宋体"/>
          <w:b/>
          <w:bCs/>
          <w:color w:val="auto"/>
          <w:spacing w:val="-20"/>
          <w:kern w:val="44"/>
          <w:sz w:val="32"/>
          <w:szCs w:val="32"/>
        </w:rPr>
      </w:pPr>
      <w:bookmarkStart w:id="145" w:name="_Toc217446093"/>
      <w:bookmarkStart w:id="146" w:name="_Toc15117"/>
      <w:bookmarkStart w:id="147" w:name="_Toc321382057"/>
      <w:bookmarkStart w:id="148" w:name="_Toc316292231"/>
      <w:r>
        <w:rPr>
          <w:rFonts w:hint="eastAsia" w:ascii="宋体" w:hAnsi="宋体"/>
          <w:b/>
          <w:bCs/>
          <w:color w:val="auto"/>
          <w:spacing w:val="-20"/>
          <w:kern w:val="44"/>
          <w:sz w:val="32"/>
          <w:szCs w:val="32"/>
        </w:rPr>
        <w:t>招标项目技术、服务、商务及其他要求</w:t>
      </w:r>
      <w:bookmarkEnd w:id="145"/>
      <w:bookmarkEnd w:id="146"/>
    </w:p>
    <w:p>
      <w:pPr>
        <w:rPr>
          <w:color w:val="FF0000"/>
        </w:rPr>
      </w:pPr>
      <w:bookmarkStart w:id="149" w:name="_Toc513796936"/>
      <w:bookmarkStart w:id="150" w:name="_Toc529173741"/>
      <w:bookmarkStart w:id="151" w:name="_Toc533672602"/>
    </w:p>
    <w:bookmarkEnd w:id="149"/>
    <w:p>
      <w:pPr>
        <w:pStyle w:val="5"/>
        <w:numPr>
          <w:ilvl w:val="2"/>
          <w:numId w:val="32"/>
        </w:numPr>
        <w:tabs>
          <w:tab w:val="left" w:pos="426"/>
          <w:tab w:val="left" w:pos="567"/>
        </w:tabs>
        <w:spacing w:after="200"/>
        <w:ind w:hanging="3260"/>
        <w:rPr>
          <w:color w:val="auto"/>
        </w:rPr>
      </w:pPr>
      <w:r>
        <w:rPr>
          <w:rFonts w:hint="eastAsia" w:ascii="黑体" w:hAnsi="黑体" w:eastAsia="黑体"/>
          <w:sz w:val="32"/>
          <w:szCs w:val="32"/>
        </w:rPr>
        <w:t>项目概况</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项目名称：彭州市第四人民医院（彭州市精神卫生中心）采购物业管理服务项目</w:t>
      </w:r>
      <w:r>
        <w:rPr>
          <w:rFonts w:hint="eastAsia" w:ascii="仿宋_GB2312" w:eastAsia="仿宋_GB2312"/>
          <w:sz w:val="32"/>
          <w:szCs w:val="32"/>
          <w:lang w:eastAsia="zh-CN"/>
        </w:rPr>
        <w:t>（</w:t>
      </w:r>
      <w:r>
        <w:rPr>
          <w:rFonts w:hint="eastAsia" w:ascii="仿宋_GB2312" w:eastAsia="仿宋_GB2312"/>
          <w:sz w:val="32"/>
          <w:szCs w:val="32"/>
          <w:lang w:val="en-US" w:eastAsia="zh-CN"/>
        </w:rPr>
        <w:t>第三次</w:t>
      </w:r>
      <w:r>
        <w:rPr>
          <w:rFonts w:hint="eastAsia" w:ascii="仿宋_GB2312" w:eastAsia="仿宋_GB2312"/>
          <w:sz w:val="32"/>
          <w:szCs w:val="32"/>
          <w:lang w:eastAsia="zh-CN"/>
        </w:rPr>
        <w:t>）</w:t>
      </w:r>
      <w:r>
        <w:rPr>
          <w:rFonts w:hint="eastAsia" w:ascii="仿宋_GB2312" w:eastAsia="仿宋_GB2312"/>
          <w:sz w:val="32"/>
          <w:szCs w:val="32"/>
        </w:rPr>
        <w:t>。</w:t>
      </w:r>
    </w:p>
    <w:p>
      <w:pPr>
        <w:spacing w:line="590" w:lineRule="exact"/>
        <w:ind w:firstLine="640" w:firstLineChars="200"/>
      </w:pPr>
      <w:r>
        <w:rPr>
          <w:rFonts w:hint="eastAsia" w:ascii="仿宋_GB2312" w:eastAsia="仿宋_GB2312"/>
          <w:sz w:val="32"/>
          <w:szCs w:val="32"/>
        </w:rPr>
        <w:t>预算金额（最高限价）：34.98万元。</w:t>
      </w:r>
    </w:p>
    <w:p>
      <w:pPr>
        <w:pStyle w:val="5"/>
        <w:numPr>
          <w:ilvl w:val="2"/>
          <w:numId w:val="32"/>
        </w:numPr>
        <w:tabs>
          <w:tab w:val="left" w:pos="426"/>
          <w:tab w:val="left" w:pos="567"/>
        </w:tabs>
        <w:spacing w:after="200"/>
        <w:ind w:hanging="3260"/>
        <w:rPr>
          <w:rFonts w:hint="eastAsia" w:ascii="黑体" w:hAnsi="黑体" w:eastAsia="黑体"/>
          <w:sz w:val="32"/>
          <w:szCs w:val="32"/>
        </w:rPr>
      </w:pPr>
      <w:r>
        <w:rPr>
          <w:rFonts w:hint="eastAsia" w:ascii="黑体" w:hAnsi="黑体" w:eastAsia="黑体"/>
          <w:sz w:val="32"/>
          <w:szCs w:val="32"/>
        </w:rPr>
        <w:t>商务要求</w:t>
      </w:r>
    </w:p>
    <w:p>
      <w:pPr>
        <w:spacing w:line="520" w:lineRule="exact"/>
        <w:ind w:firstLine="640" w:firstLineChars="200"/>
        <w:rPr>
          <w:rFonts w:ascii="仿宋_GB2312" w:hAnsi="宋体" w:eastAsia="仿宋_GB2312"/>
          <w:sz w:val="32"/>
          <w:szCs w:val="32"/>
        </w:rPr>
      </w:pPr>
      <w:r>
        <w:rPr>
          <w:rFonts w:hint="eastAsia" w:ascii="仿宋_GB2312" w:hAnsi="宋体" w:eastAsia="仿宋_GB2312"/>
          <w:sz w:val="32"/>
          <w:szCs w:val="32"/>
        </w:rPr>
        <w:t>服务期限：服务期限一年。</w:t>
      </w:r>
    </w:p>
    <w:p>
      <w:pPr>
        <w:spacing w:line="520" w:lineRule="exact"/>
        <w:ind w:firstLine="640" w:firstLineChars="200"/>
        <w:rPr>
          <w:rFonts w:ascii="仿宋_GB2312" w:hAnsi="宋体" w:eastAsia="仿宋_GB2312"/>
          <w:sz w:val="32"/>
          <w:szCs w:val="32"/>
        </w:rPr>
      </w:pPr>
      <w:r>
        <w:rPr>
          <w:rFonts w:hint="eastAsia" w:ascii="仿宋_GB2312" w:hAnsi="宋体" w:eastAsia="仿宋_GB2312"/>
          <w:sz w:val="32"/>
          <w:szCs w:val="32"/>
        </w:rPr>
        <w:t>服务地点:</w:t>
      </w:r>
      <w:r>
        <w:rPr>
          <w:rFonts w:hint="eastAsia" w:ascii="仿宋_GB2312" w:eastAsia="仿宋_GB2312"/>
          <w:sz w:val="32"/>
          <w:szCs w:val="32"/>
        </w:rPr>
        <w:t xml:space="preserve"> </w:t>
      </w:r>
      <w:r>
        <w:rPr>
          <w:rFonts w:hint="eastAsia" w:ascii="仿宋_GB2312" w:hAnsi="宋体" w:eastAsia="仿宋_GB2312"/>
          <w:sz w:val="32"/>
          <w:szCs w:val="32"/>
        </w:rPr>
        <w:t>彭州市九尺镇天鹅村</w:t>
      </w:r>
      <w:r>
        <w:rPr>
          <w:rFonts w:ascii="仿宋_GB2312" w:hAnsi="宋体" w:eastAsia="仿宋_GB2312"/>
          <w:sz w:val="32"/>
          <w:szCs w:val="32"/>
        </w:rPr>
        <w:t>355</w:t>
      </w:r>
      <w:r>
        <w:rPr>
          <w:rFonts w:hint="eastAsia" w:ascii="仿宋_GB2312" w:hAnsi="宋体" w:eastAsia="仿宋_GB2312"/>
          <w:sz w:val="32"/>
          <w:szCs w:val="32"/>
        </w:rPr>
        <w:t>号彭州市第四人民医院内。</w:t>
      </w:r>
    </w:p>
    <w:p>
      <w:pPr>
        <w:spacing w:line="520" w:lineRule="exact"/>
        <w:ind w:firstLine="640" w:firstLineChars="200"/>
        <w:rPr>
          <w:rFonts w:ascii="仿宋_GB2312" w:hAnsi="宋体" w:eastAsia="仿宋_GB2312"/>
          <w:sz w:val="32"/>
          <w:szCs w:val="32"/>
        </w:rPr>
      </w:pPr>
      <w:r>
        <w:rPr>
          <w:rFonts w:hint="eastAsia" w:ascii="仿宋_GB2312" w:hAnsi="宋体" w:eastAsia="仿宋_GB2312"/>
          <w:sz w:val="32"/>
          <w:szCs w:val="32"/>
        </w:rPr>
        <w:t>进场服务时间：以中标后签订合同约定时间为准。</w:t>
      </w:r>
    </w:p>
    <w:p>
      <w:pPr>
        <w:pStyle w:val="2"/>
        <w:ind w:firstLine="640" w:firstLineChars="200"/>
        <w:rPr>
          <w:rFonts w:ascii="仿宋_GB2312" w:eastAsia="仿宋_GB2312"/>
          <w:color w:val="auto"/>
          <w:sz w:val="32"/>
          <w:szCs w:val="32"/>
        </w:rPr>
      </w:pPr>
      <w:r>
        <w:rPr>
          <w:rFonts w:hint="eastAsia" w:ascii="仿宋_GB2312" w:hAnsi="宋体" w:eastAsia="仿宋_GB2312"/>
          <w:bCs/>
          <w:color w:val="auto"/>
          <w:sz w:val="32"/>
          <w:szCs w:val="32"/>
        </w:rPr>
        <w:t>付款方法和条件：按月支付服务费，次月支付上月服务费。</w:t>
      </w:r>
    </w:p>
    <w:p>
      <w:pPr>
        <w:pStyle w:val="5"/>
        <w:numPr>
          <w:ilvl w:val="2"/>
          <w:numId w:val="32"/>
        </w:numPr>
        <w:tabs>
          <w:tab w:val="left" w:pos="426"/>
          <w:tab w:val="left" w:pos="567"/>
        </w:tabs>
        <w:spacing w:after="200"/>
        <w:ind w:hanging="3260"/>
        <w:rPr>
          <w:rFonts w:hint="eastAsia" w:ascii="黑体" w:hAnsi="黑体" w:eastAsia="黑体"/>
          <w:sz w:val="32"/>
          <w:szCs w:val="32"/>
        </w:rPr>
      </w:pPr>
      <w:r>
        <w:rPr>
          <w:rFonts w:hint="eastAsia" w:ascii="黑体" w:hAnsi="黑体" w:eastAsia="黑体"/>
          <w:sz w:val="32"/>
          <w:szCs w:val="32"/>
        </w:rPr>
        <w:t>秩序服务内容及标准</w:t>
      </w:r>
    </w:p>
    <w:p>
      <w:pPr>
        <w:spacing w:line="590" w:lineRule="exact"/>
        <w:ind w:firstLine="321" w:firstLineChars="100"/>
        <w:rPr>
          <w:rFonts w:ascii="仿宋_GB2312" w:eastAsia="仿宋_GB2312"/>
          <w:b/>
          <w:sz w:val="32"/>
          <w:szCs w:val="32"/>
        </w:rPr>
      </w:pPr>
      <w:r>
        <w:rPr>
          <w:rFonts w:hint="eastAsia" w:ascii="仿宋_GB2312" w:eastAsia="仿宋_GB2312"/>
          <w:b/>
          <w:sz w:val="32"/>
          <w:szCs w:val="32"/>
        </w:rPr>
        <w:t>1、常规防范：</w:t>
      </w:r>
    </w:p>
    <w:p>
      <w:pPr>
        <w:spacing w:line="590" w:lineRule="exact"/>
        <w:rPr>
          <w:rFonts w:ascii="仿宋_GB2312" w:eastAsia="仿宋_GB2312"/>
          <w:sz w:val="32"/>
          <w:szCs w:val="32"/>
        </w:rPr>
      </w:pPr>
      <w:r>
        <w:rPr>
          <w:rFonts w:hint="eastAsia" w:ascii="仿宋_GB2312" w:eastAsia="仿宋_GB2312"/>
          <w:sz w:val="32"/>
          <w:szCs w:val="32"/>
        </w:rPr>
        <w:t>（1）门岗的任务：</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外来人员登记，控制无关人员进入所维护区域；询查出入人员、车辆所携带的物品，防止物品丢失及危险品进入所维护区域，维护服务区域内的治安秩序：</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a)车辆秩序工作：对车辆进行管理，防止区域内停放的车辆遭受破坏、盗窃及未经许可乱停乱放；调节和疏导人、车流量，防止所辖区域秩序混乱和交通堵塞；</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b)负责维持门岗人员、车辆的进出秩序和本区域的公共秩序，注重礼仪礼貌；</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c)负责对进入区域的外来人员进行登记，对可疑人员、精神不正常人员等进行盘查、劝离或监控；</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d)负责检查进出车辆有无携带违禁物品、维持交通秩序、做好进出车辆登记；</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e)依法处理本区域内发生的纠纷，及时报告班长及现场相关负责人，并负责现场秩序的维护；</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f)负责对本辖区内的邮件、报刊等的收发；</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g)负责值班区域内的公共设施、设备安全，及时发现和制止不良行为，对造成影响、损失的当事者，应及时报班长及相关负责人处理；</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h)突发事件的处理：随时发现、处理突发事件，控制现场，防止事态恶化，并按应急事件处理程序执行；</w:t>
      </w:r>
    </w:p>
    <w:p>
      <w:pPr>
        <w:spacing w:line="590" w:lineRule="exact"/>
        <w:rPr>
          <w:rFonts w:ascii="仿宋_GB2312" w:eastAsia="仿宋_GB2312"/>
          <w:sz w:val="32"/>
          <w:szCs w:val="32"/>
        </w:rPr>
      </w:pPr>
      <w:r>
        <w:rPr>
          <w:rFonts w:hint="eastAsia" w:ascii="仿宋_GB2312" w:eastAsia="仿宋_GB2312"/>
          <w:sz w:val="32"/>
          <w:szCs w:val="32"/>
        </w:rPr>
        <w:t>（2）巡逻岗的任务：</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a)负责制定巡逻路线图，巡逻人员对公共区域进行巡逻检查，所有巡逻点位每小时巡视一次并做好巡逻记录，巡逻期间发现不安全隐患或不符合规定的情况及时制止和劝阻，并向当日值班人员反映检查中发现的问题；</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b)劝离夜间无故滞留在巡逻区内的人员，对巡逻时发现的可疑人员，应及时盘查、劝离或监控，并将情况报告当班班长；</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c)按规定程序处置突发事件；</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d)协助其他岗位人员做好安全秩序维护工作。</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e)管理人员随时对值班人员巡逻工作情况进行抽查，每月对所有巡逻记录进行存档；</w:t>
      </w:r>
    </w:p>
    <w:p>
      <w:pPr>
        <w:spacing w:line="590" w:lineRule="exact"/>
        <w:rPr>
          <w:rFonts w:ascii="仿宋_GB2312" w:eastAsia="仿宋_GB2312"/>
          <w:sz w:val="32"/>
          <w:szCs w:val="32"/>
        </w:rPr>
      </w:pPr>
      <w:r>
        <w:rPr>
          <w:rFonts w:hint="eastAsia" w:ascii="仿宋_GB2312" w:eastAsia="仿宋_GB2312"/>
          <w:sz w:val="32"/>
          <w:szCs w:val="32"/>
        </w:rPr>
        <w:t>（3）礼仪接待服务：</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a)负责维持本岗位区域内人员、车辆的进出秩序和本区域的公共秩序，注重礼节礼貌；</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b)大门岗设为站岗，对外来办事车辆及内部车辆进行指引并要求统一停放；</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c)负责接待及活动的形象展示及礼节礼貌工作；</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d)协助其他岗位人员做好安全秩序维护工作。</w:t>
      </w:r>
    </w:p>
    <w:p>
      <w:pPr>
        <w:spacing w:line="590" w:lineRule="exact"/>
        <w:rPr>
          <w:rFonts w:ascii="仿宋_GB2312" w:eastAsia="仿宋_GB2312"/>
          <w:sz w:val="32"/>
          <w:szCs w:val="32"/>
        </w:rPr>
      </w:pPr>
      <w:r>
        <w:rPr>
          <w:rFonts w:hint="eastAsia" w:ascii="仿宋_GB2312" w:eastAsia="仿宋_GB2312"/>
          <w:sz w:val="32"/>
          <w:szCs w:val="32"/>
        </w:rPr>
        <w:t>（4）人员配置要求</w:t>
      </w:r>
    </w:p>
    <w:tbl>
      <w:tblPr>
        <w:tblStyle w:val="43"/>
        <w:tblW w:w="8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276"/>
        <w:gridCol w:w="5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590" w:lineRule="exact"/>
              <w:jc w:val="center"/>
              <w:rPr>
                <w:rFonts w:ascii="仿宋_GB2312" w:eastAsia="仿宋_GB2312"/>
                <w:sz w:val="32"/>
                <w:szCs w:val="32"/>
              </w:rPr>
            </w:pPr>
            <w:r>
              <w:rPr>
                <w:rFonts w:hint="eastAsia" w:ascii="仿宋_GB2312" w:eastAsia="仿宋_GB2312"/>
                <w:sz w:val="32"/>
                <w:szCs w:val="32"/>
              </w:rPr>
              <w:t>岗位类别</w:t>
            </w:r>
          </w:p>
        </w:tc>
        <w:tc>
          <w:tcPr>
            <w:tcW w:w="1276" w:type="dxa"/>
          </w:tcPr>
          <w:p>
            <w:pPr>
              <w:spacing w:line="590" w:lineRule="exact"/>
              <w:jc w:val="center"/>
              <w:rPr>
                <w:rFonts w:ascii="仿宋_GB2312" w:eastAsia="仿宋_GB2312"/>
                <w:sz w:val="32"/>
                <w:szCs w:val="32"/>
              </w:rPr>
            </w:pPr>
            <w:r>
              <w:rPr>
                <w:rFonts w:hint="eastAsia" w:ascii="仿宋_GB2312" w:eastAsia="仿宋_GB2312"/>
                <w:sz w:val="32"/>
                <w:szCs w:val="32"/>
              </w:rPr>
              <w:t>数量</w:t>
            </w:r>
          </w:p>
        </w:tc>
        <w:tc>
          <w:tcPr>
            <w:tcW w:w="5380" w:type="dxa"/>
          </w:tcPr>
          <w:p>
            <w:pPr>
              <w:spacing w:line="590" w:lineRule="exact"/>
              <w:jc w:val="center"/>
              <w:rPr>
                <w:rFonts w:ascii="仿宋_GB2312" w:eastAsia="仿宋_GB2312"/>
                <w:sz w:val="32"/>
                <w:szCs w:val="32"/>
              </w:rPr>
            </w:pPr>
            <w:r>
              <w:rPr>
                <w:rFonts w:hint="eastAsia" w:ascii="仿宋_GB2312" w:eastAsia="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590" w:lineRule="exact"/>
              <w:jc w:val="center"/>
              <w:rPr>
                <w:rFonts w:ascii="仿宋_GB2312" w:eastAsia="仿宋_GB2312"/>
                <w:sz w:val="32"/>
                <w:szCs w:val="32"/>
              </w:rPr>
            </w:pPr>
            <w:r>
              <w:rPr>
                <w:rFonts w:hint="eastAsia" w:ascii="仿宋_GB2312" w:eastAsia="仿宋_GB2312"/>
                <w:sz w:val="32"/>
                <w:szCs w:val="32"/>
              </w:rPr>
              <w:t>项目负责人</w:t>
            </w:r>
          </w:p>
        </w:tc>
        <w:tc>
          <w:tcPr>
            <w:tcW w:w="1276" w:type="dxa"/>
          </w:tcPr>
          <w:p>
            <w:pPr>
              <w:spacing w:line="590" w:lineRule="exact"/>
              <w:jc w:val="center"/>
              <w:rPr>
                <w:rFonts w:ascii="仿宋_GB2312" w:eastAsia="仿宋_GB2312"/>
                <w:sz w:val="32"/>
                <w:szCs w:val="32"/>
              </w:rPr>
            </w:pPr>
            <w:r>
              <w:rPr>
                <w:rFonts w:hint="eastAsia" w:ascii="仿宋_GB2312" w:eastAsia="仿宋_GB2312"/>
                <w:sz w:val="32"/>
                <w:szCs w:val="32"/>
              </w:rPr>
              <w:t>1人</w:t>
            </w:r>
          </w:p>
        </w:tc>
        <w:tc>
          <w:tcPr>
            <w:tcW w:w="5380" w:type="dxa"/>
          </w:tcPr>
          <w:p>
            <w:pPr>
              <w:spacing w:line="590" w:lineRule="exact"/>
              <w:jc w:val="left"/>
              <w:rPr>
                <w:rFonts w:ascii="仿宋_GB2312" w:eastAsia="仿宋_GB2312"/>
                <w:sz w:val="32"/>
                <w:szCs w:val="32"/>
              </w:rPr>
            </w:pPr>
            <w:r>
              <w:rPr>
                <w:rFonts w:hint="eastAsia" w:ascii="仿宋_GB2312" w:eastAsia="仿宋_GB2312"/>
                <w:sz w:val="32"/>
                <w:szCs w:val="32"/>
              </w:rPr>
              <w:t>负责日常事务的管理以及和甲方对接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590" w:lineRule="exact"/>
              <w:jc w:val="center"/>
              <w:rPr>
                <w:rFonts w:ascii="仿宋_GB2312" w:eastAsia="仿宋_GB2312"/>
                <w:sz w:val="32"/>
                <w:szCs w:val="32"/>
              </w:rPr>
            </w:pPr>
            <w:r>
              <w:rPr>
                <w:rFonts w:hint="eastAsia" w:ascii="仿宋_GB2312" w:eastAsia="仿宋_GB2312"/>
                <w:sz w:val="32"/>
                <w:szCs w:val="32"/>
              </w:rPr>
              <w:t>队长</w:t>
            </w:r>
          </w:p>
        </w:tc>
        <w:tc>
          <w:tcPr>
            <w:tcW w:w="1276" w:type="dxa"/>
          </w:tcPr>
          <w:p>
            <w:pPr>
              <w:spacing w:line="590" w:lineRule="exact"/>
              <w:jc w:val="center"/>
              <w:rPr>
                <w:rFonts w:ascii="仿宋_GB2312" w:eastAsia="仿宋_GB2312"/>
                <w:sz w:val="32"/>
                <w:szCs w:val="32"/>
              </w:rPr>
            </w:pPr>
            <w:r>
              <w:rPr>
                <w:rFonts w:hint="eastAsia" w:ascii="仿宋_GB2312" w:eastAsia="仿宋_GB2312"/>
                <w:sz w:val="32"/>
                <w:szCs w:val="32"/>
              </w:rPr>
              <w:t>1人</w:t>
            </w:r>
          </w:p>
        </w:tc>
        <w:tc>
          <w:tcPr>
            <w:tcW w:w="5380" w:type="dxa"/>
          </w:tcPr>
          <w:p>
            <w:pPr>
              <w:spacing w:line="590" w:lineRule="exact"/>
              <w:jc w:val="left"/>
              <w:rPr>
                <w:rFonts w:ascii="仿宋_GB2312" w:eastAsia="仿宋_GB2312"/>
                <w:sz w:val="32"/>
                <w:szCs w:val="32"/>
              </w:rPr>
            </w:pPr>
            <w:r>
              <w:rPr>
                <w:rFonts w:hint="eastAsia" w:ascii="仿宋_GB2312" w:eastAsia="仿宋_GB2312"/>
                <w:sz w:val="32"/>
                <w:szCs w:val="32"/>
              </w:rPr>
              <w:t>负责岗位执行督促，人员培训等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590" w:lineRule="exact"/>
              <w:jc w:val="center"/>
              <w:rPr>
                <w:rFonts w:ascii="仿宋_GB2312" w:eastAsia="仿宋_GB2312"/>
                <w:sz w:val="32"/>
                <w:szCs w:val="32"/>
              </w:rPr>
            </w:pPr>
            <w:r>
              <w:rPr>
                <w:rFonts w:hint="eastAsia" w:ascii="仿宋_GB2312" w:eastAsia="仿宋_GB2312"/>
                <w:sz w:val="32"/>
                <w:szCs w:val="32"/>
              </w:rPr>
              <w:t>队员</w:t>
            </w:r>
          </w:p>
        </w:tc>
        <w:tc>
          <w:tcPr>
            <w:tcW w:w="1276" w:type="dxa"/>
          </w:tcPr>
          <w:p>
            <w:pPr>
              <w:spacing w:line="590" w:lineRule="exact"/>
              <w:jc w:val="center"/>
              <w:rPr>
                <w:rFonts w:ascii="仿宋_GB2312" w:eastAsia="仿宋_GB2312"/>
                <w:sz w:val="32"/>
                <w:szCs w:val="32"/>
              </w:rPr>
            </w:pPr>
            <w:r>
              <w:rPr>
                <w:rFonts w:hint="eastAsia" w:ascii="仿宋_GB2312" w:eastAsia="仿宋_GB2312"/>
                <w:sz w:val="32"/>
                <w:szCs w:val="32"/>
              </w:rPr>
              <w:t>3人</w:t>
            </w:r>
          </w:p>
        </w:tc>
        <w:tc>
          <w:tcPr>
            <w:tcW w:w="5380" w:type="dxa"/>
          </w:tcPr>
          <w:p>
            <w:pPr>
              <w:spacing w:line="590" w:lineRule="exact"/>
              <w:jc w:val="left"/>
              <w:rPr>
                <w:rFonts w:ascii="仿宋_GB2312" w:eastAsia="仿宋_GB2312"/>
                <w:sz w:val="32"/>
                <w:szCs w:val="32"/>
              </w:rPr>
            </w:pPr>
            <w:r>
              <w:rPr>
                <w:rFonts w:hint="eastAsia" w:ascii="仿宋_GB2312" w:eastAsia="仿宋_GB2312"/>
                <w:sz w:val="32"/>
                <w:szCs w:val="32"/>
              </w:rPr>
              <w:t>负责门岗、园区巡逻、消防巡视等日常工作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590" w:lineRule="exact"/>
              <w:jc w:val="center"/>
              <w:rPr>
                <w:rFonts w:ascii="仿宋_GB2312" w:eastAsia="仿宋_GB2312"/>
                <w:sz w:val="32"/>
                <w:szCs w:val="32"/>
              </w:rPr>
            </w:pPr>
            <w:r>
              <w:rPr>
                <w:rFonts w:hint="eastAsia" w:ascii="仿宋_GB2312" w:eastAsia="仿宋_GB2312"/>
                <w:sz w:val="32"/>
                <w:szCs w:val="32"/>
              </w:rPr>
              <w:t>共计</w:t>
            </w:r>
          </w:p>
        </w:tc>
        <w:tc>
          <w:tcPr>
            <w:tcW w:w="6656" w:type="dxa"/>
            <w:gridSpan w:val="2"/>
          </w:tcPr>
          <w:p>
            <w:pPr>
              <w:spacing w:line="590" w:lineRule="exact"/>
              <w:jc w:val="center"/>
              <w:rPr>
                <w:rFonts w:ascii="仿宋_GB2312" w:eastAsia="仿宋_GB2312"/>
                <w:sz w:val="32"/>
                <w:szCs w:val="32"/>
              </w:rPr>
            </w:pPr>
            <w:r>
              <w:rPr>
                <w:rFonts w:hint="eastAsia" w:ascii="仿宋_GB2312" w:eastAsia="仿宋_GB2312"/>
                <w:sz w:val="32"/>
                <w:szCs w:val="32"/>
              </w:rPr>
              <w:t>5人</w:t>
            </w:r>
          </w:p>
        </w:tc>
      </w:tr>
    </w:tbl>
    <w:p>
      <w:pPr>
        <w:spacing w:line="590" w:lineRule="exact"/>
        <w:rPr>
          <w:rFonts w:ascii="仿宋_GB2312" w:eastAsia="仿宋_GB2312"/>
          <w:sz w:val="32"/>
          <w:szCs w:val="32"/>
        </w:rPr>
      </w:pPr>
      <w:r>
        <w:rPr>
          <w:rFonts w:hint="eastAsia" w:ascii="仿宋_GB2312" w:eastAsia="仿宋_GB2312"/>
          <w:sz w:val="32"/>
          <w:szCs w:val="32"/>
        </w:rPr>
        <w:t>（5）管理措施：</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a）实行半军事化管理，制定保安管理和奖惩制度，严格付诸实施，以增强保安人员的工作责任心；</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b）强化保安人员的内务管理，开展系统化军事素质培训，提高保安人员的思想素质和业务技能；制定《紧急事故处理办法》，定期组织针对性培训；</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c）加强保安人员的行为规范教育，服装统一，佩证上岗，语言文明，举止得当；</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d）严格执行保安巡更点到制度，确保巡逻质量；</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e）保证值勤记录详细完备，建立安全管理档案。</w:t>
      </w:r>
    </w:p>
    <w:p>
      <w:pPr>
        <w:spacing w:line="590" w:lineRule="exact"/>
        <w:rPr>
          <w:rFonts w:ascii="仿宋_GB2312" w:eastAsia="仿宋_GB2312"/>
          <w:sz w:val="32"/>
          <w:szCs w:val="32"/>
        </w:rPr>
      </w:pPr>
      <w:r>
        <w:rPr>
          <w:rFonts w:hint="eastAsia" w:ascii="仿宋_GB2312" w:eastAsia="仿宋_GB2312"/>
          <w:sz w:val="32"/>
          <w:szCs w:val="32"/>
        </w:rPr>
        <w:t>2、人员培训</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人员培训作为基础工作决定着是否高质量的完成，进驻人员需安排培训、考核计划。</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观念培训：服务观、质量观、效率观。</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管理培训：员工激励、法律法规、成本核算、质量体系、突发事件处理、管理理论。</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岗位技术培训：基本技能、办公自动化管理、消防及治安管理。</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基础培训：行为规范、员工守则、职业道德教育、管理制度、岗位职责等。</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培训效果：通过业务考核和业绩评估检验培训效果。</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培训计划：要有详细的培训计划，保障培训效果。</w:t>
      </w:r>
    </w:p>
    <w:p>
      <w:pPr>
        <w:spacing w:line="590" w:lineRule="exact"/>
        <w:rPr>
          <w:rFonts w:ascii="仿宋_GB2312" w:eastAsia="仿宋_GB2312"/>
          <w:sz w:val="32"/>
          <w:szCs w:val="32"/>
        </w:rPr>
      </w:pPr>
      <w:r>
        <w:rPr>
          <w:rFonts w:hint="eastAsia" w:ascii="仿宋_GB2312" w:eastAsia="仿宋_GB2312"/>
          <w:sz w:val="32"/>
          <w:szCs w:val="32"/>
        </w:rPr>
        <w:t>3.消防管理</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消防管理是秩序维护工作安全管理的重点，因此要根据消防法规的要求，结合实际，切切实实地做好消防安全工作，确保业主的生命财产安全。</w:t>
      </w:r>
    </w:p>
    <w:p>
      <w:pPr>
        <w:spacing w:line="590" w:lineRule="exact"/>
        <w:rPr>
          <w:rFonts w:ascii="仿宋_GB2312" w:eastAsia="仿宋_GB2312"/>
          <w:sz w:val="32"/>
          <w:szCs w:val="32"/>
        </w:rPr>
      </w:pPr>
      <w:r>
        <w:rPr>
          <w:rFonts w:hint="eastAsia" w:ascii="仿宋_GB2312" w:eastAsia="仿宋_GB2312"/>
          <w:sz w:val="32"/>
          <w:szCs w:val="32"/>
        </w:rPr>
        <w:t>(1)管理内容：</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消防工作：定期巡查消防设施设备、器材的完好及运行状况，保证消防通道的畅通。 防火巡查由安保部门统一组织实施，由消防安全人员进行巡查，各消防安全重点部位每日至少巡查一遍。</w:t>
      </w:r>
    </w:p>
    <w:p>
      <w:pPr>
        <w:spacing w:line="590" w:lineRule="exact"/>
        <w:rPr>
          <w:rFonts w:ascii="仿宋_GB2312" w:eastAsia="仿宋_GB2312"/>
          <w:sz w:val="32"/>
          <w:szCs w:val="32"/>
        </w:rPr>
      </w:pPr>
      <w:r>
        <w:rPr>
          <w:rFonts w:hint="eastAsia" w:ascii="仿宋_GB2312" w:eastAsia="仿宋_GB2312"/>
          <w:sz w:val="32"/>
          <w:szCs w:val="32"/>
        </w:rPr>
        <w:t>(2)巡查的内容包括：</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1)用火、用电有无违章；</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2)疏散通道、安全出口和消防通道是否畅通，防火间距是否被占用；</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3)常闭式防火门是否处于关闭状态、防火卷帘下是否堆放物品等情况；</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4)消防安全重点部位员工在岗在位情况；</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5)消火栓、灭火器等设施器材及消防安全标志是否完好；</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6)门窗上是否设置影响逃生和灭火救援的障碍物；</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7)其他消防安全情况。</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8) 防火巡查应当填写巡查记录，巡查人员及其主管人员应当在巡查记录上签名。防火巡查人员应当及时纠正违章行为，妥善处置火灾危险，无法当场处置的，应当立即报告。</w:t>
      </w:r>
    </w:p>
    <w:p>
      <w:pPr>
        <w:spacing w:line="590" w:lineRule="exact"/>
        <w:rPr>
          <w:rFonts w:ascii="仿宋_GB2312" w:eastAsia="仿宋_GB2312"/>
          <w:sz w:val="32"/>
          <w:szCs w:val="32"/>
        </w:rPr>
      </w:pPr>
      <w:r>
        <w:rPr>
          <w:rFonts w:hint="eastAsia" w:ascii="仿宋_GB2312" w:eastAsia="仿宋_GB2312"/>
          <w:sz w:val="32"/>
          <w:szCs w:val="32"/>
        </w:rPr>
        <w:t>(3)管理措施：</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1)全消防组织，明确消防责任；</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2)制定消防组织架构，加强消防意识教育；</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3)完善消防设施检查及维护；</w:t>
      </w:r>
    </w:p>
    <w:p>
      <w:pPr>
        <w:spacing w:line="590" w:lineRule="exact"/>
        <w:ind w:firstLine="320" w:firstLineChars="100"/>
        <w:rPr>
          <w:rFonts w:ascii="仿宋_GB2312" w:eastAsia="仿宋_GB2312"/>
          <w:sz w:val="32"/>
          <w:szCs w:val="32"/>
        </w:rPr>
      </w:pPr>
      <w:r>
        <w:rPr>
          <w:rFonts w:hint="eastAsia" w:ascii="仿宋_GB2312" w:eastAsia="仿宋_GB2312"/>
          <w:sz w:val="32"/>
          <w:szCs w:val="32"/>
        </w:rPr>
        <w:t>4)制订灭火应急方案，组织消防培训</w:t>
      </w:r>
    </w:p>
    <w:p>
      <w:pPr>
        <w:spacing w:line="590" w:lineRule="exact"/>
        <w:rPr>
          <w:rFonts w:ascii="仿宋_GB2312" w:eastAsia="仿宋_GB2312"/>
          <w:sz w:val="32"/>
          <w:szCs w:val="32"/>
        </w:rPr>
      </w:pPr>
      <w:r>
        <w:rPr>
          <w:rFonts w:hint="eastAsia" w:ascii="仿宋_GB2312" w:eastAsia="仿宋_GB2312"/>
          <w:sz w:val="32"/>
          <w:szCs w:val="32"/>
        </w:rPr>
        <w:t>4.应急事件处理</w:t>
      </w:r>
    </w:p>
    <w:p>
      <w:pPr>
        <w:spacing w:line="590" w:lineRule="exact"/>
        <w:rPr>
          <w:rFonts w:ascii="仿宋_GB2312" w:eastAsia="仿宋_GB2312"/>
          <w:sz w:val="32"/>
          <w:szCs w:val="32"/>
        </w:rPr>
      </w:pPr>
      <w:r>
        <w:rPr>
          <w:rFonts w:hint="eastAsia" w:ascii="仿宋_GB2312" w:eastAsia="仿宋_GB2312"/>
          <w:sz w:val="32"/>
          <w:szCs w:val="32"/>
        </w:rPr>
        <w:t>（1）发生突发事件的应急保障措施</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接到突发事件报告时紧急集结和出动,需要紧急出动时的大门交通保障和后勤保障,一旦发生灾发事件,立即启动预案,负责指挥车辆进出和有序停放,保障大门交通畅通,协助搬运紧急使用物资,根据甲方要求随时调配。</w:t>
      </w:r>
    </w:p>
    <w:p>
      <w:pPr>
        <w:spacing w:line="590" w:lineRule="exact"/>
        <w:rPr>
          <w:rFonts w:ascii="仿宋_GB2312" w:eastAsia="仿宋_GB2312"/>
          <w:sz w:val="32"/>
          <w:szCs w:val="32"/>
        </w:rPr>
      </w:pPr>
      <w:r>
        <w:rPr>
          <w:rFonts w:hint="eastAsia" w:ascii="仿宋_GB2312" w:eastAsia="仿宋_GB2312"/>
          <w:sz w:val="32"/>
          <w:szCs w:val="32"/>
        </w:rPr>
        <w:t>（2）治安事故应急预案</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为了确保群众的人身安全，在一旦发生突发事件和灾害事故时，使全体秩序维护人员在紧急情况下，充分利用现有工具和设施，迅速果断地处理各类事件，同犯罪行为、灾害事故作斗争，以确保财产和员工人身安全免受损害。</w:t>
      </w:r>
    </w:p>
    <w:p>
      <w:pPr>
        <w:spacing w:line="590" w:lineRule="exact"/>
        <w:rPr>
          <w:rFonts w:ascii="仿宋_GB2312" w:eastAsia="仿宋_GB2312"/>
          <w:sz w:val="32"/>
          <w:szCs w:val="32"/>
        </w:rPr>
      </w:pPr>
      <w:r>
        <w:rPr>
          <w:rFonts w:hint="eastAsia" w:ascii="仿宋_GB2312" w:eastAsia="仿宋_GB2312"/>
          <w:sz w:val="32"/>
          <w:szCs w:val="32"/>
        </w:rPr>
        <w:t>5.突发事件人员支援</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为了规范突发事件的应急处置工作，出现需紧急处理事件时，控制、减轻和消除事件引起的严重社会影响。保护公共财产安全，保障甲方安全稳定的工作、生活环境，当事件发生时我公司能在15分钟内提供充足的人力支援力量。</w:t>
      </w:r>
    </w:p>
    <w:p>
      <w:pPr>
        <w:spacing w:line="590" w:lineRule="exact"/>
        <w:rPr>
          <w:rFonts w:ascii="仿宋_GB2312" w:eastAsia="仿宋_GB2312"/>
          <w:sz w:val="32"/>
          <w:szCs w:val="32"/>
        </w:rPr>
      </w:pPr>
      <w:r>
        <w:rPr>
          <w:rFonts w:hint="eastAsia" w:ascii="仿宋_GB2312" w:eastAsia="仿宋_GB2312"/>
          <w:sz w:val="32"/>
          <w:szCs w:val="32"/>
        </w:rPr>
        <w:t>二、设施设备维修保养服务</w:t>
      </w:r>
    </w:p>
    <w:p>
      <w:pPr>
        <w:spacing w:line="590" w:lineRule="exact"/>
        <w:rPr>
          <w:rFonts w:ascii="仿宋_GB2312" w:eastAsia="仿宋_GB2312"/>
          <w:sz w:val="32"/>
          <w:szCs w:val="32"/>
        </w:rPr>
      </w:pPr>
      <w:r>
        <w:rPr>
          <w:rFonts w:hint="eastAsia" w:ascii="仿宋_GB2312" w:eastAsia="仿宋_GB2312"/>
          <w:sz w:val="32"/>
          <w:szCs w:val="32"/>
        </w:rPr>
        <w:t>1、人员配置要求</w:t>
      </w:r>
    </w:p>
    <w:tbl>
      <w:tblPr>
        <w:tblStyle w:val="43"/>
        <w:tblW w:w="9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2"/>
        <w:gridCol w:w="1701"/>
        <w:gridCol w:w="4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2" w:type="dxa"/>
          </w:tcPr>
          <w:p>
            <w:pPr>
              <w:spacing w:line="590" w:lineRule="exact"/>
              <w:jc w:val="center"/>
              <w:rPr>
                <w:rFonts w:ascii="仿宋_GB2312" w:eastAsia="仿宋_GB2312"/>
                <w:sz w:val="32"/>
                <w:szCs w:val="32"/>
              </w:rPr>
            </w:pPr>
            <w:r>
              <w:rPr>
                <w:rFonts w:hint="eastAsia" w:ascii="仿宋_GB2312" w:eastAsia="仿宋_GB2312"/>
                <w:sz w:val="32"/>
                <w:szCs w:val="32"/>
              </w:rPr>
              <w:t>岗位</w:t>
            </w:r>
          </w:p>
        </w:tc>
        <w:tc>
          <w:tcPr>
            <w:tcW w:w="1701" w:type="dxa"/>
          </w:tcPr>
          <w:p>
            <w:pPr>
              <w:spacing w:line="590" w:lineRule="exact"/>
              <w:jc w:val="center"/>
              <w:rPr>
                <w:rFonts w:ascii="仿宋_GB2312" w:eastAsia="仿宋_GB2312"/>
                <w:sz w:val="32"/>
                <w:szCs w:val="32"/>
              </w:rPr>
            </w:pPr>
            <w:r>
              <w:rPr>
                <w:rFonts w:hint="eastAsia" w:ascii="仿宋_GB2312" w:eastAsia="仿宋_GB2312"/>
                <w:sz w:val="32"/>
                <w:szCs w:val="32"/>
              </w:rPr>
              <w:t>人数</w:t>
            </w:r>
          </w:p>
        </w:tc>
        <w:tc>
          <w:tcPr>
            <w:tcW w:w="4771" w:type="dxa"/>
          </w:tcPr>
          <w:p>
            <w:pPr>
              <w:spacing w:line="590" w:lineRule="exact"/>
              <w:jc w:val="center"/>
              <w:rPr>
                <w:rFonts w:ascii="仿宋_GB2312" w:eastAsia="仿宋_GB2312"/>
                <w:sz w:val="32"/>
                <w:szCs w:val="32"/>
              </w:rPr>
            </w:pPr>
            <w:r>
              <w:rPr>
                <w:rFonts w:hint="eastAsia" w:ascii="仿宋_GB2312" w:eastAsia="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2" w:type="dxa"/>
          </w:tcPr>
          <w:p>
            <w:pPr>
              <w:spacing w:line="590" w:lineRule="exact"/>
              <w:jc w:val="center"/>
              <w:rPr>
                <w:rFonts w:ascii="仿宋_GB2312" w:eastAsia="仿宋_GB2312"/>
                <w:sz w:val="32"/>
                <w:szCs w:val="32"/>
              </w:rPr>
            </w:pPr>
            <w:r>
              <w:rPr>
                <w:rFonts w:hint="eastAsia" w:ascii="仿宋_GB2312" w:eastAsia="仿宋_GB2312"/>
                <w:sz w:val="32"/>
                <w:szCs w:val="32"/>
              </w:rPr>
              <w:t>设备维护员</w:t>
            </w:r>
          </w:p>
        </w:tc>
        <w:tc>
          <w:tcPr>
            <w:tcW w:w="1701" w:type="dxa"/>
          </w:tcPr>
          <w:p>
            <w:pPr>
              <w:spacing w:line="590" w:lineRule="exact"/>
              <w:jc w:val="center"/>
              <w:rPr>
                <w:rFonts w:ascii="仿宋_GB2312" w:eastAsia="仿宋_GB2312"/>
                <w:sz w:val="32"/>
                <w:szCs w:val="32"/>
              </w:rPr>
            </w:pPr>
            <w:r>
              <w:rPr>
                <w:rFonts w:hint="eastAsia" w:ascii="仿宋_GB2312" w:eastAsia="仿宋_GB2312"/>
                <w:sz w:val="32"/>
                <w:szCs w:val="32"/>
              </w:rPr>
              <w:t>2人</w:t>
            </w:r>
          </w:p>
        </w:tc>
        <w:tc>
          <w:tcPr>
            <w:tcW w:w="4771" w:type="dxa"/>
          </w:tcPr>
          <w:p>
            <w:pPr>
              <w:spacing w:line="590" w:lineRule="exact"/>
              <w:rPr>
                <w:rFonts w:ascii="仿宋_GB2312" w:eastAsia="仿宋_GB2312"/>
                <w:sz w:val="32"/>
                <w:szCs w:val="32"/>
              </w:rPr>
            </w:pPr>
            <w:r>
              <w:rPr>
                <w:rFonts w:hint="eastAsia" w:ascii="仿宋_GB2312" w:eastAsia="仿宋_GB2312"/>
                <w:sz w:val="32"/>
                <w:szCs w:val="32"/>
              </w:rPr>
              <w:t>内部设班长一名，自行换休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702" w:type="dxa"/>
          </w:tcPr>
          <w:p>
            <w:pPr>
              <w:spacing w:line="590" w:lineRule="exact"/>
              <w:jc w:val="center"/>
              <w:rPr>
                <w:rFonts w:ascii="仿宋_GB2312" w:eastAsia="仿宋_GB2312"/>
                <w:sz w:val="32"/>
                <w:szCs w:val="32"/>
              </w:rPr>
            </w:pPr>
            <w:r>
              <w:rPr>
                <w:rFonts w:hint="eastAsia" w:ascii="仿宋_GB2312" w:eastAsia="仿宋_GB2312"/>
                <w:sz w:val="32"/>
                <w:szCs w:val="32"/>
              </w:rPr>
              <w:t>合计</w:t>
            </w:r>
          </w:p>
        </w:tc>
        <w:tc>
          <w:tcPr>
            <w:tcW w:w="1701" w:type="dxa"/>
          </w:tcPr>
          <w:p>
            <w:pPr>
              <w:spacing w:line="590" w:lineRule="exact"/>
              <w:jc w:val="center"/>
              <w:rPr>
                <w:rFonts w:ascii="仿宋_GB2312" w:eastAsia="仿宋_GB2312"/>
                <w:sz w:val="32"/>
                <w:szCs w:val="32"/>
              </w:rPr>
            </w:pPr>
            <w:r>
              <w:rPr>
                <w:rFonts w:hint="eastAsia" w:ascii="仿宋_GB2312" w:eastAsia="仿宋_GB2312"/>
                <w:sz w:val="32"/>
                <w:szCs w:val="32"/>
              </w:rPr>
              <w:t>2人</w:t>
            </w:r>
          </w:p>
        </w:tc>
        <w:tc>
          <w:tcPr>
            <w:tcW w:w="4771" w:type="dxa"/>
          </w:tcPr>
          <w:p>
            <w:pPr>
              <w:spacing w:line="590" w:lineRule="exact"/>
              <w:rPr>
                <w:rFonts w:ascii="仿宋_GB2312" w:eastAsia="仿宋_GB2312"/>
                <w:sz w:val="32"/>
                <w:szCs w:val="32"/>
              </w:rPr>
            </w:pPr>
          </w:p>
        </w:tc>
      </w:tr>
    </w:tbl>
    <w:p>
      <w:pPr>
        <w:spacing w:line="590" w:lineRule="exact"/>
        <w:rPr>
          <w:rFonts w:ascii="仿宋_GB2312" w:eastAsia="仿宋_GB2312"/>
          <w:sz w:val="32"/>
          <w:szCs w:val="32"/>
        </w:rPr>
      </w:pPr>
      <w:r>
        <w:rPr>
          <w:rFonts w:hint="eastAsia" w:ascii="仿宋_GB2312" w:eastAsia="仿宋_GB2312"/>
          <w:sz w:val="32"/>
          <w:szCs w:val="32"/>
        </w:rPr>
        <w:t>2、设施设备维修保养服务内容</w:t>
      </w:r>
    </w:p>
    <w:p>
      <w:pPr>
        <w:spacing w:line="590" w:lineRule="exact"/>
        <w:rPr>
          <w:rFonts w:ascii="仿宋_GB2312" w:eastAsia="仿宋_GB2312"/>
          <w:sz w:val="32"/>
          <w:szCs w:val="32"/>
        </w:rPr>
      </w:pPr>
      <w:r>
        <w:rPr>
          <w:rFonts w:hint="eastAsia" w:ascii="仿宋_GB2312" w:eastAsia="仿宋_GB2312"/>
          <w:sz w:val="32"/>
          <w:szCs w:val="32"/>
        </w:rPr>
        <w:t xml:space="preserve">  （1）对共用设施设备进行日常管理和维修养护，包括：电梯、空调、房屋维修、消防、高低压配电系统（年检除外）、给排水、照明系统等日常运行管理及零修、小修，安全监控系统的运行管理（依法应由专业部门负责的除外）。</w:t>
      </w:r>
    </w:p>
    <w:p>
      <w:pPr>
        <w:spacing w:line="590" w:lineRule="exact"/>
        <w:rPr>
          <w:rFonts w:ascii="仿宋_GB2312" w:eastAsia="仿宋_GB2312"/>
          <w:sz w:val="32"/>
          <w:szCs w:val="32"/>
        </w:rPr>
      </w:pPr>
      <w:r>
        <w:rPr>
          <w:rFonts w:hint="eastAsia" w:ascii="仿宋_GB2312" w:eastAsia="仿宋_GB2312"/>
          <w:sz w:val="32"/>
          <w:szCs w:val="32"/>
        </w:rPr>
        <w:t xml:space="preserve">  （2）内部墙体的维护（含通道、门厅、地面、天棚）、楼梯间墙面、扶手、踏步的日常维护；内部门、窗的日常维护；办公家具的日常维护等。</w:t>
      </w:r>
    </w:p>
    <w:p>
      <w:pPr>
        <w:spacing w:line="590" w:lineRule="exact"/>
        <w:rPr>
          <w:rFonts w:ascii="仿宋_GB2312" w:eastAsia="仿宋_GB2312"/>
          <w:sz w:val="32"/>
          <w:szCs w:val="32"/>
        </w:rPr>
      </w:pPr>
      <w:r>
        <w:rPr>
          <w:rFonts w:hint="eastAsia" w:ascii="仿宋_GB2312" w:eastAsia="仿宋_GB2312"/>
          <w:sz w:val="32"/>
          <w:szCs w:val="32"/>
        </w:rPr>
        <w:t xml:space="preserve">  （3）建立共用设施设备档案（设备台帐），设施设备的运行、检查、维修、保养等记录齐全。共用设施设备档案资料齐全，运行、维护保养记录及大中修、更新、改造记录定期归档。</w:t>
      </w:r>
    </w:p>
    <w:p>
      <w:pPr>
        <w:spacing w:line="590" w:lineRule="exact"/>
        <w:rPr>
          <w:rFonts w:ascii="仿宋_GB2312" w:eastAsia="仿宋_GB2312"/>
          <w:sz w:val="32"/>
          <w:szCs w:val="32"/>
        </w:rPr>
      </w:pPr>
      <w:r>
        <w:rPr>
          <w:rFonts w:hint="eastAsia" w:ascii="仿宋_GB2312" w:eastAsia="仿宋_GB2312"/>
          <w:sz w:val="32"/>
          <w:szCs w:val="32"/>
        </w:rPr>
        <w:t xml:space="preserve">  （4）根据设备维护保养手册及设施设备现状制订维护保养计划，严格执行节能减排，每月对能源（水、电、气）消耗进行计划、统计、分析和改进。机房张贴或悬挂相关制度、设备系统图、应急预案流程图。</w:t>
      </w:r>
    </w:p>
    <w:p>
      <w:pPr>
        <w:spacing w:line="590" w:lineRule="exact"/>
        <w:rPr>
          <w:rFonts w:ascii="仿宋_GB2312" w:eastAsia="仿宋_GB2312"/>
          <w:sz w:val="32"/>
          <w:szCs w:val="32"/>
        </w:rPr>
      </w:pPr>
      <w:r>
        <w:rPr>
          <w:rFonts w:hint="eastAsia" w:ascii="仿宋_GB2312" w:eastAsia="仿宋_GB2312"/>
          <w:sz w:val="32"/>
          <w:szCs w:val="32"/>
        </w:rPr>
        <w:t xml:space="preserve">  （5）设施设备标志齐全、规范，责任明确；操作维护人员严格执行设施设备操作规程及保养规范；保证设施设备运行正常。</w:t>
      </w:r>
    </w:p>
    <w:p>
      <w:pPr>
        <w:spacing w:line="590" w:lineRule="exact"/>
        <w:rPr>
          <w:rFonts w:ascii="仿宋_GB2312" w:eastAsia="仿宋_GB2312"/>
          <w:sz w:val="32"/>
          <w:szCs w:val="32"/>
        </w:rPr>
      </w:pPr>
      <w:r>
        <w:rPr>
          <w:rFonts w:hint="eastAsia" w:ascii="仿宋_GB2312" w:eastAsia="仿宋_GB2312"/>
          <w:sz w:val="32"/>
          <w:szCs w:val="32"/>
        </w:rPr>
        <w:t xml:space="preserve">  （6）消防设施设备完好，可随时启用；消防通道畅通。每半月对消防设施设备进行检查，每日至少检查一次电梯安全状况。</w:t>
      </w:r>
    </w:p>
    <w:p>
      <w:pPr>
        <w:spacing w:line="590" w:lineRule="exact"/>
        <w:rPr>
          <w:rFonts w:ascii="仿宋_GB2312" w:eastAsia="仿宋_GB2312"/>
          <w:sz w:val="32"/>
          <w:szCs w:val="32"/>
        </w:rPr>
      </w:pPr>
      <w:r>
        <w:rPr>
          <w:rFonts w:hint="eastAsia" w:ascii="仿宋_GB2312" w:eastAsia="仿宋_GB2312"/>
          <w:sz w:val="32"/>
          <w:szCs w:val="32"/>
        </w:rPr>
        <w:t xml:space="preserve">  （7）设备房保持整洁、通风，无滴、漏和鼠害现象。</w:t>
      </w:r>
    </w:p>
    <w:p>
      <w:pPr>
        <w:spacing w:line="590" w:lineRule="exact"/>
        <w:rPr>
          <w:rFonts w:ascii="仿宋_GB2312" w:eastAsia="仿宋_GB2312"/>
          <w:sz w:val="32"/>
          <w:szCs w:val="32"/>
        </w:rPr>
      </w:pPr>
      <w:r>
        <w:rPr>
          <w:rFonts w:hint="eastAsia" w:ascii="仿宋_GB2312" w:eastAsia="仿宋_GB2312"/>
          <w:sz w:val="32"/>
          <w:szCs w:val="32"/>
        </w:rPr>
        <w:t xml:space="preserve">  （8）管理区域内道路平整，主要道路及停车场交通标志齐全、规范。</w:t>
      </w:r>
    </w:p>
    <w:p>
      <w:pPr>
        <w:spacing w:line="590" w:lineRule="exact"/>
        <w:rPr>
          <w:rFonts w:ascii="仿宋_GB2312" w:eastAsia="仿宋_GB2312"/>
          <w:sz w:val="32"/>
          <w:szCs w:val="32"/>
        </w:rPr>
      </w:pPr>
      <w:r>
        <w:rPr>
          <w:rFonts w:hint="eastAsia" w:ascii="仿宋_GB2312" w:eastAsia="仿宋_GB2312"/>
          <w:sz w:val="32"/>
          <w:szCs w:val="32"/>
        </w:rPr>
        <w:t xml:space="preserve">  （9）容易危及人身安全的设施设备有明显警示标志和防范措施；对可能发生的各种突发设备故障有应急方案。</w:t>
      </w:r>
    </w:p>
    <w:p>
      <w:pPr>
        <w:spacing w:line="590" w:lineRule="exact"/>
        <w:rPr>
          <w:rFonts w:ascii="仿宋_GB2312" w:eastAsia="仿宋_GB2312"/>
          <w:sz w:val="32"/>
          <w:szCs w:val="32"/>
        </w:rPr>
      </w:pPr>
      <w:r>
        <w:rPr>
          <w:rFonts w:hint="eastAsia" w:ascii="仿宋_GB2312" w:eastAsia="仿宋_GB2312"/>
          <w:sz w:val="32"/>
          <w:szCs w:val="32"/>
        </w:rPr>
        <w:t xml:space="preserve">  （10）负责对供水、供电等设施的日常运行管理，当专业维护单位在物业管理区域内对相关管线、设施进行维修、养护时，应给予必要的协调和配合。</w:t>
      </w:r>
    </w:p>
    <w:p>
      <w:pPr>
        <w:spacing w:line="590" w:lineRule="exact"/>
        <w:rPr>
          <w:rFonts w:ascii="仿宋_GB2312" w:eastAsia="仿宋_GB2312"/>
          <w:sz w:val="32"/>
          <w:szCs w:val="32"/>
        </w:rPr>
      </w:pPr>
      <w:r>
        <w:rPr>
          <w:rFonts w:hint="eastAsia" w:ascii="仿宋_GB2312" w:eastAsia="仿宋_GB2312"/>
          <w:sz w:val="32"/>
          <w:szCs w:val="32"/>
        </w:rPr>
        <w:t xml:space="preserve">  （11）每年至少在雨季前对共用雨、污水管道疏通1次；雨、污水井每月至少检查1次，视检查情况及时清掏；化粪池每月至少检查1次，每半年至少清掏1次，发现异常及时清掏。</w:t>
      </w:r>
    </w:p>
    <w:p>
      <w:pPr>
        <w:spacing w:line="590" w:lineRule="exact"/>
        <w:rPr>
          <w:rFonts w:ascii="仿宋_GB2312" w:eastAsia="仿宋_GB2312"/>
          <w:sz w:val="32"/>
          <w:szCs w:val="32"/>
        </w:rPr>
      </w:pPr>
      <w:r>
        <w:rPr>
          <w:rFonts w:hint="eastAsia" w:ascii="仿宋_GB2312" w:eastAsia="仿宋_GB2312"/>
          <w:sz w:val="32"/>
          <w:szCs w:val="32"/>
        </w:rPr>
        <w:t>注：以上各项系统维护，零部件（水电开关、灯泡、灯管等）单次维修金额市场价不超过300元的，其维修费用均包含在此次物管招标费用中。超过300元的，维修前应报请采购人核实认可，维修费用由采购人承担，所有设备修复后要有维修验收签字记录。</w:t>
      </w:r>
    </w:p>
    <w:p>
      <w:pPr>
        <w:spacing w:line="590" w:lineRule="exact"/>
        <w:rPr>
          <w:rFonts w:ascii="仿宋_GB2312" w:eastAsia="仿宋_GB2312"/>
          <w:sz w:val="32"/>
          <w:szCs w:val="32"/>
        </w:rPr>
      </w:pPr>
      <w:r>
        <w:rPr>
          <w:rFonts w:hint="eastAsia" w:ascii="仿宋_GB2312" w:eastAsia="仿宋_GB2312"/>
          <w:sz w:val="32"/>
          <w:szCs w:val="32"/>
        </w:rPr>
        <w:t>三、绿化养护服务服务</w:t>
      </w:r>
    </w:p>
    <w:p>
      <w:pPr>
        <w:spacing w:line="590" w:lineRule="exact"/>
        <w:rPr>
          <w:rFonts w:ascii="仿宋_GB2312" w:eastAsia="仿宋_GB2312"/>
          <w:sz w:val="32"/>
          <w:szCs w:val="32"/>
        </w:rPr>
      </w:pPr>
      <w:r>
        <w:rPr>
          <w:rFonts w:hint="eastAsia" w:ascii="仿宋_GB2312" w:eastAsia="仿宋_GB2312"/>
          <w:sz w:val="32"/>
          <w:szCs w:val="32"/>
        </w:rPr>
        <w:t>1、人员配置要求</w:t>
      </w:r>
    </w:p>
    <w:tbl>
      <w:tblPr>
        <w:tblStyle w:val="43"/>
        <w:tblW w:w="9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2347"/>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84" w:type="dxa"/>
          </w:tcPr>
          <w:p>
            <w:pPr>
              <w:spacing w:line="590" w:lineRule="exact"/>
              <w:jc w:val="center"/>
              <w:rPr>
                <w:rFonts w:ascii="仿宋_GB2312" w:eastAsia="仿宋_GB2312"/>
                <w:sz w:val="32"/>
                <w:szCs w:val="32"/>
              </w:rPr>
            </w:pPr>
            <w:r>
              <w:rPr>
                <w:rFonts w:hint="eastAsia" w:ascii="仿宋_GB2312" w:eastAsia="仿宋_GB2312"/>
                <w:sz w:val="32"/>
                <w:szCs w:val="32"/>
              </w:rPr>
              <w:t>岗位</w:t>
            </w:r>
          </w:p>
        </w:tc>
        <w:tc>
          <w:tcPr>
            <w:tcW w:w="2347" w:type="dxa"/>
          </w:tcPr>
          <w:p>
            <w:pPr>
              <w:spacing w:line="590" w:lineRule="exact"/>
              <w:jc w:val="center"/>
              <w:rPr>
                <w:rFonts w:ascii="仿宋_GB2312" w:eastAsia="仿宋_GB2312"/>
                <w:sz w:val="32"/>
                <w:szCs w:val="32"/>
              </w:rPr>
            </w:pPr>
            <w:r>
              <w:rPr>
                <w:rFonts w:hint="eastAsia" w:ascii="仿宋_GB2312" w:eastAsia="仿宋_GB2312"/>
                <w:sz w:val="32"/>
                <w:szCs w:val="32"/>
              </w:rPr>
              <w:t>人数</w:t>
            </w:r>
          </w:p>
        </w:tc>
        <w:tc>
          <w:tcPr>
            <w:tcW w:w="3543" w:type="dxa"/>
          </w:tcPr>
          <w:p>
            <w:pPr>
              <w:spacing w:line="590" w:lineRule="exact"/>
              <w:jc w:val="center"/>
              <w:rPr>
                <w:rFonts w:ascii="仿宋_GB2312" w:eastAsia="仿宋_GB2312"/>
                <w:sz w:val="32"/>
                <w:szCs w:val="32"/>
              </w:rPr>
            </w:pPr>
            <w:r>
              <w:rPr>
                <w:rFonts w:hint="eastAsia" w:ascii="仿宋_GB2312" w:eastAsia="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84" w:type="dxa"/>
          </w:tcPr>
          <w:p>
            <w:pPr>
              <w:spacing w:line="590" w:lineRule="exact"/>
              <w:jc w:val="center"/>
              <w:rPr>
                <w:rFonts w:ascii="仿宋_GB2312" w:eastAsia="仿宋_GB2312"/>
                <w:sz w:val="32"/>
                <w:szCs w:val="32"/>
              </w:rPr>
            </w:pPr>
            <w:r>
              <w:rPr>
                <w:rFonts w:hint="eastAsia" w:ascii="仿宋_GB2312" w:eastAsia="仿宋_GB2312"/>
                <w:sz w:val="32"/>
                <w:szCs w:val="32"/>
              </w:rPr>
              <w:t>绿化维护员</w:t>
            </w:r>
          </w:p>
        </w:tc>
        <w:tc>
          <w:tcPr>
            <w:tcW w:w="2347" w:type="dxa"/>
          </w:tcPr>
          <w:p>
            <w:pPr>
              <w:spacing w:line="590" w:lineRule="exact"/>
              <w:jc w:val="center"/>
              <w:rPr>
                <w:rFonts w:ascii="仿宋_GB2312" w:eastAsia="仿宋_GB2312"/>
                <w:sz w:val="32"/>
                <w:szCs w:val="32"/>
              </w:rPr>
            </w:pPr>
            <w:r>
              <w:rPr>
                <w:rFonts w:hint="eastAsia" w:ascii="仿宋_GB2312" w:eastAsia="仿宋_GB2312"/>
                <w:sz w:val="32"/>
                <w:szCs w:val="32"/>
              </w:rPr>
              <w:t>1人</w:t>
            </w:r>
          </w:p>
        </w:tc>
        <w:tc>
          <w:tcPr>
            <w:tcW w:w="3543" w:type="dxa"/>
          </w:tcPr>
          <w:p>
            <w:pPr>
              <w:spacing w:line="590" w:lineRule="exact"/>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3284" w:type="dxa"/>
          </w:tcPr>
          <w:p>
            <w:pPr>
              <w:spacing w:line="590" w:lineRule="exact"/>
              <w:jc w:val="center"/>
              <w:rPr>
                <w:rFonts w:ascii="仿宋_GB2312" w:eastAsia="仿宋_GB2312"/>
                <w:sz w:val="32"/>
                <w:szCs w:val="32"/>
              </w:rPr>
            </w:pPr>
            <w:r>
              <w:rPr>
                <w:rFonts w:hint="eastAsia" w:ascii="仿宋_GB2312" w:eastAsia="仿宋_GB2312"/>
                <w:sz w:val="32"/>
                <w:szCs w:val="32"/>
              </w:rPr>
              <w:t>合计</w:t>
            </w:r>
          </w:p>
        </w:tc>
        <w:tc>
          <w:tcPr>
            <w:tcW w:w="2347" w:type="dxa"/>
          </w:tcPr>
          <w:p>
            <w:pPr>
              <w:spacing w:line="590" w:lineRule="exact"/>
              <w:jc w:val="center"/>
              <w:rPr>
                <w:rFonts w:ascii="仿宋_GB2312" w:eastAsia="仿宋_GB2312"/>
                <w:sz w:val="32"/>
                <w:szCs w:val="32"/>
              </w:rPr>
            </w:pPr>
            <w:r>
              <w:rPr>
                <w:rFonts w:hint="eastAsia" w:ascii="仿宋_GB2312" w:eastAsia="仿宋_GB2312"/>
                <w:sz w:val="32"/>
                <w:szCs w:val="32"/>
              </w:rPr>
              <w:t>1人</w:t>
            </w:r>
          </w:p>
        </w:tc>
        <w:tc>
          <w:tcPr>
            <w:tcW w:w="3543" w:type="dxa"/>
          </w:tcPr>
          <w:p>
            <w:pPr>
              <w:spacing w:line="590" w:lineRule="exact"/>
              <w:jc w:val="center"/>
              <w:rPr>
                <w:rFonts w:ascii="仿宋_GB2312" w:eastAsia="仿宋_GB2312"/>
                <w:sz w:val="32"/>
                <w:szCs w:val="32"/>
              </w:rPr>
            </w:pPr>
          </w:p>
        </w:tc>
      </w:tr>
    </w:tbl>
    <w:p>
      <w:pPr>
        <w:spacing w:line="590" w:lineRule="exact"/>
        <w:rPr>
          <w:rFonts w:ascii="仿宋_GB2312" w:eastAsia="仿宋_GB2312"/>
          <w:sz w:val="32"/>
          <w:szCs w:val="32"/>
        </w:rPr>
      </w:pPr>
      <w:r>
        <w:rPr>
          <w:rFonts w:hint="eastAsia" w:ascii="仿宋_GB2312" w:eastAsia="仿宋_GB2312"/>
          <w:sz w:val="32"/>
          <w:szCs w:val="32"/>
        </w:rPr>
        <w:t>2、绿化养护服务内容</w:t>
      </w:r>
    </w:p>
    <w:p>
      <w:pPr>
        <w:spacing w:line="590" w:lineRule="exact"/>
        <w:rPr>
          <w:rFonts w:ascii="仿宋_GB2312" w:eastAsia="仿宋_GB2312"/>
          <w:sz w:val="32"/>
          <w:szCs w:val="32"/>
        </w:rPr>
      </w:pPr>
      <w:r>
        <w:rPr>
          <w:rFonts w:hint="eastAsia" w:ascii="仿宋_GB2312" w:eastAsia="仿宋_GB2312"/>
          <w:sz w:val="32"/>
          <w:szCs w:val="32"/>
        </w:rPr>
        <w:t>（1）及时修剪和补栽补种，草坪内做到无杂草、杂物，草坪生长良好。</w:t>
      </w:r>
    </w:p>
    <w:p>
      <w:pPr>
        <w:spacing w:line="590" w:lineRule="exact"/>
        <w:rPr>
          <w:rFonts w:ascii="仿宋_GB2312" w:eastAsia="仿宋_GB2312"/>
          <w:sz w:val="32"/>
          <w:szCs w:val="32"/>
        </w:rPr>
      </w:pPr>
      <w:r>
        <w:rPr>
          <w:rFonts w:hint="eastAsia" w:ascii="仿宋_GB2312" w:eastAsia="仿宋_GB2312"/>
          <w:sz w:val="32"/>
          <w:szCs w:val="32"/>
        </w:rPr>
        <w:t>（2）定期组织浇灌、施肥和松土，搞好对旱、涝、冻等自然灾害有效防护。</w:t>
      </w:r>
    </w:p>
    <w:p>
      <w:pPr>
        <w:spacing w:line="590" w:lineRule="exact"/>
        <w:rPr>
          <w:rFonts w:ascii="仿宋_GB2312" w:eastAsia="仿宋_GB2312"/>
          <w:sz w:val="32"/>
          <w:szCs w:val="32"/>
        </w:rPr>
      </w:pPr>
      <w:r>
        <w:rPr>
          <w:rFonts w:hint="eastAsia" w:ascii="仿宋_GB2312" w:eastAsia="仿宋_GB2312"/>
          <w:sz w:val="32"/>
          <w:szCs w:val="32"/>
        </w:rPr>
        <w:t>（3）定期喷洒药物，预防病虫害。</w:t>
      </w:r>
    </w:p>
    <w:p>
      <w:pPr>
        <w:spacing w:line="590" w:lineRule="exact"/>
        <w:rPr>
          <w:rFonts w:ascii="仿宋_GB2312" w:eastAsia="仿宋_GB2312"/>
          <w:sz w:val="32"/>
          <w:szCs w:val="32"/>
        </w:rPr>
      </w:pPr>
      <w:r>
        <w:rPr>
          <w:rFonts w:hint="eastAsia" w:ascii="仿宋_GB2312" w:eastAsia="仿宋_GB2312"/>
          <w:sz w:val="32"/>
          <w:szCs w:val="32"/>
        </w:rPr>
        <w:t>（4）做好特定区域摆放绿植的养护工作。</w:t>
      </w:r>
    </w:p>
    <w:p>
      <w:pPr>
        <w:spacing w:line="590" w:lineRule="exact"/>
        <w:rPr>
          <w:rFonts w:ascii="仿宋_GB2312" w:eastAsia="仿宋_GB2312"/>
          <w:sz w:val="32"/>
          <w:szCs w:val="32"/>
        </w:rPr>
      </w:pPr>
      <w:r>
        <w:rPr>
          <w:rFonts w:hint="eastAsia" w:ascii="仿宋_GB2312" w:eastAsia="仿宋_GB2312"/>
          <w:sz w:val="32"/>
          <w:szCs w:val="32"/>
        </w:rPr>
        <w:t>四、物业服务保障时间要求</w:t>
      </w:r>
    </w:p>
    <w:p>
      <w:pPr>
        <w:spacing w:line="590" w:lineRule="exact"/>
        <w:rPr>
          <w:rFonts w:ascii="仿宋_GB2312" w:eastAsia="仿宋_GB2312"/>
          <w:sz w:val="32"/>
          <w:szCs w:val="32"/>
        </w:rPr>
      </w:pPr>
      <w:r>
        <w:rPr>
          <w:rFonts w:hint="eastAsia" w:ascii="仿宋_GB2312" w:eastAsia="仿宋_GB2312"/>
          <w:sz w:val="32"/>
          <w:szCs w:val="32"/>
        </w:rPr>
        <w:t xml:space="preserve">   1、工作日每天早上8：30-18：00为常态工作时间段；18:00到次日8:30及节假日为备勤值班。</w:t>
      </w:r>
    </w:p>
    <w:p>
      <w:pPr>
        <w:spacing w:line="590" w:lineRule="exact"/>
        <w:rPr>
          <w:rFonts w:ascii="仿宋_GB2312" w:eastAsia="仿宋_GB2312"/>
          <w:sz w:val="32"/>
          <w:szCs w:val="32"/>
        </w:rPr>
      </w:pPr>
      <w:r>
        <w:rPr>
          <w:rFonts w:hint="eastAsia" w:ascii="仿宋_GB2312" w:eastAsia="仿宋_GB2312"/>
          <w:sz w:val="32"/>
          <w:szCs w:val="32"/>
        </w:rPr>
        <w:t xml:space="preserve">   2、绿化服务时间：每周6天（根据采购人工作安排），每天早上8：00-18:00；节假日备勤值班。</w:t>
      </w:r>
    </w:p>
    <w:p>
      <w:pPr>
        <w:spacing w:line="590" w:lineRule="exact"/>
        <w:rPr>
          <w:rFonts w:ascii="仿宋_GB2312" w:eastAsia="仿宋_GB2312"/>
          <w:sz w:val="32"/>
          <w:szCs w:val="32"/>
        </w:rPr>
      </w:pPr>
      <w:r>
        <w:rPr>
          <w:rFonts w:hint="eastAsia" w:ascii="仿宋_GB2312" w:eastAsia="仿宋_GB2312"/>
          <w:sz w:val="32"/>
          <w:szCs w:val="32"/>
        </w:rPr>
        <w:t xml:space="preserve">   3、公共秩序服务时间：每周7天，每天24小时备勤；</w:t>
      </w:r>
    </w:p>
    <w:p>
      <w:pPr>
        <w:spacing w:line="590" w:lineRule="exact"/>
        <w:rPr>
          <w:rFonts w:hint="eastAsia" w:ascii="仿宋_GB2312" w:eastAsia="仿宋_GB2312"/>
          <w:sz w:val="32"/>
          <w:szCs w:val="32"/>
        </w:rPr>
      </w:pPr>
      <w:r>
        <w:rPr>
          <w:rFonts w:hint="eastAsia" w:ascii="仿宋_GB2312" w:eastAsia="仿宋_GB2312"/>
          <w:sz w:val="32"/>
          <w:szCs w:val="32"/>
        </w:rPr>
        <w:t xml:space="preserve">   4、工程维修养护服务时间：每周7天，每天24小时。</w:t>
      </w:r>
    </w:p>
    <w:p>
      <w:pPr>
        <w:pStyle w:val="5"/>
        <w:numPr>
          <w:ilvl w:val="2"/>
          <w:numId w:val="32"/>
        </w:numPr>
        <w:tabs>
          <w:tab w:val="left" w:pos="426"/>
          <w:tab w:val="left" w:pos="567"/>
        </w:tabs>
        <w:spacing w:after="200"/>
        <w:ind w:hanging="3260"/>
        <w:rPr>
          <w:color w:val="auto"/>
        </w:rPr>
      </w:pPr>
      <w:r>
        <w:rPr>
          <w:rFonts w:hint="eastAsia"/>
          <w:color w:val="auto"/>
        </w:rPr>
        <w:t>其他要求</w:t>
      </w:r>
    </w:p>
    <w:p>
      <w:pPr>
        <w:ind w:firstLine="562" w:firstLineChars="200"/>
        <w:rPr>
          <w:rFonts w:ascii="宋体" w:hAnsi="宋体"/>
          <w:sz w:val="28"/>
        </w:rPr>
      </w:pPr>
      <w:r>
        <w:rPr>
          <w:rFonts w:hint="eastAsia" w:ascii="宋体" w:hAnsi="宋体"/>
          <w:b/>
          <w:sz w:val="28"/>
          <w:szCs w:val="28"/>
        </w:rPr>
        <w:t>一、★</w:t>
      </w:r>
      <w:r>
        <w:rPr>
          <w:rFonts w:hint="eastAsia" w:ascii="宋体" w:hAnsi="宋体"/>
          <w:sz w:val="28"/>
        </w:rPr>
        <w:t>供应商为本项目提供的所有服务符合现行的国家相关强制性标准、行业标准。</w:t>
      </w:r>
      <w:r>
        <w:rPr>
          <w:rFonts w:ascii="宋体" w:hAnsi="宋体"/>
          <w:sz w:val="28"/>
        </w:rPr>
        <w:t>（</w:t>
      </w:r>
      <w:r>
        <w:rPr>
          <w:rFonts w:hint="eastAsia" w:ascii="宋体" w:hAnsi="宋体"/>
          <w:sz w:val="28"/>
        </w:rPr>
        <w:t>说明</w:t>
      </w:r>
      <w:r>
        <w:rPr>
          <w:rFonts w:ascii="宋体" w:hAnsi="宋体"/>
          <w:sz w:val="28"/>
        </w:rPr>
        <w:t>:按</w:t>
      </w:r>
      <w:r>
        <w:rPr>
          <w:rFonts w:hint="eastAsia" w:ascii="宋体" w:hAnsi="宋体"/>
          <w:sz w:val="28"/>
        </w:rPr>
        <w:t>照</w:t>
      </w:r>
      <w:r>
        <w:rPr>
          <w:rFonts w:ascii="宋体" w:hAnsi="宋体"/>
          <w:sz w:val="28"/>
        </w:rPr>
        <w:t>招标文件3.3.5</w:t>
      </w:r>
      <w:r>
        <w:rPr>
          <w:rFonts w:hint="eastAsia" w:ascii="宋体" w:hAnsi="宋体"/>
          <w:sz w:val="28"/>
        </w:rPr>
        <w:t>承诺函</w:t>
      </w:r>
      <w:r>
        <w:rPr>
          <w:rFonts w:ascii="宋体" w:hAnsi="宋体"/>
          <w:sz w:val="28"/>
        </w:rPr>
        <w:t>的内容进行承诺）</w:t>
      </w:r>
    </w:p>
    <w:p>
      <w:pPr>
        <w:ind w:firstLine="560" w:firstLineChars="200"/>
        <w:rPr>
          <w:rFonts w:ascii="宋体" w:hAnsi="宋体"/>
          <w:sz w:val="28"/>
        </w:rPr>
      </w:pPr>
      <w:r>
        <w:rPr>
          <w:rFonts w:hint="eastAsia" w:ascii="宋体" w:hAnsi="宋体"/>
          <w:sz w:val="28"/>
        </w:rPr>
        <w:t>二、</w:t>
      </w:r>
      <w:r>
        <w:rPr>
          <w:rFonts w:hint="eastAsia" w:ascii="宋体" w:hAnsi="宋体"/>
          <w:b/>
          <w:sz w:val="28"/>
          <w:szCs w:val="28"/>
        </w:rPr>
        <w:t>★</w:t>
      </w:r>
      <w:r>
        <w:rPr>
          <w:rFonts w:hint="eastAsia" w:ascii="宋体" w:hAnsi="宋体"/>
          <w:sz w:val="28"/>
        </w:rPr>
        <w:t>本项目涉及产品采购且属于政府强制采购节能产品清单中的产品，投标人提供的该产品须具有国家确定的认证机构出具的节能产品认证证书。</w:t>
      </w:r>
      <w:r>
        <w:rPr>
          <w:rFonts w:ascii="宋体" w:hAnsi="宋体"/>
          <w:sz w:val="28"/>
        </w:rPr>
        <w:t>（</w:t>
      </w:r>
      <w:r>
        <w:rPr>
          <w:rFonts w:hint="eastAsia" w:ascii="宋体" w:hAnsi="宋体"/>
          <w:sz w:val="28"/>
        </w:rPr>
        <w:t>说明</w:t>
      </w:r>
      <w:r>
        <w:rPr>
          <w:rFonts w:ascii="宋体" w:hAnsi="宋体"/>
          <w:sz w:val="28"/>
        </w:rPr>
        <w:t>:按</w:t>
      </w:r>
      <w:r>
        <w:rPr>
          <w:rFonts w:hint="eastAsia" w:ascii="宋体" w:hAnsi="宋体"/>
          <w:sz w:val="28"/>
        </w:rPr>
        <w:t>照</w:t>
      </w:r>
      <w:r>
        <w:rPr>
          <w:rFonts w:ascii="宋体" w:hAnsi="宋体"/>
          <w:sz w:val="28"/>
        </w:rPr>
        <w:t>招标文件3.3.5</w:t>
      </w:r>
      <w:r>
        <w:rPr>
          <w:rFonts w:hint="eastAsia" w:ascii="宋体" w:hAnsi="宋体"/>
          <w:sz w:val="28"/>
        </w:rPr>
        <w:t>承诺函</w:t>
      </w:r>
      <w:r>
        <w:rPr>
          <w:rFonts w:ascii="宋体" w:hAnsi="宋体"/>
          <w:sz w:val="28"/>
        </w:rPr>
        <w:t>的内容进行承诺）</w:t>
      </w:r>
    </w:p>
    <w:p>
      <w:pPr>
        <w:pStyle w:val="2"/>
      </w:pPr>
    </w:p>
    <w:p>
      <w:pPr>
        <w:pStyle w:val="4"/>
        <w:numPr>
          <w:ilvl w:val="1"/>
          <w:numId w:val="5"/>
        </w:numPr>
        <w:tabs>
          <w:tab w:val="left" w:pos="426"/>
          <w:tab w:val="left" w:pos="576"/>
        </w:tabs>
        <w:spacing w:before="0" w:after="200"/>
        <w:jc w:val="both"/>
      </w:pPr>
      <w:bookmarkStart w:id="152" w:name="_Toc28704"/>
      <w:r>
        <w:rPr>
          <w:rFonts w:hint="eastAsia"/>
        </w:rPr>
        <w:t>报价要求</w:t>
      </w:r>
      <w:bookmarkEnd w:id="152"/>
    </w:p>
    <w:p>
      <w:pPr>
        <w:pStyle w:val="5"/>
        <w:numPr>
          <w:ilvl w:val="2"/>
          <w:numId w:val="5"/>
        </w:numPr>
        <w:tabs>
          <w:tab w:val="left" w:pos="426"/>
          <w:tab w:val="left" w:pos="567"/>
        </w:tabs>
        <w:spacing w:after="200"/>
        <w:ind w:hanging="3260"/>
        <w:rPr>
          <w:color w:val="auto"/>
        </w:rPr>
      </w:pPr>
      <w:r>
        <w:rPr>
          <w:rFonts w:hint="eastAsia"/>
          <w:color w:val="auto"/>
        </w:rPr>
        <w:t>最高限价</w:t>
      </w:r>
    </w:p>
    <w:p>
      <w:pPr>
        <w:pStyle w:val="80"/>
        <w:tabs>
          <w:tab w:val="left" w:pos="993"/>
          <w:tab w:val="left" w:pos="1134"/>
        </w:tabs>
        <w:spacing w:before="78" w:line="560" w:lineRule="exact"/>
        <w:ind w:firstLine="562" w:firstLineChars="201"/>
        <w:rPr>
          <w:rFonts w:ascii="宋体" w:hAnsi="宋体" w:eastAsia="宋体"/>
          <w:bCs/>
          <w:sz w:val="28"/>
          <w:szCs w:val="28"/>
        </w:rPr>
      </w:pPr>
      <w:r>
        <w:rPr>
          <w:rFonts w:hint="eastAsia" w:ascii="宋体" w:hAnsi="宋体" w:eastAsia="宋体"/>
          <w:bCs/>
          <w:sz w:val="28"/>
          <w:szCs w:val="28"/>
        </w:rPr>
        <w:t>★本项目投标报价最高限价为人民币34.98万元，投标人投标报价高于最高限价的，则其投标文件将按无效投标文件处理。</w:t>
      </w:r>
    </w:p>
    <w:p>
      <w:pPr>
        <w:pStyle w:val="5"/>
        <w:numPr>
          <w:ilvl w:val="2"/>
          <w:numId w:val="5"/>
        </w:numPr>
        <w:tabs>
          <w:tab w:val="left" w:pos="426"/>
          <w:tab w:val="left" w:pos="567"/>
        </w:tabs>
        <w:spacing w:after="200"/>
        <w:ind w:hanging="3260"/>
        <w:rPr>
          <w:color w:val="auto"/>
        </w:rPr>
      </w:pPr>
      <w:r>
        <w:rPr>
          <w:rFonts w:hint="eastAsia"/>
          <w:color w:val="auto"/>
        </w:rPr>
        <w:t>其他要求</w:t>
      </w:r>
    </w:p>
    <w:p>
      <w:pPr>
        <w:pStyle w:val="80"/>
        <w:tabs>
          <w:tab w:val="left" w:pos="993"/>
          <w:tab w:val="left" w:pos="1134"/>
        </w:tabs>
        <w:spacing w:before="78" w:line="560" w:lineRule="exact"/>
        <w:ind w:firstLine="565" w:firstLineChars="202"/>
        <w:rPr>
          <w:rFonts w:ascii="宋体" w:hAnsi="宋体" w:eastAsia="宋体"/>
          <w:bCs/>
          <w:sz w:val="28"/>
          <w:szCs w:val="28"/>
          <w:lang w:val="zh-CN"/>
        </w:rPr>
      </w:pPr>
      <w:r>
        <w:rPr>
          <w:rFonts w:hint="eastAsia" w:ascii="宋体" w:hAnsi="宋体" w:eastAsia="宋体"/>
          <w:bCs/>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tabs>
          <w:tab w:val="left" w:pos="993"/>
          <w:tab w:val="left" w:pos="1134"/>
        </w:tabs>
        <w:spacing w:before="78" w:line="560" w:lineRule="exact"/>
        <w:rPr>
          <w:rFonts w:ascii="宋体" w:hAnsi="宋体"/>
          <w:b/>
          <w:sz w:val="28"/>
          <w:szCs w:val="28"/>
          <w:lang w:val="zh-CN"/>
        </w:rPr>
      </w:pPr>
    </w:p>
    <w:p>
      <w:pPr>
        <w:pStyle w:val="2"/>
        <w:rPr>
          <w:lang w:val="zh-CN"/>
        </w:rPr>
      </w:pPr>
    </w:p>
    <w:p>
      <w:pPr>
        <w:pStyle w:val="2"/>
        <w:rPr>
          <w:lang w:val="zh-CN"/>
        </w:rPr>
      </w:pPr>
    </w:p>
    <w:bookmarkEnd w:id="150"/>
    <w:bookmarkEnd w:id="151"/>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53" w:name="_Toc25368"/>
      <w:r>
        <w:rPr>
          <w:rFonts w:hint="eastAsia" w:ascii="宋体" w:hAnsi="宋体"/>
          <w:b/>
          <w:bCs/>
          <w:spacing w:val="-20"/>
          <w:kern w:val="44"/>
          <w:sz w:val="32"/>
          <w:szCs w:val="32"/>
        </w:rPr>
        <w:t>资格性审查</w:t>
      </w:r>
      <w:bookmarkEnd w:id="153"/>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资格性审查时因断电、断网、系统故障或其他不可抗力等因素，导致资格审查小组无法通过系统阅读投标文件进行审查的，待系统恢复后继续审查。资格性审查标准见下表：</w:t>
      </w:r>
    </w:p>
    <w:tbl>
      <w:tblPr>
        <w:tblStyle w:val="4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27"/>
        <w:gridCol w:w="1682"/>
        <w:gridCol w:w="5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5"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23"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9"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投标人应具有独立承担民事责任的能力</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szCs w:val="28"/>
              </w:rPr>
              <w:t>①</w:t>
            </w:r>
            <w:r>
              <w:rPr>
                <w:rFonts w:hint="eastAsia"/>
                <w:sz w:val="20"/>
              </w:rPr>
              <w:t>营业执照或法人登记证或其他证明材料载明有期限的，应在有效期限内；</w:t>
            </w:r>
            <w:r>
              <w:rPr>
                <w:rFonts w:hint="eastAsia" w:ascii="宋体" w:hAnsi="宋体"/>
                <w:sz w:val="20"/>
                <w:szCs w:val="28"/>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投标人具有良好的商业信誉的书面声明材料。【说明：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hint="eastAsia" w:ascii="宋体" w:hAnsi="宋体"/>
                <w:sz w:val="20"/>
                <w:szCs w:val="28"/>
              </w:rPr>
              <w:t>①</w:t>
            </w:r>
            <w:r>
              <w:rPr>
                <w:rFonts w:hint="eastAsia"/>
                <w:sz w:val="20"/>
              </w:rPr>
              <w:t>按第</w:t>
            </w:r>
            <w:r>
              <w:rPr>
                <w:sz w:val="20"/>
              </w:rPr>
              <w:t>3</w:t>
            </w:r>
            <w:r>
              <w:rPr>
                <w:rFonts w:hint="eastAsia"/>
                <w:sz w:val="20"/>
              </w:rPr>
              <w:t>章的内容及要求提供书面声明材料；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投标人未列入失信被执行人、重大税收违法案件当事人名单、政府采购严重违法失信行为记录名单；</w:t>
            </w:r>
            <w:r>
              <w:rPr>
                <w:rFonts w:hint="eastAsia" w:ascii="宋体" w:hAnsi="宋体"/>
                <w:sz w:val="20"/>
                <w:szCs w:val="28"/>
              </w:rPr>
              <w:t>②</w:t>
            </w:r>
            <w:r>
              <w:rPr>
                <w:rFonts w:hint="eastAsia"/>
                <w:sz w:val="20"/>
              </w:rPr>
              <w:t>按第</w:t>
            </w:r>
            <w:r>
              <w:rPr>
                <w:sz w:val="20"/>
              </w:rPr>
              <w:t>3</w:t>
            </w:r>
            <w:r>
              <w:rPr>
                <w:rFonts w:hint="eastAsia"/>
                <w:sz w:val="20"/>
              </w:rPr>
              <w:t>章的内容及要求提供书面声明材料。】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投标人未处于被行政部门禁止参与政府采购活动的期限内。【说明：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章的内容及要求提供书面声明材料，投标文件中不需提供中国裁判文书网（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t>负责人为同一人或者存在直接控股、管理关系的</w:t>
            </w:r>
            <w:r>
              <w:rPr>
                <w:rFonts w:hint="eastAsia"/>
              </w:rPr>
              <w:t>不同投标人</w:t>
            </w:r>
            <w:r>
              <w:t>未同时参加本项目书面声明材料。【说明：</w:t>
            </w:r>
            <w:r>
              <w:rPr>
                <w:rFonts w:hint="eastAsia" w:ascii="宋体" w:hAnsi="宋体"/>
                <w:sz w:val="20"/>
                <w:szCs w:val="28"/>
              </w:rPr>
              <w:t>①</w:t>
            </w:r>
            <w:r>
              <w:t>按</w:t>
            </w:r>
            <w:r>
              <w:rPr>
                <w:rFonts w:hint="eastAsia"/>
              </w:rPr>
              <w:t>招标</w:t>
            </w:r>
            <w:r>
              <w:t>文件3.2.2声明内容提供书面声明材料；</w:t>
            </w:r>
            <w:r>
              <w:rPr>
                <w:rFonts w:hint="eastAsia" w:ascii="宋体" w:hAnsi="宋体"/>
                <w:sz w:val="20"/>
                <w:szCs w:val="28"/>
              </w:rPr>
              <w:t>②</w:t>
            </w:r>
            <w:r>
              <w:t>参加本项目采购活动的</w:t>
            </w:r>
            <w:r>
              <w:rPr>
                <w:rFonts w:hint="eastAsia"/>
              </w:rPr>
              <w:t>投标人</w:t>
            </w:r>
            <w:r>
              <w:t>中无与其他同时参加本项目的</w:t>
            </w:r>
            <w:r>
              <w:rPr>
                <w:rFonts w:hint="eastAsia"/>
              </w:rPr>
              <w:t>投标人</w:t>
            </w:r>
            <w:r>
              <w:t>负责人为同一人的情况，不存在直接控股、管理关系的</w:t>
            </w:r>
            <w:r>
              <w:rPr>
                <w:rFonts w:hint="eastAsia"/>
              </w:rPr>
              <w:t>投标人</w:t>
            </w:r>
            <w:r>
              <w:t>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w:t>
            </w:r>
            <w:r>
              <w:rPr>
                <w:rFonts w:hint="eastAsia"/>
                <w:sz w:val="20"/>
                <w:lang w:val="en-US" w:eastAsia="zh-CN"/>
              </w:rPr>
              <w:t>需</w:t>
            </w:r>
            <w:r>
              <w:rPr>
                <w:rFonts w:hint="eastAsia"/>
                <w:sz w:val="20"/>
              </w:rPr>
              <w:t>的设备和专业技术能力</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采购人对投标人履行合同所必</w:t>
            </w:r>
            <w:r>
              <w:rPr>
                <w:rFonts w:hint="eastAsia"/>
                <w:sz w:val="20"/>
                <w:lang w:val="en-US" w:eastAsia="zh-CN"/>
              </w:rPr>
              <w:t>需</w:t>
            </w:r>
            <w:r>
              <w:rPr>
                <w:rFonts w:hint="eastAsia"/>
                <w:sz w:val="20"/>
              </w:rPr>
              <w:t>的设备和专业技术能力无其他特殊要求，投标人</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不属于国家相关法律法规规定的其他禁止参加投标的情形</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、根据招标文件的要求不属于禁止参加投标或投标无效的供应商；</w:t>
            </w:r>
          </w:p>
          <w:p>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0" w:hRule="atLeast"/>
        </w:trPr>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联合体投标</w:t>
            </w:r>
          </w:p>
        </w:tc>
        <w:tc>
          <w:tcPr>
            <w:tcW w:w="5723" w:type="dxa"/>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投标文件签章</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投标文件资格响应文件的语言</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4</w:t>
            </w:r>
          </w:p>
        </w:tc>
        <w:tc>
          <w:tcPr>
            <w:tcW w:w="2109"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w:t>
            </w:r>
            <w:r>
              <w:rPr>
                <w:sz w:val="20"/>
              </w:rPr>
              <w:t>文件</w:t>
            </w:r>
            <w:r>
              <w:rPr>
                <w:rFonts w:hint="eastAsia"/>
                <w:sz w:val="20"/>
              </w:rPr>
              <w:t>组成</w:t>
            </w:r>
          </w:p>
        </w:tc>
        <w:tc>
          <w:tcPr>
            <w:tcW w:w="5723" w:type="dxa"/>
            <w:tcBorders>
              <w:top w:val="single" w:color="auto" w:sz="2" w:space="0"/>
              <w:left w:val="single" w:color="auto" w:sz="2" w:space="0"/>
              <w:bottom w:val="single" w:color="auto" w:sz="2" w:space="0"/>
              <w:right w:val="single" w:color="auto" w:sz="2" w:space="0"/>
            </w:tcBorders>
            <w:vAlign w:val="center"/>
          </w:tcPr>
          <w:p>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【说明：投标人按招标文件3.2.1关于投标人申明的</w:t>
            </w:r>
            <w:r>
              <w:rPr>
                <w:rFonts w:hint="eastAsia"/>
                <w:sz w:val="20"/>
              </w:rPr>
              <w:t>内容</w:t>
            </w:r>
            <w:r>
              <w:rPr>
                <w:rFonts w:hint="eastAsia" w:ascii="宋体" w:hAnsi="宋体"/>
                <w:sz w:val="20"/>
                <w:szCs w:val="28"/>
              </w:rPr>
              <w:t>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8</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本项目为专门面向中小企业采购项目，服务全部由符合政策要求的中小企业承接（说明：监狱企业、残疾人福利性单位视同小型、微型企业）</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专门面向中小企业采购项目:</w:t>
            </w:r>
          </w:p>
          <w:p>
            <w:pPr>
              <w:tabs>
                <w:tab w:val="left" w:pos="851"/>
              </w:tabs>
              <w:spacing w:line="360" w:lineRule="auto"/>
              <w:rPr>
                <w:rFonts w:ascii="宋体" w:hAnsi="宋体"/>
                <w:sz w:val="20"/>
                <w:szCs w:val="28"/>
              </w:rPr>
            </w:pPr>
            <w:r>
              <w:rPr>
                <w:rFonts w:hint="eastAsia" w:ascii="宋体" w:hAnsi="宋体"/>
                <w:sz w:val="20"/>
                <w:szCs w:val="28"/>
              </w:rPr>
              <w:t>1.《中小企业声明函》中声明提供的服务全部由符合政策要求的中小企业承接；</w:t>
            </w:r>
          </w:p>
          <w:p>
            <w:pPr>
              <w:tabs>
                <w:tab w:val="left" w:pos="851"/>
              </w:tabs>
              <w:spacing w:line="360" w:lineRule="auto"/>
              <w:rPr>
                <w:rFonts w:ascii="宋体" w:hAnsi="宋体"/>
                <w:sz w:val="20"/>
                <w:szCs w:val="28"/>
              </w:rPr>
            </w:pPr>
            <w:r>
              <w:rPr>
                <w:rFonts w:hint="eastAsia" w:ascii="宋体" w:hAnsi="宋体"/>
                <w:sz w:val="20"/>
                <w:szCs w:val="28"/>
              </w:rPr>
              <w:t>2.残疾人福利性单位视同为小型、微型企业，《残疾人福利性单位声明函》中声明投标人为符合条件的残疾人福利性单位，其参加</w:t>
            </w:r>
            <w:r>
              <w:rPr>
                <w:rFonts w:hint="eastAsia" w:ascii="宋体" w:hAnsi="宋体"/>
                <w:sz w:val="20"/>
                <w:szCs w:val="28"/>
                <w:u w:val="single"/>
              </w:rPr>
              <w:t>本</w:t>
            </w:r>
            <w:r>
              <w:rPr>
                <w:rFonts w:hint="eastAsia" w:ascii="宋体" w:hAnsi="宋体"/>
                <w:sz w:val="20"/>
                <w:szCs w:val="28"/>
              </w:rPr>
              <w:t>项目采购活动由本单位提供服务；</w:t>
            </w:r>
          </w:p>
          <w:p>
            <w:pPr>
              <w:tabs>
                <w:tab w:val="left" w:pos="851"/>
              </w:tabs>
              <w:spacing w:line="360" w:lineRule="auto"/>
              <w:rPr>
                <w:sz w:val="20"/>
              </w:rPr>
            </w:pPr>
            <w:r>
              <w:rPr>
                <w:rFonts w:hint="eastAsia" w:ascii="宋体" w:hAnsi="宋体"/>
                <w:sz w:val="20"/>
                <w:szCs w:val="28"/>
              </w:rPr>
              <w:t>3.监狱企业视同为小型、微型企业，提供由省级以上监狱管理局、戒毒管理局（含新疆生产建设兵团）出具的</w:t>
            </w:r>
            <w:r>
              <w:rPr>
                <w:rFonts w:hint="eastAsia"/>
                <w:sz w:val="20"/>
              </w:rPr>
              <w:t>投标人</w:t>
            </w:r>
            <w:r>
              <w:rPr>
                <w:rFonts w:hint="eastAsia" w:ascii="宋体" w:hAnsi="宋体"/>
                <w:sz w:val="20"/>
                <w:szCs w:val="28"/>
              </w:rPr>
              <w:t>属于监狱企业的证明文件复印件。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符合”的，则投标人的投标文件通过资格性审查；如有其中任意一项结论为“不符合”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pStyle w:val="2"/>
      </w:pPr>
    </w:p>
    <w:p>
      <w:pPr>
        <w:pStyle w:val="2"/>
      </w:pPr>
    </w:p>
    <w:p>
      <w:pPr>
        <w:pStyle w:val="2"/>
      </w:pPr>
    </w:p>
    <w:p>
      <w:pPr>
        <w:pStyle w:val="2"/>
      </w:pP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4" w:name="_Toc23758"/>
      <w:r>
        <w:rPr>
          <w:rFonts w:hint="eastAsia" w:ascii="宋体" w:hAnsi="宋体"/>
          <w:b/>
          <w:bCs/>
          <w:spacing w:val="-20"/>
          <w:kern w:val="44"/>
          <w:sz w:val="32"/>
          <w:szCs w:val="32"/>
        </w:rPr>
        <w:t>评标办法</w:t>
      </w:r>
      <w:bookmarkEnd w:id="154"/>
    </w:p>
    <w:p>
      <w:pPr>
        <w:keepNext/>
        <w:keepLines/>
        <w:numPr>
          <w:ilvl w:val="1"/>
          <w:numId w:val="5"/>
        </w:numPr>
        <w:spacing w:line="360" w:lineRule="auto"/>
        <w:jc w:val="left"/>
        <w:outlineLvl w:val="1"/>
        <w:rPr>
          <w:rFonts w:ascii="宋体" w:hAnsi="宋体"/>
          <w:b/>
          <w:bCs/>
          <w:sz w:val="28"/>
          <w:szCs w:val="28"/>
        </w:rPr>
      </w:pPr>
      <w:bookmarkStart w:id="155" w:name="_Toc7232"/>
      <w:r>
        <w:rPr>
          <w:rFonts w:hint="eastAsia" w:ascii="宋体" w:hAnsi="宋体"/>
          <w:b/>
          <w:bCs/>
          <w:sz w:val="28"/>
          <w:szCs w:val="28"/>
        </w:rPr>
        <w:t>总则</w:t>
      </w:r>
      <w:bookmarkEnd w:id="155"/>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一、根据《中华人民共和国政府采购法》、《中华人民共和国政府采购法实施条例》和《政府采购货物和服务招标投标管理办法》等法律规章，结合采购项目特点制定本评标办法。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二、评标工作由</w:t>
      </w:r>
      <w:r>
        <w:rPr>
          <w:rFonts w:hint="eastAsia" w:cs="Arial"/>
          <w:sz w:val="28"/>
          <w:szCs w:val="28"/>
        </w:rPr>
        <w:t>市公资交易中心</w:t>
      </w:r>
      <w:r>
        <w:rPr>
          <w:rFonts w:hint="eastAsia" w:ascii="宋体" w:hAnsi="宋体"/>
          <w:sz w:val="28"/>
          <w:szCs w:val="28"/>
        </w:rPr>
        <w:t>负责组织，具体评标事务由采购人或</w:t>
      </w:r>
      <w:r>
        <w:rPr>
          <w:rFonts w:hint="eastAsia" w:cs="Arial"/>
          <w:sz w:val="28"/>
          <w:szCs w:val="28"/>
        </w:rPr>
        <w:t>市公资交易中心</w:t>
      </w:r>
      <w:r>
        <w:rPr>
          <w:rFonts w:hint="eastAsia" w:ascii="宋体" w:hAnsi="宋体"/>
          <w:sz w:val="28"/>
          <w:szCs w:val="28"/>
        </w:rPr>
        <w:t>依法组建的评标委员会负责。评标委员会由采购人代表和评审专家组成。</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三、评标工作应遵循公平、公正、科学及择优的原则，并以相同的评标程序和标准对待所有的投标人。</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四、评标委员会按照招标文件规定的评标程序、评标方法和标准进行独立评审，并独立履行下列职责：</w:t>
      </w:r>
    </w:p>
    <w:p>
      <w:pPr>
        <w:numPr>
          <w:ilvl w:val="1"/>
          <w:numId w:val="33"/>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33"/>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33"/>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33"/>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33"/>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33"/>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33"/>
        </w:numPr>
        <w:spacing w:line="360" w:lineRule="auto"/>
        <w:ind w:left="0" w:firstLine="567"/>
        <w:rPr>
          <w:rFonts w:ascii="宋体" w:hAnsi="宋体"/>
          <w:sz w:val="28"/>
          <w:szCs w:val="28"/>
        </w:rPr>
      </w:pPr>
      <w:r>
        <w:rPr>
          <w:rFonts w:hint="eastAsia" w:ascii="宋体" w:hAnsi="宋体"/>
          <w:sz w:val="28"/>
          <w:szCs w:val="28"/>
        </w:rPr>
        <w:t>向采购人、市公资交易中心或者财政、监察等有关部门报告或举报非法干预评标工作的行为；</w:t>
      </w:r>
    </w:p>
    <w:p>
      <w:pPr>
        <w:numPr>
          <w:ilvl w:val="1"/>
          <w:numId w:val="33"/>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rPr>
        <w:t>市公资交易中心</w:t>
      </w:r>
      <w:r>
        <w:rPr>
          <w:rFonts w:hint="eastAsia" w:ascii="宋体" w:hAnsi="宋体"/>
          <w:sz w:val="28"/>
          <w:szCs w:val="28"/>
        </w:rPr>
        <w:t>或者有关部门报告评标中发现的违法行为。</w:t>
      </w:r>
    </w:p>
    <w:p>
      <w:pPr>
        <w:numPr>
          <w:ilvl w:val="1"/>
          <w:numId w:val="33"/>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五、评标过程独立、保密。投标人非法干预评标过程的行为将导致其投标文件作为无效处理。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六、评标委员会决定投标文件的响应性依据投标文件本身的内容，而不寻求外部的证据，招标文件有明确约定的除外。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七、评标委员会发现招标文件表述不明确或需要说明的事项，可提请采购人和市公资交易中心书面解释说明。</w:t>
      </w:r>
    </w:p>
    <w:p>
      <w:pPr>
        <w:keepNext/>
        <w:keepLines/>
        <w:numPr>
          <w:ilvl w:val="1"/>
          <w:numId w:val="5"/>
        </w:numPr>
        <w:spacing w:line="360" w:lineRule="auto"/>
        <w:jc w:val="left"/>
        <w:outlineLvl w:val="1"/>
        <w:rPr>
          <w:rFonts w:ascii="宋体" w:hAnsi="宋体"/>
          <w:b/>
          <w:bCs/>
          <w:sz w:val="28"/>
          <w:szCs w:val="28"/>
        </w:rPr>
      </w:pPr>
      <w:bookmarkStart w:id="156" w:name="_Toc10972"/>
      <w:r>
        <w:rPr>
          <w:rFonts w:hint="eastAsia" w:ascii="宋体" w:hAnsi="宋体"/>
          <w:b/>
          <w:bCs/>
          <w:sz w:val="28"/>
          <w:szCs w:val="28"/>
        </w:rPr>
        <w:t>评标方法</w:t>
      </w:r>
      <w:bookmarkEnd w:id="156"/>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57" w:name="_Toc24612"/>
      <w:r>
        <w:rPr>
          <w:rFonts w:hint="eastAsia" w:ascii="宋体" w:hAnsi="宋体"/>
          <w:b/>
          <w:bCs/>
          <w:sz w:val="28"/>
          <w:szCs w:val="28"/>
        </w:rPr>
        <w:t>评标程序</w:t>
      </w:r>
      <w:bookmarkEnd w:id="157"/>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符合性审查标准见下表（按以下顺序审查）：</w:t>
      </w:r>
    </w:p>
    <w:tbl>
      <w:tblPr>
        <w:tblStyle w:val="43"/>
        <w:tblW w:w="906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963"/>
        <w:gridCol w:w="6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符合性审查项</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w:t>
            </w:r>
            <w:r>
              <w:rPr>
                <w:rFonts w:ascii="宋体" w:hAnsi="宋体"/>
                <w:sz w:val="24"/>
                <w:szCs w:val="28"/>
              </w:rPr>
              <w:t>响应文件</w:t>
            </w:r>
            <w:r>
              <w:rPr>
                <w:rFonts w:hint="eastAsia" w:ascii="宋体" w:hAnsi="宋体"/>
                <w:sz w:val="24"/>
                <w:szCs w:val="28"/>
              </w:rPr>
              <w:t>及</w:t>
            </w:r>
            <w:r>
              <w:rPr>
                <w:rFonts w:ascii="宋体" w:hAnsi="宋体"/>
                <w:sz w:val="24"/>
                <w:szCs w:val="28"/>
              </w:rPr>
              <w:t>报价要求响应文件</w:t>
            </w:r>
            <w:r>
              <w:rPr>
                <w:rFonts w:hint="eastAsia" w:ascii="宋体" w:hAnsi="宋体"/>
                <w:sz w:val="24"/>
                <w:szCs w:val="28"/>
              </w:rPr>
              <w:t>组成</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2</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w:t>
            </w:r>
            <w:r>
              <w:rPr>
                <w:rFonts w:ascii="宋体" w:hAnsi="宋体"/>
                <w:sz w:val="24"/>
                <w:szCs w:val="28"/>
              </w:rPr>
              <w:t>响应文件</w:t>
            </w:r>
            <w:r>
              <w:rPr>
                <w:rFonts w:hint="eastAsia" w:ascii="宋体" w:hAnsi="宋体"/>
                <w:sz w:val="24"/>
                <w:szCs w:val="28"/>
              </w:rPr>
              <w:t>、</w:t>
            </w:r>
            <w:r>
              <w:rPr>
                <w:rFonts w:ascii="宋体" w:hAnsi="宋体"/>
                <w:sz w:val="24"/>
                <w:szCs w:val="28"/>
              </w:rPr>
              <w:t>报价要求响应文件</w:t>
            </w:r>
            <w:r>
              <w:rPr>
                <w:rFonts w:hint="eastAsia" w:ascii="宋体" w:hAnsi="宋体"/>
                <w:sz w:val="24"/>
                <w:szCs w:val="28"/>
              </w:rPr>
              <w:t>的的计量单位、语言、报价货币、投标有效期、</w:t>
            </w:r>
            <w:r>
              <w:rPr>
                <w:rFonts w:ascii="宋体" w:hAnsi="宋体"/>
                <w:sz w:val="24"/>
                <w:szCs w:val="28"/>
              </w:rPr>
              <w:t>知识产权等</w:t>
            </w:r>
            <w:r>
              <w:rPr>
                <w:rFonts w:hint="eastAsia" w:ascii="宋体" w:hAnsi="宋体"/>
                <w:sz w:val="24"/>
                <w:szCs w:val="28"/>
              </w:rPr>
              <w:t>采购</w:t>
            </w:r>
            <w:r>
              <w:rPr>
                <w:rFonts w:ascii="宋体" w:hAnsi="宋体"/>
                <w:sz w:val="24"/>
                <w:szCs w:val="28"/>
              </w:rPr>
              <w:t>文件实质性要求或</w:t>
            </w:r>
            <w:r>
              <w:rPr>
                <w:rFonts w:hint="eastAsia" w:ascii="宋体" w:hAnsi="宋体"/>
                <w:sz w:val="24"/>
                <w:szCs w:val="28"/>
              </w:rPr>
              <w:t>是否</w:t>
            </w:r>
            <w:r>
              <w:rPr>
                <w:rFonts w:ascii="宋体" w:hAnsi="宋体"/>
                <w:sz w:val="24"/>
                <w:szCs w:val="28"/>
              </w:rPr>
              <w:t>应当作无效投标处理</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w:t>
            </w:r>
            <w:r>
              <w:rPr>
                <w:rFonts w:ascii="宋体" w:hAnsi="宋体"/>
                <w:sz w:val="24"/>
                <w:szCs w:val="28"/>
              </w:rPr>
              <w:t>知识产权等</w:t>
            </w:r>
            <w:r>
              <w:rPr>
                <w:rFonts w:hint="eastAsia" w:ascii="宋体" w:hAnsi="宋体"/>
                <w:sz w:val="24"/>
                <w:szCs w:val="28"/>
              </w:rPr>
              <w:t>均符合招标文件的实质性要求以及</w:t>
            </w:r>
            <w:r>
              <w:rPr>
                <w:rFonts w:ascii="宋体" w:hAnsi="宋体"/>
                <w:sz w:val="24"/>
                <w:szCs w:val="28"/>
              </w:rPr>
              <w:t>不应当作无效投标处理</w:t>
            </w:r>
            <w:r>
              <w:rPr>
                <w:rFonts w:hint="eastAsia"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3</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投标报价</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评标委员会不得未经要求投标人确认，直接将投标人投标文件作无效处理。（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r>
              <w:rPr>
                <w:rFonts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4</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第4章打★号的服务、商务和其他要求</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5</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进口产品</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6</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不属于禁止参加投标或投标无效的投标人</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（1）根据招标文件的要求不属于禁止参加投标或投标无效的投标人；</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（2）评标委员会未发现或者未知晓投标人存在属于国家相关法律法规规定的禁止参加投标或投标无效的投标人。</w:t>
            </w:r>
          </w:p>
          <w:p>
            <w:pPr>
              <w:tabs>
                <w:tab w:val="left" w:pos="851"/>
              </w:tabs>
              <w:spacing w:line="360" w:lineRule="auto"/>
              <w:rPr>
                <w:rFonts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7</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法定代表人或主要负责人身份证复印件或护照复印件</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8</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cs="仿宋_GB2312" w:asciiTheme="minorEastAsia" w:hAnsiTheme="minorEastAsia" w:eastAsiaTheme="minorEastAsia"/>
                <w:sz w:val="24"/>
                <w:szCs w:val="24"/>
              </w:rPr>
              <w:t>无。</w:t>
            </w:r>
          </w:p>
        </w:tc>
      </w:tr>
    </w:tbl>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符合”的，则投标人的投标文件通过符合性审查；如有任意一项结论为“不符合”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34"/>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pPr>
        <w:numPr>
          <w:ilvl w:val="0"/>
          <w:numId w:val="34"/>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4"/>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5"/>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35"/>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35"/>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34"/>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r>
        <w:rPr>
          <w:rFonts w:hint="eastAsia" w:ascii="宋体" w:hAnsi="宋体"/>
          <w:sz w:val="28"/>
          <w:szCs w:val="28"/>
        </w:rPr>
        <w:t>评标委员会不得未经要求投标人确认，直接将投标人投标文件作无效处理。</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rPr>
        <w:t>市公资交易中心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36"/>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36"/>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36"/>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36"/>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560" w:lineRule="exact"/>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37"/>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37"/>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37"/>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37"/>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37"/>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37"/>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37"/>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58" w:name="_Toc1319"/>
      <w:r>
        <w:rPr>
          <w:rFonts w:hint="eastAsia" w:ascii="宋体" w:hAnsi="宋体"/>
          <w:b/>
          <w:bCs/>
          <w:sz w:val="28"/>
          <w:szCs w:val="28"/>
        </w:rPr>
        <w:t>评标争议处理规则</w:t>
      </w:r>
      <w:bookmarkEnd w:id="158"/>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rPr>
        <w:t>市公资交易中心</w:t>
      </w:r>
      <w:r>
        <w:rPr>
          <w:rFonts w:hint="eastAsia" w:ascii="宋体" w:hAnsi="宋体"/>
          <w:sz w:val="28"/>
          <w:szCs w:val="28"/>
        </w:rPr>
        <w:t>书面反映。采购人或</w:t>
      </w:r>
      <w:r>
        <w:rPr>
          <w:rFonts w:hint="eastAsia" w:cs="Arial"/>
          <w:sz w:val="28"/>
          <w:szCs w:val="28"/>
        </w:rPr>
        <w:t>市公资交易中心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59" w:name="_Toc20219"/>
      <w:r>
        <w:rPr>
          <w:rFonts w:hint="eastAsia" w:ascii="宋体" w:hAnsi="宋体"/>
          <w:b/>
          <w:bCs/>
          <w:sz w:val="28"/>
          <w:szCs w:val="28"/>
        </w:rPr>
        <w:t>评标细则及标准</w:t>
      </w:r>
      <w:bookmarkEnd w:id="159"/>
    </w:p>
    <w:p>
      <w:pPr>
        <w:numPr>
          <w:ilvl w:val="0"/>
          <w:numId w:val="38"/>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38"/>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38"/>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pPr>
      <w:r>
        <w:rPr>
          <w:rFonts w:hint="eastAsia" w:ascii="宋体" w:hAnsi="宋体"/>
          <w:b/>
          <w:bCs/>
          <w:sz w:val="28"/>
          <w:szCs w:val="28"/>
        </w:rPr>
        <w:t xml:space="preserve">评分标准 </w:t>
      </w:r>
      <w:bookmarkStart w:id="160" w:name="_Toc320624265"/>
      <w:bookmarkEnd w:id="160"/>
      <w:bookmarkStart w:id="161" w:name="_Toc320624255"/>
      <w:bookmarkEnd w:id="161"/>
      <w:bookmarkStart w:id="162" w:name="_Toc315871658"/>
      <w:bookmarkEnd w:id="162"/>
      <w:bookmarkStart w:id="163" w:name="_Toc315871656"/>
      <w:bookmarkEnd w:id="163"/>
      <w:bookmarkStart w:id="164" w:name="_Toc320624295"/>
      <w:bookmarkEnd w:id="164"/>
      <w:bookmarkStart w:id="165" w:name="_Toc318206701"/>
      <w:bookmarkEnd w:id="165"/>
      <w:bookmarkStart w:id="166" w:name="_Toc320624290"/>
      <w:bookmarkEnd w:id="166"/>
      <w:bookmarkStart w:id="167" w:name="_Toc315871725"/>
      <w:bookmarkEnd w:id="167"/>
      <w:bookmarkStart w:id="168" w:name="_Toc320624280"/>
      <w:bookmarkEnd w:id="168"/>
      <w:bookmarkStart w:id="169" w:name="_Toc315871657"/>
      <w:bookmarkEnd w:id="169"/>
      <w:bookmarkStart w:id="170" w:name="_Toc320624240"/>
      <w:bookmarkEnd w:id="170"/>
      <w:bookmarkStart w:id="171" w:name="_Toc320624260"/>
      <w:bookmarkEnd w:id="171"/>
      <w:bookmarkStart w:id="172" w:name="_Toc320624285"/>
      <w:bookmarkEnd w:id="172"/>
      <w:bookmarkStart w:id="173" w:name="_Toc320624275"/>
      <w:bookmarkEnd w:id="173"/>
    </w:p>
    <w:tbl>
      <w:tblPr>
        <w:tblStyle w:val="43"/>
        <w:tblW w:w="8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64"/>
        <w:gridCol w:w="5971"/>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1" w:hRule="atLeast"/>
        </w:trPr>
        <w:tc>
          <w:tcPr>
            <w:tcW w:w="754" w:type="dxa"/>
            <w:vAlign w:val="center"/>
          </w:tcPr>
          <w:p>
            <w:pPr>
              <w:jc w:val="center"/>
              <w:rPr>
                <w:rFonts w:hint="eastAsia" w:asciiTheme="minorEastAsia" w:hAnsiTheme="minorEastAsia" w:eastAsiaTheme="minorEastAsia" w:cstheme="minorEastAsia"/>
                <w:b/>
                <w:bCs/>
                <w:color w:val="auto"/>
                <w:kern w:val="0"/>
                <w:sz w:val="24"/>
                <w:szCs w:val="24"/>
                <w:highlight w:val="none"/>
                <w:lang w:val="en-US" w:eastAsia="zh-CN"/>
              </w:rPr>
            </w:pPr>
            <w:r>
              <w:rPr>
                <w:rFonts w:hint="eastAsia" w:asciiTheme="minorEastAsia" w:hAnsiTheme="minorEastAsia" w:eastAsiaTheme="minorEastAsia" w:cstheme="minorEastAsia"/>
                <w:b/>
                <w:bCs/>
                <w:color w:val="auto"/>
                <w:kern w:val="0"/>
                <w:sz w:val="24"/>
                <w:szCs w:val="24"/>
                <w:highlight w:val="none"/>
                <w:lang w:val="en-US" w:eastAsia="zh-CN"/>
              </w:rPr>
              <w:t>评审项目</w:t>
            </w:r>
          </w:p>
        </w:tc>
        <w:tc>
          <w:tcPr>
            <w:tcW w:w="864" w:type="dxa"/>
            <w:vAlign w:val="center"/>
          </w:tcPr>
          <w:p>
            <w:pPr>
              <w:jc w:val="both"/>
              <w:rPr>
                <w:rFonts w:hint="eastAsia" w:asciiTheme="minorEastAsia" w:hAnsiTheme="minorEastAsia" w:eastAsiaTheme="minorEastAsia" w:cstheme="minorEastAsia"/>
                <w:b/>
                <w:bCs/>
                <w:color w:val="auto"/>
                <w:kern w:val="0"/>
                <w:sz w:val="24"/>
                <w:szCs w:val="24"/>
                <w:highlight w:val="none"/>
              </w:rPr>
            </w:pPr>
            <w:r>
              <w:rPr>
                <w:rFonts w:hint="eastAsia" w:asciiTheme="minorEastAsia" w:hAnsiTheme="minorEastAsia" w:eastAsiaTheme="minorEastAsia" w:cstheme="minorEastAsia"/>
                <w:b/>
                <w:bCs/>
                <w:color w:val="auto"/>
                <w:kern w:val="0"/>
                <w:sz w:val="24"/>
                <w:szCs w:val="24"/>
                <w:highlight w:val="none"/>
              </w:rPr>
              <w:t>分值</w:t>
            </w:r>
          </w:p>
        </w:tc>
        <w:tc>
          <w:tcPr>
            <w:tcW w:w="5971" w:type="dxa"/>
            <w:vAlign w:val="center"/>
          </w:tcPr>
          <w:p>
            <w:pPr>
              <w:jc w:val="center"/>
              <w:rPr>
                <w:rFonts w:hint="eastAsia" w:asciiTheme="minorEastAsia" w:hAnsiTheme="minorEastAsia" w:eastAsiaTheme="minorEastAsia" w:cstheme="minorEastAsia"/>
                <w:b/>
                <w:bCs/>
                <w:color w:val="auto"/>
                <w:kern w:val="0"/>
                <w:sz w:val="24"/>
                <w:szCs w:val="24"/>
                <w:highlight w:val="none"/>
              </w:rPr>
            </w:pPr>
            <w:r>
              <w:rPr>
                <w:rFonts w:hint="eastAsia" w:asciiTheme="minorEastAsia" w:hAnsiTheme="minorEastAsia" w:eastAsiaTheme="minorEastAsia" w:cstheme="minorEastAsia"/>
                <w:b/>
                <w:bCs/>
                <w:color w:val="auto"/>
                <w:kern w:val="0"/>
                <w:sz w:val="24"/>
                <w:szCs w:val="24"/>
                <w:highlight w:val="none"/>
              </w:rPr>
              <w:t>评分标准</w:t>
            </w:r>
          </w:p>
        </w:tc>
        <w:tc>
          <w:tcPr>
            <w:tcW w:w="986" w:type="dxa"/>
            <w:vAlign w:val="center"/>
          </w:tcPr>
          <w:p>
            <w:pPr>
              <w:jc w:val="left"/>
              <w:rPr>
                <w:rFonts w:hint="eastAsia" w:asciiTheme="minorEastAsia" w:hAnsiTheme="minorEastAsia" w:eastAsiaTheme="minorEastAsia" w:cstheme="minorEastAsia"/>
                <w:b/>
                <w:bCs/>
                <w:color w:val="auto"/>
                <w:kern w:val="0"/>
                <w:sz w:val="24"/>
                <w:szCs w:val="24"/>
                <w:highlight w:val="none"/>
              </w:rPr>
            </w:pPr>
            <w:r>
              <w:rPr>
                <w:rFonts w:hint="eastAsia" w:asciiTheme="minorEastAsia" w:hAnsiTheme="minorEastAsia" w:eastAsiaTheme="minorEastAsia" w:cstheme="minorEastAsia"/>
                <w:b/>
                <w:bCs/>
                <w:color w:val="auto"/>
                <w:kern w:val="0"/>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1" w:hRule="atLeast"/>
        </w:trPr>
        <w:tc>
          <w:tcPr>
            <w:tcW w:w="754" w:type="dxa"/>
            <w:vAlign w:val="center"/>
          </w:tcPr>
          <w:p>
            <w:pPr>
              <w:tabs>
                <w:tab w:val="left" w:pos="851"/>
              </w:tabs>
              <w:spacing w:line="360" w:lineRule="auto"/>
              <w:rPr>
                <w:rFonts w:hint="eastAsia" w:ascii="宋体" w:hAnsi="宋体"/>
                <w:sz w:val="24"/>
                <w:szCs w:val="28"/>
              </w:rPr>
            </w:pPr>
            <w:r>
              <w:rPr>
                <w:rFonts w:hint="eastAsia" w:ascii="宋体" w:hAnsi="宋体"/>
                <w:sz w:val="24"/>
                <w:szCs w:val="28"/>
              </w:rPr>
              <w:t>报价</w:t>
            </w:r>
          </w:p>
          <w:p>
            <w:pPr>
              <w:tabs>
                <w:tab w:val="left" w:pos="851"/>
              </w:tabs>
              <w:spacing w:line="360" w:lineRule="auto"/>
              <w:rPr>
                <w:rFonts w:hint="eastAsia" w:ascii="宋体" w:hAnsi="宋体"/>
                <w:sz w:val="24"/>
                <w:szCs w:val="28"/>
              </w:rPr>
            </w:pPr>
          </w:p>
        </w:tc>
        <w:tc>
          <w:tcPr>
            <w:tcW w:w="864" w:type="dxa"/>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10</w:t>
            </w:r>
            <w:r>
              <w:rPr>
                <w:rFonts w:hint="eastAsia" w:ascii="宋体" w:hAnsi="宋体"/>
                <w:sz w:val="24"/>
                <w:szCs w:val="28"/>
              </w:rPr>
              <w:t>分</w:t>
            </w:r>
          </w:p>
        </w:tc>
        <w:tc>
          <w:tcPr>
            <w:tcW w:w="5971" w:type="dxa"/>
            <w:vAlign w:val="center"/>
          </w:tcPr>
          <w:p>
            <w:pPr>
              <w:tabs>
                <w:tab w:val="left" w:pos="851"/>
              </w:tabs>
              <w:spacing w:line="360" w:lineRule="auto"/>
              <w:rPr>
                <w:rFonts w:hint="default" w:ascii="宋体" w:hAnsi="宋体"/>
                <w:sz w:val="24"/>
                <w:szCs w:val="28"/>
                <w:lang w:val="en-US"/>
              </w:rPr>
            </w:pPr>
            <w:r>
              <w:rPr>
                <w:rFonts w:hint="eastAsia" w:ascii="宋体" w:hAnsi="宋体"/>
                <w:sz w:val="24"/>
                <w:szCs w:val="28"/>
              </w:rPr>
              <w:t>1、经评标委员会评审，通过资格性和符合性审查，且投标报价最低的投标人的投标报价作为评标基准价；</w:t>
            </w:r>
            <w:r>
              <w:rPr>
                <w:rFonts w:hint="eastAsia" w:ascii="宋体" w:hAnsi="宋体"/>
                <w:sz w:val="24"/>
                <w:szCs w:val="28"/>
              </w:rPr>
              <w:br w:type="textWrapping"/>
            </w:r>
            <w:r>
              <w:rPr>
                <w:rFonts w:hint="eastAsia" w:ascii="宋体" w:hAnsi="宋体"/>
                <w:sz w:val="24"/>
                <w:szCs w:val="28"/>
              </w:rPr>
              <w:t>2、投标报价得分=(评标基准价／投标报价)×</w:t>
            </w:r>
            <w:r>
              <w:rPr>
                <w:rFonts w:hint="eastAsia" w:ascii="宋体" w:hAnsi="宋体"/>
                <w:sz w:val="24"/>
                <w:szCs w:val="28"/>
                <w:lang w:val="en-US" w:eastAsia="zh-CN"/>
              </w:rPr>
              <w:t>10</w:t>
            </w:r>
          </w:p>
        </w:tc>
        <w:tc>
          <w:tcPr>
            <w:tcW w:w="986" w:type="dxa"/>
            <w:vAlign w:val="center"/>
          </w:tcPr>
          <w:p>
            <w:pPr>
              <w:tabs>
                <w:tab w:val="left" w:pos="851"/>
              </w:tabs>
              <w:spacing w:line="360" w:lineRule="auto"/>
              <w:rPr>
                <w:rFonts w:hint="eastAsia" w:ascii="宋体" w:hAnsi="宋体"/>
                <w:sz w:val="24"/>
                <w:szCs w:val="28"/>
              </w:rPr>
            </w:pPr>
            <w:r>
              <w:rPr>
                <w:rFonts w:hint="eastAsia" w:ascii="宋体" w:hAnsi="宋体"/>
                <w:sz w:val="24"/>
                <w:szCs w:val="28"/>
              </w:rPr>
              <w:t>共同类评审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trPr>
        <w:tc>
          <w:tcPr>
            <w:tcW w:w="754" w:type="dxa"/>
            <w:vMerge w:val="restart"/>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服务方案</w:t>
            </w:r>
            <w:r>
              <w:rPr>
                <w:rFonts w:hint="eastAsia" w:ascii="宋体" w:hAnsi="宋体"/>
                <w:sz w:val="24"/>
                <w:szCs w:val="28"/>
                <w:lang w:val="en-US" w:eastAsia="zh-CN"/>
              </w:rPr>
              <w:br w:type="textWrapping"/>
            </w: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门岗管理方案</w:t>
            </w:r>
            <w:r>
              <w:rPr>
                <w:rFonts w:hint="eastAsia" w:ascii="宋体" w:hAnsi="宋体"/>
                <w:sz w:val="24"/>
                <w:szCs w:val="28"/>
                <w:lang w:val="en-US" w:eastAsia="zh-CN"/>
              </w:rPr>
              <w:br w:type="textWrapping"/>
            </w:r>
            <w:r>
              <w:rPr>
                <w:rFonts w:hint="eastAsia" w:ascii="宋体" w:hAnsi="宋体"/>
                <w:sz w:val="24"/>
                <w:szCs w:val="28"/>
                <w:lang w:val="en-US" w:eastAsia="zh-CN"/>
              </w:rPr>
              <w:t>（9分）</w:t>
            </w:r>
          </w:p>
        </w:tc>
        <w:tc>
          <w:tcPr>
            <w:tcW w:w="5971" w:type="dxa"/>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提供大门岗秩序管理方案得3分；提供大门岗物品控制方案得3分；提供内部物品进出控制方案得3分；每有一项缺失或不完善、不清晰、不合理的扣3分，扣完为止。</w:t>
            </w:r>
          </w:p>
        </w:tc>
        <w:tc>
          <w:tcPr>
            <w:tcW w:w="986" w:type="dxa"/>
            <w:vMerge w:val="restart"/>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技术类评审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trPr>
        <w:tc>
          <w:tcPr>
            <w:tcW w:w="754"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lang w:val="en-US" w:eastAsia="zh-CN"/>
              </w:rPr>
            </w:pPr>
            <w:r>
              <w:rPr>
                <w:rFonts w:hint="eastAsia" w:ascii="宋体" w:hAnsi="宋体"/>
                <w:sz w:val="24"/>
                <w:szCs w:val="28"/>
                <w:lang w:val="en-US" w:eastAsia="zh-CN"/>
              </w:rPr>
              <w:t>夜间值守管理方案</w:t>
            </w:r>
          </w:p>
          <w:p>
            <w:pPr>
              <w:tabs>
                <w:tab w:val="left" w:pos="851"/>
              </w:tabs>
              <w:spacing w:line="360" w:lineRule="auto"/>
              <w:rPr>
                <w:rFonts w:hint="eastAsia" w:ascii="宋体" w:hAnsi="宋体"/>
                <w:sz w:val="24"/>
                <w:szCs w:val="28"/>
              </w:rPr>
            </w:pPr>
            <w:r>
              <w:rPr>
                <w:rFonts w:hint="eastAsia" w:ascii="宋体" w:hAnsi="宋体"/>
                <w:sz w:val="24"/>
                <w:szCs w:val="28"/>
                <w:lang w:val="en-US" w:eastAsia="zh-CN"/>
              </w:rPr>
              <w:t>（9分）</w:t>
            </w:r>
          </w:p>
        </w:tc>
        <w:tc>
          <w:tcPr>
            <w:tcW w:w="5971" w:type="dxa"/>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提供包含夜间值守制度得3分、提供夜间值 守注意事项得3分、提供夜间值守服务流程 得3分；每有一项缺失或不完善、不清晰、不合理的扣3分，扣完为止。</w:t>
            </w:r>
          </w:p>
        </w:tc>
        <w:tc>
          <w:tcPr>
            <w:tcW w:w="986"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trPr>
        <w:tc>
          <w:tcPr>
            <w:tcW w:w="754"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车辆停放管理方案</w:t>
            </w:r>
            <w:r>
              <w:rPr>
                <w:rFonts w:hint="eastAsia" w:ascii="宋体" w:hAnsi="宋体"/>
                <w:sz w:val="24"/>
                <w:szCs w:val="28"/>
                <w:lang w:val="en-US" w:eastAsia="zh-CN"/>
              </w:rPr>
              <w:br w:type="textWrapping"/>
            </w:r>
            <w:r>
              <w:rPr>
                <w:rFonts w:hint="eastAsia" w:ascii="宋体" w:hAnsi="宋体"/>
                <w:sz w:val="24"/>
                <w:szCs w:val="28"/>
                <w:lang w:val="en-US" w:eastAsia="zh-CN"/>
              </w:rPr>
              <w:t>（9分）</w:t>
            </w:r>
          </w:p>
        </w:tc>
        <w:tc>
          <w:tcPr>
            <w:tcW w:w="5971" w:type="dxa"/>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提供包含停车场管理方案得3分；提供机动 车车辆管理方案得3分；提供非机动车管理 方案得3分。每有一项缺失或不完善、不清晰、不合理的扣3分，扣完为止。</w:t>
            </w:r>
          </w:p>
        </w:tc>
        <w:tc>
          <w:tcPr>
            <w:tcW w:w="986"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trPr>
        <w:tc>
          <w:tcPr>
            <w:tcW w:w="754"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应急事件处理方案</w:t>
            </w:r>
            <w:r>
              <w:rPr>
                <w:rFonts w:hint="eastAsia" w:ascii="宋体" w:hAnsi="宋体"/>
                <w:sz w:val="24"/>
                <w:szCs w:val="28"/>
                <w:lang w:val="en-US" w:eastAsia="zh-CN"/>
              </w:rPr>
              <w:br w:type="textWrapping"/>
            </w:r>
            <w:r>
              <w:rPr>
                <w:rFonts w:hint="eastAsia" w:ascii="宋体" w:hAnsi="宋体"/>
                <w:sz w:val="24"/>
                <w:szCs w:val="28"/>
                <w:lang w:val="en-US" w:eastAsia="zh-CN"/>
              </w:rPr>
              <w:t>（9分）</w:t>
            </w:r>
          </w:p>
        </w:tc>
        <w:tc>
          <w:tcPr>
            <w:tcW w:w="5971" w:type="dxa"/>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提供发生突发事件的应急保障措施得3分；提供治安事故应急预案得3分；提供应急事件的处理流程得3分。每有一项缺失或不完善、不清晰、不合理的扣3分，扣完为止。</w:t>
            </w:r>
          </w:p>
        </w:tc>
        <w:tc>
          <w:tcPr>
            <w:tcW w:w="986"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trPr>
        <w:tc>
          <w:tcPr>
            <w:tcW w:w="754"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设施设备维修保养服务方案</w:t>
            </w:r>
            <w:r>
              <w:rPr>
                <w:rFonts w:hint="eastAsia" w:ascii="宋体" w:hAnsi="宋体"/>
                <w:sz w:val="24"/>
                <w:szCs w:val="28"/>
                <w:lang w:val="en-US" w:eastAsia="zh-CN"/>
              </w:rPr>
              <w:br w:type="textWrapping"/>
            </w:r>
            <w:r>
              <w:rPr>
                <w:rFonts w:hint="eastAsia" w:ascii="宋体" w:hAnsi="宋体"/>
                <w:sz w:val="24"/>
                <w:szCs w:val="28"/>
                <w:lang w:val="en-US" w:eastAsia="zh-CN"/>
              </w:rPr>
              <w:t>（9分）</w:t>
            </w:r>
          </w:p>
        </w:tc>
        <w:tc>
          <w:tcPr>
            <w:tcW w:w="5971" w:type="dxa"/>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提供设施设备岗位职责得3分；提供设施设备管理方案得3分；提供共用设施设备维修保养管理细则得3分。每有一项缺失或不完善、不清晰、不合理的扣3分，扣完为止。</w:t>
            </w:r>
          </w:p>
        </w:tc>
        <w:tc>
          <w:tcPr>
            <w:tcW w:w="986"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trPr>
        <w:tc>
          <w:tcPr>
            <w:tcW w:w="754"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绿化服务方案</w:t>
            </w:r>
            <w:r>
              <w:rPr>
                <w:rFonts w:hint="eastAsia" w:ascii="宋体" w:hAnsi="宋体"/>
                <w:sz w:val="24"/>
                <w:szCs w:val="28"/>
                <w:lang w:val="en-US" w:eastAsia="zh-CN"/>
              </w:rPr>
              <w:br w:type="textWrapping"/>
            </w:r>
            <w:r>
              <w:rPr>
                <w:rFonts w:hint="eastAsia" w:ascii="宋体" w:hAnsi="宋体"/>
                <w:sz w:val="24"/>
                <w:szCs w:val="28"/>
                <w:lang w:val="en-US" w:eastAsia="zh-CN"/>
              </w:rPr>
              <w:t>（4分）</w:t>
            </w:r>
          </w:p>
        </w:tc>
        <w:tc>
          <w:tcPr>
            <w:tcW w:w="5971" w:type="dxa"/>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提供绿化养护服务方案的2分；提供绿化维护操作规程得2分。每有一项缺失或不完善、不清晰、不合理的扣2分，扣完为止。</w:t>
            </w:r>
          </w:p>
        </w:tc>
        <w:tc>
          <w:tcPr>
            <w:tcW w:w="986"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trPr>
        <w:tc>
          <w:tcPr>
            <w:tcW w:w="754"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项目管理制度方案</w:t>
            </w:r>
            <w:r>
              <w:rPr>
                <w:rFonts w:hint="eastAsia" w:ascii="宋体" w:hAnsi="宋体"/>
                <w:sz w:val="24"/>
                <w:szCs w:val="28"/>
                <w:lang w:val="en-US" w:eastAsia="zh-CN"/>
              </w:rPr>
              <w:br w:type="textWrapping"/>
            </w:r>
            <w:r>
              <w:rPr>
                <w:rFonts w:hint="eastAsia" w:ascii="宋体" w:hAnsi="宋体"/>
                <w:sz w:val="24"/>
                <w:szCs w:val="28"/>
                <w:lang w:val="en-US" w:eastAsia="zh-CN"/>
              </w:rPr>
              <w:t>（6分）</w:t>
            </w:r>
          </w:p>
        </w:tc>
        <w:tc>
          <w:tcPr>
            <w:tcW w:w="5971" w:type="dxa"/>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提供项目管理制度各岗位职能职责得2分；提供人员培训制度流程的2分；提供内部日常管理制度得2分。每有一项缺失或不完善、不清晰、不合理的扣2分，扣完为止。</w:t>
            </w:r>
          </w:p>
        </w:tc>
        <w:tc>
          <w:tcPr>
            <w:tcW w:w="986"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trPr>
        <w:tc>
          <w:tcPr>
            <w:tcW w:w="754" w:type="dxa"/>
            <w:vMerge w:val="continue"/>
            <w:tcBorders>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消防管理方案</w:t>
            </w:r>
            <w:r>
              <w:rPr>
                <w:rFonts w:hint="eastAsia" w:ascii="宋体" w:hAnsi="宋体"/>
                <w:sz w:val="24"/>
                <w:szCs w:val="28"/>
                <w:lang w:val="en-US" w:eastAsia="zh-CN"/>
              </w:rPr>
              <w:br w:type="textWrapping"/>
            </w:r>
            <w:r>
              <w:rPr>
                <w:rFonts w:hint="eastAsia" w:ascii="宋体" w:hAnsi="宋体"/>
                <w:sz w:val="24"/>
                <w:szCs w:val="28"/>
                <w:lang w:val="en-US" w:eastAsia="zh-CN"/>
              </w:rPr>
              <w:t>（6分）</w:t>
            </w:r>
          </w:p>
        </w:tc>
        <w:tc>
          <w:tcPr>
            <w:tcW w:w="5971" w:type="dxa"/>
            <w:tcBorders>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提供消防设备的维护保养方案得2分、提供 消防演练方案得2分、提供消防巡查方案得2分、提供每有一项缺失或不完善、不清晰、 不合理的扣2分，扣完为止。</w:t>
            </w:r>
          </w:p>
        </w:tc>
        <w:tc>
          <w:tcPr>
            <w:tcW w:w="986" w:type="dxa"/>
            <w:vMerge w:val="continue"/>
            <w:tcBorders>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9" w:hRule="atLeast"/>
        </w:trPr>
        <w:tc>
          <w:tcPr>
            <w:tcW w:w="754" w:type="dxa"/>
            <w:vMerge w:val="restart"/>
            <w:tcBorders>
              <w:top w:val="single" w:color="auto" w:sz="4" w:space="0"/>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履约能力</w:t>
            </w:r>
            <w:r>
              <w:rPr>
                <w:rFonts w:hint="eastAsia" w:ascii="宋体" w:hAnsi="宋体"/>
                <w:sz w:val="24"/>
                <w:szCs w:val="28"/>
                <w:lang w:val="en-US" w:eastAsia="zh-CN"/>
              </w:rPr>
              <w:br w:type="textWrapping"/>
            </w:r>
            <w:r>
              <w:rPr>
                <w:rFonts w:hint="eastAsia" w:ascii="宋体" w:hAnsi="宋体"/>
                <w:sz w:val="24"/>
                <w:szCs w:val="28"/>
                <w:lang w:val="en-US" w:eastAsia="zh-CN"/>
              </w:rPr>
              <w:t>（12分）</w:t>
            </w: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业绩</w:t>
            </w:r>
            <w:r>
              <w:rPr>
                <w:rFonts w:hint="eastAsia" w:ascii="宋体" w:hAnsi="宋体"/>
                <w:sz w:val="24"/>
                <w:szCs w:val="28"/>
                <w:lang w:val="en-US" w:eastAsia="zh-CN"/>
              </w:rPr>
              <w:br w:type="textWrapping"/>
            </w:r>
            <w:r>
              <w:rPr>
                <w:rFonts w:hint="eastAsia" w:ascii="宋体" w:hAnsi="宋体"/>
                <w:sz w:val="24"/>
                <w:szCs w:val="28"/>
                <w:lang w:val="en-US" w:eastAsia="zh-CN"/>
              </w:rPr>
              <w:t>（4分）</w:t>
            </w:r>
          </w:p>
        </w:tc>
        <w:tc>
          <w:tcPr>
            <w:tcW w:w="5971" w:type="dxa"/>
            <w:tcBorders>
              <w:top w:val="single" w:color="auto" w:sz="4" w:space="0"/>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 xml:space="preserve">投标人自2019年1月1日以来（含），每具 有一个类似项目履约经验得1分，最多得4分。 </w:t>
            </w:r>
            <w:r>
              <w:rPr>
                <w:rFonts w:hint="eastAsia" w:ascii="宋体" w:hAnsi="宋体"/>
                <w:sz w:val="24"/>
                <w:szCs w:val="28"/>
                <w:lang w:val="en-US" w:eastAsia="zh-CN"/>
              </w:rPr>
              <w:br w:type="textWrapping"/>
            </w:r>
            <w:r>
              <w:rPr>
                <w:rFonts w:hint="eastAsia" w:ascii="宋体" w:hAnsi="宋体"/>
                <w:sz w:val="24"/>
                <w:szCs w:val="28"/>
                <w:lang w:val="en-US" w:eastAsia="zh-CN"/>
              </w:rPr>
              <w:t>注：以合同签订时间为准，提供合同复印 件和合同期内至少一次银行转账凭证复印 件，加盖投标人鲜章。</w:t>
            </w:r>
          </w:p>
        </w:tc>
        <w:tc>
          <w:tcPr>
            <w:tcW w:w="986" w:type="dxa"/>
            <w:vMerge w:val="restart"/>
            <w:tcBorders>
              <w:top w:val="single" w:color="auto" w:sz="4" w:space="0"/>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共同类评审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9" w:hRule="atLeast"/>
        </w:trPr>
        <w:tc>
          <w:tcPr>
            <w:tcW w:w="754" w:type="dxa"/>
            <w:vMerge w:val="continue"/>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企业实力</w:t>
            </w:r>
            <w:r>
              <w:rPr>
                <w:rFonts w:hint="eastAsia" w:ascii="宋体" w:hAnsi="宋体"/>
                <w:sz w:val="24"/>
                <w:szCs w:val="28"/>
                <w:lang w:val="en-US" w:eastAsia="zh-CN"/>
              </w:rPr>
              <w:br w:type="textWrapping"/>
            </w:r>
            <w:r>
              <w:rPr>
                <w:rFonts w:hint="eastAsia" w:ascii="宋体" w:hAnsi="宋体"/>
                <w:sz w:val="24"/>
                <w:szCs w:val="28"/>
                <w:lang w:val="en-US" w:eastAsia="zh-CN"/>
              </w:rPr>
              <w:t>（8分）</w:t>
            </w:r>
          </w:p>
        </w:tc>
        <w:tc>
          <w:tcPr>
            <w:tcW w:w="5971" w:type="dxa"/>
            <w:tcBorders>
              <w:top w:val="single" w:color="auto" w:sz="4" w:space="0"/>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投标人提供有效的环境管理体系认证证书、 质量管理体系认证证书、职业健康安全管理体系认证证书、诚信体系认证证书，齐备的得8分，每少一项扣2分，扣完为止。</w:t>
            </w:r>
            <w:r>
              <w:rPr>
                <w:rFonts w:hint="eastAsia" w:ascii="宋体" w:hAnsi="宋体"/>
                <w:sz w:val="24"/>
                <w:szCs w:val="28"/>
                <w:lang w:val="en-US" w:eastAsia="zh-CN"/>
              </w:rPr>
              <w:br w:type="textWrapping"/>
            </w:r>
            <w:r>
              <w:rPr>
                <w:rFonts w:hint="eastAsia" w:ascii="宋体" w:hAnsi="宋体"/>
                <w:sz w:val="24"/>
                <w:szCs w:val="28"/>
                <w:lang w:val="en-US" w:eastAsia="zh-CN"/>
              </w:rPr>
              <w:t>注：提供有效的认证证书复印件加盖投标人公章。</w:t>
            </w:r>
          </w:p>
        </w:tc>
        <w:tc>
          <w:tcPr>
            <w:tcW w:w="986" w:type="dxa"/>
            <w:vMerge w:val="continue"/>
            <w:tcBorders>
              <w:top w:val="single" w:color="auto" w:sz="4" w:space="0"/>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754" w:type="dxa"/>
            <w:tcBorders>
              <w:left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人员配置</w:t>
            </w:r>
            <w:r>
              <w:rPr>
                <w:rFonts w:hint="eastAsia" w:ascii="宋体" w:hAnsi="宋体"/>
                <w:sz w:val="24"/>
                <w:szCs w:val="28"/>
                <w:lang w:val="en-US" w:eastAsia="zh-CN"/>
              </w:rPr>
              <w:br w:type="textWrapping"/>
            </w: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（17分）</w:t>
            </w:r>
          </w:p>
        </w:tc>
        <w:tc>
          <w:tcPr>
            <w:tcW w:w="597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1、拟派人员在满足招标文件人员基本要求（项目经理1人，秩序服务4人，设备维护2人，绿化维护1人），每任意一项增加一个人(项目经理除外）得2分，最多得4分。</w:t>
            </w:r>
            <w:r>
              <w:rPr>
                <w:rFonts w:hint="eastAsia" w:ascii="宋体" w:hAnsi="宋体"/>
                <w:sz w:val="24"/>
                <w:szCs w:val="28"/>
                <w:lang w:val="en-US" w:eastAsia="zh-CN"/>
              </w:rPr>
              <w:br w:type="textWrapping"/>
            </w:r>
            <w:r>
              <w:rPr>
                <w:rFonts w:hint="eastAsia" w:ascii="宋体" w:hAnsi="宋体"/>
                <w:sz w:val="24"/>
                <w:szCs w:val="28"/>
                <w:lang w:val="en-US" w:eastAsia="zh-CN"/>
              </w:rPr>
              <w:t>2、配置的项目经理具有3年（含）及以上类似项目管理经验得2分（提供业主单位开具的工作证明得分）；具有大专及以上学历的得1分。人员不符合要求本项不得分。</w:t>
            </w:r>
            <w:r>
              <w:rPr>
                <w:rFonts w:hint="eastAsia" w:ascii="宋体" w:hAnsi="宋体"/>
                <w:sz w:val="24"/>
                <w:szCs w:val="28"/>
                <w:lang w:val="en-US" w:eastAsia="zh-CN"/>
              </w:rPr>
              <w:br w:type="textWrapping"/>
            </w:r>
            <w:r>
              <w:rPr>
                <w:rFonts w:hint="eastAsia" w:ascii="宋体" w:hAnsi="宋体"/>
                <w:sz w:val="24"/>
                <w:szCs w:val="28"/>
                <w:lang w:val="en-US" w:eastAsia="zh-CN"/>
              </w:rPr>
              <w:t>3、配置的秩序服务人员具有公安部门颁发的《保安员证》的，每有一个得1分，最多得4分。人员不符合要求本项不得分。</w:t>
            </w:r>
            <w:r>
              <w:rPr>
                <w:rFonts w:hint="eastAsia" w:ascii="宋体" w:hAnsi="宋体"/>
                <w:sz w:val="24"/>
                <w:szCs w:val="28"/>
                <w:lang w:val="en-US" w:eastAsia="zh-CN"/>
              </w:rPr>
              <w:br w:type="textWrapping"/>
            </w:r>
            <w:r>
              <w:rPr>
                <w:rFonts w:hint="eastAsia" w:ascii="宋体" w:hAnsi="宋体"/>
                <w:sz w:val="24"/>
                <w:szCs w:val="28"/>
                <w:lang w:val="en-US" w:eastAsia="zh-CN"/>
              </w:rPr>
              <w:t>4、配置的设备维护员具有低压电工操作员证的，每有一个得1分，最多得2分。人员不符合要求本项不得分。</w:t>
            </w:r>
            <w:r>
              <w:rPr>
                <w:rFonts w:hint="eastAsia" w:ascii="宋体" w:hAnsi="宋体"/>
                <w:sz w:val="24"/>
                <w:szCs w:val="28"/>
                <w:lang w:val="en-US" w:eastAsia="zh-CN"/>
              </w:rPr>
              <w:br w:type="textWrapping"/>
            </w:r>
            <w:r>
              <w:rPr>
                <w:rFonts w:hint="eastAsia" w:ascii="宋体" w:hAnsi="宋体"/>
                <w:sz w:val="24"/>
                <w:szCs w:val="28"/>
                <w:lang w:val="en-US" w:eastAsia="zh-CN"/>
              </w:rPr>
              <w:t xml:space="preserve">注：以上人员需提供与投标人的劳动关系证明及人员身份证复印件加盖公章。 </w:t>
            </w:r>
            <w:r>
              <w:rPr>
                <w:rFonts w:hint="eastAsia" w:ascii="宋体" w:hAnsi="宋体"/>
                <w:sz w:val="24"/>
                <w:szCs w:val="28"/>
                <w:lang w:val="en-US" w:eastAsia="zh-CN"/>
              </w:rPr>
              <w:br w:type="textWrapping"/>
            </w:r>
            <w:r>
              <w:rPr>
                <w:rFonts w:hint="eastAsia" w:ascii="宋体" w:hAnsi="宋体"/>
                <w:sz w:val="24"/>
                <w:szCs w:val="28"/>
                <w:lang w:val="en-US" w:eastAsia="zh-CN"/>
              </w:rPr>
              <w:t>5、为保障突发事件的应急处置工作，针对项目的临时调配需求，投标人能在原有的人员配置基础上，在20分钟内增派 10 人的服务人员赶往采购人指定地点的加2分；在增派的10人基础上每增加1人加 0.2 分，最多加2分。（投标人提供承诺函和支援人员社保证明，并加盖投标人公章的，得分）。</w:t>
            </w:r>
          </w:p>
        </w:tc>
        <w:tc>
          <w:tcPr>
            <w:tcW w:w="986"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宋体" w:hAnsi="宋体"/>
                <w:sz w:val="24"/>
                <w:szCs w:val="28"/>
              </w:rPr>
            </w:pPr>
            <w:r>
              <w:rPr>
                <w:rFonts w:hint="eastAsia" w:ascii="宋体" w:hAnsi="宋体"/>
                <w:sz w:val="24"/>
                <w:szCs w:val="28"/>
                <w:lang w:val="en-US" w:eastAsia="zh-CN"/>
              </w:rPr>
              <w:t>技术类评审</w:t>
            </w:r>
          </w:p>
        </w:tc>
      </w:tr>
    </w:tbl>
    <w:p>
      <w:pPr>
        <w:spacing w:line="560" w:lineRule="exact"/>
        <w:ind w:firstLine="560" w:firstLineChars="200"/>
        <w:rPr>
          <w:rFonts w:ascii="宋体" w:hAnsi="宋体"/>
          <w:sz w:val="28"/>
        </w:rPr>
      </w:pPr>
      <w:r>
        <w:rPr>
          <w:rFonts w:hint="eastAsia" w:ascii="宋体" w:hAnsi="宋体"/>
          <w:sz w:val="28"/>
        </w:rPr>
        <w:t>说明：</w:t>
      </w:r>
    </w:p>
    <w:p>
      <w:pPr>
        <w:spacing w:line="560" w:lineRule="exact"/>
        <w:ind w:firstLine="560" w:firstLineChars="200"/>
        <w:rPr>
          <w:rFonts w:ascii="宋体" w:hAnsi="宋体"/>
          <w:sz w:val="28"/>
        </w:rPr>
      </w:pPr>
      <w:r>
        <w:rPr>
          <w:rFonts w:hint="eastAsia" w:ascii="宋体" w:hAnsi="宋体"/>
          <w:sz w:val="28"/>
        </w:rPr>
        <w:t>1、评分的取值按四舍五入法，保留小数点后两位；</w:t>
      </w:r>
    </w:p>
    <w:p>
      <w:pPr>
        <w:spacing w:line="560" w:lineRule="exact"/>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174" w:name="_Toc28818"/>
      <w:r>
        <w:rPr>
          <w:rFonts w:hint="eastAsia" w:ascii="宋体" w:hAnsi="宋体"/>
          <w:b/>
          <w:bCs/>
          <w:sz w:val="28"/>
          <w:szCs w:val="28"/>
        </w:rPr>
        <w:t>废标</w:t>
      </w:r>
      <w:bookmarkEnd w:id="174"/>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39"/>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39"/>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39"/>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39"/>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39"/>
        </w:numPr>
        <w:tabs>
          <w:tab w:val="left" w:pos="1155"/>
        </w:tabs>
        <w:spacing w:line="360" w:lineRule="auto"/>
        <w:ind w:left="0" w:firstLine="525"/>
        <w:rPr>
          <w:rFonts w:ascii="宋体" w:hAnsi="宋体"/>
          <w:sz w:val="28"/>
          <w:szCs w:val="28"/>
        </w:rPr>
      </w:pPr>
      <w:r>
        <w:rPr>
          <w:rFonts w:hint="eastAsia" w:ascii="宋体" w:hAnsi="宋体"/>
          <w:sz w:val="28"/>
          <w:szCs w:val="28"/>
        </w:rPr>
        <w:t>废标后，市公资交易中心将在“四川政府采购网”和“成都市公共资源交易服务中心”网站上公告。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175" w:name="_Toc20866"/>
      <w:r>
        <w:rPr>
          <w:rFonts w:hint="eastAsia" w:ascii="宋体" w:hAnsi="宋体"/>
          <w:b/>
          <w:bCs/>
          <w:sz w:val="28"/>
          <w:szCs w:val="28"/>
        </w:rPr>
        <w:t>定标</w:t>
      </w:r>
      <w:bookmarkEnd w:id="175"/>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lang w:val="en-US" w:eastAsia="zh-CN"/>
        </w:rPr>
        <w:t>3</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二、市公资交易中心在评审结束之日起2个工作日内将评审报告送采购人。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w:t>
      </w:r>
      <w:r>
        <w:rPr>
          <w:rFonts w:ascii="宋体" w:hAnsi="宋体" w:cs="Helvetica"/>
          <w:sz w:val="28"/>
          <w:szCs w:val="28"/>
        </w:rPr>
        <w:t>3</w:t>
      </w:r>
      <w:r>
        <w:rPr>
          <w:rFonts w:hint="eastAsia" w:ascii="宋体" w:hAnsi="宋体" w:cs="Helvetica"/>
          <w:sz w:val="28"/>
          <w:szCs w:val="28"/>
        </w:rPr>
        <w:t>个工作日内，按照评审报告中推荐的中标候选人顺序确定中标人。采购人在确认中标人前，应到中国裁判文书网（https://wenshu.court.gov.cn）查询中标候选</w:t>
      </w:r>
      <w:r>
        <w:rPr>
          <w:rFonts w:ascii="宋体" w:hAnsi="宋体" w:cs="Helvetica"/>
          <w:sz w:val="28"/>
          <w:szCs w:val="28"/>
        </w:rPr>
        <w:t>人</w:t>
      </w:r>
      <w:r>
        <w:rPr>
          <w:rFonts w:hint="eastAsia" w:ascii="宋体" w:hAnsi="宋体" w:cs="Helvetica"/>
          <w:sz w:val="28"/>
          <w:szCs w:val="28"/>
        </w:rPr>
        <w:t>及其现任法定代表人、主要负责人是否存在行贿犯罪记录。如果中标候选人及其现任法定代表人、主要负责人存在行贿犯罪记录，采购人将不确定其为中标人。</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四、根据采购人确定的中标（成交）人，市公资交易中心在“四川政府采购网”和“成都市公共资源交易服务中心”网站上发布中标（成交）公告，同时向中标（成交）人发出中标（成交）通知书。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五、采购人、市公资交易中心不解释中标（成交）或未中标（成交）原因，不退回投标文件和其他投标资料。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76" w:name="_Toc21704"/>
      <w:r>
        <w:rPr>
          <w:rFonts w:hint="eastAsia" w:ascii="宋体" w:hAnsi="宋体"/>
          <w:b/>
          <w:bCs/>
          <w:sz w:val="28"/>
          <w:szCs w:val="28"/>
        </w:rPr>
        <w:t>评审专家在政府采购活动中承担以下义务</w:t>
      </w:r>
      <w:bookmarkEnd w:id="176"/>
    </w:p>
    <w:p>
      <w:pPr>
        <w:pStyle w:val="152"/>
        <w:numPr>
          <w:ilvl w:val="0"/>
          <w:numId w:val="40"/>
        </w:numPr>
        <w:tabs>
          <w:tab w:val="left" w:pos="284"/>
        </w:tabs>
        <w:spacing w:line="360" w:lineRule="auto"/>
        <w:ind w:left="0" w:firstLine="420" w:firstLineChars="0"/>
        <w:jc w:val="left"/>
        <w:rPr>
          <w:sz w:val="28"/>
          <w:szCs w:val="28"/>
        </w:rPr>
      </w:pPr>
      <w:r>
        <w:rPr>
          <w:rFonts w:hint="eastAsia"/>
          <w:sz w:val="28"/>
          <w:szCs w:val="28"/>
        </w:rPr>
        <w:t>遵守评审工作纪律；</w:t>
      </w:r>
    </w:p>
    <w:p>
      <w:pPr>
        <w:pStyle w:val="152"/>
        <w:numPr>
          <w:ilvl w:val="0"/>
          <w:numId w:val="40"/>
        </w:numPr>
        <w:tabs>
          <w:tab w:val="left" w:pos="284"/>
        </w:tabs>
        <w:spacing w:line="360" w:lineRule="auto"/>
        <w:ind w:left="0" w:firstLine="420" w:firstLineChars="0"/>
        <w:jc w:val="left"/>
        <w:rPr>
          <w:sz w:val="28"/>
          <w:szCs w:val="28"/>
        </w:rPr>
      </w:pPr>
      <w:r>
        <w:rPr>
          <w:rFonts w:hint="eastAsia"/>
          <w:sz w:val="28"/>
          <w:szCs w:val="28"/>
        </w:rPr>
        <w:t>按照客观、公正、审慎的原则，根据招标文件规定的评审程序、评审方法和评审标准进行独立评审；</w:t>
      </w:r>
    </w:p>
    <w:p>
      <w:pPr>
        <w:pStyle w:val="152"/>
        <w:numPr>
          <w:ilvl w:val="0"/>
          <w:numId w:val="40"/>
        </w:numPr>
        <w:tabs>
          <w:tab w:val="left" w:pos="284"/>
        </w:tabs>
        <w:spacing w:line="360" w:lineRule="auto"/>
        <w:ind w:left="0" w:firstLine="420" w:firstLineChars="0"/>
        <w:jc w:val="left"/>
        <w:rPr>
          <w:sz w:val="28"/>
          <w:szCs w:val="28"/>
        </w:rPr>
      </w:pPr>
      <w:r>
        <w:rPr>
          <w:rFonts w:hint="eastAsia"/>
          <w:sz w:val="28"/>
          <w:szCs w:val="28"/>
        </w:rPr>
        <w:t>不得泄露评审文件、评审情况和在评审过程中获悉的商业秘密；</w:t>
      </w:r>
    </w:p>
    <w:p>
      <w:pPr>
        <w:pStyle w:val="152"/>
        <w:numPr>
          <w:ilvl w:val="0"/>
          <w:numId w:val="40"/>
        </w:numPr>
        <w:tabs>
          <w:tab w:val="left" w:pos="284"/>
        </w:tabs>
        <w:spacing w:line="360" w:lineRule="auto"/>
        <w:ind w:left="0" w:firstLine="420" w:firstLineChars="0"/>
        <w:jc w:val="left"/>
        <w:rPr>
          <w:sz w:val="28"/>
          <w:szCs w:val="28"/>
        </w:rPr>
      </w:pPr>
      <w:r>
        <w:rPr>
          <w:rFonts w:hint="eastAsia"/>
          <w:sz w:val="28"/>
          <w:szCs w:val="28"/>
        </w:rPr>
        <w:t>及时向财政部门报告评审过程中发现的采购人、采购代理机构向评审专家做倾向性、误导性的解释或者说明，以及供应商行贿、提供虚假材料或者串通等违法行为；</w:t>
      </w:r>
    </w:p>
    <w:p>
      <w:pPr>
        <w:pStyle w:val="152"/>
        <w:numPr>
          <w:ilvl w:val="0"/>
          <w:numId w:val="40"/>
        </w:numPr>
        <w:tabs>
          <w:tab w:val="left" w:pos="284"/>
        </w:tabs>
        <w:spacing w:line="360" w:lineRule="auto"/>
        <w:ind w:left="0" w:firstLine="420" w:firstLineChars="0"/>
        <w:jc w:val="left"/>
        <w:rPr>
          <w:sz w:val="28"/>
          <w:szCs w:val="28"/>
        </w:rPr>
      </w:pPr>
      <w:r>
        <w:rPr>
          <w:rFonts w:hint="eastAsia"/>
          <w:sz w:val="28"/>
          <w:szCs w:val="28"/>
        </w:rPr>
        <w:t>发现招标文件内容违反国家有关强制性规定或者招标文件存在歧义、重大缺陷导致评审工作无法进行时，停止评审并向采购人或者采购代理机构书面说明情况；</w:t>
      </w:r>
    </w:p>
    <w:p>
      <w:pPr>
        <w:pStyle w:val="152"/>
        <w:numPr>
          <w:ilvl w:val="0"/>
          <w:numId w:val="40"/>
        </w:numPr>
        <w:tabs>
          <w:tab w:val="left" w:pos="284"/>
        </w:tabs>
        <w:spacing w:line="360" w:lineRule="auto"/>
        <w:ind w:left="0" w:firstLine="420" w:firstLineChars="0"/>
        <w:jc w:val="left"/>
        <w:rPr>
          <w:sz w:val="28"/>
          <w:szCs w:val="28"/>
        </w:rPr>
      </w:pPr>
      <w:r>
        <w:rPr>
          <w:rFonts w:hint="eastAsia"/>
          <w:sz w:val="28"/>
          <w:szCs w:val="28"/>
        </w:rPr>
        <w:t>及时向财政、监察等部门举报在评审过程中受到非法干预的情况；</w:t>
      </w:r>
    </w:p>
    <w:p>
      <w:pPr>
        <w:pStyle w:val="152"/>
        <w:numPr>
          <w:ilvl w:val="0"/>
          <w:numId w:val="40"/>
        </w:numPr>
        <w:tabs>
          <w:tab w:val="left" w:pos="284"/>
        </w:tabs>
        <w:spacing w:line="360" w:lineRule="auto"/>
        <w:ind w:left="0" w:firstLine="420" w:firstLineChars="0"/>
        <w:jc w:val="left"/>
        <w:rPr>
          <w:sz w:val="28"/>
          <w:szCs w:val="28"/>
        </w:rPr>
      </w:pPr>
      <w:r>
        <w:rPr>
          <w:rFonts w:hint="eastAsia"/>
          <w:sz w:val="28"/>
          <w:szCs w:val="28"/>
        </w:rPr>
        <w:t>配合答复处理供应商的询问、质疑和投诉等事项；</w:t>
      </w:r>
    </w:p>
    <w:p>
      <w:pPr>
        <w:pStyle w:val="152"/>
        <w:numPr>
          <w:ilvl w:val="0"/>
          <w:numId w:val="40"/>
        </w:numPr>
        <w:tabs>
          <w:tab w:val="left" w:pos="284"/>
        </w:tabs>
        <w:spacing w:line="360" w:lineRule="auto"/>
        <w:ind w:left="0" w:firstLine="420" w:firstLineChars="0"/>
        <w:jc w:val="left"/>
        <w:rPr>
          <w:sz w:val="28"/>
          <w:szCs w:val="28"/>
        </w:rPr>
      </w:pPr>
      <w:r>
        <w:rPr>
          <w:rFonts w:hint="eastAsia"/>
          <w:sz w:val="28"/>
          <w:szCs w:val="28"/>
        </w:rPr>
        <w:t>法律、法规和规章规定的其他义务。</w:t>
      </w:r>
    </w:p>
    <w:p>
      <w:pPr>
        <w:keepNext/>
        <w:keepLines/>
        <w:numPr>
          <w:ilvl w:val="1"/>
          <w:numId w:val="5"/>
        </w:numPr>
        <w:spacing w:before="240" w:line="360" w:lineRule="auto"/>
        <w:jc w:val="left"/>
        <w:outlineLvl w:val="1"/>
        <w:rPr>
          <w:rFonts w:ascii="宋体" w:hAnsi="宋体"/>
          <w:b/>
          <w:bCs/>
          <w:sz w:val="28"/>
          <w:szCs w:val="28"/>
        </w:rPr>
      </w:pPr>
      <w:bookmarkStart w:id="177" w:name="_Toc13099"/>
      <w:r>
        <w:rPr>
          <w:rFonts w:hint="eastAsia" w:ascii="宋体" w:hAnsi="宋体"/>
          <w:b/>
          <w:bCs/>
          <w:sz w:val="28"/>
          <w:szCs w:val="28"/>
        </w:rPr>
        <w:t>评审专家在政府采购活动中应当遵守以下工作纪律</w:t>
      </w:r>
      <w:bookmarkEnd w:id="177"/>
    </w:p>
    <w:p>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进入评标区之前应将所有的通信设备存入公资交易中心指定的存放处；</w:t>
      </w:r>
    </w:p>
    <w:p>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对需要专业</w:t>
      </w:r>
      <w:r>
        <w:rPr>
          <w:rFonts w:ascii="宋体" w:hAnsi="宋体"/>
          <w:sz w:val="28"/>
          <w:szCs w:val="28"/>
        </w:rPr>
        <w:t>判断的主管评审因素不得协商评分；</w:t>
      </w:r>
    </w:p>
    <w:p>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rPr>
        <w:t>评审</w:t>
      </w:r>
      <w:r>
        <w:rPr>
          <w:rFonts w:ascii="宋体" w:hAnsi="宋体"/>
          <w:sz w:val="28"/>
          <w:szCs w:val="28"/>
        </w:rPr>
        <w:t>程序</w:t>
      </w:r>
      <w:r>
        <w:rPr>
          <w:rFonts w:hint="eastAsia" w:ascii="宋体" w:hAnsi="宋体"/>
          <w:sz w:val="28"/>
          <w:szCs w:val="28"/>
        </w:rPr>
        <w:t>正常进行；</w:t>
      </w:r>
    </w:p>
    <w:p>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评审过程中，不得与外界联系，因发生不可预见情况，确实需要与外界联系的，应当在监督人员监督之下办理；</w:t>
      </w:r>
    </w:p>
    <w:p>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在评审过程中和评审结束后，不得记录、复制或带走任何评审资料，不得向外界透露评审内容；</w:t>
      </w:r>
    </w:p>
    <w:p>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评审现场服从采购代理机构工作人员的管理，接受现场监督人员的合法监督；</w:t>
      </w:r>
    </w:p>
    <w:p>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遵守有关廉洁自律规定，不得私下接触供应商，不得收受供应商及有关业务单位和个人的财物或好处，不得接受采购代理机构的请托。</w:t>
      </w:r>
    </w:p>
    <w:p>
      <w:pPr>
        <w:tabs>
          <w:tab w:val="left" w:pos="1155"/>
          <w:tab w:val="left" w:pos="1276"/>
          <w:tab w:val="left" w:pos="1418"/>
        </w:tabs>
        <w:spacing w:line="580" w:lineRule="exact"/>
        <w:rPr>
          <w:rFonts w:ascii="宋体" w:hAnsi="宋体"/>
          <w:sz w:val="28"/>
          <w:szCs w:val="28"/>
        </w:rPr>
      </w:pPr>
    </w:p>
    <w:p>
      <w:pPr>
        <w:pStyle w:val="2"/>
      </w:pPr>
    </w:p>
    <w:p>
      <w:pPr>
        <w:pStyle w:val="2"/>
      </w:pPr>
    </w:p>
    <w:p>
      <w:pPr>
        <w:pStyle w:val="2"/>
      </w:pPr>
    </w:p>
    <w:bookmarkEnd w:id="0"/>
    <w:bookmarkEnd w:id="1"/>
    <w:bookmarkEnd w:id="2"/>
    <w:bookmarkEnd w:id="3"/>
    <w:bookmarkEnd w:id="147"/>
    <w:bookmarkEnd w:id="148"/>
    <w:p>
      <w:pPr>
        <w:widowControl/>
        <w:jc w:val="left"/>
        <w:rPr>
          <w:rFonts w:ascii="宋体" w:hAnsi="宋体"/>
          <w:b/>
          <w:bCs/>
          <w:spacing w:val="-20"/>
          <w:kern w:val="44"/>
          <w:sz w:val="32"/>
          <w:szCs w:val="32"/>
        </w:rPr>
      </w:pPr>
      <w:bookmarkStart w:id="178" w:name="_Toc8573798"/>
      <w:bookmarkStart w:id="179" w:name="_Toc34729074"/>
      <w:bookmarkStart w:id="180" w:name="_Toc217446108"/>
      <w:r>
        <w:rPr>
          <w:rFonts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81" w:name="_Toc4116"/>
      <w:r>
        <w:rPr>
          <w:rFonts w:hint="eastAsia" w:ascii="宋体" w:hAnsi="宋体"/>
          <w:b/>
          <w:bCs/>
          <w:spacing w:val="-20"/>
          <w:kern w:val="44"/>
          <w:sz w:val="32"/>
          <w:szCs w:val="32"/>
        </w:rPr>
        <w:t>拟签订的合同文本</w:t>
      </w:r>
      <w:bookmarkEnd w:id="181"/>
    </w:p>
    <w:p>
      <w:pPr>
        <w:spacing w:line="360" w:lineRule="auto"/>
        <w:ind w:firstLine="480" w:firstLineChars="200"/>
        <w:rPr>
          <w:rFonts w:ascii="宋体"/>
          <w:sz w:val="24"/>
        </w:rPr>
      </w:pPr>
      <w:r>
        <w:rPr>
          <w:rFonts w:hint="eastAsia" w:ascii="宋体"/>
          <w:sz w:val="24"/>
        </w:rPr>
        <w:t>合同编号：</w:t>
      </w:r>
      <w:r>
        <w:rPr>
          <w:rFonts w:hint="eastAsia"/>
          <w:szCs w:val="21"/>
        </w:rPr>
        <w:t>XXXX。</w:t>
      </w:r>
    </w:p>
    <w:p>
      <w:pPr>
        <w:spacing w:line="360" w:lineRule="auto"/>
        <w:ind w:firstLine="480" w:firstLineChars="200"/>
        <w:rPr>
          <w:rFonts w:ascii="宋体"/>
          <w:sz w:val="24"/>
        </w:rPr>
      </w:pPr>
      <w:r>
        <w:rPr>
          <w:rFonts w:hint="eastAsia" w:ascii="宋体"/>
          <w:sz w:val="24"/>
        </w:rPr>
        <w:t>签订地点：</w:t>
      </w:r>
      <w:r>
        <w:rPr>
          <w:rFonts w:hint="eastAsia"/>
          <w:szCs w:val="21"/>
        </w:rPr>
        <w:t>XXXX。</w:t>
      </w:r>
    </w:p>
    <w:p>
      <w:pPr>
        <w:spacing w:line="360" w:lineRule="auto"/>
        <w:ind w:firstLine="480" w:firstLineChars="200"/>
        <w:rPr>
          <w:rFonts w:ascii="宋体"/>
          <w:sz w:val="24"/>
        </w:rPr>
      </w:pPr>
      <w:r>
        <w:rPr>
          <w:rFonts w:hint="eastAsia" w:ascii="宋体"/>
          <w:sz w:val="24"/>
        </w:rPr>
        <w:t>签订时间：</w:t>
      </w:r>
      <w:r>
        <w:rPr>
          <w:rFonts w:hint="eastAsia"/>
          <w:szCs w:val="21"/>
        </w:rPr>
        <w:t>XXXX</w:t>
      </w:r>
      <w:r>
        <w:rPr>
          <w:rFonts w:hint="eastAsia" w:ascii="宋体"/>
          <w:sz w:val="24"/>
        </w:rPr>
        <w:t>年</w:t>
      </w:r>
      <w:r>
        <w:rPr>
          <w:rFonts w:hint="eastAsia"/>
          <w:szCs w:val="21"/>
        </w:rPr>
        <w:t>XX</w:t>
      </w:r>
      <w:r>
        <w:rPr>
          <w:rFonts w:hint="eastAsia" w:ascii="宋体"/>
          <w:sz w:val="24"/>
        </w:rPr>
        <w:t>月</w:t>
      </w:r>
      <w:r>
        <w:rPr>
          <w:rFonts w:hint="eastAsia"/>
          <w:szCs w:val="21"/>
        </w:rPr>
        <w:t>XX</w:t>
      </w:r>
      <w:r>
        <w:rPr>
          <w:rFonts w:hint="eastAsia" w:ascii="宋体"/>
          <w:sz w:val="24"/>
        </w:rPr>
        <w:t>日。</w:t>
      </w:r>
    </w:p>
    <w:p>
      <w:pPr>
        <w:spacing w:line="360" w:lineRule="auto"/>
        <w:ind w:firstLine="480" w:firstLineChars="200"/>
        <w:rPr>
          <w:rFonts w:ascii="宋体"/>
          <w:sz w:val="24"/>
        </w:rPr>
      </w:pPr>
      <w:r>
        <w:rPr>
          <w:rFonts w:hint="eastAsia" w:ascii="宋体"/>
          <w:sz w:val="24"/>
        </w:rPr>
        <w:t>采购人（甲方）：</w:t>
      </w:r>
    </w:p>
    <w:p>
      <w:pPr>
        <w:spacing w:line="360" w:lineRule="auto"/>
        <w:ind w:firstLine="480" w:firstLineChars="200"/>
        <w:rPr>
          <w:rFonts w:ascii="宋体"/>
          <w:sz w:val="24"/>
        </w:rPr>
      </w:pPr>
      <w:r>
        <w:rPr>
          <w:rFonts w:hint="eastAsia"/>
          <w:sz w:val="24"/>
        </w:rPr>
        <w:t>供应商（乙</w:t>
      </w:r>
      <w:r>
        <w:rPr>
          <w:sz w:val="24"/>
        </w:rPr>
        <w:t>方</w:t>
      </w:r>
      <w:r>
        <w:rPr>
          <w:rFonts w:hint="eastAsia"/>
          <w:sz w:val="24"/>
        </w:rPr>
        <w:t>）</w:t>
      </w:r>
      <w:r>
        <w:rPr>
          <w:sz w:val="24"/>
        </w:rPr>
        <w:t>：</w:t>
      </w:r>
    </w:p>
    <w:p>
      <w:pPr>
        <w:spacing w:line="400" w:lineRule="exact"/>
        <w:rPr>
          <w:rFonts w:ascii="宋体"/>
          <w:sz w:val="24"/>
        </w:rPr>
      </w:pPr>
    </w:p>
    <w:p>
      <w:pPr>
        <w:pStyle w:val="103"/>
        <w:ind w:firstLine="480"/>
        <w:rPr>
          <w:rFonts w:ascii="宋体"/>
        </w:rPr>
      </w:pPr>
      <w:r>
        <w:rPr>
          <w:rFonts w:hint="eastAsia" w:ascii="宋体"/>
        </w:rPr>
        <w:t>根据《中华人民共和国政府采购法》、《中华人民共和国合同法》及</w:t>
      </w:r>
      <w:r>
        <w:rPr>
          <w:rFonts w:hint="eastAsia"/>
          <w:szCs w:val="21"/>
        </w:rPr>
        <w:t>XXXX</w:t>
      </w:r>
      <w:r>
        <w:rPr>
          <w:rFonts w:hint="eastAsia" w:ascii="宋体"/>
        </w:rPr>
        <w:t>采购项目（项目编号：</w:t>
      </w:r>
      <w:r>
        <w:rPr>
          <w:rFonts w:hint="eastAsia"/>
          <w:szCs w:val="21"/>
        </w:rPr>
        <w:t>XX</w:t>
      </w:r>
      <w:r>
        <w:rPr>
          <w:rFonts w:hint="eastAsia" w:ascii="宋体"/>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42"/>
        </w:numPr>
        <w:spacing w:line="360" w:lineRule="auto"/>
        <w:rPr>
          <w:rFonts w:ascii="宋体" w:hAnsi="宋体"/>
          <w:b/>
          <w:sz w:val="24"/>
        </w:rPr>
      </w:pPr>
      <w:bookmarkStart w:id="182" w:name="_Toc217446115"/>
      <w:r>
        <w:rPr>
          <w:rFonts w:hint="eastAsia" w:ascii="宋体" w:hAnsi="宋体"/>
          <w:b/>
          <w:sz w:val="24"/>
        </w:rPr>
        <w:t>项目基本情况</w:t>
      </w:r>
    </w:p>
    <w:p>
      <w:pPr>
        <w:spacing w:line="360" w:lineRule="auto"/>
        <w:ind w:firstLine="630"/>
        <w:rPr>
          <w:rFonts w:ascii="宋体" w:hAnsi="宋体"/>
          <w:b/>
          <w:sz w:val="24"/>
        </w:rPr>
      </w:pPr>
    </w:p>
    <w:p>
      <w:pPr>
        <w:numPr>
          <w:ilvl w:val="0"/>
          <w:numId w:val="42"/>
        </w:numPr>
        <w:spacing w:line="360" w:lineRule="auto"/>
        <w:rPr>
          <w:rFonts w:ascii="宋体" w:hAnsi="宋体"/>
          <w:b/>
          <w:sz w:val="24"/>
        </w:rPr>
      </w:pPr>
      <w:r>
        <w:rPr>
          <w:rFonts w:hint="eastAsia" w:ascii="宋体" w:hAnsi="宋体"/>
          <w:b/>
          <w:sz w:val="24"/>
        </w:rPr>
        <w:t>合同期限</w:t>
      </w:r>
    </w:p>
    <w:p>
      <w:pPr>
        <w:spacing w:line="360" w:lineRule="auto"/>
        <w:ind w:firstLine="480" w:firstLineChars="200"/>
        <w:rPr>
          <w:rFonts w:ascii="宋体" w:hAnsi="宋体"/>
          <w:sz w:val="24"/>
        </w:rPr>
      </w:pPr>
    </w:p>
    <w:p>
      <w:pPr>
        <w:numPr>
          <w:ilvl w:val="0"/>
          <w:numId w:val="42"/>
        </w:numPr>
        <w:spacing w:line="360" w:lineRule="auto"/>
        <w:rPr>
          <w:rFonts w:ascii="宋体" w:hAnsi="宋体"/>
          <w:b/>
          <w:sz w:val="24"/>
        </w:rPr>
      </w:pPr>
      <w:bookmarkStart w:id="183" w:name="_Toc251768862"/>
      <w:bookmarkStart w:id="184" w:name="_Toc247334841"/>
      <w:bookmarkStart w:id="185" w:name="_Toc225670751"/>
      <w:bookmarkStart w:id="186" w:name="_Toc225654644"/>
      <w:bookmarkStart w:id="187" w:name="_Toc225244852"/>
      <w:bookmarkStart w:id="188" w:name="_Toc282696226"/>
      <w:bookmarkStart w:id="189" w:name="_Toc239233914"/>
      <w:bookmarkStart w:id="190" w:name="_Toc238984975"/>
      <w:bookmarkStart w:id="191" w:name="_Toc185395249"/>
      <w:bookmarkStart w:id="192" w:name="_Toc283019214"/>
      <w:bookmarkStart w:id="193" w:name="_Toc241833903"/>
      <w:bookmarkStart w:id="194" w:name="_Toc286993786"/>
      <w:bookmarkStart w:id="195" w:name="_Toc239568418"/>
      <w:bookmarkStart w:id="196" w:name="_Toc212019594"/>
      <w:bookmarkStart w:id="197" w:name="_Toc211911348"/>
      <w:bookmarkStart w:id="198" w:name="_Toc232492928"/>
      <w:bookmarkStart w:id="199" w:name="_Toc237145406"/>
      <w:bookmarkStart w:id="200" w:name="_Toc211854449"/>
      <w:r>
        <w:rPr>
          <w:rFonts w:hint="eastAsia" w:ascii="宋体" w:hAnsi="宋体"/>
          <w:b/>
          <w:sz w:val="24"/>
        </w:rPr>
        <w:t>服务内容与质量标准</w:t>
      </w:r>
    </w:p>
    <w:p>
      <w:pPr>
        <w:numPr>
          <w:ilvl w:val="0"/>
          <w:numId w:val="43"/>
        </w:numPr>
        <w:spacing w:line="360" w:lineRule="auto"/>
        <w:ind w:left="0" w:firstLine="567"/>
        <w:rPr>
          <w:rFonts w:ascii="宋体" w:hAnsi="宋体"/>
          <w:sz w:val="24"/>
        </w:rPr>
      </w:pPr>
    </w:p>
    <w:p>
      <w:pPr>
        <w:numPr>
          <w:ilvl w:val="0"/>
          <w:numId w:val="43"/>
        </w:numPr>
        <w:spacing w:line="360" w:lineRule="auto"/>
        <w:ind w:left="0" w:firstLine="567"/>
        <w:rPr>
          <w:rFonts w:ascii="宋体" w:hAnsi="宋体"/>
          <w:sz w:val="24"/>
        </w:rPr>
      </w:pPr>
    </w:p>
    <w:p>
      <w:pPr>
        <w:numPr>
          <w:ilvl w:val="0"/>
          <w:numId w:val="43"/>
        </w:numPr>
        <w:spacing w:line="360" w:lineRule="auto"/>
        <w:ind w:left="0" w:firstLine="567"/>
        <w:rPr>
          <w:rFonts w:ascii="宋体" w:hAnsi="宋体"/>
          <w:sz w:val="24"/>
        </w:rPr>
      </w:pPr>
    </w:p>
    <w:p>
      <w:pPr>
        <w:numPr>
          <w:ilvl w:val="0"/>
          <w:numId w:val="43"/>
        </w:numPr>
        <w:spacing w:line="360" w:lineRule="auto"/>
        <w:ind w:left="0" w:firstLine="567"/>
        <w:rPr>
          <w:rFonts w:ascii="宋体" w:hAnsi="宋体"/>
          <w:sz w:val="24"/>
        </w:rPr>
      </w:pPr>
    </w:p>
    <w:p>
      <w:pPr>
        <w:numPr>
          <w:ilvl w:val="0"/>
          <w:numId w:val="43"/>
        </w:numPr>
        <w:spacing w:line="360" w:lineRule="auto"/>
        <w:ind w:left="0" w:firstLine="567"/>
        <w:rPr>
          <w:rFonts w:ascii="宋体" w:hAnsi="宋体"/>
          <w:sz w:val="24"/>
        </w:rPr>
      </w:pPr>
    </w:p>
    <w:p>
      <w:pPr>
        <w:spacing w:line="360" w:lineRule="auto"/>
        <w:ind w:firstLine="630"/>
        <w:rPr>
          <w:rFonts w:ascii="宋体" w:hAnsi="宋体"/>
          <w:sz w:val="24"/>
        </w:rPr>
      </w:pPr>
      <w:r>
        <w:rPr>
          <w:rFonts w:ascii="宋体" w:hAnsi="宋体"/>
          <w:sz w:val="24"/>
        </w:rPr>
        <w:t>…</w:t>
      </w:r>
    </w:p>
    <w:p>
      <w:pPr>
        <w:numPr>
          <w:ilvl w:val="0"/>
          <w:numId w:val="42"/>
        </w:numPr>
        <w:spacing w:line="360" w:lineRule="auto"/>
        <w:rPr>
          <w:rFonts w:ascii="宋体" w:hAnsi="宋体"/>
          <w:b/>
          <w:sz w:val="24"/>
        </w:rPr>
      </w:pPr>
      <w:r>
        <w:rPr>
          <w:rFonts w:hint="eastAsia" w:ascii="宋体" w:hAnsi="宋体"/>
          <w:b/>
          <w:sz w:val="24"/>
        </w:rPr>
        <w:t>服务费用及支付方式</w:t>
      </w:r>
    </w:p>
    <w:p>
      <w:pPr>
        <w:numPr>
          <w:ilvl w:val="0"/>
          <w:numId w:val="44"/>
        </w:numPr>
        <w:spacing w:line="360" w:lineRule="auto"/>
        <w:ind w:left="0" w:firstLine="567"/>
        <w:rPr>
          <w:rFonts w:ascii="宋体" w:hAnsi="宋体"/>
          <w:b/>
          <w:sz w:val="24"/>
        </w:rPr>
      </w:pPr>
      <w:r>
        <w:rPr>
          <w:rFonts w:hint="eastAsia" w:ascii="宋体" w:hAnsi="宋体"/>
          <w:b/>
          <w:sz w:val="24"/>
        </w:rPr>
        <w:t>本项目服务费用由以下组成：</w:t>
      </w:r>
    </w:p>
    <w:p>
      <w:pPr>
        <w:numPr>
          <w:ilvl w:val="0"/>
          <w:numId w:val="45"/>
        </w:numPr>
        <w:spacing w:line="360" w:lineRule="auto"/>
        <w:rPr>
          <w:rFonts w:ascii="宋体" w:hAnsi="宋体"/>
          <w:sz w:val="24"/>
        </w:rPr>
      </w:pPr>
      <w:r>
        <w:rPr>
          <w:rFonts w:hint="eastAsia" w:ascii="宋体" w:hAnsi="宋体"/>
          <w:sz w:val="24"/>
        </w:rPr>
        <w:t>　　　　万元；</w:t>
      </w:r>
    </w:p>
    <w:p>
      <w:pPr>
        <w:numPr>
          <w:ilvl w:val="0"/>
          <w:numId w:val="45"/>
        </w:numPr>
        <w:spacing w:line="360" w:lineRule="auto"/>
        <w:rPr>
          <w:rFonts w:ascii="宋体" w:hAnsi="宋体"/>
          <w:sz w:val="24"/>
        </w:rPr>
      </w:pPr>
      <w:r>
        <w:rPr>
          <w:rFonts w:hint="eastAsia" w:ascii="宋体" w:hAnsi="宋体"/>
          <w:sz w:val="24"/>
        </w:rPr>
        <w:t xml:space="preserve">        万元；</w:t>
      </w:r>
    </w:p>
    <w:p>
      <w:pPr>
        <w:numPr>
          <w:ilvl w:val="0"/>
          <w:numId w:val="45"/>
        </w:numPr>
        <w:spacing w:line="360" w:lineRule="auto"/>
        <w:rPr>
          <w:rFonts w:ascii="宋体" w:hAnsi="宋体"/>
          <w:sz w:val="24"/>
        </w:rPr>
      </w:pPr>
      <w:r>
        <w:rPr>
          <w:rFonts w:hint="eastAsia" w:ascii="宋体" w:hAnsi="宋体"/>
          <w:sz w:val="24"/>
        </w:rPr>
        <w:t xml:space="preserve">        万元。</w:t>
      </w:r>
    </w:p>
    <w:p>
      <w:pPr>
        <w:numPr>
          <w:ilvl w:val="0"/>
          <w:numId w:val="44"/>
        </w:numPr>
        <w:tabs>
          <w:tab w:val="left" w:pos="780"/>
        </w:tabs>
        <w:spacing w:line="360" w:lineRule="auto"/>
        <w:ind w:left="0" w:firstLine="567"/>
        <w:rPr>
          <w:rFonts w:ascii="宋体" w:hAnsi="宋体"/>
          <w:b/>
          <w:sz w:val="24"/>
        </w:rPr>
      </w:pPr>
      <w:r>
        <w:rPr>
          <w:rFonts w:hint="eastAsia" w:ascii="宋体" w:hAnsi="宋体"/>
          <w:b/>
          <w:sz w:val="24"/>
        </w:rPr>
        <w:t xml:space="preserve">服务费支付方式： </w:t>
      </w:r>
    </w:p>
    <w:p>
      <w:pPr>
        <w:numPr>
          <w:ilvl w:val="0"/>
          <w:numId w:val="42"/>
        </w:numPr>
        <w:spacing w:line="360" w:lineRule="auto"/>
        <w:rPr>
          <w:rFonts w:ascii="宋体" w:hAnsi="宋体"/>
          <w:b/>
          <w:sz w:val="24"/>
        </w:rPr>
      </w:pPr>
      <w:r>
        <w:rPr>
          <w:rFonts w:hint="eastAsia" w:ascii="宋体" w:hAnsi="宋体"/>
          <w:b/>
          <w:sz w:val="24"/>
        </w:rPr>
        <w:t>知识产权</w:t>
      </w:r>
    </w:p>
    <w:p>
      <w:pPr>
        <w:tabs>
          <w:tab w:val="left" w:pos="1440"/>
        </w:tabs>
        <w:spacing w:line="360" w:lineRule="auto"/>
        <w:ind w:firstLine="480" w:firstLineChars="200"/>
        <w:rPr>
          <w:rFonts w:ascii="宋体" w:hAnsi="宋体"/>
          <w:sz w:val="24"/>
        </w:rPr>
      </w:pPr>
      <w:r>
        <w:rPr>
          <w:rFonts w:hint="eastAsia" w:ascii="宋体" w:hAnsi="宋体"/>
          <w:sz w:val="24"/>
        </w:rPr>
        <w:t>乙方应保证所提供的服务或其任何一部分均不会侵犯任何第三方的专利权、商标权或著作权。</w:t>
      </w:r>
    </w:p>
    <w:p>
      <w:pPr>
        <w:numPr>
          <w:ilvl w:val="0"/>
          <w:numId w:val="42"/>
        </w:numPr>
        <w:spacing w:line="360" w:lineRule="auto"/>
        <w:rPr>
          <w:rFonts w:ascii="宋体" w:hAnsi="宋体"/>
          <w:b/>
          <w:sz w:val="24"/>
        </w:rPr>
      </w:pPr>
      <w:r>
        <w:rPr>
          <w:rFonts w:hint="eastAsia" w:ascii="宋体" w:hAnsi="宋体"/>
          <w:b/>
          <w:sz w:val="24"/>
        </w:rPr>
        <w:t>无产权瑕疵条款</w:t>
      </w:r>
    </w:p>
    <w:p>
      <w:pPr>
        <w:tabs>
          <w:tab w:val="left" w:pos="1440"/>
        </w:tabs>
        <w:spacing w:line="360" w:lineRule="auto"/>
        <w:ind w:firstLine="480" w:firstLineChars="200"/>
        <w:rPr>
          <w:rFonts w:ascii="宋体" w:hAnsi="宋体"/>
          <w:sz w:val="24"/>
        </w:rPr>
      </w:pPr>
      <w:r>
        <w:rPr>
          <w:rFonts w:hint="eastAsia" w:ascii="宋体" w:hAnsi="宋体"/>
          <w:sz w:val="24"/>
        </w:rPr>
        <w:t>乙方保证所提供的服务的所有权完全属于乙方且无任何抵押、查封等产权瑕疵。如有产权瑕疵的，视为乙方违约。乙方应负担由此而产生的一切损失。</w:t>
      </w:r>
    </w:p>
    <w:p>
      <w:pPr>
        <w:numPr>
          <w:ilvl w:val="0"/>
          <w:numId w:val="42"/>
        </w:numPr>
        <w:spacing w:line="360" w:lineRule="auto"/>
        <w:rPr>
          <w:rFonts w:ascii="宋体" w:hAnsi="宋体"/>
          <w:b/>
          <w:sz w:val="24"/>
        </w:rPr>
      </w:pPr>
      <w:r>
        <w:rPr>
          <w:rFonts w:hint="eastAsia" w:ascii="宋体" w:hAnsi="宋体"/>
          <w:b/>
          <w:sz w:val="24"/>
        </w:rPr>
        <w:t>履约保证金</w:t>
      </w:r>
    </w:p>
    <w:p>
      <w:pPr>
        <w:pStyle w:val="22"/>
        <w:numPr>
          <w:ilvl w:val="0"/>
          <w:numId w:val="46"/>
        </w:numPr>
        <w:spacing w:line="360" w:lineRule="auto"/>
        <w:ind w:left="0" w:firstLine="567"/>
        <w:rPr>
          <w:rFonts w:hAnsi="宋体"/>
          <w:sz w:val="24"/>
        </w:rPr>
      </w:pPr>
      <w:r>
        <w:rPr>
          <w:rFonts w:hint="eastAsia" w:hAnsi="宋体"/>
          <w:sz w:val="24"/>
        </w:rPr>
        <w:t>乙方交纳人民币</w:t>
      </w:r>
      <w:r>
        <w:rPr>
          <w:rFonts w:hint="eastAsia" w:hAnsi="宋体"/>
          <w:sz w:val="24"/>
          <w:u w:val="single"/>
        </w:rPr>
        <w:t>　　　　　　</w:t>
      </w:r>
      <w:r>
        <w:rPr>
          <w:rFonts w:hint="eastAsia" w:hAnsi="宋体"/>
          <w:sz w:val="24"/>
        </w:rPr>
        <w:t>元作为本合同的履约保证金。</w:t>
      </w:r>
    </w:p>
    <w:p>
      <w:pPr>
        <w:pStyle w:val="22"/>
        <w:numPr>
          <w:ilvl w:val="0"/>
          <w:numId w:val="46"/>
        </w:numPr>
        <w:spacing w:line="360" w:lineRule="auto"/>
        <w:ind w:left="0" w:firstLine="567"/>
        <w:rPr>
          <w:rFonts w:hAnsi="宋体"/>
          <w:sz w:val="24"/>
        </w:rPr>
      </w:pPr>
      <w:r>
        <w:rPr>
          <w:rFonts w:hint="eastAsia" w:hAnsi="宋体"/>
          <w:sz w:val="24"/>
        </w:rPr>
        <w:t>履约保证金作为违约金的一部分及用于补偿甲方因乙方不能履行合同义务而蒙受的损失。</w:t>
      </w:r>
    </w:p>
    <w:p>
      <w:pPr>
        <w:numPr>
          <w:ilvl w:val="0"/>
          <w:numId w:val="42"/>
        </w:numPr>
        <w:spacing w:line="360" w:lineRule="auto"/>
        <w:rPr>
          <w:rFonts w:ascii="宋体" w:hAnsi="宋体"/>
          <w:b/>
          <w:sz w:val="24"/>
        </w:rPr>
      </w:pPr>
      <w:r>
        <w:rPr>
          <w:rFonts w:ascii="宋体" w:hAnsi="宋体"/>
          <w:b/>
          <w:sz w:val="24"/>
        </w:rPr>
        <w:t>甲方的权利和义务</w:t>
      </w:r>
    </w:p>
    <w:p>
      <w:pPr>
        <w:numPr>
          <w:ilvl w:val="0"/>
          <w:numId w:val="47"/>
        </w:numPr>
        <w:tabs>
          <w:tab w:val="left" w:pos="1440"/>
        </w:tabs>
        <w:adjustRightInd w:val="0"/>
        <w:spacing w:line="360" w:lineRule="auto"/>
        <w:ind w:left="0" w:firstLine="420"/>
        <w:jc w:val="left"/>
        <w:textAlignment w:val="baseline"/>
        <w:rPr>
          <w:rFonts w:ascii="宋体" w:hAnsi="宋体"/>
          <w:bCs/>
          <w:sz w:val="24"/>
        </w:rPr>
      </w:pPr>
      <w:r>
        <w:rPr>
          <w:rFonts w:ascii="宋体" w:hAnsi="宋体"/>
          <w:bCs/>
          <w:sz w:val="24"/>
        </w:rPr>
        <w:t>甲方有权对合同规定范围内</w:t>
      </w:r>
      <w:r>
        <w:rPr>
          <w:rFonts w:hint="eastAsia" w:ascii="宋体" w:hAnsi="宋体"/>
          <w:bCs/>
          <w:sz w:val="24"/>
        </w:rPr>
        <w:t>乙方的服务行为</w:t>
      </w:r>
      <w:r>
        <w:rPr>
          <w:rFonts w:ascii="宋体" w:hAnsi="宋体"/>
          <w:bCs/>
          <w:sz w:val="24"/>
        </w:rPr>
        <w:t>进行监督和检查，拥有监管权。有权定期核对乙方提供服务所配备的人员数量。对甲方认为不合理的部分有权</w:t>
      </w:r>
      <w:r>
        <w:rPr>
          <w:rFonts w:hint="eastAsia" w:ascii="宋体" w:hAnsi="宋体"/>
          <w:bCs/>
          <w:sz w:val="24"/>
        </w:rPr>
        <w:t>下达整改通知书，并</w:t>
      </w:r>
      <w:r>
        <w:rPr>
          <w:rFonts w:ascii="宋体" w:hAnsi="宋体"/>
          <w:bCs/>
          <w:sz w:val="24"/>
        </w:rPr>
        <w:t>要求乙方</w:t>
      </w:r>
      <w:r>
        <w:rPr>
          <w:rFonts w:hint="eastAsia" w:ascii="宋体" w:hAnsi="宋体"/>
          <w:bCs/>
          <w:sz w:val="24"/>
        </w:rPr>
        <w:t>限期整改</w:t>
      </w:r>
      <w:r>
        <w:rPr>
          <w:rFonts w:ascii="宋体" w:hAnsi="宋体"/>
          <w:bCs/>
          <w:sz w:val="24"/>
        </w:rPr>
        <w:t>。</w:t>
      </w:r>
    </w:p>
    <w:p>
      <w:pPr>
        <w:numPr>
          <w:ilvl w:val="0"/>
          <w:numId w:val="47"/>
        </w:numPr>
        <w:tabs>
          <w:tab w:val="left" w:pos="1440"/>
        </w:tabs>
        <w:adjustRightInd w:val="0"/>
        <w:spacing w:line="360" w:lineRule="auto"/>
        <w:ind w:left="0" w:firstLine="420"/>
        <w:jc w:val="left"/>
        <w:textAlignment w:val="baseline"/>
        <w:rPr>
          <w:rFonts w:ascii="宋体" w:hAnsi="宋体"/>
          <w:bCs/>
          <w:sz w:val="24"/>
        </w:rPr>
      </w:pPr>
      <w:r>
        <w:rPr>
          <w:rFonts w:hint="eastAsia" w:ascii="宋体" w:hAnsi="宋体"/>
          <w:bCs/>
          <w:sz w:val="24"/>
        </w:rPr>
        <w:t>甲方有权依据双方签订的考评办法对乙方提供的服务进行定期考评。当考评结果未达到标准时，有权依据考评办法约定的数额扣除履约保证金。</w:t>
      </w:r>
    </w:p>
    <w:p>
      <w:pPr>
        <w:numPr>
          <w:ilvl w:val="0"/>
          <w:numId w:val="47"/>
        </w:numPr>
        <w:tabs>
          <w:tab w:val="left" w:pos="1440"/>
        </w:tabs>
        <w:adjustRightInd w:val="0"/>
        <w:spacing w:line="360" w:lineRule="auto"/>
        <w:ind w:left="0" w:firstLine="420"/>
        <w:jc w:val="left"/>
        <w:textAlignment w:val="baseline"/>
        <w:rPr>
          <w:rFonts w:ascii="宋体" w:hAnsi="宋体"/>
          <w:bCs/>
          <w:sz w:val="24"/>
        </w:rPr>
      </w:pPr>
      <w:r>
        <w:rPr>
          <w:rFonts w:ascii="宋体" w:hAnsi="宋体"/>
          <w:bCs/>
          <w:sz w:val="24"/>
        </w:rPr>
        <w:t>负责检查监督乙方管理工作的实施及制度的执行情况。</w:t>
      </w:r>
    </w:p>
    <w:p>
      <w:pPr>
        <w:numPr>
          <w:ilvl w:val="0"/>
          <w:numId w:val="47"/>
        </w:numPr>
        <w:tabs>
          <w:tab w:val="left" w:pos="1440"/>
        </w:tabs>
        <w:adjustRightInd w:val="0"/>
        <w:spacing w:line="360" w:lineRule="auto"/>
        <w:ind w:left="0" w:firstLine="420"/>
        <w:jc w:val="left"/>
        <w:textAlignment w:val="baseline"/>
        <w:rPr>
          <w:rFonts w:ascii="宋体" w:hAnsi="宋体"/>
          <w:bCs/>
          <w:sz w:val="24"/>
        </w:rPr>
      </w:pPr>
      <w:r>
        <w:rPr>
          <w:rFonts w:ascii="宋体" w:hAnsi="宋体"/>
          <w:bCs/>
          <w:sz w:val="24"/>
        </w:rPr>
        <w:t>根据本合同规定，按时向乙方支付应付</w:t>
      </w:r>
      <w:r>
        <w:rPr>
          <w:rFonts w:hint="eastAsia" w:ascii="宋体" w:hAnsi="宋体"/>
          <w:bCs/>
          <w:sz w:val="24"/>
        </w:rPr>
        <w:t>服务费用</w:t>
      </w:r>
      <w:r>
        <w:rPr>
          <w:rFonts w:ascii="宋体" w:hAnsi="宋体"/>
          <w:bCs/>
          <w:sz w:val="24"/>
        </w:rPr>
        <w:t>。</w:t>
      </w:r>
    </w:p>
    <w:p>
      <w:pPr>
        <w:numPr>
          <w:ilvl w:val="0"/>
          <w:numId w:val="47"/>
        </w:numPr>
        <w:tabs>
          <w:tab w:val="left" w:pos="1440"/>
        </w:tabs>
        <w:adjustRightInd w:val="0"/>
        <w:spacing w:line="360" w:lineRule="auto"/>
        <w:ind w:left="0" w:firstLine="420"/>
        <w:jc w:val="left"/>
        <w:textAlignment w:val="baseline"/>
        <w:rPr>
          <w:rFonts w:ascii="宋体" w:hAnsi="宋体"/>
          <w:bCs/>
          <w:sz w:val="24"/>
        </w:rPr>
      </w:pPr>
      <w:r>
        <w:rPr>
          <w:rFonts w:ascii="宋体" w:hAnsi="宋体"/>
          <w:bCs/>
          <w:sz w:val="24"/>
        </w:rPr>
        <w:t>国家法律、法规所规定由甲方承担的其它责任。</w:t>
      </w:r>
    </w:p>
    <w:p>
      <w:pPr>
        <w:numPr>
          <w:ilvl w:val="0"/>
          <w:numId w:val="42"/>
        </w:numPr>
        <w:spacing w:line="360" w:lineRule="auto"/>
        <w:rPr>
          <w:rFonts w:ascii="宋体" w:hAnsi="宋体"/>
          <w:b/>
          <w:sz w:val="24"/>
        </w:rPr>
      </w:pPr>
      <w:r>
        <w:rPr>
          <w:rFonts w:ascii="宋体" w:hAnsi="宋体"/>
          <w:b/>
          <w:sz w:val="24"/>
        </w:rPr>
        <w:t>乙方的权利和义务</w:t>
      </w:r>
    </w:p>
    <w:p>
      <w:pPr>
        <w:numPr>
          <w:ilvl w:val="0"/>
          <w:numId w:val="48"/>
        </w:numPr>
        <w:adjustRightInd w:val="0"/>
        <w:spacing w:line="360" w:lineRule="auto"/>
        <w:ind w:left="0" w:firstLine="567"/>
        <w:jc w:val="left"/>
        <w:textAlignment w:val="baseline"/>
        <w:rPr>
          <w:rFonts w:ascii="宋体" w:hAnsi="宋体"/>
          <w:bCs/>
          <w:sz w:val="24"/>
        </w:rPr>
      </w:pPr>
      <w:r>
        <w:rPr>
          <w:rFonts w:ascii="宋体" w:hAnsi="宋体"/>
          <w:bCs/>
          <w:sz w:val="24"/>
        </w:rPr>
        <w:t>对本合同规定的委托</w:t>
      </w:r>
      <w:r>
        <w:rPr>
          <w:rFonts w:hint="eastAsia" w:ascii="宋体" w:hAnsi="宋体"/>
          <w:bCs/>
          <w:sz w:val="24"/>
        </w:rPr>
        <w:t>服务</w:t>
      </w:r>
      <w:r>
        <w:rPr>
          <w:rFonts w:ascii="宋体" w:hAnsi="宋体"/>
          <w:bCs/>
          <w:sz w:val="24"/>
        </w:rPr>
        <w:t>范围内的</w:t>
      </w:r>
      <w:r>
        <w:rPr>
          <w:rFonts w:hint="eastAsia" w:ascii="宋体" w:hAnsi="宋体"/>
          <w:bCs/>
          <w:sz w:val="24"/>
        </w:rPr>
        <w:t>项目</w:t>
      </w:r>
      <w:r>
        <w:rPr>
          <w:rFonts w:ascii="宋体" w:hAnsi="宋体"/>
          <w:bCs/>
          <w:sz w:val="24"/>
        </w:rPr>
        <w:t>享有管理权及服务义务。</w:t>
      </w:r>
    </w:p>
    <w:p>
      <w:pPr>
        <w:numPr>
          <w:ilvl w:val="0"/>
          <w:numId w:val="48"/>
        </w:numPr>
        <w:adjustRightInd w:val="0"/>
        <w:spacing w:line="360" w:lineRule="auto"/>
        <w:ind w:left="0" w:firstLine="567"/>
        <w:jc w:val="left"/>
        <w:textAlignment w:val="baseline"/>
        <w:rPr>
          <w:rFonts w:ascii="宋体" w:hAnsi="宋体"/>
          <w:bCs/>
          <w:sz w:val="24"/>
        </w:rPr>
      </w:pPr>
      <w:r>
        <w:rPr>
          <w:rFonts w:ascii="宋体" w:hAnsi="宋体"/>
          <w:bCs/>
          <w:sz w:val="24"/>
        </w:rPr>
        <w:t>根据本合同的规定向甲方收取相关</w:t>
      </w:r>
      <w:r>
        <w:rPr>
          <w:rFonts w:hint="eastAsia" w:ascii="宋体" w:hAnsi="宋体"/>
          <w:bCs/>
          <w:sz w:val="24"/>
        </w:rPr>
        <w:t>服务</w:t>
      </w:r>
      <w:r>
        <w:rPr>
          <w:rFonts w:ascii="宋体" w:hAnsi="宋体"/>
          <w:bCs/>
          <w:sz w:val="24"/>
        </w:rPr>
        <w:t>费用，并有权</w:t>
      </w:r>
      <w:r>
        <w:rPr>
          <w:rFonts w:hint="eastAsia" w:ascii="宋体" w:hAnsi="宋体"/>
          <w:bCs/>
          <w:sz w:val="24"/>
        </w:rPr>
        <w:t>在本项目管理范围内</w:t>
      </w:r>
      <w:r>
        <w:rPr>
          <w:rFonts w:ascii="宋体" w:hAnsi="宋体"/>
          <w:bCs/>
          <w:sz w:val="24"/>
        </w:rPr>
        <w:t>管理及合理使用。</w:t>
      </w:r>
    </w:p>
    <w:p>
      <w:pPr>
        <w:numPr>
          <w:ilvl w:val="0"/>
          <w:numId w:val="48"/>
        </w:numPr>
        <w:adjustRightInd w:val="0"/>
        <w:spacing w:line="360" w:lineRule="auto"/>
        <w:ind w:left="0" w:firstLine="567"/>
        <w:jc w:val="left"/>
        <w:textAlignment w:val="baseline"/>
        <w:rPr>
          <w:rFonts w:ascii="宋体" w:hAnsi="宋体"/>
          <w:bCs/>
          <w:sz w:val="24"/>
        </w:rPr>
      </w:pPr>
      <w:r>
        <w:rPr>
          <w:rFonts w:hint="eastAsia" w:ascii="宋体" w:hAnsi="宋体"/>
          <w:sz w:val="24"/>
        </w:rPr>
        <w:t>及时向甲方通告本项目服务范围内有关服务的重大事项，及时配合处理投诉。</w:t>
      </w:r>
    </w:p>
    <w:p>
      <w:pPr>
        <w:numPr>
          <w:ilvl w:val="0"/>
          <w:numId w:val="48"/>
        </w:numPr>
        <w:adjustRightInd w:val="0"/>
        <w:spacing w:line="360" w:lineRule="auto"/>
        <w:ind w:left="0" w:firstLine="567"/>
        <w:jc w:val="left"/>
        <w:textAlignment w:val="baseline"/>
        <w:rPr>
          <w:rFonts w:ascii="宋体" w:hAnsi="宋体"/>
          <w:bCs/>
          <w:sz w:val="24"/>
        </w:rPr>
      </w:pPr>
      <w:r>
        <w:rPr>
          <w:rFonts w:ascii="宋体" w:hAnsi="宋体"/>
          <w:bCs/>
          <w:sz w:val="24"/>
        </w:rPr>
        <w:t>接受</w:t>
      </w:r>
      <w:r>
        <w:rPr>
          <w:rFonts w:hint="eastAsia" w:ascii="宋体" w:hAnsi="宋体"/>
          <w:bCs/>
          <w:sz w:val="24"/>
        </w:rPr>
        <w:t>项目行</w:t>
      </w:r>
      <w:r>
        <w:rPr>
          <w:rFonts w:ascii="宋体" w:hAnsi="宋体"/>
          <w:bCs/>
          <w:sz w:val="24"/>
        </w:rPr>
        <w:t>业管理部门及政府有关部门的指导，接受甲方的监督。</w:t>
      </w:r>
    </w:p>
    <w:p>
      <w:pPr>
        <w:numPr>
          <w:ilvl w:val="0"/>
          <w:numId w:val="48"/>
        </w:numPr>
        <w:adjustRightInd w:val="0"/>
        <w:spacing w:line="360" w:lineRule="auto"/>
        <w:ind w:left="0" w:firstLine="567"/>
        <w:jc w:val="left"/>
        <w:textAlignment w:val="baseline"/>
        <w:rPr>
          <w:rFonts w:ascii="宋体" w:hAnsi="宋体"/>
          <w:bCs/>
          <w:sz w:val="24"/>
        </w:rPr>
      </w:pPr>
      <w:r>
        <w:rPr>
          <w:rFonts w:ascii="宋体" w:hAnsi="宋体"/>
          <w:bCs/>
          <w:sz w:val="24"/>
        </w:rPr>
        <w:t>国家法律、法规所规定由乙方承担的其它责任。</w:t>
      </w:r>
    </w:p>
    <w:p>
      <w:pPr>
        <w:numPr>
          <w:ilvl w:val="0"/>
          <w:numId w:val="42"/>
        </w:numPr>
        <w:spacing w:line="360" w:lineRule="auto"/>
        <w:rPr>
          <w:rFonts w:ascii="宋体" w:hAnsi="宋体"/>
          <w:b/>
          <w:sz w:val="24"/>
        </w:rPr>
      </w:pPr>
      <w:r>
        <w:rPr>
          <w:rFonts w:ascii="宋体" w:hAnsi="宋体"/>
          <w:b/>
          <w:sz w:val="24"/>
        </w:rPr>
        <w:t>违约责任</w:t>
      </w:r>
    </w:p>
    <w:p>
      <w:pPr>
        <w:numPr>
          <w:ilvl w:val="0"/>
          <w:numId w:val="49"/>
        </w:numPr>
        <w:adjustRightInd w:val="0"/>
        <w:spacing w:line="360" w:lineRule="auto"/>
        <w:ind w:left="0" w:firstLine="567"/>
        <w:jc w:val="left"/>
        <w:textAlignment w:val="baseline"/>
        <w:rPr>
          <w:rFonts w:ascii="宋体" w:hAnsi="宋体"/>
          <w:bCs/>
          <w:sz w:val="24"/>
        </w:rPr>
      </w:pPr>
      <w:r>
        <w:rPr>
          <w:rFonts w:ascii="宋体" w:hAnsi="宋体"/>
          <w:bCs/>
          <w:sz w:val="24"/>
        </w:rPr>
        <w:t>甲乙双方必须遵守本合同并执行合同中的各项规定，保证</w:t>
      </w:r>
      <w:r>
        <w:rPr>
          <w:rFonts w:hint="eastAsia" w:ascii="宋体" w:hAnsi="宋体"/>
          <w:bCs/>
          <w:sz w:val="24"/>
        </w:rPr>
        <w:t>本</w:t>
      </w:r>
      <w:r>
        <w:rPr>
          <w:rFonts w:ascii="宋体" w:hAnsi="宋体"/>
          <w:bCs/>
          <w:sz w:val="24"/>
        </w:rPr>
        <w:t>合同的正常</w:t>
      </w:r>
      <w:r>
        <w:rPr>
          <w:rFonts w:hint="eastAsia" w:ascii="宋体" w:hAnsi="宋体"/>
          <w:bCs/>
          <w:sz w:val="24"/>
        </w:rPr>
        <w:t>履行</w:t>
      </w:r>
      <w:r>
        <w:rPr>
          <w:rFonts w:ascii="宋体" w:hAnsi="宋体"/>
          <w:bCs/>
          <w:sz w:val="24"/>
        </w:rPr>
        <w:t>。</w:t>
      </w:r>
    </w:p>
    <w:p>
      <w:pPr>
        <w:numPr>
          <w:ilvl w:val="0"/>
          <w:numId w:val="49"/>
        </w:numPr>
        <w:adjustRightInd w:val="0"/>
        <w:spacing w:line="360" w:lineRule="auto"/>
        <w:ind w:left="0" w:firstLine="567"/>
        <w:jc w:val="left"/>
        <w:textAlignment w:val="baseline"/>
        <w:rPr>
          <w:rFonts w:ascii="宋体" w:hAnsi="宋体"/>
          <w:bCs/>
          <w:sz w:val="24"/>
        </w:rPr>
      </w:pPr>
      <w:r>
        <w:rPr>
          <w:rFonts w:ascii="宋体" w:hAnsi="宋体"/>
          <w:bCs/>
          <w:sz w:val="24"/>
        </w:rPr>
        <w:t>如因乙方</w:t>
      </w:r>
      <w:r>
        <w:rPr>
          <w:rFonts w:hint="eastAsia" w:ascii="宋体" w:hAnsi="宋体"/>
          <w:bCs/>
          <w:sz w:val="24"/>
        </w:rPr>
        <w:t>工作人员在履行职务过程中的</w:t>
      </w:r>
      <w:r>
        <w:rPr>
          <w:rFonts w:ascii="宋体" w:hAnsi="宋体"/>
          <w:bCs/>
          <w:sz w:val="24"/>
        </w:rPr>
        <w:t>的疏忽、失职、过错等</w:t>
      </w:r>
      <w:r>
        <w:rPr>
          <w:rFonts w:hint="eastAsia" w:ascii="宋体" w:hAnsi="宋体"/>
          <w:bCs/>
          <w:sz w:val="24"/>
        </w:rPr>
        <w:t>故意或者过失</w:t>
      </w:r>
      <w:r>
        <w:rPr>
          <w:rFonts w:ascii="宋体" w:hAnsi="宋体"/>
          <w:bCs/>
          <w:sz w:val="24"/>
        </w:rPr>
        <w:t>原因给甲方造成损失或侵害，</w:t>
      </w:r>
      <w:r>
        <w:rPr>
          <w:rFonts w:hint="eastAsia" w:ascii="宋体" w:hAnsi="宋体"/>
          <w:bCs/>
          <w:sz w:val="24"/>
        </w:rPr>
        <w:t>包括但不限于甲方本身的财产损失、由此而导致的甲方对任何第三方的法律责任等，乙方对此均应承担全部的赔偿责任</w:t>
      </w:r>
      <w:r>
        <w:rPr>
          <w:rFonts w:ascii="宋体" w:hAnsi="宋体"/>
          <w:bCs/>
          <w:sz w:val="24"/>
        </w:rPr>
        <w:t>。</w:t>
      </w:r>
    </w:p>
    <w:p>
      <w:pPr>
        <w:numPr>
          <w:ilvl w:val="0"/>
          <w:numId w:val="42"/>
        </w:numPr>
        <w:spacing w:line="360" w:lineRule="auto"/>
        <w:rPr>
          <w:rFonts w:ascii="宋体" w:hAnsi="宋体"/>
          <w:b/>
          <w:sz w:val="24"/>
        </w:rPr>
      </w:pPr>
      <w:r>
        <w:rPr>
          <w:rFonts w:hint="eastAsia" w:ascii="宋体" w:hAnsi="宋体"/>
          <w:b/>
          <w:sz w:val="24"/>
        </w:rPr>
        <w:t>不可抗力事件处理</w:t>
      </w:r>
    </w:p>
    <w:p>
      <w:pPr>
        <w:numPr>
          <w:ilvl w:val="0"/>
          <w:numId w:val="50"/>
        </w:numPr>
        <w:tabs>
          <w:tab w:val="left" w:pos="0"/>
        </w:tabs>
        <w:spacing w:line="360" w:lineRule="auto"/>
        <w:ind w:left="0" w:firstLine="567"/>
        <w:rPr>
          <w:rFonts w:ascii="宋体" w:hAnsi="宋体"/>
          <w:sz w:val="24"/>
        </w:rPr>
      </w:pPr>
      <w:r>
        <w:rPr>
          <w:rFonts w:hint="eastAsia" w:ascii="宋体" w:hAnsi="宋体"/>
          <w:sz w:val="24"/>
        </w:rPr>
        <w:t>在合同有效期内，任何一方因不可抗力事件导致不能履行合同，则合同履行期可延长，其延长期与不可抗力影响期相同。</w:t>
      </w:r>
    </w:p>
    <w:p>
      <w:pPr>
        <w:numPr>
          <w:ilvl w:val="0"/>
          <w:numId w:val="50"/>
        </w:numPr>
        <w:tabs>
          <w:tab w:val="left" w:pos="0"/>
        </w:tabs>
        <w:spacing w:line="360" w:lineRule="auto"/>
        <w:ind w:left="0" w:firstLine="567"/>
        <w:rPr>
          <w:rFonts w:ascii="宋体" w:hAnsi="宋体"/>
          <w:sz w:val="24"/>
        </w:rPr>
      </w:pPr>
      <w:r>
        <w:rPr>
          <w:rFonts w:hint="eastAsia" w:ascii="宋体" w:hAnsi="宋体"/>
          <w:sz w:val="24"/>
        </w:rPr>
        <w:t>不可抗力事件发生后，应立即通知对方，并寄送有关权威机构出具的证明。</w:t>
      </w:r>
    </w:p>
    <w:p>
      <w:pPr>
        <w:numPr>
          <w:ilvl w:val="0"/>
          <w:numId w:val="50"/>
        </w:numPr>
        <w:tabs>
          <w:tab w:val="left" w:pos="0"/>
        </w:tabs>
        <w:spacing w:line="360" w:lineRule="auto"/>
        <w:ind w:left="0" w:firstLine="567"/>
        <w:rPr>
          <w:rFonts w:ascii="宋体" w:hAnsi="宋体"/>
          <w:sz w:val="24"/>
        </w:rPr>
      </w:pPr>
      <w:r>
        <w:rPr>
          <w:rFonts w:hint="eastAsia" w:ascii="宋体" w:hAnsi="宋体"/>
          <w:sz w:val="24"/>
        </w:rPr>
        <w:t>不可抗力事件延续120天以上，双方应通过友好协商，确定是否继续履行合同。</w:t>
      </w:r>
    </w:p>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Pr>
        <w:numPr>
          <w:ilvl w:val="0"/>
          <w:numId w:val="42"/>
        </w:numPr>
        <w:spacing w:line="360" w:lineRule="auto"/>
        <w:rPr>
          <w:rFonts w:ascii="宋体" w:hAnsi="宋体"/>
          <w:b/>
          <w:sz w:val="24"/>
        </w:rPr>
      </w:pPr>
      <w:bookmarkStart w:id="201" w:name="_Toc238984980"/>
      <w:bookmarkStart w:id="202" w:name="_Toc241833908"/>
      <w:bookmarkStart w:id="203" w:name="_Toc225244857"/>
      <w:bookmarkStart w:id="204" w:name="_Toc232492933"/>
      <w:bookmarkStart w:id="205" w:name="_Toc212019599"/>
      <w:bookmarkStart w:id="206" w:name="_Toc251768867"/>
      <w:bookmarkStart w:id="207" w:name="_Toc286993792"/>
      <w:bookmarkStart w:id="208" w:name="_Toc237145411"/>
      <w:bookmarkStart w:id="209" w:name="_Toc225654649"/>
      <w:bookmarkStart w:id="210" w:name="_Toc239233919"/>
      <w:bookmarkStart w:id="211" w:name="_Toc211854454"/>
      <w:bookmarkStart w:id="212" w:name="_Toc185395254"/>
      <w:bookmarkStart w:id="213" w:name="_Toc211911353"/>
      <w:bookmarkStart w:id="214" w:name="_Toc247334846"/>
      <w:bookmarkStart w:id="215" w:name="_Toc239568423"/>
      <w:bookmarkStart w:id="216" w:name="_Toc225670756"/>
      <w:r>
        <w:rPr>
          <w:rFonts w:hint="eastAsia" w:ascii="宋体" w:hAnsi="宋体"/>
          <w:b/>
          <w:sz w:val="24"/>
        </w:rPr>
        <w:t>解</w:t>
      </w:r>
      <w:r>
        <w:rPr>
          <w:rFonts w:ascii="宋体" w:hAnsi="宋体"/>
          <w:b/>
          <w:sz w:val="24"/>
        </w:rPr>
        <w:t>决合同纠纷的方式</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numPr>
          <w:ilvl w:val="0"/>
          <w:numId w:val="51"/>
        </w:numPr>
        <w:tabs>
          <w:tab w:val="left" w:pos="0"/>
        </w:tabs>
        <w:spacing w:line="360" w:lineRule="auto"/>
        <w:ind w:left="0" w:firstLine="560"/>
        <w:rPr>
          <w:rFonts w:ascii="宋体" w:hAnsi="宋体"/>
          <w:sz w:val="24"/>
        </w:rPr>
      </w:pPr>
      <w:r>
        <w:rPr>
          <w:rFonts w:ascii="宋体" w:hAnsi="宋体"/>
          <w:sz w:val="24"/>
        </w:rPr>
        <w:t>在执行本合同中发生的或与本合同有关的争端，双方应通过友好协商解决，经协商在60天内不能达成协议时，应提交成都仲裁委员会仲裁。</w:t>
      </w:r>
    </w:p>
    <w:p>
      <w:pPr>
        <w:numPr>
          <w:ilvl w:val="0"/>
          <w:numId w:val="51"/>
        </w:numPr>
        <w:tabs>
          <w:tab w:val="left" w:pos="0"/>
        </w:tabs>
        <w:spacing w:line="360" w:lineRule="auto"/>
        <w:ind w:left="0" w:firstLine="560"/>
        <w:rPr>
          <w:rFonts w:ascii="宋体" w:hAnsi="宋体"/>
          <w:sz w:val="24"/>
        </w:rPr>
      </w:pPr>
      <w:r>
        <w:rPr>
          <w:rFonts w:ascii="宋体" w:hAnsi="宋体"/>
          <w:sz w:val="24"/>
        </w:rPr>
        <w:t>仲裁裁决应为最终决定，并对双方具有约束力。</w:t>
      </w:r>
    </w:p>
    <w:p>
      <w:pPr>
        <w:numPr>
          <w:ilvl w:val="0"/>
          <w:numId w:val="51"/>
        </w:numPr>
        <w:tabs>
          <w:tab w:val="left" w:pos="0"/>
        </w:tabs>
        <w:spacing w:line="360" w:lineRule="auto"/>
        <w:ind w:left="0" w:firstLine="560"/>
        <w:rPr>
          <w:rFonts w:ascii="宋体" w:hAnsi="宋体"/>
          <w:sz w:val="24"/>
        </w:rPr>
      </w:pPr>
      <w:r>
        <w:rPr>
          <w:rFonts w:ascii="宋体" w:hAnsi="宋体"/>
          <w:sz w:val="24"/>
        </w:rPr>
        <w:t xml:space="preserve">除另有裁决外，仲裁费应由败诉方负担。 </w:t>
      </w:r>
    </w:p>
    <w:p>
      <w:pPr>
        <w:numPr>
          <w:ilvl w:val="0"/>
          <w:numId w:val="51"/>
        </w:numPr>
        <w:tabs>
          <w:tab w:val="left" w:pos="0"/>
        </w:tabs>
        <w:spacing w:line="360" w:lineRule="auto"/>
        <w:ind w:left="0" w:firstLine="560"/>
        <w:rPr>
          <w:rFonts w:ascii="宋体" w:hAnsi="宋体"/>
          <w:sz w:val="24"/>
        </w:rPr>
      </w:pPr>
      <w:r>
        <w:rPr>
          <w:rFonts w:ascii="宋体" w:hAnsi="宋体"/>
          <w:sz w:val="24"/>
        </w:rPr>
        <w:t xml:space="preserve">在仲裁期间，除正在进行仲裁部分外，合同其他部分继续执行。  </w:t>
      </w:r>
    </w:p>
    <w:p>
      <w:pPr>
        <w:numPr>
          <w:ilvl w:val="0"/>
          <w:numId w:val="42"/>
        </w:numPr>
        <w:spacing w:line="360" w:lineRule="auto"/>
        <w:rPr>
          <w:rFonts w:ascii="宋体" w:hAnsi="宋体"/>
          <w:b/>
          <w:sz w:val="24"/>
        </w:rPr>
      </w:pPr>
      <w:bookmarkStart w:id="217" w:name="_Toc239568424"/>
      <w:bookmarkStart w:id="218" w:name="_Toc232492934"/>
      <w:bookmarkStart w:id="219" w:name="_Toc282696231"/>
      <w:bookmarkStart w:id="220" w:name="_Toc237145412"/>
      <w:bookmarkStart w:id="221" w:name="_Toc225670757"/>
      <w:bookmarkStart w:id="222" w:name="_Toc238984981"/>
      <w:bookmarkStart w:id="223" w:name="_Toc212019600"/>
      <w:bookmarkStart w:id="224" w:name="_Toc225654650"/>
      <w:bookmarkStart w:id="225" w:name="_Toc211911354"/>
      <w:bookmarkStart w:id="226" w:name="_Toc247334847"/>
      <w:bookmarkStart w:id="227" w:name="_Toc211854455"/>
      <w:bookmarkStart w:id="228" w:name="_Toc251768868"/>
      <w:bookmarkStart w:id="229" w:name="_Toc225244858"/>
      <w:bookmarkStart w:id="230" w:name="_Toc286993793"/>
      <w:bookmarkStart w:id="231" w:name="_Toc241833909"/>
      <w:bookmarkStart w:id="232" w:name="_Toc185395255"/>
      <w:bookmarkStart w:id="233" w:name="_Toc239233920"/>
      <w:bookmarkStart w:id="234" w:name="_Toc283019219"/>
      <w:r>
        <w:rPr>
          <w:rFonts w:ascii="宋体" w:hAnsi="宋体"/>
          <w:b/>
          <w:sz w:val="24"/>
        </w:rPr>
        <w:t>合同</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rFonts w:hint="eastAsia" w:ascii="宋体" w:hAnsi="宋体"/>
          <w:b/>
          <w:sz w:val="24"/>
        </w:rPr>
        <w:t>生效</w:t>
      </w:r>
    </w:p>
    <w:p>
      <w:pPr>
        <w:pStyle w:val="222"/>
        <w:numPr>
          <w:ilvl w:val="0"/>
          <w:numId w:val="52"/>
        </w:numPr>
        <w:spacing w:line="360" w:lineRule="auto"/>
        <w:ind w:left="0" w:firstLine="630" w:firstLineChars="0"/>
        <w:rPr>
          <w:rFonts w:ascii="宋体" w:hAnsi="宋体"/>
          <w:sz w:val="24"/>
          <w:szCs w:val="24"/>
        </w:rPr>
      </w:pPr>
      <w:r>
        <w:rPr>
          <w:rFonts w:hint="eastAsia" w:ascii="宋体" w:hAnsi="宋体"/>
          <w:sz w:val="24"/>
          <w:szCs w:val="24"/>
        </w:rPr>
        <w:t>合同经双方法定代表人/单位负责人或授权委托代理人签字并加盖单位公章后生效。</w:t>
      </w:r>
    </w:p>
    <w:p>
      <w:pPr>
        <w:pStyle w:val="222"/>
        <w:numPr>
          <w:ilvl w:val="0"/>
          <w:numId w:val="52"/>
        </w:numPr>
        <w:spacing w:line="360" w:lineRule="auto"/>
        <w:ind w:left="0" w:firstLine="630" w:firstLineChars="0"/>
        <w:rPr>
          <w:rFonts w:ascii="宋体" w:hAnsi="宋体"/>
          <w:sz w:val="24"/>
          <w:szCs w:val="24"/>
        </w:rPr>
      </w:pPr>
      <w:r>
        <w:rPr>
          <w:rFonts w:hint="eastAsia" w:ascii="宋体" w:hAnsi="宋体"/>
          <w:sz w:val="24"/>
          <w:szCs w:val="24"/>
        </w:rPr>
        <w:t>合同执行中涉及采购资金和采购内容修改或补充的，须经政府采购监管部门审批，并签书面补充协议报政府采购监督管理部门备案，方可作为主合同不可分割的一部分。</w:t>
      </w:r>
    </w:p>
    <w:p>
      <w:pPr>
        <w:numPr>
          <w:ilvl w:val="0"/>
          <w:numId w:val="42"/>
        </w:numPr>
        <w:spacing w:line="360" w:lineRule="auto"/>
        <w:rPr>
          <w:rFonts w:ascii="宋体" w:hAnsi="宋体"/>
          <w:b/>
          <w:sz w:val="24"/>
        </w:rPr>
      </w:pPr>
      <w:r>
        <w:rPr>
          <w:rFonts w:hint="eastAsia" w:ascii="宋体" w:hAnsi="宋体"/>
          <w:b/>
          <w:sz w:val="24"/>
        </w:rPr>
        <w:t>附件</w:t>
      </w:r>
    </w:p>
    <w:p>
      <w:pPr>
        <w:pStyle w:val="222"/>
        <w:numPr>
          <w:ilvl w:val="0"/>
          <w:numId w:val="3"/>
        </w:numPr>
        <w:spacing w:line="360" w:lineRule="auto"/>
        <w:ind w:firstLineChars="0"/>
        <w:rPr>
          <w:rFonts w:ascii="宋体" w:hAnsi="宋体"/>
          <w:sz w:val="24"/>
          <w:szCs w:val="24"/>
        </w:rPr>
      </w:pPr>
      <w:r>
        <w:rPr>
          <w:rFonts w:hint="eastAsia" w:ascii="宋体" w:hAnsi="宋体"/>
          <w:sz w:val="24"/>
          <w:szCs w:val="24"/>
        </w:rPr>
        <w:t>项目招标文件</w:t>
      </w:r>
    </w:p>
    <w:p>
      <w:pPr>
        <w:pStyle w:val="222"/>
        <w:numPr>
          <w:ilvl w:val="0"/>
          <w:numId w:val="3"/>
        </w:numPr>
        <w:spacing w:line="360" w:lineRule="auto"/>
        <w:ind w:firstLineChars="0"/>
        <w:rPr>
          <w:rFonts w:ascii="宋体" w:hAnsi="宋体"/>
          <w:sz w:val="24"/>
          <w:szCs w:val="24"/>
        </w:rPr>
      </w:pPr>
      <w:r>
        <w:rPr>
          <w:rFonts w:hint="eastAsia" w:ascii="宋体" w:hAnsi="宋体"/>
          <w:sz w:val="24"/>
          <w:szCs w:val="24"/>
        </w:rPr>
        <w:t>项目修改澄清文件</w:t>
      </w:r>
    </w:p>
    <w:p>
      <w:pPr>
        <w:pStyle w:val="222"/>
        <w:numPr>
          <w:ilvl w:val="0"/>
          <w:numId w:val="3"/>
        </w:numPr>
        <w:spacing w:line="360" w:lineRule="auto"/>
        <w:ind w:firstLineChars="0"/>
        <w:rPr>
          <w:rFonts w:ascii="宋体" w:hAnsi="宋体"/>
          <w:sz w:val="24"/>
          <w:szCs w:val="24"/>
        </w:rPr>
      </w:pPr>
      <w:r>
        <w:rPr>
          <w:rFonts w:hint="eastAsia" w:ascii="宋体" w:hAnsi="宋体"/>
          <w:sz w:val="24"/>
          <w:szCs w:val="24"/>
        </w:rPr>
        <w:t>项目投标文件</w:t>
      </w:r>
    </w:p>
    <w:p>
      <w:pPr>
        <w:pStyle w:val="222"/>
        <w:numPr>
          <w:ilvl w:val="0"/>
          <w:numId w:val="3"/>
        </w:numPr>
        <w:spacing w:line="360" w:lineRule="auto"/>
        <w:ind w:firstLineChars="0"/>
        <w:rPr>
          <w:rFonts w:ascii="宋体" w:hAnsi="宋体"/>
          <w:sz w:val="24"/>
          <w:szCs w:val="24"/>
        </w:rPr>
      </w:pPr>
      <w:r>
        <w:rPr>
          <w:rFonts w:hint="eastAsia" w:ascii="宋体" w:hAnsi="宋体"/>
          <w:sz w:val="24"/>
          <w:szCs w:val="24"/>
        </w:rPr>
        <w:t>中标通知书</w:t>
      </w:r>
    </w:p>
    <w:p>
      <w:pPr>
        <w:pStyle w:val="222"/>
        <w:numPr>
          <w:ilvl w:val="0"/>
          <w:numId w:val="3"/>
        </w:numPr>
        <w:spacing w:line="360" w:lineRule="auto"/>
        <w:ind w:firstLineChars="0"/>
        <w:rPr>
          <w:rFonts w:ascii="宋体" w:hAnsi="宋体"/>
          <w:sz w:val="24"/>
          <w:szCs w:val="24"/>
        </w:rPr>
      </w:pPr>
      <w:r>
        <w:rPr>
          <w:rFonts w:hint="eastAsia" w:ascii="宋体" w:hAnsi="宋体"/>
          <w:sz w:val="24"/>
          <w:szCs w:val="24"/>
        </w:rPr>
        <w:t>其他</w:t>
      </w:r>
    </w:p>
    <w:bookmarkEnd w:id="182"/>
    <w:p>
      <w:pPr>
        <w:numPr>
          <w:ilvl w:val="0"/>
          <w:numId w:val="42"/>
        </w:numPr>
        <w:spacing w:line="360" w:lineRule="auto"/>
        <w:rPr>
          <w:rFonts w:ascii="宋体" w:hAnsi="宋体"/>
          <w:b/>
          <w:sz w:val="24"/>
        </w:rPr>
      </w:pPr>
      <w:r>
        <w:rPr>
          <w:rFonts w:hint="eastAsia" w:ascii="宋体" w:hAnsi="宋体"/>
          <w:b/>
          <w:sz w:val="24"/>
        </w:rPr>
        <w:t>其他</w:t>
      </w:r>
    </w:p>
    <w:p>
      <w:pPr>
        <w:pStyle w:val="103"/>
        <w:ind w:firstLine="480"/>
        <w:rPr>
          <w:rFonts w:ascii="宋体"/>
        </w:rPr>
      </w:pPr>
      <w:r>
        <w:rPr>
          <w:rFonts w:hint="eastAsia" w:ascii="宋体"/>
        </w:rPr>
        <w:t>1、如有未尽事宜，由双方依法订立补充合同。</w:t>
      </w:r>
    </w:p>
    <w:p>
      <w:pPr>
        <w:pStyle w:val="103"/>
        <w:ind w:firstLine="480"/>
        <w:rPr>
          <w:rFonts w:ascii="宋体"/>
        </w:rPr>
      </w:pPr>
      <w:r>
        <w:rPr>
          <w:rFonts w:hint="eastAsia" w:ascii="宋体"/>
        </w:rPr>
        <w:t>2、本合同一式六份，自双方签章之日起生效。甲方三份，乙方、政府采购管理部门、采购代理机构各一份。</w:t>
      </w:r>
    </w:p>
    <w:p>
      <w:pPr>
        <w:spacing w:line="400" w:lineRule="exact"/>
        <w:rPr>
          <w:rFonts w:ascii="宋体"/>
          <w:sz w:val="24"/>
        </w:rPr>
      </w:pPr>
    </w:p>
    <w:p>
      <w:pPr>
        <w:spacing w:line="400" w:lineRule="exact"/>
        <w:ind w:firstLine="480" w:firstLineChars="200"/>
        <w:rPr>
          <w:rFonts w:ascii="宋体"/>
          <w:sz w:val="24"/>
        </w:rPr>
      </w:pPr>
      <w:r>
        <w:rPr>
          <w:rFonts w:hint="eastAsia" w:ascii="宋体"/>
          <w:sz w:val="24"/>
        </w:rPr>
        <w:t xml:space="preserve">甲方：   （盖章）   </w:t>
      </w:r>
      <w:r>
        <w:rPr>
          <w:rFonts w:hint="eastAsia" w:ascii="宋体"/>
          <w:sz w:val="24"/>
        </w:rPr>
        <w:tab/>
      </w:r>
      <w:r>
        <w:rPr>
          <w:rFonts w:hint="eastAsia" w:ascii="宋体"/>
          <w:sz w:val="24"/>
        </w:rPr>
        <w:tab/>
      </w:r>
      <w:r>
        <w:rPr>
          <w:rFonts w:hint="eastAsia" w:ascii="宋体"/>
          <w:sz w:val="24"/>
        </w:rPr>
        <w:tab/>
      </w:r>
      <w:r>
        <w:rPr>
          <w:rFonts w:hint="eastAsia" w:ascii="宋体"/>
          <w:sz w:val="24"/>
        </w:rPr>
        <w:t xml:space="preserve">        乙方：   （盖章）</w:t>
      </w:r>
    </w:p>
    <w:p>
      <w:pPr>
        <w:spacing w:line="400" w:lineRule="exact"/>
        <w:ind w:firstLine="480" w:firstLineChars="200"/>
        <w:rPr>
          <w:rFonts w:ascii="宋体"/>
          <w:sz w:val="24"/>
        </w:rPr>
      </w:pPr>
      <w:r>
        <w:rPr>
          <w:rFonts w:hint="eastAsia" w:ascii="宋体"/>
          <w:sz w:val="24"/>
        </w:rPr>
        <w:t>法定代表人/单位负责人（授权代表）： 法定代表人/单位负责人（授权代表）：</w:t>
      </w:r>
    </w:p>
    <w:p>
      <w:pPr>
        <w:spacing w:line="400" w:lineRule="exact"/>
        <w:ind w:firstLine="480" w:firstLineChars="200"/>
        <w:rPr>
          <w:rFonts w:ascii="宋体"/>
          <w:sz w:val="24"/>
        </w:rPr>
      </w:pPr>
      <w:r>
        <w:rPr>
          <w:rFonts w:hint="eastAsia" w:ascii="宋体"/>
          <w:sz w:val="24"/>
        </w:rPr>
        <w:t>地    址：                         地    址：</w:t>
      </w:r>
    </w:p>
    <w:p>
      <w:pPr>
        <w:spacing w:line="400" w:lineRule="exact"/>
        <w:ind w:firstLine="480" w:firstLineChars="200"/>
        <w:rPr>
          <w:rFonts w:ascii="宋体"/>
          <w:sz w:val="24"/>
        </w:rPr>
      </w:pPr>
      <w:r>
        <w:rPr>
          <w:rFonts w:hint="eastAsia" w:ascii="宋体"/>
          <w:sz w:val="24"/>
        </w:rPr>
        <w:t>开户银行：                         开户银行：</w:t>
      </w:r>
    </w:p>
    <w:p>
      <w:pPr>
        <w:spacing w:line="400" w:lineRule="exact"/>
        <w:ind w:firstLine="480" w:firstLineChars="200"/>
        <w:rPr>
          <w:rFonts w:ascii="宋体"/>
          <w:sz w:val="24"/>
        </w:rPr>
      </w:pPr>
      <w:r>
        <w:rPr>
          <w:rFonts w:hint="eastAsia" w:ascii="宋体"/>
          <w:sz w:val="24"/>
        </w:rPr>
        <w:t>账号：                             账号：</w:t>
      </w:r>
    </w:p>
    <w:p>
      <w:pPr>
        <w:spacing w:line="400" w:lineRule="exact"/>
        <w:ind w:firstLine="480" w:firstLineChars="200"/>
        <w:rPr>
          <w:rFonts w:ascii="宋体"/>
          <w:sz w:val="24"/>
        </w:rPr>
      </w:pPr>
      <w:r>
        <w:rPr>
          <w:rFonts w:hint="eastAsia" w:ascii="宋体"/>
          <w:sz w:val="24"/>
        </w:rPr>
        <w:t>电    话：                         电    话：</w:t>
      </w:r>
    </w:p>
    <w:p>
      <w:pPr>
        <w:spacing w:line="400" w:lineRule="exact"/>
        <w:ind w:firstLine="480" w:firstLineChars="200"/>
        <w:rPr>
          <w:rFonts w:ascii="宋体"/>
          <w:sz w:val="24"/>
        </w:rPr>
      </w:pPr>
      <w:r>
        <w:rPr>
          <w:rFonts w:hint="eastAsia" w:ascii="宋体"/>
          <w:sz w:val="24"/>
        </w:rPr>
        <w:t>传    真：                         传    真：</w:t>
      </w:r>
    </w:p>
    <w:p>
      <w:pPr>
        <w:pStyle w:val="2"/>
        <w:jc w:val="center"/>
        <w:rPr>
          <w:rFonts w:ascii="方正小标宋简体" w:eastAsia="方正小标宋简体"/>
          <w:sz w:val="36"/>
          <w:szCs w:val="36"/>
        </w:rPr>
      </w:pPr>
      <w:r>
        <w:rPr>
          <w:rFonts w:hint="eastAsia"/>
        </w:rPr>
        <w:t>签约日期：</w:t>
      </w:r>
      <w:r>
        <w:rPr>
          <w:rFonts w:hint="eastAsia"/>
          <w:szCs w:val="21"/>
        </w:rPr>
        <w:t>XX</w:t>
      </w:r>
      <w:r>
        <w:rPr>
          <w:rFonts w:hint="eastAsia"/>
        </w:rPr>
        <w:t>年</w:t>
      </w:r>
      <w:r>
        <w:rPr>
          <w:rFonts w:hint="eastAsia"/>
          <w:szCs w:val="21"/>
        </w:rPr>
        <w:t>XX</w:t>
      </w:r>
      <w:r>
        <w:rPr>
          <w:rFonts w:hint="eastAsia"/>
        </w:rPr>
        <w:t>月</w:t>
      </w:r>
      <w:r>
        <w:rPr>
          <w:rFonts w:hint="eastAsia"/>
          <w:szCs w:val="21"/>
        </w:rPr>
        <w:t>XX</w:t>
      </w:r>
      <w:r>
        <w:rPr>
          <w:rFonts w:hint="eastAsia"/>
        </w:rPr>
        <w:t xml:space="preserve">日 </w:t>
      </w:r>
      <w:r>
        <w:rPr>
          <w:rFonts w:hint="eastAsia"/>
        </w:rPr>
        <w:tab/>
      </w:r>
      <w:r>
        <w:rPr>
          <w:rFonts w:hint="eastAsia"/>
        </w:rPr>
        <w:tab/>
      </w:r>
      <w:r>
        <w:rPr>
          <w:rFonts w:hint="eastAsia"/>
        </w:rPr>
        <w:tab/>
      </w:r>
      <w:r>
        <w:rPr>
          <w:rFonts w:hint="eastAsia"/>
        </w:rPr>
        <w:t>签约日期：</w:t>
      </w:r>
      <w:r>
        <w:rPr>
          <w:rFonts w:hint="eastAsia"/>
          <w:szCs w:val="21"/>
        </w:rPr>
        <w:t>XX</w:t>
      </w:r>
      <w:r>
        <w:rPr>
          <w:rFonts w:hint="eastAsia"/>
        </w:rPr>
        <w:t>年</w:t>
      </w:r>
      <w:r>
        <w:rPr>
          <w:rFonts w:hint="eastAsia"/>
          <w:szCs w:val="21"/>
        </w:rPr>
        <w:t>XX</w:t>
      </w:r>
      <w:r>
        <w:rPr>
          <w:rFonts w:hint="eastAsia"/>
        </w:rPr>
        <w:t>月</w:t>
      </w:r>
      <w:r>
        <w:rPr>
          <w:rFonts w:hint="eastAsia"/>
          <w:szCs w:val="21"/>
        </w:rPr>
        <w:t>XX日</w:t>
      </w:r>
    </w:p>
    <w:p/>
    <w:p>
      <w:pPr>
        <w:pStyle w:val="2"/>
      </w:pPr>
    </w:p>
    <w:p>
      <w:pPr>
        <w:pStyle w:val="2"/>
      </w:pPr>
    </w:p>
    <w:p>
      <w:pPr>
        <w:pStyle w:val="2"/>
      </w:pPr>
    </w:p>
    <w:p>
      <w:pPr>
        <w:pStyle w:val="2"/>
      </w:pPr>
    </w:p>
    <w:p>
      <w:pPr>
        <w:pStyle w:val="2"/>
      </w:pPr>
    </w:p>
    <w:p>
      <w:pPr>
        <w:pStyle w:val="2"/>
      </w:pPr>
    </w:p>
    <w:p>
      <w:pPr>
        <w:pStyle w:val="2"/>
      </w:pPr>
    </w:p>
    <w:p>
      <w:pPr>
        <w:pStyle w:val="2"/>
      </w:pPr>
    </w:p>
    <w:bookmarkEnd w:id="178"/>
    <w:bookmarkEnd w:id="179"/>
    <w:bookmarkEnd w:id="180"/>
    <w:p>
      <w:pPr>
        <w:widowControl/>
        <w:jc w:val="left"/>
        <w:rPr>
          <w:rFonts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r>
        <w:rPr>
          <w:rFonts w:hint="eastAsia" w:ascii="黑体" w:hAnsi="黑体" w:eastAsia="黑体"/>
          <w:sz w:val="32"/>
          <w:szCs w:val="32"/>
        </w:rPr>
        <w:t>附件</w:t>
      </w:r>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5"/>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6"/>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3"/>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4"/>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5"/>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6"/>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7"/>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8"/>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9"/>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0"/>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1"/>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2"/>
                    <a:stretch>
                      <a:fillRect/>
                    </a:stretch>
                  </pic:blipFill>
                  <pic:spPr>
                    <a:xfrm>
                      <a:off x="0" y="0"/>
                      <a:ext cx="6486525" cy="8296275"/>
                    </a:xfrm>
                    <a:prstGeom prst="rect">
                      <a:avLst/>
                    </a:prstGeom>
                    <a:noFill/>
                    <a:ln w="9525">
                      <a:noFill/>
                    </a:ln>
                  </pic:spPr>
                </pic:pic>
              </a:graphicData>
            </a:graphic>
          </wp:inline>
        </w:drawing>
      </w:r>
    </w:p>
    <w:p>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3"/>
                    <a:stretch>
                      <a:fillRect/>
                    </a:stretch>
                  </pic:blipFill>
                  <pic:spPr>
                    <a:xfrm>
                      <a:off x="0" y="0"/>
                      <a:ext cx="5971540" cy="3562985"/>
                    </a:xfrm>
                    <a:prstGeom prst="rect">
                      <a:avLst/>
                    </a:prstGeom>
                    <a:noFill/>
                    <a:ln w="9525">
                      <a:noFill/>
                    </a:ln>
                  </pic:spPr>
                </pic:pic>
              </a:graphicData>
            </a:graphic>
          </wp:inline>
        </w:drawing>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方正小标宋简体">
    <w:altName w:val="黑体"/>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053614"/>
    </w:sdtPr>
    <w:sdtContent>
      <w:p>
        <w:pPr>
          <w:pStyle w:val="27"/>
          <w:jc w:val="center"/>
        </w:pPr>
        <w:r>
          <w:fldChar w:fldCharType="begin"/>
        </w:r>
        <w:r>
          <w:instrText xml:space="preserve">PAGE   \* MERGEFORMAT</w:instrText>
        </w:r>
        <w:r>
          <w:fldChar w:fldCharType="separate"/>
        </w:r>
        <w:r>
          <w:rPr>
            <w:lang w:val="zh-CN"/>
          </w:rPr>
          <w:t>8</w:t>
        </w:r>
        <w: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2"/>
    <w:multiLevelType w:val="multilevel"/>
    <w:tmpl w:val="00000002"/>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06"/>
    <w:multiLevelType w:val="multilevel"/>
    <w:tmpl w:val="00000006"/>
    <w:lvl w:ilvl="0" w:tentative="0">
      <w:start w:val="1"/>
      <w:numFmt w:val="decimal"/>
      <w:suff w:val="nothing"/>
      <w:lvlText w:val="%1."/>
      <w:lvlJc w:val="left"/>
      <w:pPr>
        <w:ind w:left="986" w:hanging="420"/>
      </w:pPr>
      <w:rPr>
        <w:rFonts w:hint="eastAsia"/>
      </w:rPr>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3">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6">
    <w:nsid w:val="0000000D"/>
    <w:multiLevelType w:val="multilevel"/>
    <w:tmpl w:val="0000000D"/>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7">
    <w:nsid w:val="00000011"/>
    <w:multiLevelType w:val="multilevel"/>
    <w:tmpl w:val="00000011"/>
    <w:lvl w:ilvl="0" w:tentative="0">
      <w:start w:val="1"/>
      <w:numFmt w:val="decimal"/>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2"/>
    <w:multiLevelType w:val="singleLevel"/>
    <w:tmpl w:val="00000012"/>
    <w:lvl w:ilvl="0" w:tentative="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0">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1"/>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271"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3260"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2830"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2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22">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3">
    <w:nsid w:val="06AF180E"/>
    <w:multiLevelType w:val="multilevel"/>
    <w:tmpl w:val="06AF180E"/>
    <w:lvl w:ilvl="0" w:tentative="0">
      <w:start w:val="1"/>
      <w:numFmt w:val="japaneseCounting"/>
      <w:lvlText w:val="（%1）"/>
      <w:lvlJc w:val="left"/>
      <w:pPr>
        <w:ind w:left="3123"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4">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5">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6">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7">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2C5917C3"/>
    <w:multiLevelType w:val="multilevel"/>
    <w:tmpl w:val="2C5917C3"/>
    <w:lvl w:ilvl="0" w:tentative="0">
      <w:start w:val="1"/>
      <w:numFmt w:val="none"/>
      <w:pStyle w:val="157"/>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3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1">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3">
    <w:nsid w:val="4C1635C4"/>
    <w:multiLevelType w:val="multilevel"/>
    <w:tmpl w:val="4C1635C4"/>
    <w:lvl w:ilvl="0" w:tentative="0">
      <w:start w:val="1"/>
      <w:numFmt w:val="chineseCountingThousand"/>
      <w:lvlText w:val="%1、"/>
      <w:lvlJc w:val="left"/>
      <w:pPr>
        <w:ind w:left="1270" w:hanging="420"/>
      </w:p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34">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38064AA"/>
    <w:multiLevelType w:val="multilevel"/>
    <w:tmpl w:val="638064AA"/>
    <w:lvl w:ilvl="0" w:tentative="0">
      <w:start w:val="1"/>
      <w:numFmt w:val="japaneseCounting"/>
      <w:lvlText w:val="%1、"/>
      <w:lvlJc w:val="left"/>
      <w:pPr>
        <w:ind w:left="1715"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68166E6A"/>
    <w:multiLevelType w:val="multilevel"/>
    <w:tmpl w:val="68166E6A"/>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42">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3">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4">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7">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8">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9"/>
  </w:num>
  <w:num w:numId="2">
    <w:abstractNumId w:val="15"/>
  </w:num>
  <w:num w:numId="3">
    <w:abstractNumId w:val="11"/>
  </w:num>
  <w:num w:numId="4">
    <w:abstractNumId w:val="2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38"/>
  </w:num>
  <w:num w:numId="42">
    <w:abstractNumId w:val="8"/>
  </w:num>
  <w:num w:numId="43">
    <w:abstractNumId w:val="7"/>
  </w:num>
  <w:num w:numId="44">
    <w:abstractNumId w:val="10"/>
  </w:num>
  <w:num w:numId="45">
    <w:abstractNumId w:val="9"/>
  </w:num>
  <w:num w:numId="46">
    <w:abstractNumId w:val="2"/>
  </w:num>
  <w:num w:numId="47">
    <w:abstractNumId w:val="0"/>
  </w:num>
  <w:num w:numId="48">
    <w:abstractNumId w:val="6"/>
  </w:num>
  <w:num w:numId="49">
    <w:abstractNumId w:val="3"/>
  </w:num>
  <w:num w:numId="50">
    <w:abstractNumId w:val="4"/>
  </w:num>
  <w:num w:numId="51">
    <w:abstractNumId w:val="1"/>
  </w:num>
  <w:num w:numId="5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061EF"/>
    <w:rsid w:val="00012882"/>
    <w:rsid w:val="00016549"/>
    <w:rsid w:val="000174E4"/>
    <w:rsid w:val="0002126F"/>
    <w:rsid w:val="00025A57"/>
    <w:rsid w:val="00026529"/>
    <w:rsid w:val="00026535"/>
    <w:rsid w:val="00026B21"/>
    <w:rsid w:val="00027703"/>
    <w:rsid w:val="0003136B"/>
    <w:rsid w:val="00033F49"/>
    <w:rsid w:val="0003438F"/>
    <w:rsid w:val="00051C0A"/>
    <w:rsid w:val="0005344D"/>
    <w:rsid w:val="000610AF"/>
    <w:rsid w:val="0006474F"/>
    <w:rsid w:val="00065981"/>
    <w:rsid w:val="000713C0"/>
    <w:rsid w:val="00072234"/>
    <w:rsid w:val="00074521"/>
    <w:rsid w:val="000777D1"/>
    <w:rsid w:val="0008655E"/>
    <w:rsid w:val="00086E37"/>
    <w:rsid w:val="00092D67"/>
    <w:rsid w:val="000A0B0A"/>
    <w:rsid w:val="000A4B6A"/>
    <w:rsid w:val="000A5233"/>
    <w:rsid w:val="000B2356"/>
    <w:rsid w:val="000B33FA"/>
    <w:rsid w:val="000B3D82"/>
    <w:rsid w:val="000B43E4"/>
    <w:rsid w:val="000B6A1D"/>
    <w:rsid w:val="000C121B"/>
    <w:rsid w:val="000C688A"/>
    <w:rsid w:val="000C6C5E"/>
    <w:rsid w:val="000C7BCC"/>
    <w:rsid w:val="000D268F"/>
    <w:rsid w:val="000D722D"/>
    <w:rsid w:val="000D75ED"/>
    <w:rsid w:val="000E0284"/>
    <w:rsid w:val="000E3112"/>
    <w:rsid w:val="000F5178"/>
    <w:rsid w:val="000F554C"/>
    <w:rsid w:val="000F59D2"/>
    <w:rsid w:val="00100866"/>
    <w:rsid w:val="00101BE9"/>
    <w:rsid w:val="0010265F"/>
    <w:rsid w:val="00103846"/>
    <w:rsid w:val="001108D6"/>
    <w:rsid w:val="00110A0B"/>
    <w:rsid w:val="00122F99"/>
    <w:rsid w:val="0013319F"/>
    <w:rsid w:val="001346A7"/>
    <w:rsid w:val="00140768"/>
    <w:rsid w:val="00152860"/>
    <w:rsid w:val="001565CC"/>
    <w:rsid w:val="00161402"/>
    <w:rsid w:val="0016758C"/>
    <w:rsid w:val="00167755"/>
    <w:rsid w:val="00167B1D"/>
    <w:rsid w:val="0017400D"/>
    <w:rsid w:val="00175BA2"/>
    <w:rsid w:val="00183360"/>
    <w:rsid w:val="00187861"/>
    <w:rsid w:val="0019367D"/>
    <w:rsid w:val="001968B4"/>
    <w:rsid w:val="001A18E5"/>
    <w:rsid w:val="001B1D79"/>
    <w:rsid w:val="001B7C8D"/>
    <w:rsid w:val="001C02C9"/>
    <w:rsid w:val="001C5E7E"/>
    <w:rsid w:val="001D2889"/>
    <w:rsid w:val="001D467A"/>
    <w:rsid w:val="001D54DB"/>
    <w:rsid w:val="001D56CD"/>
    <w:rsid w:val="001E7017"/>
    <w:rsid w:val="001F0037"/>
    <w:rsid w:val="001F0E31"/>
    <w:rsid w:val="001F4627"/>
    <w:rsid w:val="001F6251"/>
    <w:rsid w:val="001F73B0"/>
    <w:rsid w:val="00201633"/>
    <w:rsid w:val="00202454"/>
    <w:rsid w:val="0020287B"/>
    <w:rsid w:val="00203649"/>
    <w:rsid w:val="0020671B"/>
    <w:rsid w:val="002067B1"/>
    <w:rsid w:val="0021701C"/>
    <w:rsid w:val="00220DA3"/>
    <w:rsid w:val="0022692C"/>
    <w:rsid w:val="002512CF"/>
    <w:rsid w:val="00254631"/>
    <w:rsid w:val="00255928"/>
    <w:rsid w:val="00262433"/>
    <w:rsid w:val="0026307F"/>
    <w:rsid w:val="00265BDE"/>
    <w:rsid w:val="00277F16"/>
    <w:rsid w:val="00280E6A"/>
    <w:rsid w:val="00295F97"/>
    <w:rsid w:val="0029697C"/>
    <w:rsid w:val="002A261C"/>
    <w:rsid w:val="002A3A1C"/>
    <w:rsid w:val="002B1434"/>
    <w:rsid w:val="002B2023"/>
    <w:rsid w:val="002C764F"/>
    <w:rsid w:val="002D11D5"/>
    <w:rsid w:val="002E123D"/>
    <w:rsid w:val="002E12F4"/>
    <w:rsid w:val="002E236A"/>
    <w:rsid w:val="002E4801"/>
    <w:rsid w:val="002F4342"/>
    <w:rsid w:val="002F6F67"/>
    <w:rsid w:val="0030035A"/>
    <w:rsid w:val="00300CA1"/>
    <w:rsid w:val="003025FE"/>
    <w:rsid w:val="00305097"/>
    <w:rsid w:val="003053DA"/>
    <w:rsid w:val="0031394D"/>
    <w:rsid w:val="0031411F"/>
    <w:rsid w:val="00316913"/>
    <w:rsid w:val="0032282D"/>
    <w:rsid w:val="00323C1A"/>
    <w:rsid w:val="00340235"/>
    <w:rsid w:val="003420BA"/>
    <w:rsid w:val="00342B69"/>
    <w:rsid w:val="00346403"/>
    <w:rsid w:val="00346943"/>
    <w:rsid w:val="003514B8"/>
    <w:rsid w:val="0035201E"/>
    <w:rsid w:val="00354EA2"/>
    <w:rsid w:val="003623D7"/>
    <w:rsid w:val="00363E87"/>
    <w:rsid w:val="003646B9"/>
    <w:rsid w:val="00370D4D"/>
    <w:rsid w:val="003710A5"/>
    <w:rsid w:val="00371B12"/>
    <w:rsid w:val="00372ECF"/>
    <w:rsid w:val="00374619"/>
    <w:rsid w:val="00383D6E"/>
    <w:rsid w:val="00385E5F"/>
    <w:rsid w:val="00392E65"/>
    <w:rsid w:val="003944EB"/>
    <w:rsid w:val="003A09B9"/>
    <w:rsid w:val="003A4409"/>
    <w:rsid w:val="003A7FD2"/>
    <w:rsid w:val="003B1162"/>
    <w:rsid w:val="003B256D"/>
    <w:rsid w:val="003B5C98"/>
    <w:rsid w:val="003C2195"/>
    <w:rsid w:val="003C2D62"/>
    <w:rsid w:val="003D27CA"/>
    <w:rsid w:val="003D2A89"/>
    <w:rsid w:val="003D2F7D"/>
    <w:rsid w:val="003D4F92"/>
    <w:rsid w:val="003D7BD8"/>
    <w:rsid w:val="003D7D0F"/>
    <w:rsid w:val="003E2110"/>
    <w:rsid w:val="003E3793"/>
    <w:rsid w:val="003E4B6B"/>
    <w:rsid w:val="003F0EDE"/>
    <w:rsid w:val="003F222E"/>
    <w:rsid w:val="003F3C42"/>
    <w:rsid w:val="003F50CC"/>
    <w:rsid w:val="003F598B"/>
    <w:rsid w:val="003F6487"/>
    <w:rsid w:val="004013FD"/>
    <w:rsid w:val="004022F4"/>
    <w:rsid w:val="00402344"/>
    <w:rsid w:val="00404442"/>
    <w:rsid w:val="004051C9"/>
    <w:rsid w:val="00411516"/>
    <w:rsid w:val="0041221B"/>
    <w:rsid w:val="004134AD"/>
    <w:rsid w:val="004134AF"/>
    <w:rsid w:val="004238EB"/>
    <w:rsid w:val="004245A8"/>
    <w:rsid w:val="004273F2"/>
    <w:rsid w:val="00430BFF"/>
    <w:rsid w:val="004311E9"/>
    <w:rsid w:val="00431A3C"/>
    <w:rsid w:val="004357C7"/>
    <w:rsid w:val="0043700B"/>
    <w:rsid w:val="00437836"/>
    <w:rsid w:val="00437E6C"/>
    <w:rsid w:val="0044346E"/>
    <w:rsid w:val="00445184"/>
    <w:rsid w:val="00445E0E"/>
    <w:rsid w:val="00446126"/>
    <w:rsid w:val="0044761D"/>
    <w:rsid w:val="00447C57"/>
    <w:rsid w:val="004517C9"/>
    <w:rsid w:val="00452997"/>
    <w:rsid w:val="00452ACF"/>
    <w:rsid w:val="00460489"/>
    <w:rsid w:val="00467476"/>
    <w:rsid w:val="0047177D"/>
    <w:rsid w:val="00484CF8"/>
    <w:rsid w:val="00486594"/>
    <w:rsid w:val="00487A84"/>
    <w:rsid w:val="00495010"/>
    <w:rsid w:val="00496797"/>
    <w:rsid w:val="00497555"/>
    <w:rsid w:val="004A4458"/>
    <w:rsid w:val="004A5EC3"/>
    <w:rsid w:val="004B06E4"/>
    <w:rsid w:val="004B1CA7"/>
    <w:rsid w:val="004B337C"/>
    <w:rsid w:val="004D1568"/>
    <w:rsid w:val="004D48DE"/>
    <w:rsid w:val="004D599A"/>
    <w:rsid w:val="004E1E1E"/>
    <w:rsid w:val="004E6200"/>
    <w:rsid w:val="004E7635"/>
    <w:rsid w:val="004F1F81"/>
    <w:rsid w:val="004F3133"/>
    <w:rsid w:val="004F4893"/>
    <w:rsid w:val="0050332B"/>
    <w:rsid w:val="00503936"/>
    <w:rsid w:val="00504133"/>
    <w:rsid w:val="00510FC6"/>
    <w:rsid w:val="0052113C"/>
    <w:rsid w:val="00523994"/>
    <w:rsid w:val="00531A79"/>
    <w:rsid w:val="00531B44"/>
    <w:rsid w:val="005430FD"/>
    <w:rsid w:val="005446FD"/>
    <w:rsid w:val="00545DE3"/>
    <w:rsid w:val="005538C1"/>
    <w:rsid w:val="00556F88"/>
    <w:rsid w:val="005570C1"/>
    <w:rsid w:val="0056027F"/>
    <w:rsid w:val="005617EF"/>
    <w:rsid w:val="00564730"/>
    <w:rsid w:val="00564FA0"/>
    <w:rsid w:val="00567D64"/>
    <w:rsid w:val="0057517B"/>
    <w:rsid w:val="00576EE9"/>
    <w:rsid w:val="0057742C"/>
    <w:rsid w:val="005776CC"/>
    <w:rsid w:val="005808D3"/>
    <w:rsid w:val="00582B28"/>
    <w:rsid w:val="005830E8"/>
    <w:rsid w:val="0059336C"/>
    <w:rsid w:val="005975EC"/>
    <w:rsid w:val="005A0484"/>
    <w:rsid w:val="005A5831"/>
    <w:rsid w:val="005B3D92"/>
    <w:rsid w:val="005B41FA"/>
    <w:rsid w:val="005B7209"/>
    <w:rsid w:val="005C2589"/>
    <w:rsid w:val="005C3C4F"/>
    <w:rsid w:val="005D055B"/>
    <w:rsid w:val="005D6B69"/>
    <w:rsid w:val="005D7B75"/>
    <w:rsid w:val="005E1230"/>
    <w:rsid w:val="005E123D"/>
    <w:rsid w:val="005E269C"/>
    <w:rsid w:val="005E35EF"/>
    <w:rsid w:val="005E3722"/>
    <w:rsid w:val="005E43E2"/>
    <w:rsid w:val="005E5653"/>
    <w:rsid w:val="005E599B"/>
    <w:rsid w:val="005F676E"/>
    <w:rsid w:val="005F7685"/>
    <w:rsid w:val="00600377"/>
    <w:rsid w:val="00607F95"/>
    <w:rsid w:val="00611A72"/>
    <w:rsid w:val="00614AFD"/>
    <w:rsid w:val="00624151"/>
    <w:rsid w:val="0063097C"/>
    <w:rsid w:val="0063107A"/>
    <w:rsid w:val="00633F88"/>
    <w:rsid w:val="00634B5C"/>
    <w:rsid w:val="006435DE"/>
    <w:rsid w:val="00645B37"/>
    <w:rsid w:val="00673C2B"/>
    <w:rsid w:val="006766EC"/>
    <w:rsid w:val="0067729F"/>
    <w:rsid w:val="0068036F"/>
    <w:rsid w:val="006970C0"/>
    <w:rsid w:val="006A5E19"/>
    <w:rsid w:val="006B4FC1"/>
    <w:rsid w:val="006B54C4"/>
    <w:rsid w:val="006B6747"/>
    <w:rsid w:val="006B7421"/>
    <w:rsid w:val="006C10D5"/>
    <w:rsid w:val="006C1FB4"/>
    <w:rsid w:val="006C3900"/>
    <w:rsid w:val="006C4CE8"/>
    <w:rsid w:val="006C7335"/>
    <w:rsid w:val="006D3124"/>
    <w:rsid w:val="006D4AEC"/>
    <w:rsid w:val="006D595F"/>
    <w:rsid w:val="006E50A2"/>
    <w:rsid w:val="006E6231"/>
    <w:rsid w:val="006F320A"/>
    <w:rsid w:val="006F4B1C"/>
    <w:rsid w:val="007106A3"/>
    <w:rsid w:val="00713541"/>
    <w:rsid w:val="00715A71"/>
    <w:rsid w:val="00720519"/>
    <w:rsid w:val="00730B24"/>
    <w:rsid w:val="00733724"/>
    <w:rsid w:val="0073414A"/>
    <w:rsid w:val="007345B7"/>
    <w:rsid w:val="0073713B"/>
    <w:rsid w:val="007407F8"/>
    <w:rsid w:val="00743020"/>
    <w:rsid w:val="00743B0A"/>
    <w:rsid w:val="00744EFD"/>
    <w:rsid w:val="00744F10"/>
    <w:rsid w:val="00750983"/>
    <w:rsid w:val="00756241"/>
    <w:rsid w:val="00760162"/>
    <w:rsid w:val="00760560"/>
    <w:rsid w:val="00761A8D"/>
    <w:rsid w:val="0076602A"/>
    <w:rsid w:val="00767BD1"/>
    <w:rsid w:val="007754EF"/>
    <w:rsid w:val="00780DA1"/>
    <w:rsid w:val="00780DA4"/>
    <w:rsid w:val="00783D0C"/>
    <w:rsid w:val="00784088"/>
    <w:rsid w:val="00786A79"/>
    <w:rsid w:val="00792287"/>
    <w:rsid w:val="007970C5"/>
    <w:rsid w:val="007B1592"/>
    <w:rsid w:val="007B1DF0"/>
    <w:rsid w:val="007B3969"/>
    <w:rsid w:val="007B3BB8"/>
    <w:rsid w:val="007B4E18"/>
    <w:rsid w:val="007B6E21"/>
    <w:rsid w:val="007C1D34"/>
    <w:rsid w:val="007C41A7"/>
    <w:rsid w:val="007D1114"/>
    <w:rsid w:val="007D5E6F"/>
    <w:rsid w:val="007D69A9"/>
    <w:rsid w:val="007E017C"/>
    <w:rsid w:val="007E14ED"/>
    <w:rsid w:val="007E3C07"/>
    <w:rsid w:val="007F3094"/>
    <w:rsid w:val="007F6422"/>
    <w:rsid w:val="00800943"/>
    <w:rsid w:val="00801179"/>
    <w:rsid w:val="00801195"/>
    <w:rsid w:val="00804D91"/>
    <w:rsid w:val="00812794"/>
    <w:rsid w:val="0081441A"/>
    <w:rsid w:val="0082347A"/>
    <w:rsid w:val="00823DE8"/>
    <w:rsid w:val="00824784"/>
    <w:rsid w:val="00825CAB"/>
    <w:rsid w:val="008266D3"/>
    <w:rsid w:val="00833D36"/>
    <w:rsid w:val="00834A7F"/>
    <w:rsid w:val="0083586D"/>
    <w:rsid w:val="008361D5"/>
    <w:rsid w:val="00843B93"/>
    <w:rsid w:val="00846650"/>
    <w:rsid w:val="00847895"/>
    <w:rsid w:val="00853FEC"/>
    <w:rsid w:val="008567F1"/>
    <w:rsid w:val="00861D7A"/>
    <w:rsid w:val="00865F44"/>
    <w:rsid w:val="008716D3"/>
    <w:rsid w:val="00872312"/>
    <w:rsid w:val="00872B11"/>
    <w:rsid w:val="008835ED"/>
    <w:rsid w:val="008900B3"/>
    <w:rsid w:val="00890F59"/>
    <w:rsid w:val="0089574F"/>
    <w:rsid w:val="00896A3B"/>
    <w:rsid w:val="008A015F"/>
    <w:rsid w:val="008A1E44"/>
    <w:rsid w:val="008A2104"/>
    <w:rsid w:val="008A78E9"/>
    <w:rsid w:val="008B25E2"/>
    <w:rsid w:val="008B2E66"/>
    <w:rsid w:val="008B3FCC"/>
    <w:rsid w:val="008C7C54"/>
    <w:rsid w:val="008D4D2E"/>
    <w:rsid w:val="008D64BC"/>
    <w:rsid w:val="008E687B"/>
    <w:rsid w:val="008F40CC"/>
    <w:rsid w:val="008F4D64"/>
    <w:rsid w:val="008F77CB"/>
    <w:rsid w:val="009013EA"/>
    <w:rsid w:val="00904079"/>
    <w:rsid w:val="009205E7"/>
    <w:rsid w:val="00922252"/>
    <w:rsid w:val="00923918"/>
    <w:rsid w:val="00932889"/>
    <w:rsid w:val="009358AF"/>
    <w:rsid w:val="00936E04"/>
    <w:rsid w:val="00941FD8"/>
    <w:rsid w:val="0094658B"/>
    <w:rsid w:val="00961E7C"/>
    <w:rsid w:val="00962A42"/>
    <w:rsid w:val="00963ADD"/>
    <w:rsid w:val="00964532"/>
    <w:rsid w:val="0096458D"/>
    <w:rsid w:val="0096528F"/>
    <w:rsid w:val="009656B5"/>
    <w:rsid w:val="00965A4C"/>
    <w:rsid w:val="00967937"/>
    <w:rsid w:val="00967C85"/>
    <w:rsid w:val="00970A58"/>
    <w:rsid w:val="00970E2F"/>
    <w:rsid w:val="009710C8"/>
    <w:rsid w:val="0097213B"/>
    <w:rsid w:val="009774B3"/>
    <w:rsid w:val="009A15A6"/>
    <w:rsid w:val="009A185E"/>
    <w:rsid w:val="009A317C"/>
    <w:rsid w:val="009A5138"/>
    <w:rsid w:val="009B44E4"/>
    <w:rsid w:val="009B74D5"/>
    <w:rsid w:val="009C3BFE"/>
    <w:rsid w:val="009C4CB6"/>
    <w:rsid w:val="009D0BEB"/>
    <w:rsid w:val="009D1302"/>
    <w:rsid w:val="009D1BB3"/>
    <w:rsid w:val="009D2860"/>
    <w:rsid w:val="009D62EA"/>
    <w:rsid w:val="009D78B5"/>
    <w:rsid w:val="009F3945"/>
    <w:rsid w:val="009F54B5"/>
    <w:rsid w:val="00A0136A"/>
    <w:rsid w:val="00A01F37"/>
    <w:rsid w:val="00A0638C"/>
    <w:rsid w:val="00A11BA9"/>
    <w:rsid w:val="00A14A7E"/>
    <w:rsid w:val="00A26D4A"/>
    <w:rsid w:val="00A3002C"/>
    <w:rsid w:val="00A35B76"/>
    <w:rsid w:val="00A35F40"/>
    <w:rsid w:val="00A36339"/>
    <w:rsid w:val="00A43C7A"/>
    <w:rsid w:val="00A44684"/>
    <w:rsid w:val="00A446EB"/>
    <w:rsid w:val="00A44DCD"/>
    <w:rsid w:val="00A44FB9"/>
    <w:rsid w:val="00A47DD6"/>
    <w:rsid w:val="00A532C0"/>
    <w:rsid w:val="00A606EE"/>
    <w:rsid w:val="00A62B86"/>
    <w:rsid w:val="00A63656"/>
    <w:rsid w:val="00A718A5"/>
    <w:rsid w:val="00A71E22"/>
    <w:rsid w:val="00A752AC"/>
    <w:rsid w:val="00A84F11"/>
    <w:rsid w:val="00A87B7C"/>
    <w:rsid w:val="00A90EB2"/>
    <w:rsid w:val="00A916FD"/>
    <w:rsid w:val="00A919C4"/>
    <w:rsid w:val="00A9315A"/>
    <w:rsid w:val="00A94DE0"/>
    <w:rsid w:val="00AA0252"/>
    <w:rsid w:val="00AA3CE3"/>
    <w:rsid w:val="00AC2F50"/>
    <w:rsid w:val="00AD114C"/>
    <w:rsid w:val="00AE029F"/>
    <w:rsid w:val="00AE1EE1"/>
    <w:rsid w:val="00AE31D5"/>
    <w:rsid w:val="00AE3933"/>
    <w:rsid w:val="00AE3D5D"/>
    <w:rsid w:val="00AE5115"/>
    <w:rsid w:val="00AF04F6"/>
    <w:rsid w:val="00AF344C"/>
    <w:rsid w:val="00AF4CB3"/>
    <w:rsid w:val="00B046CA"/>
    <w:rsid w:val="00B04AFD"/>
    <w:rsid w:val="00B05122"/>
    <w:rsid w:val="00B15863"/>
    <w:rsid w:val="00B15A3D"/>
    <w:rsid w:val="00B21BB0"/>
    <w:rsid w:val="00B2508B"/>
    <w:rsid w:val="00B26CE9"/>
    <w:rsid w:val="00B26EAF"/>
    <w:rsid w:val="00B31DA4"/>
    <w:rsid w:val="00B34616"/>
    <w:rsid w:val="00B364C4"/>
    <w:rsid w:val="00B412D3"/>
    <w:rsid w:val="00B43A7C"/>
    <w:rsid w:val="00B442EE"/>
    <w:rsid w:val="00B51B2E"/>
    <w:rsid w:val="00B53566"/>
    <w:rsid w:val="00B56BFB"/>
    <w:rsid w:val="00B6046D"/>
    <w:rsid w:val="00B632AD"/>
    <w:rsid w:val="00B63629"/>
    <w:rsid w:val="00B73285"/>
    <w:rsid w:val="00B83FE9"/>
    <w:rsid w:val="00B86086"/>
    <w:rsid w:val="00B90F33"/>
    <w:rsid w:val="00BA3661"/>
    <w:rsid w:val="00BB2695"/>
    <w:rsid w:val="00BD6D61"/>
    <w:rsid w:val="00BD6DE0"/>
    <w:rsid w:val="00BD73C5"/>
    <w:rsid w:val="00BE4117"/>
    <w:rsid w:val="00BE52DB"/>
    <w:rsid w:val="00BE5D06"/>
    <w:rsid w:val="00BE633F"/>
    <w:rsid w:val="00BF1B5A"/>
    <w:rsid w:val="00C00004"/>
    <w:rsid w:val="00C04ECC"/>
    <w:rsid w:val="00C0568F"/>
    <w:rsid w:val="00C06090"/>
    <w:rsid w:val="00C1157F"/>
    <w:rsid w:val="00C160C2"/>
    <w:rsid w:val="00C24F42"/>
    <w:rsid w:val="00C30482"/>
    <w:rsid w:val="00C346C6"/>
    <w:rsid w:val="00C35095"/>
    <w:rsid w:val="00C35605"/>
    <w:rsid w:val="00C419D6"/>
    <w:rsid w:val="00C43381"/>
    <w:rsid w:val="00C44CBC"/>
    <w:rsid w:val="00C50FEC"/>
    <w:rsid w:val="00C529C0"/>
    <w:rsid w:val="00C601F5"/>
    <w:rsid w:val="00C61D17"/>
    <w:rsid w:val="00C6309B"/>
    <w:rsid w:val="00C71357"/>
    <w:rsid w:val="00C71725"/>
    <w:rsid w:val="00C74E87"/>
    <w:rsid w:val="00C7520E"/>
    <w:rsid w:val="00C771FF"/>
    <w:rsid w:val="00C80609"/>
    <w:rsid w:val="00C91790"/>
    <w:rsid w:val="00C919FA"/>
    <w:rsid w:val="00CA0318"/>
    <w:rsid w:val="00CA26DF"/>
    <w:rsid w:val="00CA2CC5"/>
    <w:rsid w:val="00CA62AD"/>
    <w:rsid w:val="00CB0D2E"/>
    <w:rsid w:val="00CB22F2"/>
    <w:rsid w:val="00CB2337"/>
    <w:rsid w:val="00CB4707"/>
    <w:rsid w:val="00CB4D61"/>
    <w:rsid w:val="00CB5A9B"/>
    <w:rsid w:val="00CB702E"/>
    <w:rsid w:val="00CB719B"/>
    <w:rsid w:val="00CC23FE"/>
    <w:rsid w:val="00CC4F5C"/>
    <w:rsid w:val="00CC4F73"/>
    <w:rsid w:val="00CC6F6B"/>
    <w:rsid w:val="00CD0B7F"/>
    <w:rsid w:val="00CD2582"/>
    <w:rsid w:val="00CD54C6"/>
    <w:rsid w:val="00CD5760"/>
    <w:rsid w:val="00CD70F8"/>
    <w:rsid w:val="00CE2477"/>
    <w:rsid w:val="00CE2669"/>
    <w:rsid w:val="00CE27BD"/>
    <w:rsid w:val="00CE32B7"/>
    <w:rsid w:val="00CE4639"/>
    <w:rsid w:val="00CE4A43"/>
    <w:rsid w:val="00CE4C21"/>
    <w:rsid w:val="00CF3593"/>
    <w:rsid w:val="00CF394A"/>
    <w:rsid w:val="00CF6148"/>
    <w:rsid w:val="00D02487"/>
    <w:rsid w:val="00D04E6C"/>
    <w:rsid w:val="00D15522"/>
    <w:rsid w:val="00D15755"/>
    <w:rsid w:val="00D17694"/>
    <w:rsid w:val="00D23726"/>
    <w:rsid w:val="00D238E8"/>
    <w:rsid w:val="00D23FF0"/>
    <w:rsid w:val="00D258C2"/>
    <w:rsid w:val="00D321C4"/>
    <w:rsid w:val="00D325E8"/>
    <w:rsid w:val="00D34AA2"/>
    <w:rsid w:val="00D379AA"/>
    <w:rsid w:val="00D4100D"/>
    <w:rsid w:val="00D44B46"/>
    <w:rsid w:val="00D46BB2"/>
    <w:rsid w:val="00D47B99"/>
    <w:rsid w:val="00D51CD9"/>
    <w:rsid w:val="00D53098"/>
    <w:rsid w:val="00D53896"/>
    <w:rsid w:val="00D559E0"/>
    <w:rsid w:val="00D61908"/>
    <w:rsid w:val="00D6455E"/>
    <w:rsid w:val="00D67066"/>
    <w:rsid w:val="00D7011A"/>
    <w:rsid w:val="00D72565"/>
    <w:rsid w:val="00D7389B"/>
    <w:rsid w:val="00D74C5E"/>
    <w:rsid w:val="00D80945"/>
    <w:rsid w:val="00D817FC"/>
    <w:rsid w:val="00D8385E"/>
    <w:rsid w:val="00DA2476"/>
    <w:rsid w:val="00DA2965"/>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C51"/>
    <w:rsid w:val="00E00684"/>
    <w:rsid w:val="00E06B61"/>
    <w:rsid w:val="00E13610"/>
    <w:rsid w:val="00E170E6"/>
    <w:rsid w:val="00E17558"/>
    <w:rsid w:val="00E22FAC"/>
    <w:rsid w:val="00E27149"/>
    <w:rsid w:val="00E345DE"/>
    <w:rsid w:val="00E37998"/>
    <w:rsid w:val="00E439B0"/>
    <w:rsid w:val="00E45375"/>
    <w:rsid w:val="00E4675A"/>
    <w:rsid w:val="00E572D4"/>
    <w:rsid w:val="00E61E2B"/>
    <w:rsid w:val="00E6373B"/>
    <w:rsid w:val="00E7290F"/>
    <w:rsid w:val="00E75525"/>
    <w:rsid w:val="00E77521"/>
    <w:rsid w:val="00E80670"/>
    <w:rsid w:val="00E820F4"/>
    <w:rsid w:val="00E8589B"/>
    <w:rsid w:val="00E87B94"/>
    <w:rsid w:val="00E916FF"/>
    <w:rsid w:val="00EA2B43"/>
    <w:rsid w:val="00EA3447"/>
    <w:rsid w:val="00EB2AE7"/>
    <w:rsid w:val="00EB472E"/>
    <w:rsid w:val="00EB4CD6"/>
    <w:rsid w:val="00EB7F88"/>
    <w:rsid w:val="00EC3C04"/>
    <w:rsid w:val="00EC75AF"/>
    <w:rsid w:val="00ED4215"/>
    <w:rsid w:val="00ED469C"/>
    <w:rsid w:val="00ED7517"/>
    <w:rsid w:val="00EE394F"/>
    <w:rsid w:val="00EF045D"/>
    <w:rsid w:val="00EF51B1"/>
    <w:rsid w:val="00F00A4F"/>
    <w:rsid w:val="00F0222D"/>
    <w:rsid w:val="00F03763"/>
    <w:rsid w:val="00F04B7A"/>
    <w:rsid w:val="00F12B8A"/>
    <w:rsid w:val="00F1576F"/>
    <w:rsid w:val="00F21769"/>
    <w:rsid w:val="00F22B4C"/>
    <w:rsid w:val="00F2508D"/>
    <w:rsid w:val="00F30A98"/>
    <w:rsid w:val="00F33ED8"/>
    <w:rsid w:val="00F367A9"/>
    <w:rsid w:val="00F42C44"/>
    <w:rsid w:val="00F4391B"/>
    <w:rsid w:val="00F4418B"/>
    <w:rsid w:val="00F4485C"/>
    <w:rsid w:val="00F46378"/>
    <w:rsid w:val="00F53213"/>
    <w:rsid w:val="00F53550"/>
    <w:rsid w:val="00F60576"/>
    <w:rsid w:val="00F60591"/>
    <w:rsid w:val="00F60613"/>
    <w:rsid w:val="00F61D52"/>
    <w:rsid w:val="00F62EAD"/>
    <w:rsid w:val="00F70283"/>
    <w:rsid w:val="00F72F70"/>
    <w:rsid w:val="00F7371D"/>
    <w:rsid w:val="00F7503C"/>
    <w:rsid w:val="00F77716"/>
    <w:rsid w:val="00F8144F"/>
    <w:rsid w:val="00F85A7B"/>
    <w:rsid w:val="00F9037D"/>
    <w:rsid w:val="00F91B56"/>
    <w:rsid w:val="00F93C71"/>
    <w:rsid w:val="00FA318B"/>
    <w:rsid w:val="00FB7100"/>
    <w:rsid w:val="00FC0A2B"/>
    <w:rsid w:val="00FD19F2"/>
    <w:rsid w:val="00FD70FA"/>
    <w:rsid w:val="00FE1559"/>
    <w:rsid w:val="00FE182B"/>
    <w:rsid w:val="00FE5D02"/>
    <w:rsid w:val="02113806"/>
    <w:rsid w:val="02F04A0F"/>
    <w:rsid w:val="02FE503E"/>
    <w:rsid w:val="031F1F3F"/>
    <w:rsid w:val="035347B0"/>
    <w:rsid w:val="043F3186"/>
    <w:rsid w:val="05450FD3"/>
    <w:rsid w:val="054B4292"/>
    <w:rsid w:val="058A1CAE"/>
    <w:rsid w:val="05B61738"/>
    <w:rsid w:val="05DB75EA"/>
    <w:rsid w:val="06197D73"/>
    <w:rsid w:val="06A36B2F"/>
    <w:rsid w:val="06B00671"/>
    <w:rsid w:val="072D3722"/>
    <w:rsid w:val="08427A79"/>
    <w:rsid w:val="085A7D0E"/>
    <w:rsid w:val="08B36841"/>
    <w:rsid w:val="09955CA0"/>
    <w:rsid w:val="09B538F1"/>
    <w:rsid w:val="0AF71A49"/>
    <w:rsid w:val="0C225226"/>
    <w:rsid w:val="0C7C4110"/>
    <w:rsid w:val="0CF10BD3"/>
    <w:rsid w:val="0D12146D"/>
    <w:rsid w:val="0D254C7F"/>
    <w:rsid w:val="0D483AB4"/>
    <w:rsid w:val="0DFB7613"/>
    <w:rsid w:val="0EDB2781"/>
    <w:rsid w:val="0EDE6977"/>
    <w:rsid w:val="0F1B0275"/>
    <w:rsid w:val="0FB61CDC"/>
    <w:rsid w:val="103B1021"/>
    <w:rsid w:val="10D84CE9"/>
    <w:rsid w:val="11403D49"/>
    <w:rsid w:val="1233374B"/>
    <w:rsid w:val="135C4CF2"/>
    <w:rsid w:val="14C14DFB"/>
    <w:rsid w:val="16293AC8"/>
    <w:rsid w:val="169F22A5"/>
    <w:rsid w:val="16F90698"/>
    <w:rsid w:val="181A63F7"/>
    <w:rsid w:val="1820292F"/>
    <w:rsid w:val="19EA4A5E"/>
    <w:rsid w:val="1A0C36BB"/>
    <w:rsid w:val="1A622654"/>
    <w:rsid w:val="1AC50599"/>
    <w:rsid w:val="1B602EC3"/>
    <w:rsid w:val="1B9D47B8"/>
    <w:rsid w:val="1DC20C9E"/>
    <w:rsid w:val="1DDA4CC4"/>
    <w:rsid w:val="1DDA67CD"/>
    <w:rsid w:val="1E5067C5"/>
    <w:rsid w:val="1E8130CF"/>
    <w:rsid w:val="1EA330B9"/>
    <w:rsid w:val="1F7B7336"/>
    <w:rsid w:val="1FAF557A"/>
    <w:rsid w:val="1FC332BF"/>
    <w:rsid w:val="1FE90F79"/>
    <w:rsid w:val="203B452A"/>
    <w:rsid w:val="21303E8B"/>
    <w:rsid w:val="217838C6"/>
    <w:rsid w:val="21FA1852"/>
    <w:rsid w:val="22360B3C"/>
    <w:rsid w:val="232A332A"/>
    <w:rsid w:val="23733CC5"/>
    <w:rsid w:val="23801031"/>
    <w:rsid w:val="239B2715"/>
    <w:rsid w:val="23C35D37"/>
    <w:rsid w:val="244914BD"/>
    <w:rsid w:val="248B49C8"/>
    <w:rsid w:val="24D000E3"/>
    <w:rsid w:val="24F479AF"/>
    <w:rsid w:val="290A11AF"/>
    <w:rsid w:val="291642FB"/>
    <w:rsid w:val="293D61E7"/>
    <w:rsid w:val="29EB00DB"/>
    <w:rsid w:val="2A9E7F4C"/>
    <w:rsid w:val="2B8218B0"/>
    <w:rsid w:val="2DF906C5"/>
    <w:rsid w:val="2EA52DE4"/>
    <w:rsid w:val="30377647"/>
    <w:rsid w:val="308D4B79"/>
    <w:rsid w:val="30F4023B"/>
    <w:rsid w:val="32291291"/>
    <w:rsid w:val="323D1808"/>
    <w:rsid w:val="33BA493A"/>
    <w:rsid w:val="34167AA0"/>
    <w:rsid w:val="34E64BFC"/>
    <w:rsid w:val="355D7A0A"/>
    <w:rsid w:val="35AF34A4"/>
    <w:rsid w:val="35CA6C17"/>
    <w:rsid w:val="35EE39A6"/>
    <w:rsid w:val="371942C5"/>
    <w:rsid w:val="3723731E"/>
    <w:rsid w:val="37AB3C23"/>
    <w:rsid w:val="38E579A2"/>
    <w:rsid w:val="398C590D"/>
    <w:rsid w:val="399C307F"/>
    <w:rsid w:val="39E87CBE"/>
    <w:rsid w:val="3A163132"/>
    <w:rsid w:val="3AEA04C9"/>
    <w:rsid w:val="3B4D4F75"/>
    <w:rsid w:val="3B8C62A3"/>
    <w:rsid w:val="3BA00890"/>
    <w:rsid w:val="3C385439"/>
    <w:rsid w:val="3C4D3B90"/>
    <w:rsid w:val="3C941696"/>
    <w:rsid w:val="3C951B66"/>
    <w:rsid w:val="3D7838A1"/>
    <w:rsid w:val="3E1C75D4"/>
    <w:rsid w:val="3ECE00C6"/>
    <w:rsid w:val="3EE7531C"/>
    <w:rsid w:val="3EF62E48"/>
    <w:rsid w:val="3F01138F"/>
    <w:rsid w:val="3FE33995"/>
    <w:rsid w:val="40011C70"/>
    <w:rsid w:val="40C2109C"/>
    <w:rsid w:val="41031A19"/>
    <w:rsid w:val="41AF26D6"/>
    <w:rsid w:val="42422CD5"/>
    <w:rsid w:val="43CC7701"/>
    <w:rsid w:val="45231F00"/>
    <w:rsid w:val="45BD59F1"/>
    <w:rsid w:val="460E59AD"/>
    <w:rsid w:val="46623F1C"/>
    <w:rsid w:val="468E4C9D"/>
    <w:rsid w:val="469F2F2C"/>
    <w:rsid w:val="47D2500E"/>
    <w:rsid w:val="49390B26"/>
    <w:rsid w:val="4A6A33A7"/>
    <w:rsid w:val="4AD56D70"/>
    <w:rsid w:val="4C4F60C5"/>
    <w:rsid w:val="4CD310EA"/>
    <w:rsid w:val="4CFE45C8"/>
    <w:rsid w:val="4E7B389A"/>
    <w:rsid w:val="4F6A2E34"/>
    <w:rsid w:val="4F9A3E18"/>
    <w:rsid w:val="50082F83"/>
    <w:rsid w:val="506B13B2"/>
    <w:rsid w:val="50774D39"/>
    <w:rsid w:val="50D45BDC"/>
    <w:rsid w:val="51851B58"/>
    <w:rsid w:val="518C74EB"/>
    <w:rsid w:val="52973092"/>
    <w:rsid w:val="52A372F4"/>
    <w:rsid w:val="52A3793A"/>
    <w:rsid w:val="52CB0F01"/>
    <w:rsid w:val="53571091"/>
    <w:rsid w:val="53956711"/>
    <w:rsid w:val="53CA0592"/>
    <w:rsid w:val="54054DBE"/>
    <w:rsid w:val="54EC3C29"/>
    <w:rsid w:val="54FF773A"/>
    <w:rsid w:val="55091F73"/>
    <w:rsid w:val="552F53EA"/>
    <w:rsid w:val="554A1643"/>
    <w:rsid w:val="5568271A"/>
    <w:rsid w:val="55804190"/>
    <w:rsid w:val="57EB233C"/>
    <w:rsid w:val="58E77F66"/>
    <w:rsid w:val="58F2094F"/>
    <w:rsid w:val="59E14089"/>
    <w:rsid w:val="5A2E056D"/>
    <w:rsid w:val="5BBE42D4"/>
    <w:rsid w:val="5BD01D75"/>
    <w:rsid w:val="5C272404"/>
    <w:rsid w:val="5D92736F"/>
    <w:rsid w:val="5DBD090F"/>
    <w:rsid w:val="5E2A7BF7"/>
    <w:rsid w:val="5E545884"/>
    <w:rsid w:val="5EC94920"/>
    <w:rsid w:val="5F923927"/>
    <w:rsid w:val="5FDE010F"/>
    <w:rsid w:val="60BB378C"/>
    <w:rsid w:val="617C1087"/>
    <w:rsid w:val="61A23345"/>
    <w:rsid w:val="61DF1CED"/>
    <w:rsid w:val="627E07D0"/>
    <w:rsid w:val="62D4289E"/>
    <w:rsid w:val="63155766"/>
    <w:rsid w:val="634C5449"/>
    <w:rsid w:val="64834155"/>
    <w:rsid w:val="653267BA"/>
    <w:rsid w:val="65620B1F"/>
    <w:rsid w:val="664851AC"/>
    <w:rsid w:val="66AB5A82"/>
    <w:rsid w:val="68CC1489"/>
    <w:rsid w:val="68F70A31"/>
    <w:rsid w:val="6943410F"/>
    <w:rsid w:val="699E769D"/>
    <w:rsid w:val="6AA4419D"/>
    <w:rsid w:val="6B062C1F"/>
    <w:rsid w:val="6B105B62"/>
    <w:rsid w:val="6B2D53A2"/>
    <w:rsid w:val="6B4E109C"/>
    <w:rsid w:val="6BB4327D"/>
    <w:rsid w:val="6BF25EAE"/>
    <w:rsid w:val="6CD54525"/>
    <w:rsid w:val="6D0F06CB"/>
    <w:rsid w:val="6D375489"/>
    <w:rsid w:val="6D3F28B4"/>
    <w:rsid w:val="6D3F50F4"/>
    <w:rsid w:val="6EB80C6F"/>
    <w:rsid w:val="6EF92E29"/>
    <w:rsid w:val="6F1761E8"/>
    <w:rsid w:val="6F1C62AA"/>
    <w:rsid w:val="6F7E042E"/>
    <w:rsid w:val="6FB823B9"/>
    <w:rsid w:val="701C5148"/>
    <w:rsid w:val="709152B3"/>
    <w:rsid w:val="70D8163A"/>
    <w:rsid w:val="71C241AC"/>
    <w:rsid w:val="728E2EEB"/>
    <w:rsid w:val="729350C8"/>
    <w:rsid w:val="72FE1503"/>
    <w:rsid w:val="733001EA"/>
    <w:rsid w:val="74CB1873"/>
    <w:rsid w:val="76B65922"/>
    <w:rsid w:val="77082156"/>
    <w:rsid w:val="77A03A22"/>
    <w:rsid w:val="77CD7B6D"/>
    <w:rsid w:val="77D01459"/>
    <w:rsid w:val="77FA6C1F"/>
    <w:rsid w:val="78F76AD7"/>
    <w:rsid w:val="79290CA2"/>
    <w:rsid w:val="7A0F3278"/>
    <w:rsid w:val="7A4651D2"/>
    <w:rsid w:val="7AD80B29"/>
    <w:rsid w:val="7B9B08E1"/>
    <w:rsid w:val="7BCA5013"/>
    <w:rsid w:val="7D6A582E"/>
    <w:rsid w:val="7E130A11"/>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name="Note Heading"/>
    <w:lsdException w:qFormat="1" w:uiPriority="0" w:name="Body Text 2"/>
    <w:lsdException w:qFormat="1" w:uiPriority="0" w:name="Body Text 3"/>
    <w:lsdException w:qFormat="1" w:uiPriority="0" w:semiHidden="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2"/>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3"/>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4"/>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5"/>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6"/>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7"/>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8"/>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9"/>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86"/>
    <w:unhideWhenUsed/>
    <w:qFormat/>
    <w:uiPriority w:val="0"/>
    <w:pPr>
      <w:spacing w:after="120"/>
    </w:pPr>
  </w:style>
  <w:style w:type="paragraph" w:styleId="12">
    <w:name w:val="toc 7"/>
    <w:basedOn w:val="1"/>
    <w:next w:val="1"/>
    <w:semiHidden/>
    <w:unhideWhenUsed/>
    <w:qFormat/>
    <w:uiPriority w:val="0"/>
    <w:pPr>
      <w:ind w:left="2520" w:leftChars="1200"/>
    </w:pPr>
    <w:rPr>
      <w:rFonts w:ascii="Times New Roman" w:hAnsi="Times New Roman"/>
      <w:szCs w:val="24"/>
    </w:rPr>
  </w:style>
  <w:style w:type="paragraph" w:styleId="13">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4"/>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2"/>
    <w:unhideWhenUsed/>
    <w:qFormat/>
    <w:uiPriority w:val="99"/>
    <w:pPr>
      <w:jc w:val="left"/>
    </w:pPr>
    <w:rPr>
      <w:rFonts w:ascii="Times New Roman" w:hAnsi="Times New Roman"/>
      <w:kern w:val="0"/>
      <w:sz w:val="18"/>
      <w:szCs w:val="18"/>
    </w:rPr>
  </w:style>
  <w:style w:type="paragraph" w:styleId="17">
    <w:name w:val="Body Text 3"/>
    <w:basedOn w:val="1"/>
    <w:link w:val="71"/>
    <w:semiHidden/>
    <w:unhideWhenUsed/>
    <w:qFormat/>
    <w:uiPriority w:val="0"/>
    <w:pPr>
      <w:jc w:val="center"/>
    </w:pPr>
    <w:rPr>
      <w:rFonts w:ascii="Times New Roman" w:hAnsi="Times New Roman" w:eastAsia="黑体"/>
      <w:sz w:val="44"/>
      <w:szCs w:val="24"/>
    </w:rPr>
  </w:style>
  <w:style w:type="paragraph" w:styleId="18">
    <w:name w:val="Body Text Indent"/>
    <w:basedOn w:val="1"/>
    <w:link w:val="66"/>
    <w:semiHidden/>
    <w:unhideWhenUsed/>
    <w:qFormat/>
    <w:uiPriority w:val="0"/>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0"/>
    <w:pPr>
      <w:ind w:left="1680" w:leftChars="800"/>
    </w:pPr>
    <w:rPr>
      <w:rFonts w:ascii="Times New Roman" w:hAnsi="Times New Roman"/>
      <w:sz w:val="18"/>
      <w:szCs w:val="18"/>
    </w:rPr>
  </w:style>
  <w:style w:type="paragraph" w:styleId="21">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1"/>
    <w:unhideWhenUsed/>
    <w:qFormat/>
    <w:uiPriority w:val="99"/>
    <w:rPr>
      <w:rFonts w:ascii="宋体" w:hAnsi="Courier New"/>
      <w:kern w:val="0"/>
      <w:sz w:val="20"/>
      <w:szCs w:val="18"/>
    </w:rPr>
  </w:style>
  <w:style w:type="paragraph" w:styleId="23">
    <w:name w:val="toc 8"/>
    <w:basedOn w:val="1"/>
    <w:next w:val="1"/>
    <w:semiHidden/>
    <w:unhideWhenUsed/>
    <w:qFormat/>
    <w:uiPriority w:val="0"/>
    <w:pPr>
      <w:ind w:left="2940" w:leftChars="1400"/>
    </w:pPr>
    <w:rPr>
      <w:rFonts w:ascii="Times New Roman" w:hAnsi="Times New Roman"/>
      <w:szCs w:val="24"/>
    </w:rPr>
  </w:style>
  <w:style w:type="paragraph" w:styleId="24">
    <w:name w:val="Date"/>
    <w:basedOn w:val="1"/>
    <w:next w:val="1"/>
    <w:link w:val="68"/>
    <w:unhideWhenUsed/>
    <w:qFormat/>
    <w:uiPriority w:val="99"/>
    <w:pPr>
      <w:ind w:left="100" w:leftChars="2500"/>
    </w:pPr>
    <w:rPr>
      <w:rFonts w:ascii="Times New Roman" w:hAnsi="Times New Roman"/>
      <w:kern w:val="0"/>
      <w:sz w:val="24"/>
      <w:szCs w:val="24"/>
    </w:rPr>
  </w:style>
  <w:style w:type="paragraph" w:styleId="25">
    <w:name w:val="Body Text Indent 2"/>
    <w:basedOn w:val="1"/>
    <w:link w:val="72"/>
    <w:unhideWhenUsed/>
    <w:qFormat/>
    <w:uiPriority w:val="0"/>
    <w:pPr>
      <w:spacing w:after="120" w:line="480" w:lineRule="auto"/>
      <w:ind w:left="420" w:leftChars="200"/>
    </w:pPr>
  </w:style>
  <w:style w:type="paragraph" w:styleId="26">
    <w:name w:val="Balloon Text"/>
    <w:basedOn w:val="1"/>
    <w:link w:val="77"/>
    <w:unhideWhenUsed/>
    <w:qFormat/>
    <w:uiPriority w:val="99"/>
    <w:rPr>
      <w:rFonts w:ascii="Times New Roman" w:hAnsi="Times New Roman"/>
      <w:kern w:val="0"/>
      <w:sz w:val="18"/>
      <w:szCs w:val="18"/>
    </w:rPr>
  </w:style>
  <w:style w:type="paragraph" w:styleId="27">
    <w:name w:val="footer"/>
    <w:basedOn w:val="1"/>
    <w:link w:val="64"/>
    <w:unhideWhenUsed/>
    <w:qFormat/>
    <w:uiPriority w:val="99"/>
    <w:pPr>
      <w:tabs>
        <w:tab w:val="center" w:pos="4153"/>
        <w:tab w:val="right" w:pos="8306"/>
      </w:tabs>
      <w:snapToGrid w:val="0"/>
      <w:jc w:val="left"/>
    </w:pPr>
    <w:rPr>
      <w:kern w:val="0"/>
      <w:sz w:val="18"/>
      <w:szCs w:val="18"/>
    </w:rPr>
  </w:style>
  <w:style w:type="paragraph" w:styleId="28">
    <w:name w:val="header"/>
    <w:basedOn w:val="1"/>
    <w:link w:val="6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0"/>
    <w:pPr>
      <w:ind w:left="1260" w:leftChars="600"/>
    </w:pPr>
    <w:rPr>
      <w:rFonts w:ascii="Times New Roman" w:hAnsi="Times New Roman"/>
      <w:sz w:val="18"/>
      <w:szCs w:val="18"/>
    </w:rPr>
  </w:style>
  <w:style w:type="paragraph" w:styleId="31">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1"/>
    <w:semiHidden/>
    <w:unhideWhenUsed/>
    <w:qFormat/>
    <w:uiPriority w:val="0"/>
    <w:pPr>
      <w:snapToGrid w:val="0"/>
      <w:jc w:val="left"/>
    </w:pPr>
    <w:rPr>
      <w:sz w:val="18"/>
      <w:szCs w:val="18"/>
    </w:rPr>
  </w:style>
  <w:style w:type="paragraph" w:styleId="33">
    <w:name w:val="toc 6"/>
    <w:basedOn w:val="1"/>
    <w:next w:val="1"/>
    <w:semiHidden/>
    <w:unhideWhenUsed/>
    <w:qFormat/>
    <w:uiPriority w:val="0"/>
    <w:pPr>
      <w:ind w:left="2100" w:leftChars="1000"/>
    </w:pPr>
    <w:rPr>
      <w:rFonts w:ascii="Times New Roman" w:hAnsi="Times New Roman"/>
      <w:szCs w:val="24"/>
    </w:rPr>
  </w:style>
  <w:style w:type="paragraph" w:styleId="34">
    <w:name w:val="Body Text Indent 3"/>
    <w:basedOn w:val="1"/>
    <w:link w:val="73"/>
    <w:semiHidden/>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0"/>
    <w:pPr>
      <w:ind w:left="3360" w:leftChars="1600"/>
    </w:pPr>
    <w:rPr>
      <w:rFonts w:ascii="Times New Roman" w:hAnsi="Times New Roman"/>
      <w:szCs w:val="24"/>
    </w:rPr>
  </w:style>
  <w:style w:type="paragraph" w:styleId="37">
    <w:name w:val="Body Text 2"/>
    <w:basedOn w:val="1"/>
    <w:link w:val="70"/>
    <w:semiHidden/>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2"/>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semiHidden/>
    <w:unhideWhenUsed/>
    <w:qFormat/>
    <w:uiPriority w:val="0"/>
    <w:pPr>
      <w:ind w:firstLine="560" w:firstLineChars="200"/>
    </w:pPr>
    <w:rPr>
      <w:rFonts w:ascii="宋体" w:hAnsi="宋体" w:cs="宋体"/>
      <w:sz w:val="28"/>
      <w:szCs w:val="28"/>
    </w:rPr>
  </w:style>
  <w:style w:type="paragraph" w:styleId="41">
    <w:name w:val="annotation subject"/>
    <w:basedOn w:val="16"/>
    <w:next w:val="16"/>
    <w:link w:val="76"/>
    <w:unhideWhenUsed/>
    <w:qFormat/>
    <w:uiPriority w:val="99"/>
    <w:rPr>
      <w:rFonts w:ascii="Calibri" w:hAnsi="Calibri"/>
      <w:b/>
      <w:bCs/>
      <w:kern w:val="2"/>
      <w:sz w:val="21"/>
      <w:szCs w:val="22"/>
    </w:rPr>
  </w:style>
  <w:style w:type="paragraph" w:styleId="42">
    <w:name w:val="Body Text First Indent"/>
    <w:basedOn w:val="2"/>
    <w:link w:val="69"/>
    <w:semiHidden/>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6">
    <w:name w:val="page number"/>
    <w:basedOn w:val="45"/>
    <w:qFormat/>
    <w:uiPriority w:val="0"/>
  </w:style>
  <w:style w:type="character" w:styleId="47">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unhideWhenUsed/>
    <w:qFormat/>
    <w:uiPriority w:val="0"/>
    <w:rPr>
      <w:sz w:val="21"/>
      <w:szCs w:val="21"/>
    </w:rPr>
  </w:style>
  <w:style w:type="character" w:styleId="50">
    <w:name w:val="footnote reference"/>
    <w:semiHidden/>
    <w:unhideWhenUsed/>
    <w:qFormat/>
    <w:uiPriority w:val="0"/>
    <w:rPr>
      <w:vertAlign w:val="superscript"/>
    </w:rPr>
  </w:style>
  <w:style w:type="character" w:customStyle="1" w:styleId="51">
    <w:name w:val="标题 1 字符"/>
    <w:basedOn w:val="45"/>
    <w:link w:val="3"/>
    <w:qFormat/>
    <w:uiPriority w:val="0"/>
    <w:rPr>
      <w:rFonts w:ascii="宋体" w:hAnsi="宋体" w:cs="宋体"/>
      <w:b/>
      <w:bCs/>
      <w:spacing w:val="-20"/>
      <w:kern w:val="44"/>
      <w:sz w:val="32"/>
      <w:szCs w:val="32"/>
    </w:rPr>
  </w:style>
  <w:style w:type="character" w:customStyle="1" w:styleId="52">
    <w:name w:val="标题 2 字符"/>
    <w:basedOn w:val="45"/>
    <w:link w:val="4"/>
    <w:qFormat/>
    <w:uiPriority w:val="0"/>
    <w:rPr>
      <w:rFonts w:ascii="宋体" w:hAnsi="宋体" w:cs="宋体"/>
      <w:b/>
      <w:bCs/>
      <w:kern w:val="2"/>
      <w:sz w:val="28"/>
      <w:szCs w:val="28"/>
    </w:rPr>
  </w:style>
  <w:style w:type="character" w:customStyle="1" w:styleId="53">
    <w:name w:val="标题 3 字符"/>
    <w:basedOn w:val="45"/>
    <w:link w:val="5"/>
    <w:qFormat/>
    <w:uiPriority w:val="0"/>
    <w:rPr>
      <w:rFonts w:ascii="宋体" w:hAnsi="宋体" w:cs="宋体"/>
      <w:b/>
      <w:bCs/>
      <w:color w:val="000000"/>
      <w:sz w:val="28"/>
      <w:szCs w:val="28"/>
    </w:rPr>
  </w:style>
  <w:style w:type="character" w:customStyle="1" w:styleId="54">
    <w:name w:val="标题 4 字符"/>
    <w:basedOn w:val="45"/>
    <w:link w:val="6"/>
    <w:qFormat/>
    <w:uiPriority w:val="9"/>
    <w:rPr>
      <w:rFonts w:ascii="Arial" w:hAnsi="Arial"/>
      <w:b/>
      <w:bCs/>
      <w:sz w:val="28"/>
      <w:szCs w:val="28"/>
    </w:rPr>
  </w:style>
  <w:style w:type="character" w:customStyle="1" w:styleId="55">
    <w:name w:val="标题 5 字符"/>
    <w:basedOn w:val="45"/>
    <w:link w:val="7"/>
    <w:qFormat/>
    <w:uiPriority w:val="0"/>
    <w:rPr>
      <w:rFonts w:ascii="Calibri" w:hAnsi="Calibri" w:cs="宋体"/>
      <w:b/>
      <w:bCs/>
      <w:sz w:val="28"/>
      <w:szCs w:val="28"/>
    </w:rPr>
  </w:style>
  <w:style w:type="character" w:customStyle="1" w:styleId="56">
    <w:name w:val="标题 6 字符"/>
    <w:basedOn w:val="45"/>
    <w:link w:val="8"/>
    <w:qFormat/>
    <w:uiPriority w:val="0"/>
    <w:rPr>
      <w:rFonts w:ascii="Arial" w:hAnsi="Arial"/>
      <w:b/>
      <w:bCs/>
      <w:sz w:val="28"/>
      <w:szCs w:val="18"/>
    </w:rPr>
  </w:style>
  <w:style w:type="character" w:customStyle="1" w:styleId="57">
    <w:name w:val="标题 7 字符"/>
    <w:basedOn w:val="45"/>
    <w:link w:val="9"/>
    <w:qFormat/>
    <w:uiPriority w:val="0"/>
    <w:rPr>
      <w:rFonts w:ascii="Arial Narrow" w:hAnsi="Arial Narrow" w:eastAsia="宋体" w:cs="Times New Roman"/>
      <w:b/>
      <w:bCs/>
      <w:iCs/>
      <w:kern w:val="0"/>
      <w:sz w:val="20"/>
      <w:szCs w:val="24"/>
      <w:lang w:eastAsia="en-US"/>
    </w:rPr>
  </w:style>
  <w:style w:type="character" w:customStyle="1" w:styleId="58">
    <w:name w:val="标题 8 字符"/>
    <w:basedOn w:val="45"/>
    <w:link w:val="10"/>
    <w:semiHidden/>
    <w:qFormat/>
    <w:uiPriority w:val="0"/>
    <w:rPr>
      <w:rFonts w:ascii="Arial" w:hAnsi="Arial" w:eastAsia="黑体" w:cs="Times New Roman"/>
      <w:kern w:val="0"/>
      <w:sz w:val="24"/>
      <w:szCs w:val="24"/>
    </w:rPr>
  </w:style>
  <w:style w:type="character" w:customStyle="1" w:styleId="59">
    <w:name w:val="标题 9 字符"/>
    <w:basedOn w:val="45"/>
    <w:link w:val="11"/>
    <w:semiHidden/>
    <w:qFormat/>
    <w:uiPriority w:val="0"/>
    <w:rPr>
      <w:rFonts w:ascii="Arial" w:hAnsi="Arial" w:eastAsia="黑体" w:cs="Times New Roman"/>
      <w:kern w:val="0"/>
      <w:sz w:val="20"/>
      <w:szCs w:val="21"/>
    </w:rPr>
  </w:style>
  <w:style w:type="character" w:customStyle="1" w:styleId="60">
    <w:name w:val="正文缩进 字符"/>
    <w:link w:val="13"/>
    <w:qFormat/>
    <w:locked/>
    <w:uiPriority w:val="0"/>
  </w:style>
  <w:style w:type="character" w:customStyle="1" w:styleId="61">
    <w:name w:val="脚注文本 字符"/>
    <w:basedOn w:val="45"/>
    <w:link w:val="32"/>
    <w:semiHidden/>
    <w:qFormat/>
    <w:uiPriority w:val="0"/>
    <w:rPr>
      <w:rFonts w:ascii="Calibri" w:hAnsi="Calibri" w:eastAsia="宋体" w:cs="Times New Roman"/>
      <w:sz w:val="18"/>
      <w:szCs w:val="18"/>
    </w:rPr>
  </w:style>
  <w:style w:type="character" w:customStyle="1" w:styleId="62">
    <w:name w:val="批注文字 字符"/>
    <w:basedOn w:val="45"/>
    <w:link w:val="16"/>
    <w:qFormat/>
    <w:uiPriority w:val="99"/>
    <w:rPr>
      <w:rFonts w:ascii="Times New Roman" w:hAnsi="Times New Roman" w:eastAsia="宋体" w:cs="Times New Roman"/>
      <w:kern w:val="0"/>
      <w:sz w:val="18"/>
      <w:szCs w:val="18"/>
    </w:rPr>
  </w:style>
  <w:style w:type="character" w:customStyle="1" w:styleId="63">
    <w:name w:val="页眉 字符"/>
    <w:basedOn w:val="45"/>
    <w:link w:val="28"/>
    <w:qFormat/>
    <w:uiPriority w:val="99"/>
    <w:rPr>
      <w:rFonts w:ascii="Calibri" w:hAnsi="Calibri" w:eastAsia="宋体" w:cs="Times New Roman"/>
      <w:kern w:val="0"/>
      <w:sz w:val="18"/>
      <w:szCs w:val="18"/>
    </w:rPr>
  </w:style>
  <w:style w:type="character" w:customStyle="1" w:styleId="64">
    <w:name w:val="页脚 字符"/>
    <w:basedOn w:val="45"/>
    <w:link w:val="27"/>
    <w:qFormat/>
    <w:uiPriority w:val="99"/>
    <w:rPr>
      <w:rFonts w:ascii="Calibri" w:hAnsi="Calibri" w:eastAsia="宋体" w:cs="Times New Roman"/>
      <w:kern w:val="0"/>
      <w:sz w:val="18"/>
      <w:szCs w:val="18"/>
    </w:rPr>
  </w:style>
  <w:style w:type="character" w:customStyle="1" w:styleId="65">
    <w:name w:val="正文文本 Char"/>
    <w:basedOn w:val="45"/>
    <w:qFormat/>
    <w:uiPriority w:val="99"/>
    <w:rPr>
      <w:rFonts w:ascii="Calibri" w:hAnsi="Calibri" w:eastAsia="宋体" w:cs="Times New Roman"/>
    </w:rPr>
  </w:style>
  <w:style w:type="character" w:customStyle="1" w:styleId="66">
    <w:name w:val="正文文本缩进 字符"/>
    <w:basedOn w:val="45"/>
    <w:link w:val="18"/>
    <w:semiHidden/>
    <w:qFormat/>
    <w:uiPriority w:val="0"/>
    <w:rPr>
      <w:rFonts w:ascii="Times New Roman" w:hAnsi="Times New Roman" w:eastAsia="宋体" w:cs="Times New Roman"/>
      <w:kern w:val="0"/>
      <w:sz w:val="20"/>
      <w:szCs w:val="24"/>
    </w:rPr>
  </w:style>
  <w:style w:type="character" w:customStyle="1" w:styleId="67">
    <w:name w:val="副标题 字符"/>
    <w:basedOn w:val="45"/>
    <w:link w:val="31"/>
    <w:qFormat/>
    <w:uiPriority w:val="0"/>
    <w:rPr>
      <w:rFonts w:ascii="Cambria" w:hAnsi="Cambria" w:eastAsia="宋体" w:cs="Times New Roman"/>
      <w:b/>
      <w:bCs/>
      <w:kern w:val="28"/>
      <w:sz w:val="32"/>
      <w:szCs w:val="32"/>
    </w:rPr>
  </w:style>
  <w:style w:type="character" w:customStyle="1" w:styleId="68">
    <w:name w:val="日期 字符"/>
    <w:basedOn w:val="45"/>
    <w:link w:val="24"/>
    <w:qFormat/>
    <w:uiPriority w:val="99"/>
    <w:rPr>
      <w:rFonts w:ascii="Times New Roman" w:hAnsi="Times New Roman" w:eastAsia="宋体" w:cs="Times New Roman"/>
      <w:kern w:val="0"/>
      <w:sz w:val="24"/>
      <w:szCs w:val="24"/>
    </w:rPr>
  </w:style>
  <w:style w:type="character" w:customStyle="1" w:styleId="69">
    <w:name w:val="正文首行缩进 字符"/>
    <w:basedOn w:val="65"/>
    <w:link w:val="42"/>
    <w:semiHidden/>
    <w:qFormat/>
    <w:uiPriority w:val="0"/>
    <w:rPr>
      <w:rFonts w:ascii="Times New Roman" w:hAnsi="Times New Roman" w:eastAsia="宋体" w:cs="Times New Roman"/>
      <w:kern w:val="0"/>
      <w:sz w:val="18"/>
      <w:szCs w:val="18"/>
    </w:rPr>
  </w:style>
  <w:style w:type="character" w:customStyle="1" w:styleId="70">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1">
    <w:name w:val="正文文本 3 字符"/>
    <w:basedOn w:val="45"/>
    <w:link w:val="17"/>
    <w:semiHidden/>
    <w:qFormat/>
    <w:uiPriority w:val="0"/>
    <w:rPr>
      <w:rFonts w:ascii="Times New Roman" w:hAnsi="Times New Roman" w:eastAsia="黑体" w:cs="Times New Roman"/>
      <w:sz w:val="44"/>
      <w:szCs w:val="24"/>
    </w:rPr>
  </w:style>
  <w:style w:type="character" w:customStyle="1" w:styleId="72">
    <w:name w:val="正文文本缩进 2 字符"/>
    <w:basedOn w:val="45"/>
    <w:link w:val="25"/>
    <w:qFormat/>
    <w:uiPriority w:val="0"/>
    <w:rPr>
      <w:rFonts w:ascii="Calibri" w:hAnsi="Calibri" w:eastAsia="宋体" w:cs="Times New Roman"/>
    </w:rPr>
  </w:style>
  <w:style w:type="character" w:customStyle="1" w:styleId="73">
    <w:name w:val="正文文本缩进 3 字符"/>
    <w:basedOn w:val="45"/>
    <w:link w:val="34"/>
    <w:semiHidden/>
    <w:qFormat/>
    <w:uiPriority w:val="0"/>
    <w:rPr>
      <w:rFonts w:ascii="宋体" w:hAnsi="宋体" w:eastAsia="宋体" w:cs="Times New Roman"/>
      <w:kern w:val="0"/>
      <w:sz w:val="28"/>
      <w:szCs w:val="28"/>
    </w:rPr>
  </w:style>
  <w:style w:type="character" w:customStyle="1" w:styleId="74">
    <w:name w:val="文档结构图 字符"/>
    <w:basedOn w:val="45"/>
    <w:link w:val="15"/>
    <w:qFormat/>
    <w:uiPriority w:val="99"/>
    <w:rPr>
      <w:rFonts w:ascii="Times New Roman" w:hAnsi="Times New Roman" w:eastAsia="宋体" w:cs="Times New Roman"/>
      <w:kern w:val="0"/>
      <w:sz w:val="18"/>
      <w:szCs w:val="18"/>
      <w:shd w:val="clear" w:color="auto" w:fill="000080"/>
    </w:rPr>
  </w:style>
  <w:style w:type="character" w:customStyle="1" w:styleId="75">
    <w:name w:val="纯文本 Char"/>
    <w:basedOn w:val="45"/>
    <w:qFormat/>
    <w:uiPriority w:val="99"/>
    <w:rPr>
      <w:rFonts w:ascii="宋体" w:hAnsi="Courier New" w:eastAsia="宋体" w:cs="Courier New"/>
      <w:szCs w:val="21"/>
    </w:rPr>
  </w:style>
  <w:style w:type="character" w:customStyle="1" w:styleId="76">
    <w:name w:val="批注主题 字符"/>
    <w:basedOn w:val="62"/>
    <w:link w:val="41"/>
    <w:qFormat/>
    <w:uiPriority w:val="99"/>
    <w:rPr>
      <w:rFonts w:ascii="Calibri" w:hAnsi="Calibri" w:eastAsia="宋体" w:cs="Times New Roman"/>
      <w:b/>
      <w:bCs/>
      <w:kern w:val="0"/>
      <w:sz w:val="18"/>
      <w:szCs w:val="18"/>
    </w:rPr>
  </w:style>
  <w:style w:type="character" w:customStyle="1" w:styleId="77">
    <w:name w:val="批注框文本 字符"/>
    <w:basedOn w:val="45"/>
    <w:link w:val="26"/>
    <w:qFormat/>
    <w:uiPriority w:val="99"/>
    <w:rPr>
      <w:rFonts w:ascii="Times New Roman" w:hAnsi="Times New Roman" w:eastAsia="宋体" w:cs="Times New Roman"/>
      <w:kern w:val="0"/>
      <w:sz w:val="18"/>
      <w:szCs w:val="18"/>
    </w:rPr>
  </w:style>
  <w:style w:type="paragraph" w:styleId="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出段落 字符1"/>
    <w:link w:val="80"/>
    <w:qFormat/>
    <w:locked/>
    <w:uiPriority w:val="0"/>
    <w:rPr>
      <w:rFonts w:ascii="Calibri" w:hAnsi="Calibri"/>
    </w:rPr>
  </w:style>
  <w:style w:type="paragraph" w:styleId="80">
    <w:name w:val="List Paragraph"/>
    <w:basedOn w:val="1"/>
    <w:link w:val="79"/>
    <w:qFormat/>
    <w:uiPriority w:val="0"/>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0"/>
    <w:pPr>
      <w:spacing w:before="240" w:after="60"/>
      <w:jc w:val="center"/>
      <w:outlineLvl w:val="0"/>
    </w:pPr>
    <w:rPr>
      <w:rFonts w:ascii="Arial" w:hAnsi="Arial" w:cs="Arial"/>
      <w:b/>
      <w:bCs/>
      <w:sz w:val="32"/>
      <w:szCs w:val="32"/>
    </w:rPr>
  </w:style>
  <w:style w:type="paragraph" w:customStyle="1" w:styleId="85">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0"/>
    <w:pPr>
      <w:ind w:firstLine="200" w:firstLineChars="200"/>
    </w:pPr>
    <w:rPr>
      <w:rFonts w:ascii="Times New Roman" w:hAnsi="Times New Roman"/>
      <w:szCs w:val="24"/>
    </w:rPr>
  </w:style>
  <w:style w:type="paragraph" w:customStyle="1" w:styleId="88">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0"/>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0"/>
    <w:rPr>
      <w:rFonts w:ascii="Tahoma" w:hAnsi="Tahoma"/>
      <w:sz w:val="24"/>
      <w:szCs w:val="20"/>
    </w:rPr>
  </w:style>
  <w:style w:type="paragraph" w:customStyle="1" w:styleId="94">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7">
    <w:name w:val="表格文字"/>
    <w:basedOn w:val="1"/>
    <w:link w:val="309"/>
    <w:qFormat/>
    <w:uiPriority w:val="0"/>
    <w:pPr>
      <w:spacing w:beforeLines="25"/>
    </w:pPr>
    <w:rPr>
      <w:rFonts w:ascii="Times New (W1)" w:hAnsi="Times New (W1)"/>
      <w:spacing w:val="10"/>
      <w:szCs w:val="24"/>
    </w:rPr>
  </w:style>
  <w:style w:type="paragraph" w:customStyle="1" w:styleId="98">
    <w:name w:val="文章正文"/>
    <w:basedOn w:val="1"/>
    <w:qFormat/>
    <w:uiPriority w:val="0"/>
    <w:pPr>
      <w:spacing w:line="360" w:lineRule="auto"/>
      <w:ind w:firstLine="420"/>
    </w:pPr>
    <w:rPr>
      <w:rFonts w:ascii="Times New Roman" w:hAnsi="Times New Roman"/>
      <w:sz w:val="24"/>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8"/>
    <w:qFormat/>
    <w:uiPriority w:val="0"/>
    <w:pPr>
      <w:tabs>
        <w:tab w:val="left" w:pos="3260"/>
        <w:tab w:val="clear" w:pos="1702"/>
      </w:tabs>
      <w:ind w:left="0" w:firstLine="0"/>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7"/>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4"/>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0"/>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0"/>
    <w:pPr>
      <w:spacing w:line="360" w:lineRule="auto"/>
      <w:ind w:firstLine="420"/>
    </w:pPr>
    <w:rPr>
      <w:rFonts w:ascii="Times New Roman" w:hAnsi="Times New Roman"/>
      <w:sz w:val="24"/>
      <w:szCs w:val="24"/>
    </w:rPr>
  </w:style>
  <w:style w:type="paragraph" w:customStyle="1" w:styleId="119">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204"/>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1">
    <w:name w:val="图"/>
    <w:basedOn w:val="1"/>
    <w:qFormat/>
    <w:uiPriority w:val="0"/>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99"/>
    <w:rPr>
      <w:rFonts w:ascii="Tahoma" w:hAnsi="Tahoma"/>
      <w:sz w:val="24"/>
      <w:szCs w:val="20"/>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0"/>
    <w:pPr>
      <w:spacing w:line="360" w:lineRule="auto"/>
      <w:ind w:firstLine="420" w:firstLineChars="200"/>
    </w:pPr>
    <w:rPr>
      <w:rFonts w:ascii="宋体" w:hAnsi="宋体"/>
      <w:szCs w:val="24"/>
    </w:rPr>
  </w:style>
  <w:style w:type="paragraph" w:customStyle="1" w:styleId="128">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0"/>
    <w:pPr>
      <w:spacing w:line="360" w:lineRule="auto"/>
      <w:ind w:firstLine="700" w:firstLineChars="250"/>
    </w:pPr>
    <w:rPr>
      <w:rFonts w:ascii="宋体" w:hAnsi="宋体"/>
      <w:bCs/>
      <w:sz w:val="28"/>
      <w:szCs w:val="28"/>
    </w:rPr>
  </w:style>
  <w:style w:type="paragraph" w:customStyle="1" w:styleId="132">
    <w:name w:val="样式1"/>
    <w:basedOn w:val="1"/>
    <w:qFormat/>
    <w:uiPriority w:val="0"/>
    <w:rPr>
      <w:rFonts w:ascii="Times New Roman" w:hAnsi="Times New Roman" w:eastAsia="隶书"/>
      <w:i/>
      <w:dstrike/>
      <w:sz w:val="28"/>
      <w:szCs w:val="18"/>
    </w:rPr>
  </w:style>
  <w:style w:type="paragraph" w:customStyle="1" w:styleId="133">
    <w:name w:val="表格"/>
    <w:basedOn w:val="1"/>
    <w:qFormat/>
    <w:uiPriority w:val="0"/>
    <w:pPr>
      <w:spacing w:line="400" w:lineRule="exact"/>
    </w:pPr>
    <w:rPr>
      <w:rFonts w:ascii="Times New Roman" w:hAnsi="Times New Roman"/>
      <w:sz w:val="24"/>
      <w:szCs w:val="24"/>
    </w:rPr>
  </w:style>
  <w:style w:type="paragraph" w:customStyle="1" w:styleId="134">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5">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5"/>
    <w:qFormat/>
    <w:uiPriority w:val="0"/>
    <w:rPr>
      <w:rFonts w:ascii="Tahoma" w:hAnsi="Tahoma"/>
      <w:sz w:val="24"/>
      <w:szCs w:val="24"/>
    </w:rPr>
  </w:style>
  <w:style w:type="paragraph" w:customStyle="1" w:styleId="137">
    <w:name w:val="MM Topic 3"/>
    <w:basedOn w:val="5"/>
    <w:qFormat/>
    <w:uiPriority w:val="0"/>
    <w:pPr>
      <w:numPr>
        <w:ilvl w:val="0"/>
        <w:numId w:val="0"/>
      </w:numPr>
      <w:tabs>
        <w:tab w:val="left" w:pos="1418"/>
      </w:tabs>
    </w:pPr>
    <w:rPr>
      <w:rFonts w:cs="Times New Roman"/>
    </w:rPr>
  </w:style>
  <w:style w:type="paragraph" w:customStyle="1" w:styleId="138">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0"/>
    <w:rPr>
      <w:rFonts w:ascii="Tahoma" w:hAnsi="Tahoma"/>
      <w:sz w:val="24"/>
      <w:szCs w:val="20"/>
    </w:rPr>
  </w:style>
  <w:style w:type="paragraph" w:customStyle="1" w:styleId="141">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2">
    <w:name w:val="MM Topic 9"/>
    <w:basedOn w:val="11"/>
    <w:qFormat/>
    <w:uiPriority w:val="0"/>
    <w:pPr>
      <w:tabs>
        <w:tab w:val="left" w:pos="5102"/>
      </w:tabs>
    </w:pPr>
  </w:style>
  <w:style w:type="paragraph" w:customStyle="1" w:styleId="143">
    <w:name w:val="MM Topic 5"/>
    <w:basedOn w:val="7"/>
    <w:qFormat/>
    <w:uiPriority w:val="0"/>
    <w:pPr>
      <w:tabs>
        <w:tab w:val="left" w:pos="2551"/>
        <w:tab w:val="clear" w:pos="1134"/>
        <w:tab w:val="clear" w:pos="1560"/>
      </w:tabs>
      <w:ind w:left="0" w:firstLine="0"/>
    </w:pPr>
    <w:rPr>
      <w:rFonts w:cs="Times New Roman"/>
    </w:rPr>
  </w:style>
  <w:style w:type="paragraph" w:customStyle="1" w:styleId="144">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5">
    <w:name w:val="MM Topic 4"/>
    <w:basedOn w:val="6"/>
    <w:qFormat/>
    <w:uiPriority w:val="0"/>
    <w:pPr>
      <w:tabs>
        <w:tab w:val="left" w:pos="1984"/>
      </w:tabs>
      <w:ind w:left="0" w:firstLine="0"/>
    </w:pPr>
  </w:style>
  <w:style w:type="paragraph" w:customStyle="1" w:styleId="1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4"/>
    <w:qFormat/>
    <w:uiPriority w:val="0"/>
    <w:pPr>
      <w:tabs>
        <w:tab w:val="left" w:pos="-2493"/>
      </w:tabs>
    </w:pPr>
    <w:rPr>
      <w:rFonts w:cs="Times New Roman"/>
      <w:szCs w:val="20"/>
    </w:rPr>
  </w:style>
  <w:style w:type="paragraph" w:customStyle="1" w:styleId="149">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0">
    <w:name w:val="列出段落2"/>
    <w:basedOn w:val="1"/>
    <w:qFormat/>
    <w:uiPriority w:val="0"/>
    <w:pPr>
      <w:ind w:firstLine="420" w:firstLineChars="200"/>
    </w:pPr>
  </w:style>
  <w:style w:type="paragraph" w:customStyle="1" w:styleId="151">
    <w:name w:val="列出段落4"/>
    <w:basedOn w:val="1"/>
    <w:qFormat/>
    <w:uiPriority w:val="34"/>
    <w:pPr>
      <w:ind w:firstLine="420" w:firstLineChars="200"/>
    </w:pPr>
    <w:rPr>
      <w:rFonts w:ascii="Times New Roman" w:hAnsi="Times New Roman"/>
      <w:szCs w:val="24"/>
    </w:rPr>
  </w:style>
  <w:style w:type="paragraph" w:customStyle="1" w:styleId="152">
    <w:name w:val="列出段落1"/>
    <w:basedOn w:val="1"/>
    <w:link w:val="311"/>
    <w:qFormat/>
    <w:uiPriority w:val="99"/>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0"/>
    <w:pPr>
      <w:ind w:firstLine="420" w:firstLineChars="200"/>
    </w:pPr>
  </w:style>
  <w:style w:type="paragraph" w:customStyle="1" w:styleId="15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6">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7">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8">
    <w:name w:val="0-CD Char"/>
    <w:link w:val="159"/>
    <w:qFormat/>
    <w:locked/>
    <w:uiPriority w:val="0"/>
    <w:rPr>
      <w:rFonts w:ascii="宋体" w:hAnsi="宋体" w:eastAsia="宋体"/>
      <w:sz w:val="28"/>
      <w:szCs w:val="24"/>
    </w:rPr>
  </w:style>
  <w:style w:type="paragraph" w:customStyle="1" w:styleId="159">
    <w:name w:val="0-CD"/>
    <w:basedOn w:val="1"/>
    <w:link w:val="158"/>
    <w:qFormat/>
    <w:uiPriority w:val="0"/>
    <w:pPr>
      <w:spacing w:line="360" w:lineRule="auto"/>
      <w:ind w:firstLine="708" w:firstLineChars="253"/>
      <w:jc w:val="left"/>
    </w:pPr>
    <w:rPr>
      <w:rFonts w:ascii="宋体" w:hAnsi="宋体" w:cstheme="minorBidi"/>
      <w:sz w:val="28"/>
      <w:szCs w:val="24"/>
    </w:rPr>
  </w:style>
  <w:style w:type="character" w:customStyle="1" w:styleId="160">
    <w:name w:val="Char Char8"/>
    <w:qFormat/>
    <w:uiPriority w:val="0"/>
    <w:rPr>
      <w:rFonts w:hint="eastAsia" w:ascii="宋体" w:hAnsi="宋体" w:eastAsia="宋体"/>
      <w:kern w:val="2"/>
      <w:sz w:val="28"/>
      <w:szCs w:val="28"/>
    </w:rPr>
  </w:style>
  <w:style w:type="character" w:customStyle="1" w:styleId="161">
    <w:name w:val="Char Char5"/>
    <w:qFormat/>
    <w:uiPriority w:val="0"/>
    <w:rPr>
      <w:kern w:val="2"/>
      <w:sz w:val="21"/>
      <w:szCs w:val="24"/>
    </w:rPr>
  </w:style>
  <w:style w:type="character" w:customStyle="1" w:styleId="162">
    <w:name w:val="列出段落 Char Char"/>
    <w:qFormat/>
    <w:uiPriority w:val="0"/>
    <w:rPr>
      <w:rFonts w:hint="default" w:ascii="Calibri" w:hAnsi="Calibri" w:cs="Calibri"/>
      <w:kern w:val="2"/>
      <w:sz w:val="21"/>
      <w:szCs w:val="22"/>
    </w:rPr>
  </w:style>
  <w:style w:type="character" w:customStyle="1" w:styleId="163">
    <w:name w:val="正文文本 Char Char"/>
    <w:qFormat/>
    <w:uiPriority w:val="0"/>
    <w:rPr>
      <w:kern w:val="2"/>
      <w:sz w:val="21"/>
      <w:szCs w:val="24"/>
    </w:rPr>
  </w:style>
  <w:style w:type="character" w:customStyle="1" w:styleId="164">
    <w:name w:val="Char Char11"/>
    <w:qFormat/>
    <w:uiPriority w:val="0"/>
    <w:rPr>
      <w:rFonts w:hint="default" w:ascii="Arial Narrow" w:hAnsi="Arial Narrow"/>
      <w:b/>
      <w:bCs/>
      <w:iCs/>
      <w:szCs w:val="24"/>
      <w:lang w:eastAsia="en-US"/>
    </w:rPr>
  </w:style>
  <w:style w:type="character" w:customStyle="1" w:styleId="165">
    <w:name w:val="标书（正文） Char Char"/>
    <w:qFormat/>
    <w:uiPriority w:val="0"/>
    <w:rPr>
      <w:rFonts w:hint="eastAsia" w:ascii="宋体" w:hAnsi="宋体" w:eastAsia="宋体"/>
      <w:b/>
      <w:kern w:val="10"/>
      <w:sz w:val="21"/>
      <w:szCs w:val="21"/>
      <w:lang w:val="en-US" w:eastAsia="zh-CN" w:bidi="ar-SA"/>
    </w:rPr>
  </w:style>
  <w:style w:type="character" w:customStyle="1" w:styleId="166">
    <w:name w:val="line2"/>
    <w:basedOn w:val="45"/>
    <w:qFormat/>
    <w:uiPriority w:val="0"/>
  </w:style>
  <w:style w:type="character" w:customStyle="1" w:styleId="167">
    <w:name w:val="Char Char10"/>
    <w:qFormat/>
    <w:uiPriority w:val="0"/>
    <w:rPr>
      <w:kern w:val="2"/>
      <w:sz w:val="24"/>
      <w:szCs w:val="24"/>
    </w:rPr>
  </w:style>
  <w:style w:type="character" w:customStyle="1" w:styleId="168">
    <w:name w:val="MM Topic 4 Char Char"/>
    <w:qFormat/>
    <w:uiPriority w:val="0"/>
    <w:rPr>
      <w:rFonts w:hint="default" w:ascii="Arial" w:hAnsi="Arial" w:cs="Arial"/>
      <w:b/>
      <w:bCs/>
      <w:kern w:val="2"/>
      <w:sz w:val="28"/>
      <w:szCs w:val="28"/>
    </w:rPr>
  </w:style>
  <w:style w:type="character" w:customStyle="1" w:styleId="169">
    <w:name w:val="标书正文:  0.74 厘米 Char Char"/>
    <w:qFormat/>
    <w:uiPriority w:val="0"/>
    <w:rPr>
      <w:kern w:val="2"/>
      <w:sz w:val="24"/>
    </w:rPr>
  </w:style>
  <w:style w:type="character" w:customStyle="1" w:styleId="170">
    <w:name w:val="访问过的超链接1"/>
    <w:qFormat/>
    <w:uiPriority w:val="99"/>
    <w:rPr>
      <w:color w:val="800080"/>
      <w:u w:val="single"/>
    </w:rPr>
  </w:style>
  <w:style w:type="character" w:customStyle="1" w:styleId="171">
    <w:name w:val="标题 3 Char Char Char"/>
    <w:qFormat/>
    <w:uiPriority w:val="0"/>
    <w:rPr>
      <w:rFonts w:hint="eastAsia" w:ascii="宋体" w:hAnsi="宋体" w:eastAsia="宋体"/>
      <w:b/>
      <w:kern w:val="2"/>
      <w:sz w:val="32"/>
      <w:lang w:val="en-US" w:eastAsia="zh-CN" w:bidi="ar-SA"/>
    </w:rPr>
  </w:style>
  <w:style w:type="character" w:customStyle="1" w:styleId="172">
    <w:name w:val="（符号）邀请函中一、"/>
    <w:qFormat/>
    <w:uiPriority w:val="0"/>
    <w:rPr>
      <w:rFonts w:hint="eastAsia" w:ascii="黑体" w:hAnsi="黑体" w:eastAsia="黑体"/>
      <w:b/>
      <w:bCs/>
      <w:sz w:val="24"/>
    </w:rPr>
  </w:style>
  <w:style w:type="character" w:customStyle="1" w:styleId="173">
    <w:name w:val="tt Char"/>
    <w:qFormat/>
    <w:uiPriority w:val="0"/>
    <w:rPr>
      <w:rFonts w:hint="default" w:ascii="Arial" w:hAnsi="Arial" w:eastAsia="黑体" w:cs="Arial"/>
      <w:kern w:val="2"/>
      <w:sz w:val="21"/>
      <w:szCs w:val="21"/>
    </w:rPr>
  </w:style>
  <w:style w:type="character" w:customStyle="1" w:styleId="174">
    <w:name w:val="Char Char9"/>
    <w:qFormat/>
    <w:uiPriority w:val="0"/>
    <w:rPr>
      <w:kern w:val="2"/>
      <w:sz w:val="18"/>
      <w:szCs w:val="18"/>
    </w:rPr>
  </w:style>
  <w:style w:type="character" w:customStyle="1" w:styleId="175">
    <w:name w:val="MM Topic 3 Char Char"/>
    <w:qFormat/>
    <w:uiPriority w:val="0"/>
    <w:rPr>
      <w:rFonts w:hint="eastAsia" w:ascii="宋体" w:hAnsi="宋体" w:eastAsia="宋体"/>
      <w:b/>
      <w:bCs/>
      <w:color w:val="000000"/>
      <w:kern w:val="2"/>
      <w:sz w:val="28"/>
      <w:szCs w:val="28"/>
    </w:rPr>
  </w:style>
  <w:style w:type="character" w:customStyle="1" w:styleId="176">
    <w:name w:val="样式 小四2 Char Char"/>
    <w:qFormat/>
    <w:uiPriority w:val="0"/>
    <w:rPr>
      <w:rFonts w:hint="eastAsia" w:ascii="宋体" w:hAnsi="宋体" w:eastAsia="宋体"/>
      <w:kern w:val="2"/>
      <w:sz w:val="24"/>
      <w:szCs w:val="24"/>
    </w:rPr>
  </w:style>
  <w:style w:type="character" w:customStyle="1" w:styleId="177">
    <w:name w:val="Char Char7"/>
    <w:qFormat/>
    <w:uiPriority w:val="0"/>
    <w:rPr>
      <w:kern w:val="2"/>
      <w:sz w:val="18"/>
      <w:szCs w:val="18"/>
    </w:rPr>
  </w:style>
  <w:style w:type="character" w:customStyle="1" w:styleId="178">
    <w:name w:val="Char Char3"/>
    <w:qFormat/>
    <w:uiPriority w:val="0"/>
    <w:rPr>
      <w:b/>
      <w:bCs/>
      <w:kern w:val="2"/>
      <w:sz w:val="18"/>
      <w:szCs w:val="18"/>
    </w:rPr>
  </w:style>
  <w:style w:type="character" w:customStyle="1" w:styleId="179">
    <w:name w:val="apple-style-span"/>
    <w:basedOn w:val="45"/>
    <w:qFormat/>
    <w:uiPriority w:val="0"/>
  </w:style>
  <w:style w:type="character" w:customStyle="1" w:styleId="180">
    <w:name w:val="Char Char4"/>
    <w:qFormat/>
    <w:uiPriority w:val="0"/>
    <w:rPr>
      <w:kern w:val="2"/>
      <w:sz w:val="18"/>
      <w:szCs w:val="18"/>
    </w:rPr>
  </w:style>
  <w:style w:type="character" w:customStyle="1" w:styleId="181">
    <w:name w:val="副标题 Char1"/>
    <w:qFormat/>
    <w:uiPriority w:val="11"/>
    <w:rPr>
      <w:rFonts w:hint="default" w:ascii="Cambria" w:hAnsi="Cambria" w:cs="Times New Roman"/>
      <w:b/>
      <w:bCs/>
      <w:kern w:val="28"/>
      <w:sz w:val="32"/>
      <w:szCs w:val="32"/>
    </w:rPr>
  </w:style>
  <w:style w:type="character" w:customStyle="1" w:styleId="182">
    <w:name w:val="small"/>
    <w:basedOn w:val="45"/>
    <w:qFormat/>
    <w:uiPriority w:val="0"/>
  </w:style>
  <w:style w:type="character" w:customStyle="1" w:styleId="183">
    <w:name w:val="Legal Level 1.1.1. Char"/>
    <w:qFormat/>
    <w:uiPriority w:val="0"/>
    <w:rPr>
      <w:rFonts w:hint="default" w:ascii="Arial" w:hAnsi="Arial" w:eastAsia="黑体" w:cs="Arial"/>
      <w:kern w:val="2"/>
      <w:sz w:val="24"/>
      <w:szCs w:val="24"/>
    </w:rPr>
  </w:style>
  <w:style w:type="character" w:customStyle="1" w:styleId="184">
    <w:name w:val="文章正文 Char Char"/>
    <w:qFormat/>
    <w:uiPriority w:val="0"/>
    <w:rPr>
      <w:rFonts w:hint="eastAsia" w:ascii="宋体" w:hAnsi="宋体" w:eastAsia="宋体"/>
      <w:kern w:val="2"/>
      <w:sz w:val="24"/>
      <w:szCs w:val="24"/>
      <w:lang w:val="en-US" w:eastAsia="zh-CN" w:bidi="ar-SA"/>
    </w:rPr>
  </w:style>
  <w:style w:type="character" w:customStyle="1" w:styleId="185">
    <w:name w:val="正文文本 Char1"/>
    <w:qFormat/>
    <w:uiPriority w:val="0"/>
    <w:rPr>
      <w:rFonts w:hint="default" w:ascii="Times New Roman" w:hAnsi="Times New Roman" w:eastAsia="宋体" w:cs="Times New Roman"/>
      <w:kern w:val="0"/>
      <w:sz w:val="18"/>
      <w:szCs w:val="18"/>
    </w:rPr>
  </w:style>
  <w:style w:type="character" w:customStyle="1" w:styleId="186">
    <w:name w:val="正文文本 字符"/>
    <w:basedOn w:val="45"/>
    <w:link w:val="2"/>
    <w:qFormat/>
    <w:locked/>
    <w:uiPriority w:val="99"/>
    <w:rPr>
      <w:rFonts w:ascii="Calibri" w:hAnsi="Calibri" w:eastAsia="宋体" w:cs="Times New Roman"/>
    </w:rPr>
  </w:style>
  <w:style w:type="character" w:customStyle="1" w:styleId="187">
    <w:name w:val="CD正文 Char Char"/>
    <w:qFormat/>
    <w:uiPriority w:val="0"/>
    <w:rPr>
      <w:rFonts w:hint="eastAsia" w:ascii="宋体" w:hAnsi="宋体" w:eastAsia="宋体"/>
      <w:kern w:val="2"/>
      <w:sz w:val="30"/>
      <w:szCs w:val="28"/>
      <w:lang w:val="en-US" w:eastAsia="zh-CN" w:bidi="ar-SA"/>
    </w:rPr>
  </w:style>
  <w:style w:type="character" w:customStyle="1" w:styleId="188">
    <w:name w:val="Char Char2"/>
    <w:qFormat/>
    <w:uiPriority w:val="0"/>
    <w:rPr>
      <w:kern w:val="2"/>
      <w:sz w:val="18"/>
      <w:szCs w:val="18"/>
    </w:rPr>
  </w:style>
  <w:style w:type="character" w:customStyle="1" w:styleId="189">
    <w:name w:val="标题 1 Char1"/>
    <w:qFormat/>
    <w:uiPriority w:val="0"/>
    <w:rPr>
      <w:b/>
      <w:bCs/>
      <w:kern w:val="44"/>
      <w:sz w:val="44"/>
      <w:szCs w:val="44"/>
    </w:rPr>
  </w:style>
  <w:style w:type="character" w:customStyle="1" w:styleId="190">
    <w:name w:val="表正文 Char1"/>
    <w:qFormat/>
    <w:uiPriority w:val="0"/>
    <w:rPr>
      <w:rFonts w:hint="eastAsia" w:ascii="宋体" w:hAnsi="宋体" w:eastAsia="宋体"/>
      <w:kern w:val="2"/>
      <w:sz w:val="21"/>
      <w:lang w:val="en-US" w:eastAsia="zh-CN" w:bidi="ar-SA"/>
    </w:rPr>
  </w:style>
  <w:style w:type="character" w:customStyle="1" w:styleId="191">
    <w:name w:val="纯文本 字符"/>
    <w:link w:val="22"/>
    <w:qFormat/>
    <w:locked/>
    <w:uiPriority w:val="99"/>
    <w:rPr>
      <w:rFonts w:ascii="宋体" w:hAnsi="Courier New" w:eastAsia="宋体" w:cs="Times New Roman"/>
      <w:kern w:val="0"/>
      <w:sz w:val="20"/>
      <w:szCs w:val="18"/>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5"/>
    <w:qFormat/>
    <w:uiPriority w:val="0"/>
    <w:rPr>
      <w:rFonts w:hint="eastAsia" w:ascii="宋体" w:hAnsi="宋体" w:eastAsia="宋体" w:cs="宋体"/>
      <w:b/>
      <w:color w:val="000000"/>
      <w:sz w:val="22"/>
      <w:szCs w:val="22"/>
      <w:u w:val="none"/>
    </w:rPr>
  </w:style>
  <w:style w:type="character" w:customStyle="1" w:styleId="196">
    <w:name w:val="font01"/>
    <w:basedOn w:val="45"/>
    <w:qFormat/>
    <w:uiPriority w:val="0"/>
    <w:rPr>
      <w:rFonts w:hint="eastAsia" w:ascii="宋体" w:hAnsi="宋体" w:eastAsia="宋体" w:cs="宋体"/>
      <w:color w:val="000000"/>
      <w:sz w:val="22"/>
      <w:szCs w:val="22"/>
      <w:u w:val="none"/>
    </w:rPr>
  </w:style>
  <w:style w:type="character" w:customStyle="1" w:styleId="197">
    <w:name w:val="页脚 Char1"/>
    <w:basedOn w:val="45"/>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0"/>
    <w:rPr>
      <w:rFonts w:hint="default" w:ascii="Calibri" w:hAnsi="Calibri"/>
      <w:kern w:val="2"/>
      <w:sz w:val="21"/>
      <w:szCs w:val="22"/>
    </w:rPr>
  </w:style>
  <w:style w:type="paragraph" w:customStyle="1" w:styleId="200">
    <w:name w:val="CD正文"/>
    <w:basedOn w:val="98"/>
    <w:link w:val="205"/>
    <w:qFormat/>
    <w:uiPriority w:val="0"/>
  </w:style>
  <w:style w:type="paragraph" w:customStyle="1" w:styleId="201">
    <w:name w:val="项目符号：一级"/>
    <w:basedOn w:val="85"/>
    <w:next w:val="85"/>
    <w:qFormat/>
    <w:uiPriority w:val="0"/>
  </w:style>
  <w:style w:type="character" w:customStyle="1" w:styleId="202">
    <w:name w:val="HTML 预设格式 字符"/>
    <w:basedOn w:val="45"/>
    <w:link w:val="38"/>
    <w:qFormat/>
    <w:uiPriority w:val="0"/>
    <w:rPr>
      <w:rFonts w:ascii="宋体" w:hAnsi="宋体" w:eastAsia="宋体" w:cs="Times New Roman"/>
      <w:kern w:val="0"/>
      <w:sz w:val="24"/>
      <w:szCs w:val="24"/>
    </w:rPr>
  </w:style>
  <w:style w:type="paragraph" w:customStyle="1" w:styleId="203">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4">
    <w:name w:val="样式 Char Char"/>
    <w:link w:val="120"/>
    <w:qFormat/>
    <w:locked/>
    <w:uiPriority w:val="0"/>
    <w:rPr>
      <w:rFonts w:ascii="宋体" w:hAnsi="宋体" w:eastAsia="宋体" w:cs="宋体"/>
      <w:kern w:val="0"/>
      <w:sz w:val="24"/>
      <w:szCs w:val="24"/>
    </w:rPr>
  </w:style>
  <w:style w:type="character" w:customStyle="1" w:styleId="205">
    <w:name w:val="CD正文 Char"/>
    <w:link w:val="200"/>
    <w:qFormat/>
    <w:locked/>
    <w:uiPriority w:val="0"/>
    <w:rPr>
      <w:rFonts w:ascii="Times New Roman" w:hAnsi="Times New Roman" w:eastAsia="宋体" w:cs="Times New Roman"/>
      <w:sz w:val="24"/>
      <w:szCs w:val="24"/>
    </w:rPr>
  </w:style>
  <w:style w:type="paragraph" w:customStyle="1" w:styleId="206">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7">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8">
    <w:name w:val="列出段落5"/>
    <w:basedOn w:val="1"/>
    <w:qFormat/>
    <w:uiPriority w:val="99"/>
    <w:pPr>
      <w:ind w:firstLine="420" w:firstLineChars="200"/>
    </w:pPr>
    <w:rPr>
      <w:rFonts w:ascii="Times New Roman" w:hAnsi="Times New Roman"/>
    </w:rPr>
  </w:style>
  <w:style w:type="paragraph" w:customStyle="1" w:styleId="209">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10">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1">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2">
    <w:name w:val="列出段落11"/>
    <w:basedOn w:val="1"/>
    <w:qFormat/>
    <w:uiPriority w:val="99"/>
    <w:pPr>
      <w:spacing w:after="200" w:line="276" w:lineRule="auto"/>
      <w:ind w:firstLine="420" w:firstLineChars="200"/>
    </w:pPr>
  </w:style>
  <w:style w:type="paragraph" w:customStyle="1" w:styleId="213">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4">
    <w:name w:val="UserStyle_26"/>
    <w:link w:val="215"/>
    <w:qFormat/>
    <w:locked/>
    <w:uiPriority w:val="0"/>
  </w:style>
  <w:style w:type="paragraph" w:customStyle="1" w:styleId="215">
    <w:name w:val="NormalIndent"/>
    <w:basedOn w:val="1"/>
    <w:link w:val="214"/>
    <w:qFormat/>
    <w:uiPriority w:val="0"/>
    <w:pPr>
      <w:widowControl/>
      <w:spacing w:after="200" w:line="276" w:lineRule="auto"/>
      <w:ind w:firstLine="420"/>
    </w:pPr>
    <w:rPr>
      <w:rFonts w:asciiTheme="minorHAnsi" w:hAnsiTheme="minorHAnsi" w:eastAsiaTheme="minorEastAsia" w:cstheme="minorBidi"/>
    </w:rPr>
  </w:style>
  <w:style w:type="paragraph" w:customStyle="1" w:styleId="216">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7">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8">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9">
    <w:name w:val="UserStyle_40"/>
    <w:basedOn w:val="1"/>
    <w:qFormat/>
    <w:uiPriority w:val="99"/>
    <w:pPr>
      <w:widowControl/>
      <w:spacing w:after="200" w:line="276" w:lineRule="auto"/>
      <w:ind w:firstLine="420" w:firstLineChars="200"/>
    </w:pPr>
    <w:rPr>
      <w:szCs w:val="21"/>
    </w:rPr>
  </w:style>
  <w:style w:type="paragraph" w:customStyle="1" w:styleId="220">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1">
    <w:name w:val="BodyText"/>
    <w:basedOn w:val="1"/>
    <w:qFormat/>
    <w:uiPriority w:val="0"/>
    <w:pPr>
      <w:spacing w:after="120" w:line="276" w:lineRule="auto"/>
    </w:pPr>
  </w:style>
  <w:style w:type="paragraph" w:customStyle="1" w:styleId="222">
    <w:name w:val="_Style 2"/>
    <w:basedOn w:val="1"/>
    <w:qFormat/>
    <w:uiPriority w:val="99"/>
    <w:pPr>
      <w:spacing w:after="200" w:line="276" w:lineRule="auto"/>
      <w:ind w:firstLine="420" w:firstLineChars="200"/>
    </w:pPr>
  </w:style>
  <w:style w:type="paragraph" w:customStyle="1" w:styleId="223">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4">
    <w:name w:val="标准文本 Char Char"/>
    <w:link w:val="225"/>
    <w:qFormat/>
    <w:locked/>
    <w:uiPriority w:val="0"/>
    <w:rPr>
      <w:sz w:val="24"/>
    </w:rPr>
  </w:style>
  <w:style w:type="paragraph" w:customStyle="1" w:styleId="225">
    <w:name w:val="标准文本"/>
    <w:basedOn w:val="1"/>
    <w:link w:val="224"/>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6">
    <w:name w:val="正文360首行缩进 Char"/>
    <w:basedOn w:val="45"/>
    <w:link w:val="227"/>
    <w:qFormat/>
    <w:locked/>
    <w:uiPriority w:val="0"/>
    <w:rPr>
      <w:rFonts w:ascii="Times New Roman" w:hAnsi="Times New Roman" w:eastAsia="宋体" w:cs="Times New Roman"/>
      <w:sz w:val="24"/>
    </w:rPr>
  </w:style>
  <w:style w:type="paragraph" w:customStyle="1" w:styleId="227">
    <w:name w:val="正文360首行缩进"/>
    <w:basedOn w:val="1"/>
    <w:link w:val="226"/>
    <w:qFormat/>
    <w:uiPriority w:val="0"/>
    <w:pPr>
      <w:widowControl/>
      <w:spacing w:before="120" w:line="300" w:lineRule="auto"/>
      <w:ind w:firstLine="200" w:firstLineChars="200"/>
      <w:jc w:val="left"/>
    </w:pPr>
    <w:rPr>
      <w:rFonts w:ascii="Times New Roman" w:hAnsi="Times New Roman"/>
      <w:sz w:val="24"/>
    </w:rPr>
  </w:style>
  <w:style w:type="paragraph" w:customStyle="1" w:styleId="228">
    <w:name w:val="列出段落1_0"/>
    <w:basedOn w:val="1"/>
    <w:qFormat/>
    <w:uiPriority w:val="99"/>
    <w:pPr>
      <w:ind w:firstLine="420" w:firstLineChars="200"/>
    </w:pPr>
    <w:rPr>
      <w:szCs w:val="21"/>
    </w:rPr>
  </w:style>
  <w:style w:type="paragraph" w:customStyle="1" w:styleId="229">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30">
    <w:name w:val="Char1 Char Char Char Char Char Char_0"/>
    <w:basedOn w:val="1"/>
    <w:qFormat/>
    <w:uiPriority w:val="0"/>
    <w:rPr>
      <w:rFonts w:ascii="Tahoma" w:hAnsi="Tahoma"/>
      <w:sz w:val="24"/>
      <w:szCs w:val="20"/>
    </w:rPr>
  </w:style>
  <w:style w:type="paragraph" w:customStyle="1" w:styleId="231">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2">
    <w:name w:val="列出段落111"/>
    <w:basedOn w:val="1"/>
    <w:qFormat/>
    <w:uiPriority w:val="99"/>
    <w:pPr>
      <w:ind w:firstLine="420" w:firstLineChars="200"/>
    </w:pPr>
    <w:rPr>
      <w:rFonts w:ascii="Times New Roman" w:hAnsi="Times New Roman"/>
    </w:rPr>
  </w:style>
  <w:style w:type="paragraph" w:customStyle="1" w:styleId="233">
    <w:name w:val="修订3"/>
    <w:qFormat/>
    <w:uiPriority w:val="99"/>
    <w:rPr>
      <w:rFonts w:ascii="Calibri" w:hAnsi="Calibri" w:eastAsia="宋体" w:cs="Times New Roman"/>
      <w:kern w:val="2"/>
      <w:sz w:val="21"/>
      <w:szCs w:val="22"/>
      <w:lang w:val="en-US" w:eastAsia="zh-CN" w:bidi="ar-SA"/>
    </w:rPr>
  </w:style>
  <w:style w:type="paragraph" w:customStyle="1" w:styleId="234">
    <w:name w:val="List Paragraph1"/>
    <w:basedOn w:val="1"/>
    <w:qFormat/>
    <w:uiPriority w:val="99"/>
    <w:pPr>
      <w:ind w:firstLine="420" w:firstLineChars="200"/>
    </w:pPr>
    <w:rPr>
      <w:rFonts w:ascii="Times New Roman" w:hAnsi="Times New Roman"/>
      <w:szCs w:val="24"/>
    </w:rPr>
  </w:style>
  <w:style w:type="paragraph" w:customStyle="1" w:styleId="235">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6">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7">
    <w:name w:val="标题 5（有编号）（绿盟科技）"/>
    <w:basedOn w:val="1"/>
    <w:next w:val="236"/>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8">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9">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40">
    <w:name w:val="修订11"/>
    <w:qFormat/>
    <w:uiPriority w:val="99"/>
    <w:rPr>
      <w:rFonts w:ascii="Calibri" w:hAnsi="Calibri" w:eastAsia="宋体" w:cs="Times New Roman"/>
      <w:kern w:val="2"/>
      <w:sz w:val="21"/>
      <w:szCs w:val="22"/>
      <w:lang w:val="en-US" w:eastAsia="zh-CN" w:bidi="ar-SA"/>
    </w:rPr>
  </w:style>
  <w:style w:type="paragraph" w:customStyle="1" w:styleId="241">
    <w:name w:val="_Style 32"/>
    <w:basedOn w:val="1"/>
    <w:next w:val="1"/>
    <w:qFormat/>
    <w:uiPriority w:val="99"/>
    <w:pPr>
      <w:spacing w:line="240" w:lineRule="atLeast"/>
      <w:ind w:left="420" w:firstLine="420"/>
      <w:jc w:val="left"/>
    </w:pPr>
    <w:rPr>
      <w:rFonts w:ascii="Times New Roman" w:hAnsi="Times New Roman"/>
      <w:szCs w:val="20"/>
    </w:rPr>
  </w:style>
  <w:style w:type="character" w:styleId="242">
    <w:name w:val="Placeholder Text"/>
    <w:basedOn w:val="45"/>
    <w:semiHidden/>
    <w:qFormat/>
    <w:uiPriority w:val="99"/>
    <w:rPr>
      <w:color w:val="808080"/>
    </w:rPr>
  </w:style>
  <w:style w:type="character" w:customStyle="1" w:styleId="243">
    <w:name w:val="页眉 字符1"/>
    <w:basedOn w:val="45"/>
    <w:semiHidden/>
    <w:qFormat/>
    <w:locked/>
    <w:uiPriority w:val="99"/>
    <w:rPr>
      <w:rFonts w:ascii="Calibri" w:hAnsi="Calibri" w:eastAsia="宋体" w:cs="Times New Roman"/>
      <w:kern w:val="0"/>
      <w:sz w:val="18"/>
      <w:szCs w:val="18"/>
    </w:rPr>
  </w:style>
  <w:style w:type="character" w:customStyle="1" w:styleId="244">
    <w:name w:val="正文文本 字符1"/>
    <w:basedOn w:val="45"/>
    <w:semiHidden/>
    <w:qFormat/>
    <w:locked/>
    <w:uiPriority w:val="99"/>
    <w:rPr>
      <w:rFonts w:ascii="Calibri" w:hAnsi="Calibri" w:eastAsia="宋体" w:cs="Times New Roman"/>
    </w:rPr>
  </w:style>
  <w:style w:type="character" w:customStyle="1" w:styleId="245">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6">
    <w:name w:val="NormalCharacter"/>
    <w:qFormat/>
    <w:uiPriority w:val="0"/>
  </w:style>
  <w:style w:type="paragraph" w:customStyle="1" w:styleId="247">
    <w:name w:val="BodyText1I"/>
    <w:basedOn w:val="1"/>
    <w:link w:val="248"/>
    <w:qFormat/>
    <w:uiPriority w:val="0"/>
  </w:style>
  <w:style w:type="character" w:customStyle="1" w:styleId="248">
    <w:name w:val="UserStyle_9"/>
    <w:basedOn w:val="45"/>
    <w:link w:val="247"/>
    <w:qFormat/>
    <w:locked/>
    <w:uiPriority w:val="0"/>
    <w:rPr>
      <w:rFonts w:ascii="Calibri" w:hAnsi="Calibri" w:eastAsia="宋体" w:cs="Times New Roman"/>
    </w:rPr>
  </w:style>
  <w:style w:type="character" w:customStyle="1" w:styleId="249">
    <w:name w:val="15"/>
    <w:basedOn w:val="45"/>
    <w:qFormat/>
    <w:uiPriority w:val="0"/>
    <w:rPr>
      <w:rFonts w:hint="default" w:ascii="Calibri" w:hAnsi="Calibri"/>
    </w:rPr>
  </w:style>
  <w:style w:type="character" w:customStyle="1" w:styleId="250">
    <w:name w:val="批注文字 Char1"/>
    <w:basedOn w:val="45"/>
    <w:semiHidden/>
    <w:qFormat/>
    <w:locked/>
    <w:uiPriority w:val="0"/>
    <w:rPr>
      <w:rFonts w:hint="default" w:ascii="Calibri" w:hAnsi="Calibri" w:eastAsia="宋体" w:cs="Times New Roman"/>
    </w:rPr>
  </w:style>
  <w:style w:type="character" w:customStyle="1" w:styleId="251">
    <w:name w:val="font21"/>
    <w:qFormat/>
    <w:uiPriority w:val="0"/>
    <w:rPr>
      <w:rFonts w:hint="default" w:ascii="Arial" w:hAnsi="Arial" w:cs="Arial"/>
      <w:color w:val="000000"/>
      <w:sz w:val="18"/>
      <w:szCs w:val="18"/>
      <w:u w:val="none"/>
    </w:rPr>
  </w:style>
  <w:style w:type="character" w:customStyle="1" w:styleId="252">
    <w:name w:val="_Style 8"/>
    <w:qFormat/>
    <w:uiPriority w:val="32"/>
    <w:rPr>
      <w:b/>
      <w:bCs/>
      <w:smallCaps/>
      <w:color w:val="C0504D"/>
      <w:spacing w:val="5"/>
      <w:u w:val="single"/>
    </w:rPr>
  </w:style>
  <w:style w:type="character" w:customStyle="1" w:styleId="253">
    <w:name w:val="l-btn-icon-left"/>
    <w:basedOn w:val="45"/>
    <w:qFormat/>
    <w:uiPriority w:val="0"/>
  </w:style>
  <w:style w:type="character" w:customStyle="1" w:styleId="254">
    <w:name w:val="l-btn-icon-left1"/>
    <w:basedOn w:val="45"/>
    <w:qFormat/>
    <w:uiPriority w:val="0"/>
  </w:style>
  <w:style w:type="character" w:customStyle="1" w:styleId="255">
    <w:name w:val="l-btn-empty"/>
    <w:basedOn w:val="45"/>
    <w:qFormat/>
    <w:uiPriority w:val="0"/>
  </w:style>
  <w:style w:type="character" w:customStyle="1" w:styleId="256">
    <w:name w:val="l-btn-icon-right"/>
    <w:basedOn w:val="45"/>
    <w:qFormat/>
    <w:uiPriority w:val="0"/>
  </w:style>
  <w:style w:type="character" w:customStyle="1" w:styleId="257">
    <w:name w:val="l-btn-left2"/>
    <w:basedOn w:val="45"/>
    <w:qFormat/>
    <w:uiPriority w:val="0"/>
  </w:style>
  <w:style w:type="character" w:customStyle="1" w:styleId="258">
    <w:name w:val="l-btn-left3"/>
    <w:basedOn w:val="45"/>
    <w:qFormat/>
    <w:uiPriority w:val="0"/>
  </w:style>
  <w:style w:type="character" w:customStyle="1" w:styleId="259">
    <w:name w:val="l-btn-left4"/>
    <w:basedOn w:val="45"/>
    <w:qFormat/>
    <w:uiPriority w:val="0"/>
  </w:style>
  <w:style w:type="character" w:customStyle="1" w:styleId="260">
    <w:name w:val="l-btn-left5"/>
    <w:basedOn w:val="45"/>
    <w:qFormat/>
    <w:uiPriority w:val="0"/>
  </w:style>
  <w:style w:type="character" w:customStyle="1" w:styleId="261">
    <w:name w:val="l-btn-left6"/>
    <w:basedOn w:val="45"/>
    <w:qFormat/>
    <w:uiPriority w:val="0"/>
  </w:style>
  <w:style w:type="character" w:customStyle="1" w:styleId="262">
    <w:name w:val="l-btn-text"/>
    <w:basedOn w:val="45"/>
    <w:qFormat/>
    <w:uiPriority w:val="0"/>
    <w:rPr>
      <w:vertAlign w:val="baseline"/>
    </w:rPr>
  </w:style>
  <w:style w:type="character" w:customStyle="1" w:styleId="263">
    <w:name w:val="l-btn-text1"/>
    <w:basedOn w:val="45"/>
    <w:qFormat/>
    <w:uiPriority w:val="0"/>
    <w:rPr>
      <w:vertAlign w:val="baseline"/>
    </w:rPr>
  </w:style>
  <w:style w:type="character" w:customStyle="1" w:styleId="264">
    <w:name w:val="ajaxtitle"/>
    <w:basedOn w:val="45"/>
    <w:qFormat/>
    <w:uiPriority w:val="0"/>
  </w:style>
  <w:style w:type="character" w:customStyle="1" w:styleId="265">
    <w:name w:val="json_key"/>
    <w:basedOn w:val="45"/>
    <w:qFormat/>
    <w:uiPriority w:val="0"/>
  </w:style>
  <w:style w:type="character" w:customStyle="1" w:styleId="266">
    <w:name w:val="json_string"/>
    <w:basedOn w:val="45"/>
    <w:qFormat/>
    <w:uiPriority w:val="0"/>
  </w:style>
  <w:style w:type="character" w:customStyle="1" w:styleId="267">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8">
    <w:name w:val="标题 3 Char1"/>
    <w:basedOn w:val="45"/>
    <w:semiHidden/>
    <w:qFormat/>
    <w:uiPriority w:val="99"/>
    <w:rPr>
      <w:rFonts w:hint="default" w:ascii="Calibri" w:hAnsi="Calibri"/>
      <w:b/>
      <w:bCs/>
      <w:kern w:val="2"/>
      <w:sz w:val="32"/>
      <w:szCs w:val="32"/>
    </w:rPr>
  </w:style>
  <w:style w:type="character" w:customStyle="1" w:styleId="269">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70">
    <w:name w:val="正文文本缩进 2 Char1"/>
    <w:basedOn w:val="45"/>
    <w:semiHidden/>
    <w:qFormat/>
    <w:uiPriority w:val="99"/>
    <w:rPr>
      <w:rFonts w:hint="default" w:ascii="Calibri" w:hAnsi="Calibri" w:cs="Calibri"/>
      <w:kern w:val="2"/>
      <w:sz w:val="21"/>
      <w:szCs w:val="22"/>
    </w:rPr>
  </w:style>
  <w:style w:type="character" w:customStyle="1" w:styleId="271">
    <w:name w:val="正文文本缩进 Char1"/>
    <w:basedOn w:val="45"/>
    <w:semiHidden/>
    <w:qFormat/>
    <w:uiPriority w:val="99"/>
    <w:rPr>
      <w:rFonts w:hint="default" w:ascii="Calibri" w:hAnsi="Calibri" w:cs="Calibri"/>
      <w:kern w:val="2"/>
      <w:sz w:val="21"/>
      <w:szCs w:val="22"/>
    </w:rPr>
  </w:style>
  <w:style w:type="character" w:customStyle="1" w:styleId="272">
    <w:name w:val="正文文本 3 Char1"/>
    <w:basedOn w:val="45"/>
    <w:semiHidden/>
    <w:qFormat/>
    <w:uiPriority w:val="99"/>
    <w:rPr>
      <w:rFonts w:hint="default" w:ascii="Calibri" w:hAnsi="Calibri" w:cs="Calibri"/>
      <w:kern w:val="2"/>
      <w:sz w:val="16"/>
      <w:szCs w:val="16"/>
    </w:rPr>
  </w:style>
  <w:style w:type="character" w:customStyle="1" w:styleId="273">
    <w:name w:val="正文文本缩进 3 Char1"/>
    <w:basedOn w:val="45"/>
    <w:semiHidden/>
    <w:qFormat/>
    <w:uiPriority w:val="99"/>
    <w:rPr>
      <w:rFonts w:hint="default" w:ascii="Calibri" w:hAnsi="Calibri" w:cs="Calibri"/>
      <w:kern w:val="2"/>
      <w:sz w:val="16"/>
      <w:szCs w:val="16"/>
    </w:rPr>
  </w:style>
  <w:style w:type="character" w:customStyle="1" w:styleId="274">
    <w:name w:val="批注框文本 Char1"/>
    <w:basedOn w:val="45"/>
    <w:semiHidden/>
    <w:qFormat/>
    <w:uiPriority w:val="99"/>
    <w:rPr>
      <w:rFonts w:hint="default" w:ascii="Calibri" w:hAnsi="Calibri" w:cs="Calibri"/>
      <w:kern w:val="2"/>
      <w:sz w:val="18"/>
      <w:szCs w:val="18"/>
    </w:rPr>
  </w:style>
  <w:style w:type="character" w:customStyle="1" w:styleId="275">
    <w:name w:val="文档结构图 Char1"/>
    <w:basedOn w:val="45"/>
    <w:semiHidden/>
    <w:qFormat/>
    <w:uiPriority w:val="99"/>
    <w:rPr>
      <w:rFonts w:hint="eastAsia" w:ascii="宋体" w:hAnsi="Calibri" w:eastAsia="宋体"/>
      <w:kern w:val="2"/>
      <w:sz w:val="18"/>
      <w:szCs w:val="18"/>
    </w:rPr>
  </w:style>
  <w:style w:type="character" w:customStyle="1" w:styleId="276">
    <w:name w:val="页眉 Char1"/>
    <w:basedOn w:val="45"/>
    <w:semiHidden/>
    <w:qFormat/>
    <w:uiPriority w:val="99"/>
    <w:rPr>
      <w:rFonts w:hint="default" w:ascii="Calibri" w:hAnsi="Calibri" w:cs="Calibri"/>
      <w:kern w:val="2"/>
      <w:sz w:val="18"/>
      <w:szCs w:val="18"/>
    </w:rPr>
  </w:style>
  <w:style w:type="character" w:customStyle="1" w:styleId="277">
    <w:name w:val="日期 Char1"/>
    <w:basedOn w:val="45"/>
    <w:semiHidden/>
    <w:qFormat/>
    <w:uiPriority w:val="99"/>
    <w:rPr>
      <w:rFonts w:hint="default" w:ascii="Calibri" w:hAnsi="Calibri" w:cs="Calibri"/>
      <w:kern w:val="2"/>
      <w:sz w:val="21"/>
      <w:szCs w:val="22"/>
    </w:rPr>
  </w:style>
  <w:style w:type="character" w:customStyle="1" w:styleId="278">
    <w:name w:val="正文文本 Char3"/>
    <w:basedOn w:val="45"/>
    <w:qFormat/>
    <w:uiPriority w:val="99"/>
    <w:rPr>
      <w:rFonts w:hint="default" w:ascii="Calibri" w:hAnsi="Calibri" w:cs="Calibri"/>
      <w:kern w:val="2"/>
      <w:sz w:val="21"/>
      <w:szCs w:val="22"/>
    </w:rPr>
  </w:style>
  <w:style w:type="character" w:customStyle="1" w:styleId="279">
    <w:name w:val="纯文本 Char2"/>
    <w:basedOn w:val="45"/>
    <w:qFormat/>
    <w:uiPriority w:val="99"/>
    <w:rPr>
      <w:rFonts w:hint="eastAsia" w:ascii="宋体" w:hAnsi="Courier New" w:eastAsia="宋体" w:cs="Courier New"/>
      <w:kern w:val="2"/>
      <w:sz w:val="21"/>
      <w:szCs w:val="21"/>
    </w:rPr>
  </w:style>
  <w:style w:type="character" w:customStyle="1" w:styleId="280">
    <w:name w:val="正文首行缩进 Char1"/>
    <w:basedOn w:val="278"/>
    <w:semiHidden/>
    <w:qFormat/>
    <w:uiPriority w:val="99"/>
    <w:rPr>
      <w:rFonts w:hint="default" w:ascii="Calibri" w:hAnsi="Calibri" w:cs="Calibri"/>
      <w:kern w:val="2"/>
      <w:sz w:val="21"/>
      <w:szCs w:val="22"/>
    </w:rPr>
  </w:style>
  <w:style w:type="character" w:customStyle="1" w:styleId="281">
    <w:name w:val="正文文本 2 Char1"/>
    <w:basedOn w:val="45"/>
    <w:semiHidden/>
    <w:qFormat/>
    <w:uiPriority w:val="99"/>
    <w:rPr>
      <w:rFonts w:hint="default" w:ascii="Calibri" w:hAnsi="Calibri" w:cs="Calibri"/>
      <w:kern w:val="2"/>
      <w:sz w:val="21"/>
      <w:szCs w:val="22"/>
    </w:rPr>
  </w:style>
  <w:style w:type="character" w:customStyle="1" w:styleId="282">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3">
    <w:name w:val="font61"/>
    <w:qFormat/>
    <w:uiPriority w:val="0"/>
    <w:rPr>
      <w:rFonts w:hint="eastAsia" w:ascii="仿宋_GB2312" w:eastAsia="仿宋_GB2312" w:cs="仿宋_GB2312"/>
      <w:color w:val="000000"/>
      <w:sz w:val="24"/>
      <w:szCs w:val="24"/>
      <w:u w:val="none"/>
    </w:rPr>
  </w:style>
  <w:style w:type="character" w:customStyle="1" w:styleId="284">
    <w:name w:val="font31"/>
    <w:qFormat/>
    <w:uiPriority w:val="0"/>
    <w:rPr>
      <w:rFonts w:hint="eastAsia" w:ascii="宋体" w:hAnsi="宋体" w:eastAsia="宋体" w:cs="宋体"/>
      <w:color w:val="FF0000"/>
      <w:sz w:val="24"/>
      <w:szCs w:val="24"/>
      <w:u w:val="none"/>
    </w:rPr>
  </w:style>
  <w:style w:type="character" w:customStyle="1" w:styleId="285">
    <w:name w:val="font221"/>
    <w:qFormat/>
    <w:uiPriority w:val="0"/>
    <w:rPr>
      <w:rFonts w:hint="eastAsia" w:ascii="宋体" w:hAnsi="宋体" w:eastAsia="宋体" w:cs="宋体"/>
      <w:color w:val="000000"/>
      <w:sz w:val="24"/>
      <w:szCs w:val="24"/>
      <w:u w:val="none"/>
    </w:rPr>
  </w:style>
  <w:style w:type="character" w:customStyle="1" w:styleId="286">
    <w:name w:val="font121"/>
    <w:basedOn w:val="45"/>
    <w:qFormat/>
    <w:uiPriority w:val="0"/>
    <w:rPr>
      <w:rFonts w:hint="eastAsia" w:ascii="宋体" w:hAnsi="宋体" w:eastAsia="宋体" w:cs="宋体"/>
      <w:color w:val="000000"/>
      <w:sz w:val="22"/>
      <w:szCs w:val="22"/>
      <w:u w:val="none"/>
    </w:rPr>
  </w:style>
  <w:style w:type="character" w:customStyle="1" w:styleId="287">
    <w:name w:val="font41"/>
    <w:basedOn w:val="45"/>
    <w:qFormat/>
    <w:uiPriority w:val="0"/>
    <w:rPr>
      <w:rFonts w:hint="eastAsia" w:ascii="宋体" w:hAnsi="宋体" w:eastAsia="宋体" w:cs="宋体"/>
      <w:b/>
      <w:color w:val="000000"/>
      <w:sz w:val="22"/>
      <w:szCs w:val="22"/>
      <w:u w:val="none"/>
    </w:rPr>
  </w:style>
  <w:style w:type="character" w:customStyle="1" w:styleId="288">
    <w:name w:val="font71"/>
    <w:basedOn w:val="45"/>
    <w:qFormat/>
    <w:uiPriority w:val="0"/>
    <w:rPr>
      <w:rFonts w:hint="eastAsia" w:ascii="宋体" w:hAnsi="宋体" w:eastAsia="宋体" w:cs="宋体"/>
      <w:color w:val="0D0D0D"/>
      <w:sz w:val="22"/>
      <w:szCs w:val="22"/>
      <w:u w:val="none"/>
    </w:rPr>
  </w:style>
  <w:style w:type="character" w:customStyle="1" w:styleId="289">
    <w:name w:val="qowt-font2"/>
    <w:basedOn w:val="45"/>
    <w:qFormat/>
    <w:uiPriority w:val="0"/>
  </w:style>
  <w:style w:type="character" w:customStyle="1" w:styleId="290">
    <w:name w:val="font91"/>
    <w:qFormat/>
    <w:uiPriority w:val="0"/>
    <w:rPr>
      <w:rFonts w:hint="eastAsia" w:ascii="宋体" w:hAnsi="宋体" w:eastAsia="宋体" w:cs="宋体"/>
      <w:color w:val="000000"/>
      <w:sz w:val="20"/>
      <w:szCs w:val="20"/>
      <w:u w:val="none"/>
      <w:vertAlign w:val="superscript"/>
    </w:rPr>
  </w:style>
  <w:style w:type="table" w:customStyle="1" w:styleId="291">
    <w:name w:val="网格型2"/>
    <w:basedOn w:val="43"/>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2">
    <w:name w:val="标题 1 字符1"/>
    <w:basedOn w:val="45"/>
    <w:qFormat/>
    <w:uiPriority w:val="0"/>
    <w:rPr>
      <w:rFonts w:eastAsia="宋体" w:cs="Times New Roman"/>
      <w:b/>
      <w:bCs/>
      <w:kern w:val="44"/>
      <w:sz w:val="44"/>
      <w:szCs w:val="44"/>
    </w:rPr>
  </w:style>
  <w:style w:type="character" w:customStyle="1" w:styleId="293">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294">
    <w:name w:val="标题 3 字符1"/>
    <w:basedOn w:val="45"/>
    <w:semiHidden/>
    <w:qFormat/>
    <w:uiPriority w:val="9"/>
    <w:rPr>
      <w:rFonts w:eastAsia="宋体" w:cs="Times New Roman"/>
      <w:b/>
      <w:bCs/>
      <w:kern w:val="2"/>
      <w:sz w:val="32"/>
      <w:szCs w:val="32"/>
    </w:rPr>
  </w:style>
  <w:style w:type="character" w:customStyle="1" w:styleId="295">
    <w:name w:val="批注文字 Char"/>
    <w:basedOn w:val="45"/>
    <w:qFormat/>
    <w:uiPriority w:val="99"/>
    <w:rPr>
      <w:rFonts w:ascii="Calibri" w:hAnsi="Calibri" w:eastAsia="宋体" w:cs="Times New Roman"/>
    </w:rPr>
  </w:style>
  <w:style w:type="paragraph" w:customStyle="1" w:styleId="296">
    <w:name w:val="修订4"/>
    <w:semiHidden/>
    <w:qFormat/>
    <w:uiPriority w:val="99"/>
    <w:rPr>
      <w:rFonts w:ascii="Calibri" w:hAnsi="Calibri" w:eastAsia="宋体" w:cs="Times New Roman"/>
      <w:kern w:val="2"/>
      <w:sz w:val="21"/>
      <w:szCs w:val="22"/>
      <w:lang w:val="en-US" w:eastAsia="zh-CN" w:bidi="ar-SA"/>
    </w:rPr>
  </w:style>
  <w:style w:type="paragraph" w:customStyle="1" w:styleId="297">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8">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99">
    <w:name w:val="p121"/>
    <w:qFormat/>
    <w:uiPriority w:val="0"/>
    <w:rPr>
      <w:sz w:val="24"/>
    </w:rPr>
  </w:style>
  <w:style w:type="paragraph" w:customStyle="1" w:styleId="300">
    <w:name w:val="列表段落1"/>
    <w:basedOn w:val="1"/>
    <w:qFormat/>
    <w:uiPriority w:val="99"/>
    <w:pPr>
      <w:ind w:firstLine="420" w:firstLineChars="200"/>
    </w:pPr>
    <w:rPr>
      <w:rFonts w:ascii="宋体" w:hAnsi="宋体" w:cs="宋体"/>
      <w:sz w:val="28"/>
      <w:szCs w:val="28"/>
    </w:rPr>
  </w:style>
  <w:style w:type="character" w:customStyle="1" w:styleId="301">
    <w:name w:val="AnnotationReference"/>
    <w:qFormat/>
    <w:uiPriority w:val="0"/>
    <w:rPr>
      <w:sz w:val="21"/>
      <w:szCs w:val="21"/>
    </w:rPr>
  </w:style>
  <w:style w:type="paragraph" w:customStyle="1" w:styleId="302">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3">
    <w:name w:val="Heading3"/>
    <w:basedOn w:val="1"/>
    <w:next w:val="1"/>
    <w:link w:val="304"/>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4">
    <w:name w:val="UserStyle_4"/>
    <w:link w:val="303"/>
    <w:qFormat/>
    <w:uiPriority w:val="0"/>
    <w:rPr>
      <w:rFonts w:ascii="宋体" w:hAnsi="宋体" w:eastAsia="宋体" w:cs="宋体"/>
      <w:b/>
      <w:bCs/>
      <w:kern w:val="0"/>
      <w:sz w:val="27"/>
      <w:szCs w:val="27"/>
    </w:rPr>
  </w:style>
  <w:style w:type="paragraph" w:customStyle="1" w:styleId="305">
    <w:name w:val="_Style 48"/>
    <w:basedOn w:val="1"/>
    <w:qFormat/>
    <w:uiPriority w:val="0"/>
    <w:pPr>
      <w:ind w:firstLine="420" w:firstLineChars="200"/>
    </w:pPr>
    <w:rPr>
      <w:rFonts w:ascii="宋体" w:hAnsi="宋体" w:cs="宋体"/>
      <w:sz w:val="28"/>
      <w:szCs w:val="28"/>
    </w:rPr>
  </w:style>
  <w:style w:type="character" w:customStyle="1" w:styleId="306">
    <w:name w:val="font101"/>
    <w:basedOn w:val="45"/>
    <w:qFormat/>
    <w:uiPriority w:val="0"/>
    <w:rPr>
      <w:rFonts w:hint="eastAsia" w:ascii="宋体" w:hAnsi="宋体" w:eastAsia="宋体" w:cs="宋体"/>
      <w:color w:val="FF0000"/>
      <w:sz w:val="18"/>
      <w:szCs w:val="18"/>
      <w:u w:val="none"/>
    </w:rPr>
  </w:style>
  <w:style w:type="character" w:customStyle="1" w:styleId="307">
    <w:name w:val="font51"/>
    <w:basedOn w:val="45"/>
    <w:qFormat/>
    <w:uiPriority w:val="0"/>
    <w:rPr>
      <w:rFonts w:ascii="Calibri" w:hAnsi="Calibri" w:cs="Calibri"/>
      <w:color w:val="000000"/>
      <w:sz w:val="21"/>
      <w:szCs w:val="21"/>
      <w:u w:val="none"/>
    </w:rPr>
  </w:style>
  <w:style w:type="paragraph" w:customStyle="1" w:styleId="308">
    <w:name w:val="Table Paragraph"/>
    <w:basedOn w:val="1"/>
    <w:qFormat/>
    <w:uiPriority w:val="1"/>
    <w:pPr>
      <w:ind w:firstLine="560" w:firstLineChars="200"/>
    </w:pPr>
    <w:rPr>
      <w:rFonts w:ascii="宋体" w:hAnsi="宋体" w:cs="宋体"/>
      <w:sz w:val="28"/>
      <w:szCs w:val="28"/>
      <w:lang w:val="zh-CN" w:bidi="zh-CN"/>
    </w:rPr>
  </w:style>
  <w:style w:type="character" w:customStyle="1" w:styleId="309">
    <w:name w:val="表格文字 字符"/>
    <w:basedOn w:val="45"/>
    <w:link w:val="97"/>
    <w:qFormat/>
    <w:uiPriority w:val="0"/>
    <w:rPr>
      <w:rFonts w:ascii="Times New (W1)" w:hAnsi="Times New (W1)" w:eastAsia="宋体" w:cs="Times New Roman"/>
      <w:spacing w:val="10"/>
      <w:szCs w:val="24"/>
    </w:rPr>
  </w:style>
  <w:style w:type="paragraph" w:customStyle="1" w:styleId="310">
    <w:name w:val="_Style 1"/>
    <w:basedOn w:val="1"/>
    <w:qFormat/>
    <w:uiPriority w:val="0"/>
    <w:pPr>
      <w:adjustRightInd w:val="0"/>
      <w:spacing w:line="360" w:lineRule="auto"/>
    </w:pPr>
    <w:rPr>
      <w:rFonts w:ascii="Times New Roman" w:hAnsi="Times New Roman"/>
      <w:szCs w:val="20"/>
    </w:rPr>
  </w:style>
  <w:style w:type="character" w:customStyle="1" w:styleId="311">
    <w:name w:val="列出段落 字符"/>
    <w:link w:val="152"/>
    <w:qFormat/>
    <w:locked/>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A9C852-992D-4A78-A1AE-0659D1106263}">
  <ds:schemaRefs/>
</ds:datastoreItem>
</file>

<file path=docProps/app.xml><?xml version="1.0" encoding="utf-8"?>
<Properties xmlns="http://schemas.openxmlformats.org/officeDocument/2006/extended-properties" xmlns:vt="http://schemas.openxmlformats.org/officeDocument/2006/docPropsVTypes">
  <Template>Normal</Template>
  <Pages>1</Pages>
  <Words>4732</Words>
  <Characters>26977</Characters>
  <Lines>224</Lines>
  <Paragraphs>63</Paragraphs>
  <TotalTime>0</TotalTime>
  <ScaleCrop>false</ScaleCrop>
  <LinksUpToDate>false</LinksUpToDate>
  <CharactersWithSpaces>31646</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2021-08-30T03:26:00Z</dcterms:created>
  <dc:creator>高文豪</dc:creator>
  <cp:lastModifiedBy>LI</cp:lastModifiedBy>
  <cp:lastPrinted>2022-01-17T05:50:27Z</cp:lastPrinted>
  <dcterms:modified xsi:type="dcterms:W3CDTF">2022-01-18T03:27:34Z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2052-11.8.2.8621</vt:lpwstr>
  </property>
  <property fmtid="{D5CDD505-2E9C-101B-9397-08002B2CF9AE}" pid="4" name="ICV">
    <vt:lpwstr>69E6670963444FBF82409A3DD729A515</vt:lpwstr>
  </property>
</Properties>
</file>