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18"/>
        <w:rPr>
          <w:rFonts w:ascii="华文中宋" w:hAnsi="华文中宋" w:eastAsia="华文中宋"/>
        </w:rPr>
      </w:pPr>
    </w:p>
    <w:p>
      <w:pPr>
        <w:spacing w:line="360" w:lineRule="auto"/>
        <w:jc w:val="center"/>
        <w:rPr>
          <w:rFonts w:ascii="华文中宋" w:hAnsi="华文中宋" w:eastAsia="华文中宋"/>
          <w:spacing w:val="-20"/>
          <w:sz w:val="120"/>
          <w:szCs w:val="120"/>
        </w:rPr>
      </w:pPr>
      <w:r>
        <w:rPr>
          <w:rFonts w:hint="eastAsia" w:ascii="华文中宋" w:hAnsi="华文中宋" w:eastAsia="华文中宋"/>
          <w:spacing w:val="-20"/>
          <w:sz w:val="120"/>
          <w:szCs w:val="120"/>
        </w:rPr>
        <w:t>询价通知书</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rPr>
      </w:pPr>
      <w:r>
        <w:rPr>
          <w:rFonts w:hint="eastAsia" w:ascii="华文中宋" w:hAnsi="华文中宋" w:eastAsia="华文中宋"/>
          <w:sz w:val="32"/>
          <w:szCs w:val="32"/>
        </w:rPr>
        <w:t>项目名称：彭州市禁毒办禁毒治理平台及视频会议系统设备采购项目</w:t>
      </w:r>
    </w:p>
    <w:p>
      <w:pPr>
        <w:spacing w:line="360" w:lineRule="auto"/>
        <w:ind w:left="2223" w:leftChars="336" w:hanging="1417" w:hangingChars="443"/>
        <w:rPr>
          <w:rFonts w:hint="eastAsia" w:ascii="华文中宋" w:hAnsi="华文中宋" w:eastAsia="华文中宋"/>
          <w:sz w:val="32"/>
          <w:szCs w:val="32"/>
        </w:rPr>
      </w:pPr>
      <w:r>
        <w:rPr>
          <w:rFonts w:hint="eastAsia" w:ascii="华文中宋" w:hAnsi="华文中宋" w:eastAsia="华文中宋"/>
          <w:sz w:val="32"/>
          <w:szCs w:val="32"/>
        </w:rPr>
        <w:t>项目编号: 彭州市政采（2021）A0011号-1</w:t>
      </w:r>
    </w:p>
    <w:p>
      <w:pPr>
        <w:spacing w:line="360" w:lineRule="auto"/>
        <w:ind w:left="2223" w:leftChars="336" w:hanging="1417" w:hangingChars="443"/>
        <w:rPr>
          <w:rFonts w:ascii="华文中宋" w:hAnsi="华文中宋" w:eastAsia="华文中宋"/>
          <w:sz w:val="32"/>
          <w:szCs w:val="32"/>
        </w:rPr>
      </w:pP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彭州市公安局</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九</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_Toc4692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询价邀请</w:t>
      </w:r>
      <w:r>
        <w:tab/>
      </w:r>
      <w:r>
        <w:fldChar w:fldCharType="begin"/>
      </w:r>
      <w:r>
        <w:instrText xml:space="preserve"> PAGEREF _Toc4692 \h </w:instrText>
      </w:r>
      <w:r>
        <w:fldChar w:fldCharType="separate"/>
      </w:r>
      <w:r>
        <w:t>4</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_Toc22823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_Toc22823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_Toc1273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_Toc1273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_Toc9103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_Toc9103 \h </w:instrText>
      </w:r>
      <w:r>
        <w:fldChar w:fldCharType="separate"/>
      </w:r>
      <w:r>
        <w:t>11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_Toc14554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询价通知书</w:t>
      </w:r>
      <w:r>
        <w:tab/>
      </w:r>
      <w:r>
        <w:fldChar w:fldCharType="begin"/>
      </w:r>
      <w:r>
        <w:instrText xml:space="preserve"> PAGEREF _Toc14554 \h </w:instrText>
      </w:r>
      <w:r>
        <w:fldChar w:fldCharType="separate"/>
      </w:r>
      <w:r>
        <w:t>12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_Toc24646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_Toc24646 \h </w:instrText>
      </w:r>
      <w:r>
        <w:fldChar w:fldCharType="separate"/>
      </w:r>
      <w:r>
        <w:t>14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_Toc17612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_Toc17612 \h </w:instrText>
      </w:r>
      <w:r>
        <w:fldChar w:fldCharType="separate"/>
      </w:r>
      <w:r>
        <w:t>20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_Toc5323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t>成交通知书</w:t>
      </w:r>
      <w:r>
        <w:tab/>
      </w:r>
      <w:r>
        <w:fldChar w:fldCharType="begin"/>
      </w:r>
      <w:r>
        <w:instrText xml:space="preserve"> PAGEREF _Toc5323 \h </w:instrText>
      </w:r>
      <w:r>
        <w:fldChar w:fldCharType="separate"/>
      </w:r>
      <w:r>
        <w:t>21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_Toc16975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rPr>
          <w:rFonts w:hint="eastAsia"/>
        </w:rPr>
        <w:t>签订及履行合同和验收</w:t>
      </w:r>
      <w:r>
        <w:tab/>
      </w:r>
      <w:r>
        <w:fldChar w:fldCharType="begin"/>
      </w:r>
      <w:r>
        <w:instrText xml:space="preserve"> PAGEREF _Toc16975 \h </w:instrText>
      </w:r>
      <w:r>
        <w:fldChar w:fldCharType="separate"/>
      </w:r>
      <w:r>
        <w:t>22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_Toc24240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询价</w:t>
      </w:r>
      <w:r>
        <w:t>采购</w:t>
      </w:r>
      <w:r>
        <w:rPr>
          <w:rFonts w:hint="eastAsia"/>
        </w:rPr>
        <w:t>工作纪律及要求</w:t>
      </w:r>
      <w:r>
        <w:tab/>
      </w:r>
      <w:r>
        <w:fldChar w:fldCharType="begin"/>
      </w:r>
      <w:r>
        <w:instrText xml:space="preserve"> PAGEREF _Toc24240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_Toc25201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询问、质疑和投诉</w:t>
      </w:r>
      <w:r>
        <w:tab/>
      </w:r>
      <w:r>
        <w:fldChar w:fldCharType="begin"/>
      </w:r>
      <w:r>
        <w:instrText xml:space="preserve"> PAGEREF _Toc25201 \h </w:instrText>
      </w:r>
      <w:r>
        <w:fldChar w:fldCharType="separate"/>
      </w:r>
      <w:r>
        <w:t>26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_Toc13679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中小企业政府采购信用融资</w:t>
      </w:r>
      <w:r>
        <w:tab/>
      </w:r>
      <w:r>
        <w:fldChar w:fldCharType="begin"/>
      </w:r>
      <w:r>
        <w:instrText xml:space="preserve"> PAGEREF _Toc13679 \h </w:instrText>
      </w:r>
      <w:r>
        <w:fldChar w:fldCharType="separate"/>
      </w:r>
      <w:r>
        <w:t>27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_Toc9959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_Toc9959 \h </w:instrText>
      </w:r>
      <w:r>
        <w:fldChar w:fldCharType="separate"/>
      </w:r>
      <w:r>
        <w:t>29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_Toc17307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响应文件格式</w:t>
      </w:r>
      <w:r>
        <w:tab/>
      </w:r>
      <w:r>
        <w:fldChar w:fldCharType="begin"/>
      </w:r>
      <w:r>
        <w:instrText xml:space="preserve"> PAGEREF _Toc17307 \h </w:instrText>
      </w:r>
      <w:r>
        <w:fldChar w:fldCharType="separate"/>
      </w:r>
      <w:r>
        <w:t>29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_Toc18650 </w:instrText>
      </w:r>
      <w:r>
        <w:rPr>
          <w:rFonts w:ascii="宋体" w:hAnsi="宋体"/>
          <w:bCs w:val="0"/>
          <w:szCs w:val="36"/>
        </w:rPr>
        <w:fldChar w:fldCharType="separate"/>
      </w:r>
      <w:r>
        <w:rPr>
          <w:rFonts w:hint="eastAsia" w:ascii="宋体" w:hAnsi="宋体" w:cs="宋体"/>
        </w:rPr>
        <w:t>监狱企业生产的产品</w:t>
      </w:r>
      <w:r>
        <w:rPr>
          <w:rFonts w:hint="eastAsia" w:ascii="宋体" w:hAnsi="宋体"/>
        </w:rPr>
        <w:t>总价合计：</w:t>
      </w:r>
      <w:r>
        <w:rPr>
          <w:rFonts w:ascii="宋体" w:hAnsi="宋体"/>
        </w:rPr>
        <w:t>XXXXXXXXXXXXX</w:t>
      </w:r>
      <w:r>
        <w:rPr>
          <w:rFonts w:hint="eastAsia" w:ascii="宋体" w:hAnsi="宋体"/>
        </w:rPr>
        <w:t>元</w:t>
      </w:r>
      <w:r>
        <w:tab/>
      </w:r>
      <w:r>
        <w:fldChar w:fldCharType="begin"/>
      </w:r>
      <w:r>
        <w:instrText xml:space="preserve"> PAGEREF _Toc18650 \h </w:instrText>
      </w:r>
      <w:r>
        <w:fldChar w:fldCharType="separate"/>
      </w:r>
      <w:r>
        <w:t>42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_Toc23288 </w:instrText>
      </w:r>
      <w:r>
        <w:rPr>
          <w:rFonts w:ascii="宋体" w:hAnsi="宋体"/>
          <w:bCs w:val="0"/>
          <w:szCs w:val="36"/>
        </w:rPr>
        <w:fldChar w:fldCharType="separate"/>
      </w:r>
      <w:r>
        <w:rPr>
          <w:rFonts w:hint="eastAsia" w:ascii="宋体" w:hAnsi="宋体" w:cs="宋体"/>
        </w:rPr>
        <w:t>残疾人福利性单位生产的产品总价合计</w:t>
      </w:r>
      <w:r>
        <w:rPr>
          <w:rFonts w:hint="eastAsia" w:ascii="宋体" w:hAnsi="宋体"/>
        </w:rPr>
        <w:t>：</w:t>
      </w:r>
      <w:r>
        <w:rPr>
          <w:rFonts w:ascii="宋体" w:hAnsi="宋体"/>
        </w:rPr>
        <w:t>XXXXXXXXXXXXX</w:t>
      </w:r>
      <w:r>
        <w:rPr>
          <w:rFonts w:hint="eastAsia" w:ascii="宋体" w:hAnsi="宋体"/>
        </w:rPr>
        <w:t>元</w:t>
      </w:r>
      <w:r>
        <w:tab/>
      </w:r>
      <w:r>
        <w:fldChar w:fldCharType="begin"/>
      </w:r>
      <w:r>
        <w:instrText xml:space="preserve"> PAGEREF _Toc23288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_Toc25405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_Toc25405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_Toc25090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项目概况</w:t>
      </w:r>
      <w:r>
        <w:tab/>
      </w:r>
      <w:r>
        <w:fldChar w:fldCharType="begin"/>
      </w:r>
      <w:r>
        <w:instrText xml:space="preserve"> PAGEREF _Toc25090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_Toc25763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技术参数</w:t>
      </w:r>
      <w:r>
        <w:t>及要求</w:t>
      </w:r>
      <w:r>
        <w:tab/>
      </w:r>
      <w:r>
        <w:fldChar w:fldCharType="begin"/>
      </w:r>
      <w:r>
        <w:instrText xml:space="preserve"> PAGEREF _Toc25763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_Toc20195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rPr>
        <w:t>核</w:t>
      </w:r>
      <w:r>
        <w:rPr>
          <w:rFonts w:hint="eastAsia"/>
          <w:bCs/>
        </w:rPr>
        <w:t>心产品</w:t>
      </w:r>
      <w:r>
        <w:tab/>
      </w:r>
      <w:r>
        <w:fldChar w:fldCharType="begin"/>
      </w:r>
      <w:r>
        <w:instrText xml:space="preserve"> PAGEREF _Toc20195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_Toc11499 </w:instrText>
      </w:r>
      <w:r>
        <w:rPr>
          <w:rFonts w:ascii="宋体" w:hAnsi="宋体"/>
          <w:bCs w:val="0"/>
          <w:szCs w:val="36"/>
        </w:rPr>
        <w:fldChar w:fldCharType="separate"/>
      </w:r>
      <w:r>
        <w:rPr>
          <w:rFonts w:hint="default" w:ascii="Times New Roman" w:hAnsi="Times New Roman" w:eastAsia="宋体" w:cs="Times New Roman"/>
          <w:bCs/>
          <w:i w:val="0"/>
          <w:szCs w:val="28"/>
        </w:rPr>
        <w:t xml:space="preserve">4.4 </w:t>
      </w:r>
      <w:r>
        <w:rPr>
          <w:rFonts w:hint="eastAsia"/>
          <w:bCs/>
          <w:lang w:eastAsia="zh-CN"/>
        </w:rPr>
        <w:t>项目需求</w:t>
      </w:r>
      <w:r>
        <w:tab/>
      </w:r>
      <w:r>
        <w:fldChar w:fldCharType="begin"/>
      </w:r>
      <w:r>
        <w:instrText xml:space="preserve"> PAGEREF _Toc11499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_Toc8941 </w:instrText>
      </w:r>
      <w:r>
        <w:rPr>
          <w:rFonts w:ascii="宋体" w:hAnsi="宋体"/>
          <w:bCs w:val="0"/>
          <w:szCs w:val="36"/>
        </w:rPr>
        <w:fldChar w:fldCharType="separate"/>
      </w:r>
      <w:r>
        <w:rPr>
          <w:rFonts w:hint="default" w:ascii="Times New Roman" w:hAnsi="Times New Roman" w:eastAsia="宋体" w:cs="Times New Roman"/>
          <w:bCs/>
          <w:i w:val="0"/>
          <w:szCs w:val="28"/>
          <w:lang w:eastAsia="zh-CN"/>
        </w:rPr>
        <w:t xml:space="preserve">4.5 </w:t>
      </w:r>
      <w:r>
        <w:rPr>
          <w:rFonts w:hint="eastAsia"/>
          <w:bCs/>
          <w:lang w:eastAsia="zh-CN"/>
        </w:rPr>
        <w:t>商务条款</w:t>
      </w:r>
      <w:r>
        <w:tab/>
      </w:r>
      <w:r>
        <w:fldChar w:fldCharType="begin"/>
      </w:r>
      <w:r>
        <w:instrText xml:space="preserve"> PAGEREF _Toc8941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_Toc7494 </w:instrText>
      </w:r>
      <w:r>
        <w:rPr>
          <w:rFonts w:ascii="宋体" w:hAnsi="宋体"/>
          <w:bCs w:val="0"/>
          <w:szCs w:val="36"/>
        </w:rPr>
        <w:fldChar w:fldCharType="separate"/>
      </w:r>
      <w:r>
        <w:rPr>
          <w:rFonts w:hint="default" w:ascii="Times New Roman" w:hAnsi="Times New Roman" w:eastAsia="宋体" w:cs="Times New Roman"/>
          <w:i w:val="0"/>
          <w:szCs w:val="28"/>
        </w:rPr>
        <w:t xml:space="preserve">4.6 </w:t>
      </w:r>
      <w:r>
        <w:rPr>
          <w:rFonts w:hint="eastAsia"/>
          <w:szCs w:val="32"/>
        </w:rPr>
        <w:t>采购标的其他技术、服务等要求</w:t>
      </w:r>
      <w:r>
        <w:tab/>
      </w:r>
      <w:r>
        <w:fldChar w:fldCharType="begin"/>
      </w:r>
      <w:r>
        <w:instrText xml:space="preserve"> PAGEREF _Toc7494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_Toc13074 </w:instrText>
      </w:r>
      <w:r>
        <w:rPr>
          <w:rFonts w:ascii="宋体" w:hAnsi="宋体"/>
          <w:bCs w:val="0"/>
          <w:szCs w:val="36"/>
        </w:rPr>
        <w:fldChar w:fldCharType="separate"/>
      </w:r>
      <w:r>
        <w:rPr>
          <w:rFonts w:hint="default" w:ascii="Times New Roman" w:hAnsi="Times New Roman" w:eastAsia="宋体" w:cs="Times New Roman"/>
          <w:i w:val="0"/>
          <w:szCs w:val="28"/>
        </w:rPr>
        <w:t xml:space="preserve">4.7 </w:t>
      </w:r>
      <w:r>
        <w:rPr>
          <w:rFonts w:hint="eastAsia"/>
          <w:szCs w:val="32"/>
        </w:rPr>
        <w:t>违约责任</w:t>
      </w:r>
      <w:r>
        <w:tab/>
      </w:r>
      <w:r>
        <w:fldChar w:fldCharType="begin"/>
      </w:r>
      <w:r>
        <w:instrText xml:space="preserve"> PAGEREF _Toc13074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_Toc21849 </w:instrText>
      </w:r>
      <w:r>
        <w:rPr>
          <w:rFonts w:ascii="宋体" w:hAnsi="宋体"/>
          <w:bCs w:val="0"/>
          <w:szCs w:val="36"/>
        </w:rPr>
        <w:fldChar w:fldCharType="separate"/>
      </w:r>
      <w:r>
        <w:rPr>
          <w:rFonts w:hint="default" w:ascii="Times New Roman" w:hAnsi="Times New Roman" w:eastAsia="宋体" w:cs="Times New Roman"/>
          <w:i w:val="0"/>
          <w:szCs w:val="28"/>
        </w:rPr>
        <w:t xml:space="preserve">4.8 </w:t>
      </w:r>
      <w:r>
        <w:rPr>
          <w:rFonts w:hint="eastAsia"/>
        </w:rPr>
        <w:t>报价要求</w:t>
      </w:r>
      <w:r>
        <w:tab/>
      </w:r>
      <w:r>
        <w:fldChar w:fldCharType="begin"/>
      </w:r>
      <w:r>
        <w:instrText xml:space="preserve"> PAGEREF _Toc21849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_Toc11506 </w:instrText>
      </w:r>
      <w:r>
        <w:rPr>
          <w:rFonts w:ascii="宋体" w:hAnsi="宋体"/>
          <w:bCs w:val="0"/>
          <w:szCs w:val="36"/>
        </w:rPr>
        <w:fldChar w:fldCharType="separate"/>
      </w:r>
      <w:r>
        <w:rPr>
          <w:rFonts w:hint="default" w:ascii="Times New Roman" w:hAnsi="Times New Roman" w:eastAsia="宋体" w:cs="Times New Roman"/>
          <w:i w:val="0"/>
          <w:szCs w:val="28"/>
        </w:rPr>
        <w:t xml:space="preserve">4.9 </w:t>
      </w:r>
      <w:r>
        <w:rPr>
          <w:rFonts w:hint="eastAsia"/>
        </w:rPr>
        <w:t>满足采购需求的最低要求</w:t>
      </w:r>
      <w:r>
        <w:tab/>
      </w:r>
      <w:r>
        <w:fldChar w:fldCharType="begin"/>
      </w:r>
      <w:r>
        <w:instrText xml:space="preserve"> PAGEREF _Toc11506 \h </w:instrText>
      </w:r>
      <w:r>
        <w:fldChar w:fldCharType="separate"/>
      </w:r>
      <w:r>
        <w:t>49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_Toc28302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询价办法</w:t>
      </w:r>
      <w:r>
        <w:tab/>
      </w:r>
      <w:r>
        <w:fldChar w:fldCharType="begin"/>
      </w:r>
      <w:r>
        <w:instrText xml:space="preserve"> PAGEREF _Toc28302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_Toc1394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_Toc1394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_Toc20178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询价</w:t>
      </w:r>
      <w:r>
        <w:t>采购活动</w:t>
      </w:r>
      <w:r>
        <w:rPr>
          <w:rFonts w:hint="eastAsia"/>
        </w:rPr>
        <w:t>程序</w:t>
      </w:r>
      <w:r>
        <w:tab/>
      </w:r>
      <w:r>
        <w:fldChar w:fldCharType="begin"/>
      </w:r>
      <w:r>
        <w:instrText xml:space="preserve"> PAGEREF _Toc20178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_Toc9468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递交响应文件</w:t>
      </w:r>
      <w:r>
        <w:tab/>
      </w:r>
      <w:r>
        <w:fldChar w:fldCharType="begin"/>
      </w:r>
      <w:r>
        <w:instrText xml:space="preserve"> PAGEREF _Toc9468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_Toc13902 </w:instrText>
      </w:r>
      <w:r>
        <w:rPr>
          <w:rFonts w:ascii="宋体" w:hAnsi="宋体"/>
          <w:bCs w:val="0"/>
          <w:szCs w:val="36"/>
        </w:rPr>
        <w:fldChar w:fldCharType="separate"/>
      </w:r>
      <w:r>
        <w:rPr>
          <w:rFonts w:hint="default" w:ascii="Times New Roman" w:hAnsi="Times New Roman" w:eastAsia="宋体" w:cs="Times New Roman"/>
          <w:i w:val="0"/>
        </w:rPr>
        <w:t xml:space="preserve">5.2.2 </w:t>
      </w:r>
      <w:r>
        <w:rPr>
          <w:rFonts w:hint="eastAsia"/>
          <w:highlight w:val="none"/>
        </w:rPr>
        <w:t>确定邀请参加询价</w:t>
      </w:r>
      <w:r>
        <w:rPr>
          <w:highlight w:val="none"/>
        </w:rPr>
        <w:t>采购活动</w:t>
      </w:r>
      <w:r>
        <w:rPr>
          <w:rFonts w:hint="eastAsia"/>
          <w:highlight w:val="none"/>
        </w:rPr>
        <w:t>的供应商数量</w:t>
      </w:r>
      <w:r>
        <w:tab/>
      </w:r>
      <w:r>
        <w:fldChar w:fldCharType="begin"/>
      </w:r>
      <w:r>
        <w:instrText xml:space="preserve"> PAGEREF _Toc13902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_Toc1755 </w:instrText>
      </w:r>
      <w:r>
        <w:rPr>
          <w:rFonts w:ascii="宋体" w:hAnsi="宋体"/>
          <w:bCs w:val="0"/>
          <w:szCs w:val="36"/>
        </w:rPr>
        <w:fldChar w:fldCharType="separate"/>
      </w:r>
      <w:r>
        <w:rPr>
          <w:rFonts w:hint="default" w:ascii="Times New Roman" w:hAnsi="Times New Roman" w:eastAsia="宋体" w:cs="Times New Roman"/>
          <w:i w:val="0"/>
        </w:rPr>
        <w:t xml:space="preserve">5.2.3 </w:t>
      </w:r>
      <w:r>
        <w:rPr>
          <w:rFonts w:hint="eastAsia"/>
        </w:rPr>
        <w:t>成立询价小组</w:t>
      </w:r>
      <w:r>
        <w:tab/>
      </w:r>
      <w:r>
        <w:fldChar w:fldCharType="begin"/>
      </w:r>
      <w:r>
        <w:instrText xml:space="preserve"> PAGEREF _Toc1755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_Toc2013 </w:instrText>
      </w:r>
      <w:r>
        <w:rPr>
          <w:rFonts w:ascii="宋体" w:hAnsi="宋体"/>
          <w:bCs w:val="0"/>
          <w:szCs w:val="36"/>
        </w:rPr>
        <w:fldChar w:fldCharType="separate"/>
      </w:r>
      <w:r>
        <w:rPr>
          <w:rFonts w:hint="default" w:ascii="Times New Roman" w:hAnsi="Times New Roman" w:eastAsia="宋体" w:cs="Times New Roman"/>
          <w:i w:val="0"/>
        </w:rPr>
        <w:t xml:space="preserve">5.2.4 </w:t>
      </w:r>
      <w:r>
        <w:rPr>
          <w:rFonts w:hint="eastAsia"/>
        </w:rPr>
        <w:t>资格审查</w:t>
      </w:r>
      <w:r>
        <w:tab/>
      </w:r>
      <w:r>
        <w:fldChar w:fldCharType="begin"/>
      </w:r>
      <w:r>
        <w:instrText xml:space="preserve"> PAGEREF _Toc2013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_Toc27723 </w:instrText>
      </w:r>
      <w:r>
        <w:rPr>
          <w:rFonts w:ascii="宋体" w:hAnsi="宋体"/>
          <w:bCs w:val="0"/>
          <w:szCs w:val="36"/>
        </w:rPr>
        <w:fldChar w:fldCharType="separate"/>
      </w:r>
      <w:r>
        <w:rPr>
          <w:rFonts w:hint="default" w:ascii="Times New Roman" w:hAnsi="Times New Roman" w:eastAsia="宋体" w:cs="Times New Roman"/>
          <w:i w:val="0"/>
        </w:rPr>
        <w:t xml:space="preserve">5.2.5 </w:t>
      </w:r>
      <w:r>
        <w:rPr>
          <w:rFonts w:hint="eastAsia"/>
        </w:rPr>
        <w:t>符合性审查</w:t>
      </w:r>
      <w:r>
        <w:tab/>
      </w:r>
      <w:r>
        <w:fldChar w:fldCharType="begin"/>
      </w:r>
      <w:r>
        <w:instrText xml:space="preserve"> PAGEREF _Toc27723 \h </w:instrText>
      </w:r>
      <w:r>
        <w:fldChar w:fldCharType="separate"/>
      </w:r>
      <w:r>
        <w:t>55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_Toc2642 </w:instrText>
      </w:r>
      <w:r>
        <w:rPr>
          <w:rFonts w:ascii="宋体" w:hAnsi="宋体"/>
          <w:bCs w:val="0"/>
          <w:szCs w:val="36"/>
        </w:rPr>
        <w:fldChar w:fldCharType="separate"/>
      </w:r>
      <w:r>
        <w:rPr>
          <w:rFonts w:hint="default" w:ascii="Times New Roman" w:hAnsi="Times New Roman" w:eastAsia="宋体" w:cs="Times New Roman"/>
          <w:i w:val="0"/>
        </w:rPr>
        <w:t xml:space="preserve">5.2.6 </w:t>
      </w:r>
      <w:r>
        <w:rPr>
          <w:rFonts w:hint="eastAsia"/>
        </w:rPr>
        <w:t>报价及</w:t>
      </w:r>
      <w:r>
        <w:t>报价</w:t>
      </w:r>
      <w:r>
        <w:rPr>
          <w:rFonts w:hint="eastAsia"/>
        </w:rPr>
        <w:t>审查</w:t>
      </w:r>
      <w:r>
        <w:tab/>
      </w:r>
      <w:r>
        <w:fldChar w:fldCharType="begin"/>
      </w:r>
      <w:r>
        <w:instrText xml:space="preserve"> PAGEREF _Toc2642 \h </w:instrText>
      </w:r>
      <w:r>
        <w:fldChar w:fldCharType="separate"/>
      </w:r>
      <w:r>
        <w:t>57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_Toc2359 </w:instrText>
      </w:r>
      <w:r>
        <w:rPr>
          <w:rFonts w:ascii="宋体" w:hAnsi="宋体"/>
          <w:bCs w:val="0"/>
          <w:szCs w:val="36"/>
        </w:rPr>
        <w:fldChar w:fldCharType="separate"/>
      </w:r>
      <w:r>
        <w:rPr>
          <w:rFonts w:hint="default" w:ascii="Times New Roman" w:hAnsi="Times New Roman" w:eastAsia="宋体" w:cs="Times New Roman"/>
          <w:i w:val="0"/>
        </w:rPr>
        <w:t xml:space="preserve">5.2.7 </w:t>
      </w:r>
      <w:r>
        <w:rPr>
          <w:rFonts w:hint="eastAsia"/>
        </w:rPr>
        <w:t>解释、澄清、说明的有关问题</w:t>
      </w:r>
      <w:r>
        <w:tab/>
      </w:r>
      <w:r>
        <w:fldChar w:fldCharType="begin"/>
      </w:r>
      <w:r>
        <w:instrText xml:space="preserve"> PAGEREF _Toc2359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_Toc4298 </w:instrText>
      </w:r>
      <w:r>
        <w:rPr>
          <w:rFonts w:ascii="宋体" w:hAnsi="宋体"/>
          <w:bCs w:val="0"/>
          <w:szCs w:val="36"/>
        </w:rPr>
        <w:fldChar w:fldCharType="separate"/>
      </w:r>
      <w:r>
        <w:rPr>
          <w:rFonts w:hint="default" w:ascii="Times New Roman" w:hAnsi="Times New Roman" w:eastAsia="宋体" w:cs="Times New Roman"/>
          <w:i w:val="0"/>
        </w:rPr>
        <w:t xml:space="preserve">5.2.8 </w:t>
      </w:r>
      <w:r>
        <w:rPr>
          <w:rFonts w:hint="eastAsia"/>
        </w:rPr>
        <w:t>比较与评价</w:t>
      </w:r>
      <w:r>
        <w:tab/>
      </w:r>
      <w:r>
        <w:fldChar w:fldCharType="begin"/>
      </w:r>
      <w:r>
        <w:instrText xml:space="preserve"> PAGEREF _Toc4298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_Toc32700 </w:instrText>
      </w:r>
      <w:r>
        <w:rPr>
          <w:rFonts w:ascii="宋体" w:hAnsi="宋体"/>
          <w:bCs w:val="0"/>
          <w:szCs w:val="36"/>
        </w:rPr>
        <w:fldChar w:fldCharType="separate"/>
      </w:r>
      <w:r>
        <w:rPr>
          <w:rFonts w:hint="default" w:ascii="Times New Roman" w:hAnsi="Times New Roman" w:eastAsia="宋体" w:cs="Times New Roman"/>
          <w:i w:val="0"/>
        </w:rPr>
        <w:t xml:space="preserve">5.2.9 </w:t>
      </w:r>
      <w:r>
        <w:rPr>
          <w:rFonts w:hint="eastAsia"/>
        </w:rPr>
        <w:t>询价小组复核</w:t>
      </w:r>
      <w:r>
        <w:tab/>
      </w:r>
      <w:r>
        <w:fldChar w:fldCharType="begin"/>
      </w:r>
      <w:r>
        <w:instrText xml:space="preserve"> PAGEREF _Toc32700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_Toc10902 </w:instrText>
      </w:r>
      <w:r>
        <w:rPr>
          <w:rFonts w:ascii="宋体" w:hAnsi="宋体"/>
          <w:bCs w:val="0"/>
          <w:szCs w:val="36"/>
        </w:rPr>
        <w:fldChar w:fldCharType="separate"/>
      </w:r>
      <w:r>
        <w:rPr>
          <w:rFonts w:hint="default" w:ascii="Times New Roman" w:hAnsi="Times New Roman" w:eastAsia="宋体" w:cs="Times New Roman"/>
          <w:i w:val="0"/>
        </w:rPr>
        <w:t xml:space="preserve">5.2.10 </w:t>
      </w:r>
      <w:r>
        <w:rPr>
          <w:rFonts w:hint="eastAsia"/>
        </w:rPr>
        <w:t>推荐成交候选供应商</w:t>
      </w:r>
      <w:r>
        <w:tab/>
      </w:r>
      <w:r>
        <w:fldChar w:fldCharType="begin"/>
      </w:r>
      <w:r>
        <w:instrText xml:space="preserve"> PAGEREF _Toc10902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_Toc26855 </w:instrText>
      </w:r>
      <w:r>
        <w:rPr>
          <w:rFonts w:ascii="宋体" w:hAnsi="宋体"/>
          <w:bCs w:val="0"/>
          <w:szCs w:val="36"/>
        </w:rPr>
        <w:fldChar w:fldCharType="separate"/>
      </w:r>
      <w:r>
        <w:rPr>
          <w:rFonts w:hint="default" w:ascii="Times New Roman" w:hAnsi="Times New Roman" w:eastAsia="宋体" w:cs="Times New Roman"/>
          <w:i w:val="0"/>
        </w:rPr>
        <w:t xml:space="preserve">5.2.11 </w:t>
      </w:r>
      <w:r>
        <w:rPr>
          <w:rFonts w:hint="eastAsia"/>
        </w:rPr>
        <w:t>编写评审报告</w:t>
      </w:r>
      <w:r>
        <w:tab/>
      </w:r>
      <w:r>
        <w:fldChar w:fldCharType="begin"/>
      </w:r>
      <w:r>
        <w:instrText xml:space="preserve"> PAGEREF _Toc26855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_Toc16267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争议处理规则</w:t>
      </w:r>
      <w:r>
        <w:tab/>
      </w:r>
      <w:r>
        <w:fldChar w:fldCharType="begin"/>
      </w:r>
      <w:r>
        <w:instrText xml:space="preserve"> PAGEREF _Toc16267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_Toc23627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_Toc23627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_Toc25526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_Toc25526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_Toc13666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询价小组成员义务</w:t>
      </w:r>
      <w:r>
        <w:tab/>
      </w:r>
      <w:r>
        <w:fldChar w:fldCharType="begin"/>
      </w:r>
      <w:r>
        <w:instrText xml:space="preserve"> PAGEREF _Toc13666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_Toc17861 </w:instrText>
      </w:r>
      <w:r>
        <w:rPr>
          <w:rFonts w:ascii="宋体" w:hAnsi="宋体"/>
          <w:bCs w:val="0"/>
          <w:szCs w:val="36"/>
        </w:rPr>
        <w:fldChar w:fldCharType="separate"/>
      </w:r>
      <w:r>
        <w:rPr>
          <w:rFonts w:hint="default" w:ascii="Times New Roman" w:hAnsi="Times New Roman" w:eastAsia="宋体" w:cs="Times New Roman"/>
          <w:i w:val="0"/>
          <w:szCs w:val="28"/>
        </w:rPr>
        <w:t xml:space="preserve">5.7 </w:t>
      </w:r>
      <w:r>
        <w:rPr>
          <w:rFonts w:hint="eastAsia"/>
        </w:rPr>
        <w:t>询价采购</w:t>
      </w:r>
      <w:r>
        <w:t>活动</w:t>
      </w:r>
      <w:r>
        <w:rPr>
          <w:rFonts w:hint="eastAsia"/>
        </w:rPr>
        <w:t>纪律</w:t>
      </w:r>
      <w:r>
        <w:tab/>
      </w:r>
      <w:r>
        <w:fldChar w:fldCharType="begin"/>
      </w:r>
      <w:r>
        <w:instrText xml:space="preserve"> PAGEREF _Toc17861 \h </w:instrText>
      </w:r>
      <w:r>
        <w:fldChar w:fldCharType="separate"/>
      </w:r>
      <w:r>
        <w:t>64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_Toc3286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_Toc3286 \h </w:instrText>
      </w:r>
      <w:r>
        <w:fldChar w:fldCharType="separate"/>
      </w:r>
      <w:r>
        <w:t>66</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4692"/>
      <w:r>
        <w:rPr>
          <w:rFonts w:hint="eastAsia"/>
        </w:rPr>
        <w:t>询价邀请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u w:val="single"/>
          <w:lang w:val="en-US" w:eastAsia="zh-CN"/>
        </w:rPr>
        <w:t>彭州</w:t>
      </w:r>
      <w:r>
        <w:rPr>
          <w:rFonts w:hint="eastAsia" w:ascii="宋体" w:hAnsi="宋体"/>
          <w:b/>
          <w:sz w:val="28"/>
          <w:szCs w:val="28"/>
          <w:u w:val="single"/>
        </w:rPr>
        <w:t>市公共资源交易服务中心</w:t>
      </w:r>
      <w:r>
        <w:rPr>
          <w:rFonts w:hint="eastAsia" w:ascii="宋体" w:hAnsi="宋体"/>
          <w:sz w:val="28"/>
          <w:szCs w:val="28"/>
        </w:rPr>
        <w:t>(以下简称“市公资交易中心”)受</w:t>
      </w:r>
      <w:r>
        <w:rPr>
          <w:rFonts w:hint="eastAsia" w:ascii="宋体" w:hAnsi="宋体"/>
          <w:b/>
          <w:bCs/>
          <w:sz w:val="28"/>
          <w:szCs w:val="28"/>
          <w:u w:val="single"/>
          <w:lang w:eastAsia="zh-CN"/>
        </w:rPr>
        <w:t>彭州市公安局</w:t>
      </w:r>
      <w:r>
        <w:rPr>
          <w:rFonts w:hint="eastAsia" w:ascii="宋体" w:hAnsi="宋体"/>
          <w:sz w:val="28"/>
          <w:szCs w:val="28"/>
        </w:rPr>
        <w:t>委托,拟对</w:t>
      </w:r>
      <w:r>
        <w:rPr>
          <w:rFonts w:hint="eastAsia" w:ascii="宋体" w:hAnsi="宋体"/>
          <w:b/>
          <w:bCs/>
          <w:sz w:val="28"/>
          <w:szCs w:val="28"/>
          <w:u w:val="single"/>
          <w:lang w:eastAsia="zh-CN"/>
        </w:rPr>
        <w:t>彭州市禁毒办禁毒治理平台及视频会议系统设备采购项目</w:t>
      </w:r>
      <w:r>
        <w:rPr>
          <w:rFonts w:hint="eastAsia" w:ascii="宋体" w:hAnsi="宋体"/>
          <w:sz w:val="28"/>
          <w:szCs w:val="28"/>
        </w:rPr>
        <w:t>采用询价采购方式进行采购，欢迎供应商参加该项目的询价采购活动。</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彭州市政采（2021）A0011号-1</w:t>
      </w:r>
    </w:p>
    <w:p>
      <w:pPr>
        <w:spacing w:line="600" w:lineRule="exact"/>
        <w:ind w:firstLine="562" w:firstLineChars="200"/>
        <w:rPr>
          <w:rFonts w:hint="eastAsia" w:ascii="宋体" w:hAnsi="宋体"/>
          <w:b/>
          <w:sz w:val="28"/>
          <w:szCs w:val="28"/>
        </w:rPr>
      </w:pPr>
      <w:r>
        <w:rPr>
          <w:rFonts w:hint="eastAsia" w:ascii="宋体" w:hAnsi="宋体"/>
          <w:b/>
          <w:sz w:val="28"/>
          <w:szCs w:val="28"/>
        </w:rPr>
        <w:t>（采购项目编号：510182202100126</w:t>
      </w:r>
      <w:r>
        <w:rPr>
          <w:rFonts w:hint="eastAsia" w:ascii="宋体" w:hAnsi="宋体"/>
          <w:b/>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彭州市禁毒办禁毒治理平台及视频会议系统设备采购项目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"/plan/list/detail?id=1000000000005545011&amp;encrypt=e727f382aaf27bd4efd945d77935f07f" \t "https://www.zcygov.cn/project-center/purchasePlans/_blank" </w:instrText>
      </w:r>
      <w:r>
        <w:rPr>
          <w:rFonts w:hint="eastAsia" w:ascii="宋体" w:hAnsi="宋体"/>
          <w:sz w:val="28"/>
          <w:szCs w:val="28"/>
        </w:rPr>
        <w:fldChar w:fldCharType="separate"/>
      </w:r>
      <w:r>
        <w:rPr>
          <w:rFonts w:hint="eastAsia" w:ascii="宋体" w:hAnsi="宋体"/>
          <w:sz w:val="28"/>
          <w:szCs w:val="28"/>
        </w:rPr>
        <w:t>(2021)0369号</w:t>
      </w:r>
      <w:r>
        <w:rPr>
          <w:rFonts w:hint="eastAsia" w:ascii="宋体" w:hAnsi="宋体"/>
          <w:sz w:val="28"/>
          <w:szCs w:val="28"/>
        </w:rPr>
        <w:fldChar w:fldCharType="end"/>
      </w:r>
      <w:r>
        <w:rPr>
          <w:rFonts w:hint="eastAsia" w:ascii="宋体" w:hAnsi="宋体"/>
          <w:sz w:val="28"/>
          <w:szCs w:val="28"/>
        </w:rPr>
        <w:t>；预算品目：A020207LED显示屏；预算金额：16.03512万元，最高限价：16.03512万元。</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pStyle w:val="18"/>
      </w:pPr>
    </w:p>
    <w:tbl>
      <w:tblPr>
        <w:tblStyle w:val="46"/>
        <w:tblW w:w="9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2535"/>
        <w:gridCol w:w="1247"/>
        <w:gridCol w:w="763"/>
        <w:gridCol w:w="914"/>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774"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w:t>
            </w:r>
          </w:p>
        </w:tc>
        <w:tc>
          <w:tcPr>
            <w:tcW w:w="2535"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名称</w:t>
            </w:r>
          </w:p>
        </w:tc>
        <w:tc>
          <w:tcPr>
            <w:tcW w:w="1247"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型号规格</w:t>
            </w:r>
          </w:p>
        </w:tc>
        <w:tc>
          <w:tcPr>
            <w:tcW w:w="763"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单位</w:t>
            </w:r>
          </w:p>
        </w:tc>
        <w:tc>
          <w:tcPr>
            <w:tcW w:w="914"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数量</w:t>
            </w:r>
          </w:p>
        </w:tc>
        <w:tc>
          <w:tcPr>
            <w:tcW w:w="1807"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exact"/>
          <w:jc w:val="center"/>
        </w:trPr>
        <w:tc>
          <w:tcPr>
            <w:tcW w:w="1774" w:type="dxa"/>
            <w:vMerge w:val="restart"/>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可视化大屏</w:t>
            </w: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室内全彩LED屏</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P1.86</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m²</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14.592</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exact"/>
          <w:jc w:val="center"/>
        </w:trPr>
        <w:tc>
          <w:tcPr>
            <w:tcW w:w="1774" w:type="dxa"/>
            <w:vMerge w:val="continue"/>
            <w:vAlign w:val="center"/>
          </w:tcPr>
          <w:p>
            <w:pPr>
              <w:spacing w:after="200" w:line="276" w:lineRule="auto"/>
              <w:jc w:val="center"/>
              <w:rPr>
                <w:rFonts w:hint="eastAsia" w:ascii="宋体" w:hAnsi="宋体" w:eastAsia="宋体" w:cs="宋体"/>
                <w:sz w:val="21"/>
                <w:szCs w:val="21"/>
                <w:highlight w:val="none"/>
                <w:vertAlign w:val="baseline"/>
              </w:rPr>
            </w:pP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接收卡</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5A75B</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张</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39</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exact"/>
          <w:jc w:val="center"/>
        </w:trPr>
        <w:tc>
          <w:tcPr>
            <w:tcW w:w="1774" w:type="dxa"/>
            <w:vMerge w:val="continue"/>
            <w:vAlign w:val="center"/>
          </w:tcPr>
          <w:p>
            <w:pPr>
              <w:spacing w:after="200" w:line="276" w:lineRule="auto"/>
              <w:jc w:val="center"/>
              <w:rPr>
                <w:rFonts w:hint="eastAsia" w:ascii="宋体" w:hAnsi="宋体" w:eastAsia="宋体" w:cs="宋体"/>
                <w:sz w:val="21"/>
                <w:szCs w:val="21"/>
                <w:highlight w:val="none"/>
                <w:vertAlign w:val="baseline"/>
              </w:rPr>
            </w:pP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电源</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个</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73</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774" w:type="dxa"/>
            <w:vMerge w:val="continue"/>
            <w:vAlign w:val="center"/>
          </w:tcPr>
          <w:p>
            <w:pPr>
              <w:spacing w:after="200" w:line="276" w:lineRule="auto"/>
              <w:jc w:val="center"/>
              <w:rPr>
                <w:rFonts w:hint="eastAsia" w:ascii="宋体" w:hAnsi="宋体" w:eastAsia="宋体" w:cs="宋体"/>
                <w:sz w:val="21"/>
                <w:szCs w:val="21"/>
                <w:highlight w:val="none"/>
                <w:vertAlign w:val="baseline"/>
              </w:rPr>
            </w:pP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视频处理器</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jc w:val="center"/>
        </w:trPr>
        <w:tc>
          <w:tcPr>
            <w:tcW w:w="1774" w:type="dxa"/>
            <w:vMerge w:val="continue"/>
            <w:vAlign w:val="center"/>
          </w:tcPr>
          <w:p>
            <w:pPr>
              <w:spacing w:after="200" w:line="276" w:lineRule="auto"/>
              <w:jc w:val="center"/>
              <w:rPr>
                <w:rFonts w:hint="eastAsia" w:ascii="宋体" w:hAnsi="宋体" w:eastAsia="宋体" w:cs="宋体"/>
                <w:sz w:val="21"/>
                <w:szCs w:val="21"/>
                <w:highlight w:val="none"/>
                <w:vertAlign w:val="baseline"/>
              </w:rPr>
            </w:pP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安装支架</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m²</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15</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exact"/>
          <w:jc w:val="center"/>
        </w:trPr>
        <w:tc>
          <w:tcPr>
            <w:tcW w:w="1774" w:type="dxa"/>
            <w:vMerge w:val="continue"/>
            <w:vAlign w:val="center"/>
          </w:tcPr>
          <w:p>
            <w:pPr>
              <w:spacing w:after="200" w:line="276" w:lineRule="auto"/>
              <w:jc w:val="center"/>
              <w:rPr>
                <w:rFonts w:hint="eastAsia" w:ascii="宋体" w:hAnsi="宋体" w:eastAsia="宋体" w:cs="宋体"/>
                <w:sz w:val="21"/>
                <w:szCs w:val="21"/>
                <w:highlight w:val="none"/>
                <w:vertAlign w:val="baseline"/>
              </w:rPr>
            </w:pP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线材、辅材</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批</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1774" w:type="dxa"/>
            <w:vMerge w:val="continue"/>
            <w:vAlign w:val="center"/>
          </w:tcPr>
          <w:p>
            <w:pPr>
              <w:spacing w:after="200" w:line="276" w:lineRule="auto"/>
              <w:jc w:val="center"/>
              <w:rPr>
                <w:rFonts w:hint="eastAsia" w:ascii="宋体" w:hAnsi="宋体" w:eastAsia="宋体" w:cs="宋体"/>
                <w:sz w:val="21"/>
                <w:szCs w:val="21"/>
                <w:highlight w:val="none"/>
                <w:vertAlign w:val="baseline"/>
              </w:rPr>
            </w:pP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屏幕包边装饰框</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1774"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视频会议摄像头</w:t>
            </w:r>
          </w:p>
        </w:tc>
        <w:tc>
          <w:tcPr>
            <w:tcW w:w="253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视频会议摄像头</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工业</w:t>
            </w:r>
          </w:p>
        </w:tc>
      </w:tr>
    </w:tbl>
    <w:p>
      <w:pPr>
        <w:tabs>
          <w:tab w:val="left" w:pos="851"/>
        </w:tabs>
        <w:snapToGrid w:val="0"/>
        <w:spacing w:line="640" w:lineRule="exact"/>
        <w:ind w:firstLine="560" w:firstLineChars="200"/>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本次政府采购活动不接受供应商以联合体的形式参加询价采购</w:t>
      </w:r>
      <w:r>
        <w:rPr>
          <w:rFonts w:ascii="宋体" w:hAnsi="宋体"/>
          <w:sz w:val="28"/>
          <w:szCs w:val="28"/>
        </w:rPr>
        <w:t>活动</w:t>
      </w:r>
      <w:r>
        <w:rPr>
          <w:rFonts w:hint="eastAsia" w:ascii="宋体" w:hAnsi="宋体"/>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询价通知书获取时间</w:t>
      </w:r>
    </w:p>
    <w:p>
      <w:pPr>
        <w:spacing w:line="600" w:lineRule="exact"/>
        <w:ind w:firstLine="560" w:firstLineChars="200"/>
        <w:rPr>
          <w:rFonts w:ascii="宋体" w:hAnsi="宋体"/>
          <w:sz w:val="28"/>
          <w:szCs w:val="28"/>
        </w:rPr>
      </w:pPr>
      <w:r>
        <w:rPr>
          <w:rFonts w:hint="eastAsia" w:ascii="宋体" w:hAnsi="宋体"/>
          <w:sz w:val="28"/>
          <w:szCs w:val="28"/>
        </w:rPr>
        <w:t>（一）询价</w:t>
      </w:r>
      <w:r>
        <w:rPr>
          <w:rFonts w:ascii="宋体" w:hAnsi="宋体"/>
          <w:sz w:val="28"/>
          <w:szCs w:val="28"/>
        </w:rPr>
        <w:t>通知书</w:t>
      </w:r>
      <w:r>
        <w:rPr>
          <w:rFonts w:hint="eastAsia" w:ascii="宋体" w:hAnsi="宋体"/>
          <w:sz w:val="28"/>
          <w:szCs w:val="28"/>
        </w:rPr>
        <w:t>获取时间：2021年</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3</w:t>
      </w:r>
      <w:r>
        <w:rPr>
          <w:rFonts w:hint="eastAsia" w:ascii="宋体" w:hAnsi="宋体"/>
          <w:sz w:val="28"/>
          <w:szCs w:val="28"/>
        </w:rPr>
        <w:t>日至</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7</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询价通知书</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响应文件递交截止时间及开启时间（北京时间）、地点、方式</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响应文件递交截止时间及开启时间：2021</w:t>
      </w:r>
      <w:r>
        <w:rPr>
          <w:rFonts w:ascii="宋体" w:hAnsi="宋体" w:eastAsia="宋体"/>
          <w:b/>
          <w:sz w:val="28"/>
          <w:szCs w:val="28"/>
        </w:rPr>
        <w:t>年</w:t>
      </w:r>
      <w:r>
        <w:rPr>
          <w:rFonts w:hint="eastAsia" w:ascii="宋体" w:hAnsi="宋体" w:eastAsia="宋体"/>
          <w:sz w:val="28"/>
          <w:szCs w:val="28"/>
          <w:lang w:val="en-US" w:eastAsia="zh-CN"/>
        </w:rPr>
        <w:t>9</w:t>
      </w:r>
      <w:r>
        <w:rPr>
          <w:rFonts w:ascii="宋体" w:hAnsi="宋体" w:eastAsia="宋体"/>
          <w:b/>
          <w:sz w:val="28"/>
          <w:szCs w:val="28"/>
        </w:rPr>
        <w:t>月</w:t>
      </w:r>
      <w:r>
        <w:rPr>
          <w:rFonts w:hint="eastAsia" w:ascii="宋体" w:hAnsi="宋体" w:eastAsia="宋体"/>
          <w:sz w:val="28"/>
          <w:szCs w:val="28"/>
          <w:lang w:val="en-US" w:eastAsia="zh-CN"/>
        </w:rPr>
        <w:t>8</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lang w:val="en-US" w:eastAsia="zh-CN"/>
        </w:rPr>
        <w:t>30</w:t>
      </w:r>
      <w:r>
        <w:rPr>
          <w:rFonts w:hint="eastAsia" w:ascii="宋体" w:hAnsi="宋体" w:eastAsia="宋体"/>
          <w:b/>
          <w:sz w:val="28"/>
          <w:szCs w:val="28"/>
        </w:rPr>
        <w:t>。</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18"/>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（三）本地财政部门电话：028-83888323。</w:t>
      </w:r>
    </w:p>
    <w:p>
      <w:pPr>
        <w:snapToGrid w:val="0"/>
        <w:spacing w:line="640" w:lineRule="exact"/>
        <w:ind w:firstLine="562" w:firstLineChars="200"/>
        <w:rPr>
          <w:rFonts w:ascii="宋体" w:hAnsi="宋体"/>
          <w:b/>
          <w:bCs/>
          <w:sz w:val="28"/>
          <w:szCs w:val="28"/>
        </w:rPr>
      </w:pPr>
      <w:r>
        <w:rPr>
          <w:rFonts w:hint="eastAsia" w:ascii="宋体" w:hAnsi="宋体"/>
          <w:b/>
          <w:sz w:val="28"/>
          <w:szCs w:val="28"/>
        </w:rPr>
        <w:t>十三、</w:t>
      </w:r>
      <w:r>
        <w:rPr>
          <w:rFonts w:hint="eastAsia" w:ascii="宋体" w:hAnsi="宋体"/>
          <w:b/>
          <w:bCs/>
          <w:sz w:val="28"/>
          <w:szCs w:val="28"/>
        </w:rPr>
        <w:t>本询价邀请在“四川政府采购网”和“成都市公共资源交易服务中心”网站上以公告形式发布</w:t>
      </w:r>
    </w:p>
    <w:p>
      <w:pPr>
        <w:snapToGrid w:val="0"/>
        <w:spacing w:line="640" w:lineRule="exact"/>
        <w:ind w:firstLine="562" w:firstLineChars="200"/>
        <w:rPr>
          <w:rFonts w:ascii="宋体" w:hAnsi="宋体"/>
          <w:sz w:val="28"/>
          <w:szCs w:val="28"/>
        </w:rPr>
      </w:pPr>
      <w:r>
        <w:rPr>
          <w:rFonts w:hint="eastAsia" w:ascii="宋体" w:hAnsi="宋体"/>
          <w:b/>
          <w:sz w:val="28"/>
          <w:szCs w:val="28"/>
        </w:rPr>
        <w:t>十四</w:t>
      </w:r>
      <w:r>
        <w:rPr>
          <w:rFonts w:ascii="宋体" w:hAnsi="宋体"/>
          <w:b/>
          <w:sz w:val="28"/>
          <w:szCs w:val="28"/>
        </w:rPr>
        <w:t>、</w:t>
      </w:r>
      <w:r>
        <w:rPr>
          <w:rFonts w:hint="eastAsia" w:ascii="宋体" w:hAnsi="宋体"/>
          <w:b/>
          <w:sz w:val="28"/>
          <w:szCs w:val="28"/>
        </w:rPr>
        <w:t>联系人及联系电话</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kern w:val="0"/>
          <w:sz w:val="28"/>
          <w:szCs w:val="22"/>
        </w:rPr>
      </w:pPr>
      <w:r>
        <w:rPr>
          <w:rFonts w:hint="eastAsia" w:ascii="宋体" w:hAnsi="宋体"/>
          <w:b/>
          <w:kern w:val="0"/>
          <w:sz w:val="28"/>
          <w:szCs w:val="22"/>
        </w:rPr>
        <w:t>采购人：</w:t>
      </w:r>
      <w:r>
        <w:rPr>
          <w:rFonts w:hint="eastAsia" w:ascii="宋体" w:hAnsi="宋体"/>
          <w:kern w:val="0"/>
          <w:sz w:val="28"/>
          <w:szCs w:val="22"/>
          <w:lang w:val="en-US" w:eastAsia="zh-CN"/>
        </w:rPr>
        <w:t>彭州市公安局</w:t>
      </w:r>
      <w:r>
        <w:rPr>
          <w:rFonts w:hint="eastAsia" w:ascii="宋体" w:hAnsi="宋体"/>
          <w:kern w:val="0"/>
          <w:sz w:val="28"/>
          <w:szCs w:val="22"/>
        </w:rPr>
        <w:t>；</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  址：彭州市朝阳北路58号彭州市公安局；</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彭俊杰</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b/>
          <w:sz w:val="28"/>
          <w:szCs w:val="28"/>
        </w:rPr>
      </w:pPr>
      <w:r>
        <w:rPr>
          <w:rFonts w:hint="eastAsia" w:ascii="宋体" w:hAnsi="宋体"/>
          <w:kern w:val="0"/>
          <w:sz w:val="28"/>
          <w:szCs w:val="22"/>
        </w:rPr>
        <w:t>联系电话：</w:t>
      </w:r>
      <w:r>
        <w:rPr>
          <w:rFonts w:ascii="微软雅黑" w:hAnsi="微软雅黑" w:eastAsia="微软雅黑" w:cs="微软雅黑"/>
          <w:i w:val="0"/>
          <w:iCs w:val="0"/>
          <w:caps w:val="0"/>
          <w:color w:val="333333"/>
          <w:spacing w:val="0"/>
          <w:sz w:val="21"/>
          <w:szCs w:val="21"/>
          <w:shd w:val="clear" w:fill="FFFFFF"/>
        </w:rPr>
        <w:t>028-83891489</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李仕静秋</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rPr>
        <w:t>技术支持电话：4008817190</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集中采购监督机构：彭州市财政局</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rPr>
        <w:t>地 址：彭州市牡丹大道北二段486号</w:t>
      </w:r>
    </w:p>
    <w:p>
      <w:pPr>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firstLineChars="200"/>
        <w:textAlignment w:val="auto"/>
        <w:rPr>
          <w:rFonts w:ascii="宋体" w:hAnsi="宋体" w:cstheme="minorBidi"/>
          <w:b/>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22823"/>
      <w:bookmarkStart w:id="3" w:name="_Toc381263230"/>
      <w:bookmarkStart w:id="4" w:name="_Toc287623638"/>
      <w:r>
        <w:rPr>
          <w:rFonts w:hint="eastAsia"/>
        </w:rPr>
        <w:t>供应商须知</w:t>
      </w:r>
      <w:bookmarkEnd w:id="1"/>
      <w:bookmarkEnd w:id="2"/>
    </w:p>
    <w:p>
      <w:pPr>
        <w:pStyle w:val="4"/>
        <w:ind w:left="851" w:hanging="851"/>
      </w:pPr>
      <w:bookmarkStart w:id="5" w:name="_Toc1273"/>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rightChars="0" w:firstLine="12" w:firstLineChars="5"/>
              <w:rPr>
                <w:rFonts w:ascii="宋体" w:hAnsi="宋体" w:cs="宋体"/>
                <w:b/>
                <w:lang w:val="zh-CN"/>
              </w:rPr>
            </w:pPr>
            <w:r>
              <w:rPr>
                <w:rFonts w:hint="eastAsia" w:ascii="宋体" w:hAnsi="宋体"/>
                <w:b/>
              </w:rPr>
              <w:t>人民币16.03512万元。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leftChars="0" w:hanging="24" w:firstLineChars="0"/>
              <w:rPr>
                <w:b/>
                <w:lang w:val="zh-CN"/>
              </w:rPr>
            </w:pPr>
            <w:r>
              <w:rPr>
                <w:rFonts w:hint="eastAsia" w:cs="Times New Roman"/>
                <w:b/>
                <w:kern w:val="2"/>
              </w:rPr>
              <w:t>本项目最高限价为人民币16.03512万元，供应商报价高于最高限价的则其响应文件将按无效响应文件处理。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宋体"/>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p>
          <w:p>
            <w:pPr>
              <w:pStyle w:val="148"/>
              <w:spacing w:line="360" w:lineRule="auto"/>
              <w:rPr>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rPr>
              <w:t>详见供应商须知2.7.4。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响应文件的签章和加密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宋体" w:hAnsi="宋体" w:eastAsia="宋体"/>
                <w:lang w:val="en-US" w:eastAsia="zh-CN"/>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向市公资交易中心提出，并由市公资交易中心按相关规定作出答复（详见供应商须知2.9）。</w:t>
            </w:r>
            <w:r>
              <w:rPr>
                <w:rFonts w:hint="eastAsia" w:ascii="宋体" w:hAnsi="宋体"/>
                <w:lang w:val="en-US" w:eastAsia="zh-CN"/>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hint="eastAsia" w:ascii="宋体" w:hAnsi="宋体" w:cs="宋体"/>
                <w:lang w:val="zh-CN"/>
              </w:rPr>
            </w:pPr>
            <w:r>
              <w:rPr>
                <w:rFonts w:hint="eastAsia" w:ascii="宋体" w:hAnsi="宋体" w:cs="宋体"/>
                <w:lang w:val="zh-CN"/>
              </w:rPr>
              <w:t>投诉受理单位：彭州市财政局。</w:t>
            </w:r>
          </w:p>
          <w:p>
            <w:pPr>
              <w:tabs>
                <w:tab w:val="left" w:pos="7665"/>
              </w:tabs>
              <w:spacing w:line="360" w:lineRule="auto"/>
              <w:rPr>
                <w:rFonts w:hint="eastAsia" w:ascii="宋体" w:hAnsi="宋体" w:cs="宋体"/>
                <w:lang w:val="zh-CN"/>
              </w:rPr>
            </w:pPr>
            <w:r>
              <w:rPr>
                <w:rFonts w:hint="eastAsia" w:ascii="宋体" w:hAnsi="宋体" w:cs="宋体"/>
                <w:lang w:val="zh-CN"/>
              </w:rPr>
              <w:t>联系电话：028-83888323。</w:t>
            </w:r>
          </w:p>
          <w:p>
            <w:pPr>
              <w:tabs>
                <w:tab w:val="left" w:pos="7665"/>
              </w:tabs>
              <w:spacing w:line="360" w:lineRule="auto"/>
              <w:rPr>
                <w:rFonts w:ascii="宋体" w:hAnsi="宋体"/>
              </w:rPr>
            </w:pPr>
            <w:r>
              <w:rPr>
                <w:rFonts w:hint="eastAsia" w:ascii="宋体" w:hAnsi="宋体" w:cs="宋体"/>
                <w:lang w:val="zh-CN"/>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18"/>
              <w:keepNext w:val="0"/>
              <w:keepLines w:val="0"/>
              <w:pageBreakBefore w:val="0"/>
              <w:widowControl w:val="0"/>
              <w:kinsoku/>
              <w:wordWrap/>
              <w:overflowPunct/>
              <w:topLinePunct w:val="0"/>
              <w:autoSpaceDE/>
              <w:autoSpaceDN/>
              <w:bidi w:val="0"/>
              <w:adjustRightInd/>
              <w:spacing w:after="0"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1.本项目接受中标的中小微企业以信用融资方式履约。</w:t>
            </w:r>
          </w:p>
          <w:p>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宋体" w:cs="Times New Roman"/>
                <w:kern w:val="0"/>
                <w:sz w:val="24"/>
                <w:szCs w:val="24"/>
                <w:lang w:val="en-US" w:eastAsia="zh-CN" w:bidi="ar-SA"/>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356973"/>
      <w:bookmarkEnd w:id="6"/>
      <w:bookmarkStart w:id="7" w:name="_Toc494095619"/>
      <w:bookmarkEnd w:id="7"/>
      <w:bookmarkStart w:id="8" w:name="_Toc9103"/>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市公资交易中心享有。询价通知书中供应商参加本次政府采购活动应当具备的条件、技术、服务及其他要求、评分标准由采购人负责解释。除上述询价通知书内容，其他内容由市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7"/>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市级机关、事业单位、团体组织。本次询价采购项目的采购人是</w:t>
      </w:r>
      <w:r>
        <w:rPr>
          <w:rFonts w:hint="eastAsia" w:ascii="宋体" w:hAnsi="宋体"/>
          <w:b/>
          <w:sz w:val="28"/>
          <w:szCs w:val="28"/>
          <w:u w:val="single"/>
          <w:lang w:eastAsia="zh-CN"/>
        </w:rPr>
        <w:t>彭州市公安局</w:t>
      </w:r>
      <w:r>
        <w:rPr>
          <w:rFonts w:hint="eastAsia" w:ascii="宋体" w:hAnsi="宋体"/>
          <w:sz w:val="28"/>
          <w:szCs w:val="28"/>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合格的供应商应具备以下条件：符合询价邀请第五条规定的条件</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参加询价采购的费用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rPr>
          <w:color w:val="auto"/>
        </w:rPr>
      </w:pPr>
      <w:r>
        <w:rPr>
          <w:rFonts w:hint="eastAsia"/>
          <w:color w:val="auto"/>
        </w:rPr>
        <w:t>充分、公平竞争保障措施</w:t>
      </w:r>
    </w:p>
    <w:p>
      <w:pPr>
        <w:pStyle w:val="163"/>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rPr>
          <w:rFonts w:ascii="宋体" w:hAnsi="宋体"/>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rPr>
        <w:t>市公资交易中心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4"/>
        <w:spacing w:line="600" w:lineRule="exact"/>
      </w:pPr>
      <w:bookmarkStart w:id="12" w:name="_Toc14554"/>
      <w:r>
        <w:rPr>
          <w:rFonts w:hint="eastAsia"/>
        </w:rPr>
        <w:t>询价通知书</w:t>
      </w:r>
      <w:bookmarkEnd w:id="12"/>
    </w:p>
    <w:p>
      <w:pPr>
        <w:pStyle w:val="5"/>
        <w:spacing w:line="600" w:lineRule="exact"/>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询价</w:t>
      </w:r>
      <w:r>
        <w:rPr>
          <w:color w:val="auto"/>
        </w:rPr>
        <w:t>通知书</w:t>
      </w:r>
      <w:r>
        <w:rPr>
          <w:rFonts w:hint="eastAsia"/>
          <w:color w:val="auto"/>
        </w:rPr>
        <w:t>的澄清</w:t>
      </w:r>
      <w:bookmarkEnd w:id="13"/>
      <w:bookmarkEnd w:id="14"/>
      <w:r>
        <w:rPr>
          <w:rFonts w:hint="eastAsia"/>
          <w:color w:val="auto"/>
        </w:rPr>
        <w:t>和修改</w:t>
      </w:r>
      <w:bookmarkEnd w:id="15"/>
    </w:p>
    <w:p>
      <w:pPr>
        <w:widowControl w:val="0"/>
        <w:numPr>
          <w:ilvl w:val="0"/>
          <w:numId w:val="8"/>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rPr>
        <w:t>市公资交易中心</w:t>
      </w:r>
      <w:r>
        <w:rPr>
          <w:rFonts w:hint="eastAsia" w:ascii="宋体" w:hAnsi="宋体"/>
          <w:sz w:val="28"/>
          <w:szCs w:val="28"/>
        </w:rPr>
        <w:t>可以对已发出的询价通知书进行必要的澄清或者修改。</w:t>
      </w:r>
    </w:p>
    <w:p>
      <w:pPr>
        <w:widowControl w:val="0"/>
        <w:numPr>
          <w:ilvl w:val="0"/>
          <w:numId w:val="8"/>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澄清或者修改的内容，市公资交易中心将在“四川政府采购网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8"/>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rPr>
        <w:t>市公资交易中心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采购人或市公资交易中心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24646"/>
      <w:bookmarkStart w:id="17" w:name="_Toc320698720"/>
      <w:r>
        <w:rPr>
          <w:rFonts w:hint="eastAsia"/>
        </w:rPr>
        <w:t>响应文件</w:t>
      </w:r>
      <w:bookmarkEnd w:id="16"/>
      <w:bookmarkEnd w:id="17"/>
    </w:p>
    <w:p>
      <w:pPr>
        <w:pStyle w:val="5"/>
        <w:spacing w:line="600" w:lineRule="exact"/>
        <w:rPr>
          <w:color w:val="auto"/>
        </w:rPr>
      </w:pPr>
      <w:bookmarkStart w:id="18" w:name="_Toc320698721"/>
      <w:r>
        <w:rPr>
          <w:rFonts w:hint="eastAsia"/>
          <w:color w:val="auto"/>
        </w:rPr>
        <w:t>响应文件的语言</w:t>
      </w:r>
      <w:bookmarkEnd w:id="18"/>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供应商提交的响应文件以及供应商与采购人或市公资交易中心就有关询价采购活动的所有来往书面文件均须使用中文，响应文件中所附或引用的外文资料，应翻译成中文附在相关外文资料后面（说明：供应商的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0"/>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0"/>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1" w:name="_Toc217446047"/>
      <w:r>
        <w:rPr>
          <w:rFonts w:hint="eastAsia"/>
          <w:color w:val="auto"/>
        </w:rPr>
        <w:t>知识产权</w:t>
      </w:r>
      <w:bookmarkEnd w:id="21"/>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响应文件的</w:t>
      </w:r>
      <w:bookmarkEnd w:id="22"/>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3"/>
    <w:p>
      <w:pPr>
        <w:pStyle w:val="5"/>
        <w:numPr>
          <w:ilvl w:val="3"/>
          <w:numId w:val="1"/>
        </w:numPr>
        <w:spacing w:line="600" w:lineRule="exact"/>
        <w:ind w:left="1843" w:hanging="1843"/>
        <w:rPr>
          <w:color w:val="auto"/>
        </w:rPr>
      </w:pPr>
      <w:bookmarkStart w:id="24" w:name="_Toc320698726"/>
      <w:r>
        <w:rPr>
          <w:rFonts w:hint="eastAsia"/>
          <w:color w:val="auto"/>
        </w:rPr>
        <w:t>响应文件</w:t>
      </w:r>
      <w:bookmarkEnd w:id="24"/>
    </w:p>
    <w:p>
      <w:pPr>
        <w:pStyle w:val="5"/>
        <w:numPr>
          <w:ilvl w:val="4"/>
          <w:numId w:val="1"/>
        </w:numPr>
        <w:spacing w:line="600" w:lineRule="exact"/>
        <w:ind w:left="993" w:hanging="993"/>
      </w:pPr>
      <w:r>
        <w:rPr>
          <w:rFonts w:hint="eastAsia"/>
        </w:rPr>
        <w:t>资格响应文件</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5"/>
        <w:numPr>
          <w:ilvl w:val="4"/>
          <w:numId w:val="1"/>
        </w:numPr>
        <w:spacing w:line="600" w:lineRule="exact"/>
        <w:ind w:left="993" w:hanging="993"/>
        <w:rPr>
          <w:color w:val="auto"/>
        </w:rPr>
      </w:pPr>
      <w:r>
        <w:rPr>
          <w:rFonts w:hint="eastAsia"/>
          <w:color w:val="auto"/>
        </w:rPr>
        <w:t>商务技术响应文件</w:t>
      </w:r>
    </w:p>
    <w:p>
      <w:pPr>
        <w:pStyle w:val="80"/>
        <w:numPr>
          <w:ilvl w:val="0"/>
          <w:numId w:val="14"/>
        </w:numPr>
        <w:ind w:firstLineChars="0"/>
        <w:rPr>
          <w:rFonts w:ascii="宋体" w:hAnsi="宋体"/>
          <w:sz w:val="28"/>
          <w:szCs w:val="28"/>
        </w:rPr>
      </w:pPr>
      <w:r>
        <w:rPr>
          <w:rFonts w:hint="eastAsia" w:ascii="宋体" w:hAnsi="宋体"/>
          <w:sz w:val="28"/>
          <w:szCs w:val="28"/>
        </w:rPr>
        <w:t>报价书；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供应商</w:t>
      </w:r>
      <w:r>
        <w:rPr>
          <w:rFonts w:ascii="宋体" w:hAnsi="宋体"/>
          <w:sz w:val="28"/>
          <w:szCs w:val="28"/>
        </w:rPr>
        <w:t>基本情况表；</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服务</w:t>
      </w:r>
      <w:r>
        <w:rPr>
          <w:rFonts w:ascii="宋体" w:hAnsi="宋体"/>
          <w:sz w:val="28"/>
          <w:szCs w:val="28"/>
        </w:rPr>
        <w:t>方案及服务承诺；</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承诺函；</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中小企业声明函（说明</w:t>
      </w:r>
      <w:r>
        <w:rPr>
          <w:rFonts w:ascii="宋体" w:hAnsi="宋体"/>
          <w:sz w:val="28"/>
          <w:szCs w:val="28"/>
        </w:rPr>
        <w:t>：</w:t>
      </w:r>
      <w:r>
        <w:rPr>
          <w:rFonts w:hint="eastAsia" w:ascii="宋体" w:hAnsi="宋体"/>
          <w:sz w:val="28"/>
          <w:szCs w:val="28"/>
        </w:rPr>
        <w:t>如未提供中小企业声明函，则不能享受询价通知书规定的价格扣除，但不影响供应商响应文件的有效性）；</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残疾人福利性单位声明函（说明</w:t>
      </w:r>
      <w:r>
        <w:rPr>
          <w:rFonts w:ascii="宋体" w:hAnsi="宋体"/>
          <w:sz w:val="28"/>
          <w:szCs w:val="28"/>
        </w:rPr>
        <w:t>：</w:t>
      </w:r>
      <w:r>
        <w:rPr>
          <w:rFonts w:hint="eastAsia" w:ascii="宋体" w:hAnsi="宋体"/>
          <w:sz w:val="28"/>
          <w:szCs w:val="28"/>
        </w:rPr>
        <w:t>如未提供残疾人福利性单位声明函，则不能享受询价通知书规定的价格扣除，但不影响供应商响应文件的有效性）。</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5" w:name="_Toc320698727"/>
      <w:r>
        <w:rPr>
          <w:rFonts w:hint="eastAsia"/>
          <w:color w:val="auto"/>
        </w:rPr>
        <w:t>响应文件格式</w:t>
      </w:r>
    </w:p>
    <w:p>
      <w:pPr>
        <w:pStyle w:val="18"/>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18"/>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bookmarkEnd w:id="25"/>
    <w:p>
      <w:pPr>
        <w:pStyle w:val="5"/>
        <w:spacing w:line="600" w:lineRule="exact"/>
        <w:rPr>
          <w:color w:val="auto"/>
        </w:rPr>
      </w:pPr>
      <w:bookmarkStart w:id="26"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26"/>
    </w:p>
    <w:p>
      <w:pPr>
        <w:pStyle w:val="80"/>
        <w:numPr>
          <w:ilvl w:val="0"/>
          <w:numId w:val="16"/>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6"/>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特殊情况下，采购人可于响应文件有效期满之前要求供应商同意延长有效期，要求与答复均应为书面形式。供应商可以拒绝上述要求，同意延长响应文件有效期的供应商不能修改其响应文件。</w:t>
      </w:r>
    </w:p>
    <w:p>
      <w:pPr>
        <w:pStyle w:val="5"/>
        <w:spacing w:line="600" w:lineRule="exact"/>
        <w:rPr>
          <w:color w:val="auto"/>
        </w:rPr>
      </w:pPr>
      <w:bookmarkStart w:id="27" w:name="_Toc320698729"/>
      <w:bookmarkStart w:id="28" w:name="_Toc320698730"/>
      <w:r>
        <w:rPr>
          <w:rFonts w:hint="eastAsia"/>
          <w:color w:val="auto"/>
        </w:rPr>
        <w:t>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响应文件的递交</w:t>
      </w:r>
      <w:bookmarkEnd w:id="29"/>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响应文件的补充、修改和撤回</w:t>
      </w:r>
      <w:bookmarkEnd w:id="30"/>
    </w:p>
    <w:p>
      <w:pPr>
        <w:widowControl w:val="0"/>
        <w:numPr>
          <w:ilvl w:val="0"/>
          <w:numId w:val="18"/>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3" w:name="_Toc183582232"/>
      <w:bookmarkStart w:id="34" w:name="_Toc183682369"/>
      <w:bookmarkStart w:id="35" w:name="_Toc217446057"/>
      <w:bookmarkStart w:id="36" w:name="_Toc17612"/>
      <w:r>
        <w:rPr>
          <w:rFonts w:hint="eastAsia"/>
        </w:rPr>
        <w:t>开标</w:t>
      </w:r>
      <w:bookmarkEnd w:id="33"/>
      <w:bookmarkEnd w:id="34"/>
      <w:bookmarkEnd w:id="35"/>
      <w:r>
        <w:rPr>
          <w:rFonts w:hint="eastAsia"/>
        </w:rPr>
        <w:t>及开标程序</w:t>
      </w:r>
      <w:bookmarkEnd w:id="36"/>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市公资交易中心开启解密后，供应商进行线上解密。除因市公资交易中心断电、断网、系统故障或其他不可抗力等因素，导致系统无法使用外，供应商在规定的解密时间内，未成功解密的响应文件将视为无效响应文件。</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供应商供应商提出的询问或者回避申请应当及时处理。</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pPr>
      <w:bookmarkStart w:id="37" w:name="_Toc5323"/>
      <w:r>
        <w:t>成交通知书</w:t>
      </w:r>
      <w:bookmarkEnd w:id="37"/>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8" w:name="_Toc16975"/>
      <w:bookmarkStart w:id="39" w:name="_Toc287623650"/>
      <w:r>
        <w:rPr>
          <w:rFonts w:hint="eastAsia"/>
        </w:rPr>
        <w:t>签订及履行合同和验收</w:t>
      </w:r>
      <w:bookmarkEnd w:id="38"/>
    </w:p>
    <w:p>
      <w:pPr>
        <w:pStyle w:val="5"/>
        <w:spacing w:line="600" w:lineRule="exact"/>
        <w:rPr>
          <w:color w:val="auto"/>
        </w:rPr>
      </w:pPr>
      <w:r>
        <w:rPr>
          <w:rFonts w:hint="eastAsia"/>
          <w:color w:val="auto"/>
        </w:rPr>
        <w:t>签订合同</w:t>
      </w:r>
      <w:bookmarkEnd w:id="39"/>
    </w:p>
    <w:p>
      <w:pPr>
        <w:widowControl w:val="0"/>
        <w:numPr>
          <w:ilvl w:val="0"/>
          <w:numId w:val="21"/>
        </w:numPr>
        <w:tabs>
          <w:tab w:val="left" w:pos="1134"/>
        </w:tabs>
        <w:spacing w:line="360" w:lineRule="auto"/>
        <w:ind w:left="0" w:firstLine="565" w:firstLineChars="202"/>
        <w:jc w:val="both"/>
        <w:rPr>
          <w:rFonts w:ascii="宋体" w:hAnsi="宋体"/>
          <w:sz w:val="28"/>
          <w:szCs w:val="28"/>
        </w:rPr>
      </w:pPr>
      <w:bookmarkStart w:id="40"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1" w:name="_Toc217446066"/>
      <w:r>
        <w:rPr>
          <w:rFonts w:hint="eastAsia"/>
          <w:color w:val="auto"/>
        </w:rPr>
        <w:t>合同分包</w:t>
      </w:r>
      <w:bookmarkEnd w:id="41"/>
      <w:r>
        <w:rPr>
          <w:rFonts w:hint="eastAsia"/>
          <w:color w:val="auto"/>
        </w:rPr>
        <w:t>和转包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2" w:name="_Toc217446067"/>
      <w:r>
        <w:rPr>
          <w:rFonts w:hint="eastAsia"/>
          <w:color w:val="auto"/>
        </w:rPr>
        <w:t>采购人增加合同标的的权</w:t>
      </w:r>
      <w:bookmarkEnd w:id="42"/>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3" w:name="_Toc217446068"/>
      <w:r>
        <w:rPr>
          <w:rFonts w:hint="eastAsia"/>
          <w:color w:val="auto"/>
        </w:rPr>
        <w:t>履约保证金</w:t>
      </w:r>
      <w:bookmarkEnd w:id="43"/>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0"/>
    <w:p>
      <w:pPr>
        <w:pStyle w:val="5"/>
        <w:spacing w:line="600" w:lineRule="exact"/>
        <w:rPr>
          <w:color w:val="auto"/>
        </w:rPr>
      </w:pPr>
      <w:bookmarkStart w:id="44" w:name="_Toc217446070"/>
      <w:r>
        <w:rPr>
          <w:rFonts w:hint="eastAsia" w:cs="宋体"/>
          <w:color w:val="auto"/>
        </w:rPr>
        <w:t>履行</w:t>
      </w:r>
      <w:r>
        <w:rPr>
          <w:rFonts w:hint="eastAsia"/>
          <w:color w:val="auto"/>
        </w:rPr>
        <w:t>合同</w:t>
      </w:r>
    </w:p>
    <w:p>
      <w:pPr>
        <w:widowControl w:val="0"/>
        <w:numPr>
          <w:ilvl w:val="0"/>
          <w:numId w:val="24"/>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4"/>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4"/>
    </w:p>
    <w:p>
      <w:pPr>
        <w:pStyle w:val="12"/>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5" w:name="_Toc24240"/>
      <w:r>
        <w:rPr>
          <w:rFonts w:hint="eastAsia"/>
        </w:rPr>
        <w:t>询价</w:t>
      </w:r>
      <w:r>
        <w:t>采购</w:t>
      </w:r>
      <w:r>
        <w:rPr>
          <w:rFonts w:hint="eastAsia"/>
        </w:rPr>
        <w:t>工作纪律及要求</w:t>
      </w:r>
      <w:bookmarkEnd w:id="45"/>
    </w:p>
    <w:p>
      <w:pPr>
        <w:pStyle w:val="5"/>
        <w:spacing w:line="600" w:lineRule="exact"/>
        <w:ind w:left="0" w:firstLine="0"/>
        <w:rPr>
          <w:color w:val="auto"/>
        </w:rPr>
      </w:pPr>
      <w:bookmarkStart w:id="46" w:name="_Toc217446075"/>
      <w:r>
        <w:rPr>
          <w:rFonts w:hint="eastAsia"/>
          <w:color w:val="auto"/>
        </w:rPr>
        <w:t>供应商不得具有的情形</w:t>
      </w:r>
      <w:bookmarkEnd w:id="46"/>
    </w:p>
    <w:p>
      <w:pPr>
        <w:pStyle w:val="12"/>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向采购人或市公资交易中心、询价小组成员行贿或者提供其他不正当利益；</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5"/>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2"/>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47" w:name="_Toc314574786"/>
      <w:r>
        <w:rPr>
          <w:rFonts w:hint="eastAsia"/>
          <w:color w:val="auto"/>
        </w:rPr>
        <w:t>保密</w:t>
      </w:r>
      <w:bookmarkEnd w:id="47"/>
    </w:p>
    <w:p>
      <w:pPr>
        <w:pStyle w:val="12"/>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2"/>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8" w:name="_Toc405886181"/>
      <w:bookmarkStart w:id="49" w:name="_Toc25201"/>
      <w:r>
        <w:rPr>
          <w:rFonts w:hint="eastAsia"/>
        </w:rPr>
        <w:t>询问、质疑</w:t>
      </w:r>
      <w:bookmarkEnd w:id="48"/>
      <w:r>
        <w:rPr>
          <w:rFonts w:hint="eastAsia"/>
        </w:rPr>
        <w:t>和投诉</w:t>
      </w:r>
      <w:bookmarkEnd w:id="49"/>
    </w:p>
    <w:p>
      <w:pPr>
        <w:pStyle w:val="27"/>
        <w:numPr>
          <w:ilvl w:val="0"/>
          <w:numId w:val="27"/>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0"/>
        <w:numPr>
          <w:ilvl w:val="0"/>
          <w:numId w:val="27"/>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向市公资交易中心提出。</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0" w:name="_Toc376425021"/>
      <w:bookmarkEnd w:id="50"/>
      <w:bookmarkStart w:id="51" w:name="_Toc3363724"/>
      <w:bookmarkStart w:id="52" w:name="_Toc13679"/>
      <w:r>
        <w:rPr>
          <w:rFonts w:hint="eastAsia"/>
        </w:rPr>
        <w:t>中小企业政府采购信用融资</w:t>
      </w:r>
      <w:bookmarkEnd w:id="51"/>
      <w:bookmarkEnd w:id="52"/>
    </w:p>
    <w:p>
      <w:pPr>
        <w:pStyle w:val="18"/>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pStyle w:val="27"/>
        <w:numPr>
          <w:ilvl w:val="0"/>
          <w:numId w:val="0"/>
        </w:numPr>
        <w:tabs>
          <w:tab w:val="left" w:pos="1134"/>
        </w:tabs>
        <w:spacing w:line="600" w:lineRule="exact"/>
        <w:ind w:left="567" w:leftChars="0"/>
        <w:rPr>
          <w:rFonts w:ascii="宋体" w:hAnsi="宋体"/>
          <w:sz w:val="28"/>
          <w:szCs w:val="28"/>
        </w:rPr>
      </w:pPr>
    </w:p>
    <w:p/>
    <w:p>
      <w:pPr>
        <w:pStyle w:val="18"/>
      </w:pPr>
    </w:p>
    <w:p/>
    <w:p>
      <w:pPr>
        <w:pStyle w:val="18"/>
      </w:pPr>
    </w:p>
    <w:p/>
    <w:p>
      <w:pPr>
        <w:pStyle w:val="18"/>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3" w:name="_Toc9959"/>
      <w:r>
        <w:rPr>
          <w:rFonts w:hint="eastAsia"/>
        </w:rPr>
        <w:t>响应文件格式</w:t>
      </w:r>
      <w:bookmarkEnd w:id="53"/>
    </w:p>
    <w:p>
      <w:pPr>
        <w:pStyle w:val="4"/>
      </w:pPr>
      <w:bookmarkStart w:id="54" w:name="_Toc17307"/>
      <w:bookmarkStart w:id="55" w:name="_Toc448403805"/>
      <w:bookmarkStart w:id="56" w:name="_Toc320698765"/>
      <w:r>
        <w:rPr>
          <w:rFonts w:hint="eastAsia"/>
        </w:rPr>
        <w:t>响应文件格式</w:t>
      </w:r>
      <w:bookmarkEnd w:id="54"/>
    </w:p>
    <w:p>
      <w:pPr>
        <w:pStyle w:val="5"/>
        <w:tabs>
          <w:tab w:val="left" w:pos="709"/>
        </w:tabs>
        <w:ind w:left="1135" w:hanging="1135"/>
        <w:jc w:val="left"/>
        <w:rPr>
          <w:color w:val="auto"/>
        </w:rPr>
      </w:pPr>
      <w:r>
        <w:rPr>
          <w:rFonts w:hint="eastAsia"/>
          <w:color w:val="auto"/>
        </w:rPr>
        <w:t>响应文件封面格式</w:t>
      </w:r>
      <w:bookmarkEnd w:id="55"/>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彭州市禁毒办禁毒治理平台及视频会议系统设备采购项目</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彭州市政采（2021）A0011号-1</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snapToGrid w:val="0"/>
        <w:spacing w:line="620" w:lineRule="exact"/>
        <w:rPr>
          <w:rFonts w:ascii="宋体" w:hAnsi="宋体"/>
          <w:sz w:val="28"/>
          <w:szCs w:val="28"/>
        </w:rPr>
      </w:pPr>
      <w:bookmarkStart w:id="57" w:name="_Toc238581782"/>
      <w:bookmarkStart w:id="58" w:name="_Toc52184753"/>
      <w:bookmarkStart w:id="59" w:name="_Toc119296788"/>
      <w:bookmarkStart w:id="60" w:name="_Toc119295087"/>
      <w:bookmarkStart w:id="61" w:name="_Toc146903609"/>
      <w:bookmarkStart w:id="62" w:name="_Toc119203988"/>
      <w:r>
        <w:rPr>
          <w:rFonts w:hint="eastAsia" w:ascii="宋体" w:hAnsi="宋体"/>
          <w:sz w:val="28"/>
          <w:szCs w:val="28"/>
          <w:lang w:val="en-US" w:eastAsia="zh-CN"/>
        </w:rPr>
        <w:t>彭州</w:t>
      </w:r>
      <w:r>
        <w:rPr>
          <w:rFonts w:hint="eastAsia" w:ascii="宋体" w:hAnsi="宋体"/>
          <w:sz w:val="28"/>
          <w:szCs w:val="28"/>
        </w:rPr>
        <w:t>市公共资源交易服务中心</w:t>
      </w:r>
      <w:bookmarkEnd w:id="57"/>
      <w:r>
        <w:rPr>
          <w:rFonts w:hint="eastAsia" w:ascii="宋体" w:hAnsi="宋体"/>
          <w:sz w:val="28"/>
          <w:szCs w:val="28"/>
        </w:rPr>
        <w:t>：</w:t>
      </w:r>
    </w:p>
    <w:p>
      <w:pPr>
        <w:spacing w:line="360" w:lineRule="auto"/>
        <w:ind w:firstLine="560" w:firstLineChars="200"/>
        <w:rPr>
          <w:rFonts w:ascii="宋体" w:hAnsi="宋体"/>
          <w:b/>
          <w:sz w:val="28"/>
          <w:szCs w:val="28"/>
          <w:u w:val="single"/>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bCs w:val="0"/>
          <w:sz w:val="28"/>
          <w:szCs w:val="28"/>
          <w:u w:val="single"/>
          <w:lang w:eastAsia="zh-CN"/>
        </w:rPr>
        <w:t>彭州市禁毒办禁毒治理平台及视频会议系统设备采购项目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彭州市政采（2021）A0011号-1</w:t>
      </w:r>
      <w:r>
        <w:rPr>
          <w:rFonts w:hint="eastAsia" w:ascii="宋体" w:hAnsi="宋体"/>
          <w:b/>
          <w:bCs/>
          <w:sz w:val="28"/>
          <w:szCs w:val="28"/>
          <w:u w:val="single"/>
        </w:rPr>
        <w:t>）</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0"/>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           </w:t>
      </w:r>
      <w:r>
        <w:rPr>
          <w:rFonts w:hint="eastAsia" w:ascii="宋体" w:hAnsi="宋体"/>
          <w:sz w:val="28"/>
          <w:szCs w:val="28"/>
        </w:rPr>
        <w:t>邮编：</w:t>
      </w:r>
      <w:r>
        <w:rPr>
          <w:rFonts w:ascii="宋体" w:hAnsi="宋体"/>
          <w:sz w:val="28"/>
          <w:szCs w:val="28"/>
        </w:rPr>
        <w:t>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w:t>
      </w:r>
    </w:p>
    <w:p>
      <w:pPr>
        <w:widowControl w:val="0"/>
        <w:numPr>
          <w:ilvl w:val="0"/>
          <w:numId w:val="30"/>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r>
        <w:rPr>
          <w:rFonts w:hint="eastAsia" w:ascii="宋体" w:hAnsi="宋体"/>
          <w:bCs/>
          <w:sz w:val="28"/>
          <w:szCs w:val="28"/>
        </w:rPr>
        <w:t>供应商名称：</w:t>
      </w:r>
      <w:r>
        <w:rPr>
          <w:rFonts w:ascii="宋体" w:hAnsi="宋体"/>
          <w:sz w:val="28"/>
          <w:szCs w:val="28"/>
          <w:u w:val="single"/>
        </w:rPr>
        <w:t>XXXXXX</w:t>
      </w:r>
    </w:p>
    <w:p>
      <w:pPr>
        <w:pStyle w:val="27"/>
        <w:snapToGrid w:val="0"/>
        <w:spacing w:line="620" w:lineRule="exact"/>
        <w:ind w:firstLine="560" w:firstLineChars="200"/>
        <w:rPr>
          <w:rFonts w:ascii="宋体" w:hAnsi="宋体"/>
          <w:sz w:val="28"/>
          <w:szCs w:val="28"/>
          <w:u w:val="single"/>
        </w:rPr>
      </w:pPr>
      <w:r>
        <w:rPr>
          <w:rFonts w:hint="eastAsia" w:ascii="宋体" w:hAnsi="宋体"/>
          <w:sz w:val="28"/>
          <w:szCs w:val="28"/>
        </w:rPr>
        <w:t>日期：</w:t>
      </w:r>
      <w:r>
        <w:rPr>
          <w:rFonts w:ascii="宋体" w:hAnsi="宋体"/>
          <w:sz w:val="28"/>
          <w:szCs w:val="28"/>
          <w:u w:val="single"/>
        </w:rPr>
        <w:t>202X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bookmarkEnd w:id="58"/>
    <w:bookmarkEnd w:id="59"/>
    <w:bookmarkEnd w:id="60"/>
    <w:bookmarkEnd w:id="61"/>
    <w:bookmarkEnd w:id="62"/>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声明</w:t>
      </w:r>
    </w:p>
    <w:p>
      <w:pPr>
        <w:snapToGrid w:val="0"/>
        <w:spacing w:line="360" w:lineRule="auto"/>
        <w:ind w:left="1276" w:right="-65" w:rightChars="-27" w:hanging="1276" w:hangingChars="454"/>
        <w:rPr>
          <w:rFonts w:hint="eastAsia" w:ascii="宋体" w:hAnsi="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彭州市禁毒办禁毒治理平台及视频会议系统设备采购项目</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编号：</w:t>
      </w:r>
      <w:r>
        <w:rPr>
          <w:rFonts w:hint="eastAsia" w:ascii="宋体" w:hAnsi="宋体"/>
          <w:b/>
          <w:bCs/>
          <w:sz w:val="28"/>
          <w:szCs w:val="28"/>
          <w:u w:val="single"/>
          <w:lang w:val="en-US" w:eastAsia="zh-CN"/>
        </w:rPr>
        <w:t>彭州市政采（2021）A0011号-1</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val="en-US" w:eastAsia="zh-CN"/>
        </w:rPr>
        <w:t>彭州</w:t>
      </w:r>
      <w:r>
        <w:rPr>
          <w:rFonts w:hint="eastAsia" w:ascii="宋体" w:hAnsi="宋体"/>
          <w:b/>
          <w:sz w:val="28"/>
          <w:szCs w:val="28"/>
        </w:rPr>
        <w:t>市公共资源交易服务中心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bCs w:val="0"/>
          <w:sz w:val="28"/>
          <w:szCs w:val="28"/>
          <w:u w:val="single"/>
          <w:lang w:eastAsia="zh-CN"/>
        </w:rPr>
        <w:t>彭州市禁毒办禁毒治理平台及视频会议系统设备采购项目</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5.对声明中第六条的说明：如供应商处于被行政部门禁止参加政府采购活动期限内的，该声明填“处于”，供应商将被认定响应无效或被取消成交资格。</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rPr>
          <w:lang w:val="zh-CN"/>
        </w:rPr>
      </w:pPr>
    </w:p>
    <w:p/>
    <w:p/>
    <w:p/>
    <w:p>
      <w:pPr>
        <w:pStyle w:val="5"/>
        <w:numPr>
          <w:ilvl w:val="3"/>
          <w:numId w:val="1"/>
        </w:numPr>
        <w:tabs>
          <w:tab w:val="left" w:pos="709"/>
        </w:tabs>
        <w:jc w:val="left"/>
        <w:rPr>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w:t>
      </w:r>
      <w:r>
        <w:rPr>
          <w:rFonts w:hint="eastAsia" w:ascii="宋体" w:hAnsi="宋体"/>
          <w:sz w:val="28"/>
          <w:szCs w:val="28"/>
          <w:lang w:val="en-US" w:eastAsia="zh-CN"/>
        </w:rPr>
        <w:t>需</w:t>
      </w:r>
      <w:r>
        <w:rPr>
          <w:rFonts w:hint="eastAsia" w:ascii="宋体" w:hAnsi="宋体"/>
          <w:sz w:val="28"/>
          <w:szCs w:val="28"/>
          <w:lang w:val="en-US"/>
        </w:rPr>
        <w:t>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报价书</w:t>
      </w:r>
    </w:p>
    <w:p>
      <w:pPr>
        <w:spacing w:line="560" w:lineRule="exact"/>
        <w:rPr>
          <w:rFonts w:ascii="宋体" w:hAnsi="宋体"/>
          <w:bCs/>
          <w:sz w:val="28"/>
          <w:szCs w:val="28"/>
        </w:rPr>
      </w:pPr>
      <w:r>
        <w:rPr>
          <w:rFonts w:hint="eastAsia" w:ascii="宋体" w:hAnsi="宋体"/>
          <w:bCs/>
          <w:sz w:val="28"/>
          <w:szCs w:val="28"/>
          <w:lang w:val="en-US" w:eastAsia="zh-CN"/>
        </w:rPr>
        <w:t>彭州</w:t>
      </w:r>
      <w:r>
        <w:rPr>
          <w:rFonts w:hint="eastAsia" w:ascii="宋体" w:hAnsi="宋体"/>
          <w:bCs/>
          <w:sz w:val="28"/>
          <w:szCs w:val="28"/>
        </w:rPr>
        <w:t>市公共资源交易服务中心：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val="0"/>
          <w:sz w:val="28"/>
          <w:szCs w:val="28"/>
          <w:u w:val="single"/>
          <w:lang w:eastAsia="zh-CN"/>
        </w:rPr>
        <w:t>彭州市禁毒办禁毒治理平台及视频会议系统设备采购项目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彭州市政采（2021）A0011号-1</w:t>
      </w:r>
      <w:r>
        <w:rPr>
          <w:rFonts w:hint="eastAsia" w:ascii="宋体" w:hAnsi="宋体"/>
          <w:b/>
          <w:bCs/>
          <w:sz w:val="28"/>
          <w:szCs w:val="28"/>
          <w:u w:val="single"/>
        </w:rPr>
        <w:t>）</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XXXX（供应商名称）</w:t>
      </w:r>
      <w:r>
        <w:rPr>
          <w:rFonts w:hint="eastAsia" w:ascii="宋体" w:hAnsi="宋体"/>
          <w:bCs/>
          <w:sz w:val="28"/>
          <w:szCs w:val="28"/>
        </w:rPr>
        <w:t>全权处理本项目询价采购</w:t>
      </w:r>
      <w:r>
        <w:rPr>
          <w:rFonts w:ascii="宋体" w:hAnsi="宋体"/>
          <w:bCs/>
          <w:sz w:val="28"/>
          <w:szCs w:val="28"/>
        </w:rPr>
        <w:t>活动</w:t>
      </w:r>
      <w:r>
        <w:rPr>
          <w:rFonts w:hint="eastAsia" w:ascii="宋体" w:hAnsi="宋体"/>
          <w:bCs/>
          <w:sz w:val="28"/>
          <w:szCs w:val="28"/>
        </w:rPr>
        <w:t>的有关事宜。</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2"/>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80" w:leftChars="200"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spacing w:line="360" w:lineRule="auto"/>
        <w:ind w:left="324"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供应商基本情况表</w:t>
      </w:r>
    </w:p>
    <w:tbl>
      <w:tblPr>
        <w:tblStyle w:val="45"/>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63" w:name="_Toc302997928"/>
      <w:bookmarkStart w:id="64" w:name="_Toc263768877"/>
      <w:bookmarkStart w:id="65" w:name="_Toc263753619"/>
    </w:p>
    <w:p>
      <w:pPr>
        <w:adjustRightInd w:val="0"/>
        <w:spacing w:line="400" w:lineRule="exact"/>
        <w:rPr>
          <w:rFonts w:ascii="宋体" w:hAnsi="宋体"/>
          <w:bCs/>
          <w:sz w:val="28"/>
          <w:u w:val="single"/>
        </w:rPr>
      </w:pPr>
    </w:p>
    <w:bookmarkEnd w:id="63"/>
    <w:bookmarkEnd w:id="64"/>
    <w:bookmarkEnd w:id="65"/>
    <w:p>
      <w:pPr>
        <w:pStyle w:val="5"/>
        <w:numPr>
          <w:ilvl w:val="3"/>
          <w:numId w:val="1"/>
        </w:numPr>
        <w:tabs>
          <w:tab w:val="left" w:pos="709"/>
        </w:tabs>
        <w:jc w:val="left"/>
        <w:rPr>
          <w:color w:val="auto"/>
        </w:rPr>
      </w:pPr>
      <w:r>
        <w:rPr>
          <w:rFonts w:hint="eastAsia"/>
          <w:color w:val="auto"/>
        </w:rPr>
        <w:t>服务方案及服务承诺</w:t>
      </w:r>
    </w:p>
    <w:p>
      <w:pPr>
        <w:snapToGrid w:val="0"/>
        <w:spacing w:line="360" w:lineRule="auto"/>
        <w:ind w:left="1276" w:right="-65" w:rightChars="-27" w:hanging="1276" w:hangingChars="454"/>
        <w:rPr>
          <w:rFonts w:hint="eastAsia" w:ascii="宋体" w:hAnsi="宋体"/>
          <w:b/>
          <w:sz w:val="28"/>
          <w:szCs w:val="28"/>
          <w:u w:val="single"/>
          <w:lang w:eastAsia="zh-CN"/>
        </w:rPr>
      </w:pPr>
      <w:r>
        <w:rPr>
          <w:rFonts w:hint="eastAsia" w:ascii="宋体" w:hAnsi="宋体"/>
          <w:b/>
          <w:sz w:val="28"/>
        </w:rPr>
        <w:t>项目名称：</w:t>
      </w:r>
      <w:r>
        <w:rPr>
          <w:rFonts w:hint="eastAsia" w:ascii="宋体" w:hAnsi="宋体"/>
          <w:b/>
          <w:sz w:val="28"/>
          <w:szCs w:val="28"/>
          <w:u w:val="single"/>
          <w:lang w:eastAsia="zh-CN"/>
        </w:rPr>
        <w:t>彭州市禁毒办禁毒治理平台及视频会议系统设备采购项目</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编号：</w:t>
      </w:r>
      <w:r>
        <w:rPr>
          <w:rFonts w:hint="eastAsia" w:ascii="宋体" w:hAnsi="宋体"/>
          <w:b/>
          <w:bCs/>
          <w:sz w:val="28"/>
          <w:szCs w:val="28"/>
          <w:u w:val="single"/>
          <w:lang w:val="en-US" w:eastAsia="zh-CN"/>
        </w:rPr>
        <w:t>彭州市政采（2021）A0011号-1</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b/>
          <w:sz w:val="28"/>
          <w:szCs w:val="28"/>
          <w:u w:val="single"/>
          <w:lang w:eastAsia="zh-CN"/>
        </w:rPr>
      </w:pPr>
      <w:r>
        <w:rPr>
          <w:rFonts w:hint="eastAsia" w:ascii="宋体" w:hAnsi="宋体"/>
          <w:b/>
          <w:spacing w:val="-20"/>
          <w:sz w:val="28"/>
          <w:szCs w:val="28"/>
        </w:rPr>
        <w:t>项目名称：</w:t>
      </w:r>
      <w:r>
        <w:rPr>
          <w:rFonts w:hint="eastAsia" w:ascii="宋体" w:hAnsi="宋体"/>
          <w:b/>
          <w:sz w:val="28"/>
          <w:szCs w:val="28"/>
          <w:u w:val="single"/>
          <w:lang w:eastAsia="zh-CN"/>
        </w:rPr>
        <w:t>彭州市禁毒办禁毒治理平台及视频会议系统设备采购项目</w:t>
      </w:r>
    </w:p>
    <w:p>
      <w:pPr>
        <w:snapToGrid w:val="0"/>
        <w:spacing w:line="360" w:lineRule="auto"/>
        <w:rPr>
          <w:rFonts w:ascii="宋体" w:hAnsi="宋体"/>
          <w:b/>
          <w:sz w:val="28"/>
          <w:szCs w:val="28"/>
          <w:u w:val="single"/>
        </w:rPr>
      </w:pPr>
      <w:bookmarkStart w:id="184" w:name="_GoBack"/>
      <w:bookmarkEnd w:id="184"/>
      <w:r>
        <w:rPr>
          <w:rFonts w:hint="eastAsia" w:ascii="宋体" w:hAnsi="宋体"/>
          <w:b/>
          <w:sz w:val="28"/>
          <w:szCs w:val="28"/>
        </w:rPr>
        <w:t>编号：</w:t>
      </w:r>
      <w:r>
        <w:rPr>
          <w:rFonts w:hint="eastAsia" w:ascii="宋体" w:hAnsi="宋体"/>
          <w:b/>
          <w:sz w:val="28"/>
          <w:szCs w:val="28"/>
          <w:u w:val="single"/>
          <w:lang w:val="en-US" w:eastAsia="zh-CN"/>
        </w:rPr>
        <w:t>彭州市政采（2021）A0011号-1</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bCs w:val="0"/>
          <w:sz w:val="28"/>
          <w:szCs w:val="28"/>
          <w:u w:val="single"/>
          <w:lang w:eastAsia="zh-CN"/>
        </w:rPr>
        <w:t>彭州市禁毒办禁毒治理平台及视频会议系统设备采购项目</w:t>
      </w:r>
      <w:r>
        <w:rPr>
          <w:rFonts w:hint="eastAsia" w:ascii="宋体" w:hAnsi="宋体"/>
          <w:sz w:val="28"/>
        </w:rPr>
        <w:t>的供应商，在此郑重承诺：</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right="0" w:firstLine="560" w:firstLineChars="20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一、为本项目提供的所有产品、辅材中属于《国家强制性产品认证目录》范围内产品的，均通过国家强制性产品认证并取得认证证书。</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left="0" w:right="0" w:firstLine="48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二、为本项目提供的所有产品、辅材符合现行的强制性国家相关标准、行业标准。</w:t>
      </w:r>
    </w:p>
    <w:p>
      <w:pPr>
        <w:snapToGrid w:val="0"/>
        <w:spacing w:line="360" w:lineRule="auto"/>
        <w:ind w:firstLine="560" w:firstLineChars="200"/>
        <w:rPr>
          <w:rFonts w:hint="eastAsia" w:ascii="宋体" w:hAnsi="宋体"/>
          <w:sz w:val="28"/>
          <w:szCs w:val="28"/>
        </w:rPr>
      </w:pP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18"/>
        <w:rPr>
          <w:rFonts w:ascii="宋体" w:hAnsi="宋体"/>
        </w:rPr>
      </w:pPr>
    </w:p>
    <w:p>
      <w:pPr>
        <w:pStyle w:val="18"/>
        <w:rPr>
          <w:rFonts w:ascii="宋体" w:hAnsi="宋体"/>
        </w:rPr>
      </w:pPr>
    </w:p>
    <w:p>
      <w:pPr>
        <w:pStyle w:val="5"/>
        <w:numPr>
          <w:ilvl w:val="3"/>
          <w:numId w:val="1"/>
        </w:numPr>
        <w:tabs>
          <w:tab w:val="left" w:pos="709"/>
        </w:tabs>
        <w:snapToGrid w:val="0"/>
        <w:jc w:val="left"/>
        <w:rPr>
          <w:spacing w:val="6"/>
        </w:rPr>
      </w:pP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60" w:lineRule="exact"/>
        <w:ind w:firstLine="563"/>
        <w:rPr>
          <w:rFonts w:ascii="宋体" w:hAnsi="宋体"/>
          <w:sz w:val="28"/>
          <w:szCs w:val="28"/>
        </w:rPr>
      </w:pP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sz w:val="28"/>
          <w:szCs w:val="28"/>
          <w:u w:val="single"/>
        </w:rPr>
        <w:t>XXXX</w:t>
      </w:r>
      <w:r>
        <w:rPr>
          <w:rFonts w:ascii="宋体" w:hAnsi="宋体"/>
          <w:sz w:val="28"/>
          <w:szCs w:val="28"/>
          <w:u w:val="single"/>
        </w:rPr>
        <w:t>（单位名称）</w:t>
      </w:r>
      <w:r>
        <w:rPr>
          <w:rFonts w:ascii="宋体" w:hAnsi="宋体"/>
          <w:sz w:val="28"/>
          <w:szCs w:val="28"/>
        </w:rPr>
        <w:t>的</w:t>
      </w:r>
      <w:r>
        <w:rPr>
          <w:rFonts w:hint="eastAsia" w:ascii="宋体" w:hAnsi="宋体"/>
          <w:sz w:val="28"/>
          <w:szCs w:val="28"/>
          <w:u w:val="single"/>
        </w:rPr>
        <w:t>XXXX</w:t>
      </w:r>
      <w:r>
        <w:rPr>
          <w:rFonts w:ascii="宋体" w:hAnsi="宋体"/>
          <w:sz w:val="28"/>
          <w:szCs w:val="28"/>
          <w:u w:val="single"/>
        </w:rPr>
        <w:t>（项目名称）</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sz w:val="28"/>
          <w:szCs w:val="28"/>
          <w:u w:val="single"/>
        </w:rPr>
        <w:t>XXXX</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0"/>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3"/>
          <w:numId w:val="1"/>
        </w:numPr>
        <w:tabs>
          <w:tab w:val="left" w:pos="709"/>
        </w:tabs>
        <w:snapToGrid w:val="0"/>
        <w:jc w:val="left"/>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8"/>
        <w:rPr>
          <w:rFonts w:ascii="宋体" w:hAnsi="宋体"/>
        </w:rPr>
      </w:pPr>
    </w:p>
    <w:p>
      <w:pPr>
        <w:pStyle w:val="5"/>
        <w:tabs>
          <w:tab w:val="left" w:pos="709"/>
        </w:tabs>
        <w:ind w:left="1135" w:hanging="1135"/>
        <w:jc w:val="left"/>
        <w:rPr>
          <w:color w:val="auto"/>
        </w:rPr>
      </w:pPr>
      <w:r>
        <w:rPr>
          <w:rFonts w:hint="eastAsia"/>
          <w:color w:val="auto"/>
        </w:rPr>
        <w:t>报价要求</w:t>
      </w:r>
      <w:r>
        <w:rPr>
          <w:color w:val="auto"/>
        </w:rPr>
        <w:t>响应文件</w:t>
      </w:r>
    </w:p>
    <w:p>
      <w:pPr>
        <w:pStyle w:val="5"/>
        <w:numPr>
          <w:ilvl w:val="3"/>
          <w:numId w:val="1"/>
        </w:numPr>
        <w:tabs>
          <w:tab w:val="left" w:pos="709"/>
        </w:tabs>
        <w:jc w:val="left"/>
        <w:rPr>
          <w:color w:val="auto"/>
        </w:rPr>
      </w:pPr>
      <w:r>
        <w:rPr>
          <w:rFonts w:hint="eastAsia"/>
          <w:color w:val="auto"/>
        </w:rPr>
        <w:t>开标</w:t>
      </w:r>
      <w:r>
        <w:rPr>
          <w:color w:val="auto"/>
        </w:rPr>
        <w:t>一览表</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lang w:eastAsia="zh-CN"/>
        </w:rPr>
        <w:t>彭州市禁毒办禁毒治理平台及视频会议系统设备采购项目</w:t>
      </w:r>
      <w:r>
        <w:rPr>
          <w:rFonts w:hint="eastAsia" w:ascii="宋体" w:hAnsi="宋体"/>
          <w:b/>
          <w:sz w:val="28"/>
          <w:szCs w:val="28"/>
        </w:rPr>
        <w:t>项目编号：</w:t>
      </w:r>
      <w:r>
        <w:rPr>
          <w:rFonts w:hint="eastAsia" w:ascii="宋体" w:hAnsi="宋体"/>
          <w:b/>
          <w:sz w:val="28"/>
          <w:szCs w:val="28"/>
          <w:u w:val="single"/>
          <w:lang w:val="en-US" w:eastAsia="zh-CN"/>
        </w:rPr>
        <w:t>彭州市政采（2021）A0011号-1</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360" w:lineRule="auto"/>
        <w:rPr>
          <w:rFonts w:hint="eastAsia" w:ascii="宋体" w:hAnsi="宋体"/>
          <w:b/>
          <w:color w:val="C00000"/>
          <w:sz w:val="28"/>
          <w:szCs w:val="28"/>
          <w:highlight w:val="none"/>
        </w:rPr>
      </w:pPr>
    </w:p>
    <w:p>
      <w:pPr>
        <w:snapToGrid w:val="0"/>
        <w:spacing w:line="360" w:lineRule="auto"/>
        <w:rPr>
          <w:rFonts w:hint="eastAsia" w:ascii="宋体" w:hAnsi="宋体"/>
          <w:b/>
          <w:color w:val="C00000"/>
          <w:sz w:val="28"/>
          <w:szCs w:val="28"/>
          <w:highlight w:val="none"/>
        </w:rPr>
      </w:pPr>
      <w:r>
        <w:rPr>
          <w:rFonts w:hint="eastAsia" w:ascii="宋体" w:hAnsi="宋体"/>
          <w:b/>
          <w:color w:val="C00000"/>
          <w:sz w:val="28"/>
          <w:szCs w:val="28"/>
          <w:highlight w:val="none"/>
        </w:rPr>
        <w:t>注：参加询价的供应商在响应文件里做出“一次性不可更改”的报价。</w:t>
      </w:r>
    </w:p>
    <w:p>
      <w:pPr>
        <w:pStyle w:val="18"/>
        <w:rPr>
          <w:rFonts w:hint="eastAsia"/>
          <w:lang w:eastAsia="zh-CN"/>
        </w:rPr>
      </w:pPr>
    </w:p>
    <w:p>
      <w:pPr>
        <w:pStyle w:val="5"/>
        <w:numPr>
          <w:ilvl w:val="3"/>
          <w:numId w:val="1"/>
        </w:numPr>
        <w:tabs>
          <w:tab w:val="left" w:pos="709"/>
        </w:tabs>
        <w:snapToGrid w:val="0"/>
        <w:jc w:val="left"/>
        <w:rPr>
          <w:spacing w:val="6"/>
        </w:rPr>
      </w:pPr>
      <w:r>
        <w:rPr>
          <w:rFonts w:hint="eastAsia"/>
          <w:color w:val="auto"/>
        </w:rPr>
        <w:t>分项</w:t>
      </w:r>
      <w:r>
        <w:rPr>
          <w:color w:val="auto"/>
        </w:rPr>
        <w:t>报价</w:t>
      </w:r>
      <w:r>
        <w:rPr>
          <w:rFonts w:hint="eastAsia"/>
          <w:color w:val="auto"/>
        </w:rPr>
        <w:t>明细</w:t>
      </w:r>
      <w:r>
        <w:rPr>
          <w:color w:val="auto"/>
        </w:rPr>
        <w:t>表</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lang w:eastAsia="zh-CN"/>
        </w:rPr>
        <w:t>彭州市禁毒办禁毒治理平台及视频会议系统设备采购项目</w:t>
      </w:r>
      <w:r>
        <w:rPr>
          <w:rFonts w:hint="eastAsia" w:ascii="宋体" w:hAnsi="宋体"/>
          <w:b/>
          <w:sz w:val="28"/>
          <w:szCs w:val="28"/>
        </w:rPr>
        <w:t>项目编号：</w:t>
      </w:r>
      <w:r>
        <w:rPr>
          <w:rFonts w:hint="eastAsia" w:ascii="宋体" w:hAnsi="宋体"/>
          <w:b/>
          <w:sz w:val="28"/>
          <w:szCs w:val="28"/>
          <w:u w:val="single"/>
          <w:lang w:val="en-US" w:eastAsia="zh-CN"/>
        </w:rPr>
        <w:t>彭州市政采（2021）A0011号-1</w:t>
      </w:r>
    </w:p>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一、分项报价明细表</w:t>
      </w:r>
    </w:p>
    <w:tbl>
      <w:tblPr>
        <w:tblStyle w:val="45"/>
        <w:tblW w:w="10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35"/>
        <w:gridCol w:w="1110"/>
        <w:gridCol w:w="1110"/>
        <w:gridCol w:w="1110"/>
        <w:gridCol w:w="1110"/>
        <w:gridCol w:w="1122"/>
        <w:gridCol w:w="111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序号</w:t>
            </w:r>
          </w:p>
        </w:tc>
        <w:tc>
          <w:tcPr>
            <w:tcW w:w="1135"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货物名称</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品牌</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规格型号</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制造商</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进口或国产</w:t>
            </w:r>
          </w:p>
        </w:tc>
        <w:tc>
          <w:tcPr>
            <w:tcW w:w="112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数量</w:t>
            </w: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单价</w:t>
            </w:r>
          </w:p>
        </w:tc>
        <w:tc>
          <w:tcPr>
            <w:tcW w:w="1127"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r>
              <w:rPr>
                <w:rFonts w:ascii="宋体" w:hAnsi="宋体"/>
                <w:b/>
                <w:bCs/>
                <w:szCs w:val="21"/>
              </w:rPr>
              <w:t>总价</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u w:val="single"/>
              </w:rPr>
            </w:pPr>
          </w:p>
        </w:tc>
        <w:tc>
          <w:tcPr>
            <w:tcW w:w="1127"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4" w:type="dxa"/>
            <w:gridSpan w:val="8"/>
            <w:tcBorders>
              <w:top w:val="single" w:color="auto" w:sz="2" w:space="0"/>
              <w:left w:val="single" w:color="auto" w:sz="2" w:space="0"/>
              <w:bottom w:val="single" w:color="auto" w:sz="2" w:space="0"/>
              <w:right w:val="single" w:color="auto" w:sz="4" w:space="0"/>
            </w:tcBorders>
            <w:vAlign w:val="center"/>
          </w:tcPr>
          <w:p>
            <w:pPr>
              <w:pStyle w:val="27"/>
              <w:numPr>
                <w:ilvl w:val="0"/>
                <w:numId w:val="0"/>
              </w:numPr>
              <w:ind w:leftChars="0"/>
              <w:jc w:val="center"/>
              <w:rPr>
                <w:rFonts w:ascii="宋体" w:hAnsi="宋体"/>
                <w:bCs/>
                <w:szCs w:val="21"/>
              </w:rPr>
            </w:pPr>
            <w:r>
              <w:rPr>
                <w:rFonts w:hint="eastAsia" w:ascii="宋体" w:hAnsi="宋体"/>
                <w:bCs/>
                <w:szCs w:val="21"/>
              </w:rPr>
              <w:t>投标报价（总价合计）</w:t>
            </w:r>
          </w:p>
        </w:tc>
        <w:tc>
          <w:tcPr>
            <w:tcW w:w="1127" w:type="dxa"/>
            <w:tcBorders>
              <w:top w:val="single" w:color="auto" w:sz="2" w:space="0"/>
              <w:left w:val="single" w:color="auto" w:sz="4"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r>
              <w:rPr>
                <w:rFonts w:ascii="宋体" w:hAnsi="宋体"/>
                <w:bCs/>
                <w:szCs w:val="21"/>
                <w:u w:val="single"/>
              </w:rPr>
              <w:t xml:space="preserve">xx </w:t>
            </w:r>
            <w:r>
              <w:rPr>
                <w:rFonts w:hint="eastAsia" w:ascii="宋体" w:hAnsi="宋体"/>
                <w:bCs/>
                <w:szCs w:val="21"/>
              </w:rPr>
              <w:t>元</w:t>
            </w: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tabs>
          <w:tab w:val="left" w:pos="720"/>
          <w:tab w:val="left" w:pos="7560"/>
        </w:tabs>
        <w:spacing w:line="360" w:lineRule="auto"/>
        <w:ind w:firstLine="281" w:firstLineChars="100"/>
        <w:rPr>
          <w:rFonts w:ascii="宋体" w:hAnsi="宋体"/>
          <w:b/>
          <w:sz w:val="28"/>
        </w:rPr>
      </w:pPr>
      <w:r>
        <w:rPr>
          <w:rFonts w:hint="eastAsia" w:ascii="宋体" w:hAnsi="宋体" w:cstheme="minorBidi"/>
          <w:b/>
          <w:sz w:val="28"/>
          <w:szCs w:val="28"/>
        </w:rPr>
        <w:t>二、供应商</w:t>
      </w:r>
      <w:r>
        <w:rPr>
          <w:rFonts w:hint="eastAsia" w:ascii="宋体" w:hAnsi="宋体" w:cstheme="minorBidi"/>
          <w:b/>
          <w:sz w:val="28"/>
        </w:rPr>
        <w:t>报价产品</w:t>
      </w:r>
      <w:r>
        <w:rPr>
          <w:rFonts w:hint="eastAsia" w:ascii="宋体" w:hAnsi="宋体"/>
          <w:b/>
          <w:sz w:val="28"/>
        </w:rPr>
        <w:t>中为</w:t>
      </w:r>
      <w:r>
        <w:rPr>
          <w:rFonts w:hint="eastAsia" w:ascii="宋体" w:hAnsi="宋体" w:cstheme="minorBidi"/>
          <w:b/>
          <w:sz w:val="28"/>
        </w:rPr>
        <w:t>监狱企业生产的产品清单及价格（说明：</w:t>
      </w:r>
      <w:r>
        <w:rPr>
          <w:rFonts w:ascii="宋体" w:hAnsi="宋体" w:cstheme="minorBidi"/>
          <w:b/>
          <w:sz w:val="28"/>
        </w:rPr>
        <w:t>1、提供由省级以上监狱管理局、戒毒管理局（含新疆生产建设兵团）出具的生产厂商属于监狱企业的证明文件复印件；2、如未提供产品清单及价格以及相关证明材料复印件，则不能享受对监狱企业生产的产品的价格扣除，但不影响</w:t>
      </w:r>
      <w:r>
        <w:rPr>
          <w:rFonts w:hint="eastAsia" w:ascii="宋体" w:hAnsi="宋体" w:cstheme="minorBidi"/>
          <w:b/>
          <w:sz w:val="28"/>
        </w:rPr>
        <w:t>响应</w:t>
      </w:r>
      <w:r>
        <w:rPr>
          <w:rFonts w:ascii="宋体" w:hAnsi="宋体" w:cstheme="minorBidi"/>
          <w:b/>
          <w:sz w:val="28"/>
        </w:rPr>
        <w:t>文件的有效性。）</w:t>
      </w:r>
    </w:p>
    <w:tbl>
      <w:tblPr>
        <w:tblStyle w:val="45"/>
        <w:tblW w:w="10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851"/>
        <w:gridCol w:w="928"/>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72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69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253"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szCs w:val="28"/>
              </w:rPr>
              <w:t>进口或国产</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2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7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w:t>
            </w:r>
            <w:r>
              <w:rPr>
                <w:rFonts w:hint="eastAsia" w:ascii="宋体" w:hAnsi="宋体"/>
                <w:b/>
                <w:szCs w:val="28"/>
              </w:rPr>
              <w:t>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0144" w:type="dxa"/>
            <w:gridSpan w:val="9"/>
            <w:tcBorders>
              <w:top w:val="single" w:color="auto" w:sz="4" w:space="0"/>
              <w:left w:val="single" w:color="auto" w:sz="4" w:space="0"/>
              <w:bottom w:val="single" w:color="auto" w:sz="4" w:space="0"/>
              <w:right w:val="single" w:color="auto" w:sz="4" w:space="0"/>
            </w:tcBorders>
          </w:tcPr>
          <w:p>
            <w:pPr>
              <w:spacing w:before="240" w:after="60" w:line="360" w:lineRule="auto"/>
              <w:ind w:firstLine="843" w:firstLineChars="350"/>
              <w:outlineLvl w:val="0"/>
              <w:rPr>
                <w:rFonts w:ascii="宋体" w:hAnsi="宋体"/>
              </w:rPr>
            </w:pPr>
            <w:bookmarkStart w:id="66" w:name="_Toc18650"/>
            <w:r>
              <w:rPr>
                <w:rFonts w:hint="eastAsia" w:ascii="宋体" w:hAnsi="宋体" w:cs="宋体"/>
                <w:b/>
              </w:rPr>
              <w:t>监狱企业生产的产品</w:t>
            </w:r>
            <w:r>
              <w:rPr>
                <w:rFonts w:hint="eastAsia" w:ascii="宋体" w:hAnsi="宋体"/>
                <w:b/>
              </w:rPr>
              <w:t>总价合计：</w:t>
            </w:r>
            <w:r>
              <w:rPr>
                <w:rFonts w:ascii="宋体" w:hAnsi="宋体"/>
                <w:b/>
                <w:u w:val="single"/>
              </w:rPr>
              <w:t>XXXXXXXXXXXXX</w:t>
            </w:r>
            <w:r>
              <w:rPr>
                <w:rFonts w:hint="eastAsia" w:ascii="宋体" w:hAnsi="宋体"/>
                <w:b/>
              </w:rPr>
              <w:t>元</w:t>
            </w:r>
            <w:bookmarkEnd w:id="66"/>
          </w:p>
        </w:tc>
      </w:tr>
    </w:tbl>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三、供应商报价产品中为残疾人福利性单位生产的产品清单及价格（说明：如未提供则不能享受对残疾人福利性单位生产的产品的价格扣除</w:t>
      </w:r>
      <w:r>
        <w:rPr>
          <w:rFonts w:ascii="宋体" w:hAnsi="宋体" w:cstheme="minorBidi"/>
          <w:b/>
          <w:sz w:val="28"/>
        </w:rPr>
        <w:t>，但不影响</w:t>
      </w:r>
      <w:r>
        <w:rPr>
          <w:rFonts w:hint="eastAsia" w:ascii="宋体" w:hAnsi="宋体" w:cstheme="minorBidi"/>
          <w:b/>
          <w:sz w:val="28"/>
        </w:rPr>
        <w:t>响应</w:t>
      </w:r>
      <w:r>
        <w:rPr>
          <w:rFonts w:ascii="宋体" w:hAnsi="宋体" w:cstheme="minorBidi"/>
          <w:b/>
          <w:sz w:val="28"/>
        </w:rPr>
        <w:t>文件的有效性</w:t>
      </w:r>
      <w:r>
        <w:rPr>
          <w:rFonts w:hint="eastAsia" w:ascii="宋体" w:hAnsi="宋体" w:cstheme="minorBidi"/>
          <w:b/>
          <w:sz w:val="28"/>
        </w:rPr>
        <w:t>。</w:t>
      </w:r>
      <w:r>
        <w:rPr>
          <w:rFonts w:hint="eastAsia" w:ascii="宋体" w:hAnsi="宋体"/>
          <w:b/>
          <w:sz w:val="28"/>
        </w:rPr>
        <w:t>）</w:t>
      </w:r>
    </w:p>
    <w:tbl>
      <w:tblPr>
        <w:tblStyle w:val="45"/>
        <w:tblW w:w="9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59"/>
        <w:gridCol w:w="709"/>
        <w:gridCol w:w="1276"/>
        <w:gridCol w:w="1417"/>
        <w:gridCol w:w="851"/>
        <w:gridCol w:w="99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709"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92"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总价</w:t>
            </w:r>
            <w:r>
              <w:rPr>
                <w:rFonts w:hint="eastAsia" w:ascii="宋体" w:hAnsi="宋体"/>
                <w:b/>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9338" w:type="dxa"/>
            <w:gridSpan w:val="8"/>
            <w:tcBorders>
              <w:top w:val="single" w:color="auto" w:sz="4" w:space="0"/>
              <w:left w:val="single" w:color="auto" w:sz="4" w:space="0"/>
              <w:bottom w:val="single" w:color="auto" w:sz="4" w:space="0"/>
              <w:right w:val="single" w:color="auto" w:sz="4" w:space="0"/>
            </w:tcBorders>
          </w:tcPr>
          <w:p>
            <w:pPr>
              <w:spacing w:before="240" w:after="60" w:line="360" w:lineRule="auto"/>
              <w:ind w:firstLine="964" w:firstLineChars="400"/>
              <w:outlineLvl w:val="0"/>
              <w:rPr>
                <w:rFonts w:ascii="宋体" w:hAnsi="宋体"/>
              </w:rPr>
            </w:pPr>
            <w:bookmarkStart w:id="67" w:name="_Toc23288"/>
            <w:r>
              <w:rPr>
                <w:rFonts w:hint="eastAsia" w:ascii="宋体" w:hAnsi="宋体" w:cs="宋体"/>
                <w:b/>
              </w:rPr>
              <w:t>残疾人福利性单位生产的产品总价合计</w:t>
            </w:r>
            <w:r>
              <w:rPr>
                <w:rFonts w:hint="eastAsia" w:ascii="宋体" w:hAnsi="宋体"/>
                <w:b/>
              </w:rPr>
              <w:t>：</w:t>
            </w:r>
            <w:r>
              <w:rPr>
                <w:rFonts w:ascii="宋体" w:hAnsi="宋体"/>
                <w:b/>
                <w:u w:val="single"/>
              </w:rPr>
              <w:t>XXXXXXXXXXXXX</w:t>
            </w:r>
            <w:r>
              <w:rPr>
                <w:rFonts w:hint="eastAsia" w:ascii="宋体" w:hAnsi="宋体"/>
                <w:b/>
              </w:rPr>
              <w:t>元</w:t>
            </w:r>
            <w:bookmarkEnd w:id="67"/>
          </w:p>
        </w:tc>
      </w:tr>
    </w:tbl>
    <w:p>
      <w:pPr>
        <w:pStyle w:val="18"/>
        <w:rPr>
          <w:rFonts w:ascii="宋体" w:hAnsi="宋体"/>
        </w:rPr>
      </w:pPr>
    </w:p>
    <w:p>
      <w:pPr>
        <w:pStyle w:val="18"/>
        <w:rPr>
          <w:rFonts w:ascii="宋体" w:hAnsi="宋体"/>
        </w:rPr>
      </w:pPr>
    </w:p>
    <w:p>
      <w:pPr>
        <w:pStyle w:val="18"/>
        <w:rPr>
          <w:rFonts w:ascii="宋体" w:hAnsi="宋体"/>
        </w:rPr>
      </w:pPr>
    </w:p>
    <w:p>
      <w:pPr>
        <w:pStyle w:val="18"/>
        <w:rPr>
          <w:rFonts w:ascii="宋体" w:hAnsi="宋体"/>
        </w:rPr>
      </w:pPr>
    </w:p>
    <w:p>
      <w:pPr>
        <w:rPr>
          <w:rFonts w:ascii="宋体" w:hAnsi="宋体"/>
          <w:sz w:val="28"/>
          <w:lang w:val="zh-CN"/>
        </w:rPr>
      </w:pPr>
      <w:r>
        <w:rPr>
          <w:rFonts w:hint="eastAsia" w:ascii="宋体" w:hAnsi="宋体"/>
          <w:sz w:val="28"/>
          <w:lang w:val="zh-CN"/>
        </w:rPr>
        <w:t>供应商名称：XXXX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2"/>
        <w:spacing w:line="240" w:lineRule="auto"/>
        <w:ind w:firstLine="562"/>
        <w:rPr>
          <w:rFonts w:ascii="宋体" w:hAnsi="宋体"/>
          <w:b/>
          <w:sz w:val="28"/>
        </w:rPr>
      </w:pPr>
      <w:r>
        <w:rPr>
          <w:rFonts w:hint="eastAsia" w:ascii="宋体" w:hAnsi="宋体"/>
          <w:b/>
          <w:sz w:val="28"/>
        </w:rPr>
        <w:t>说明：供应商应根据以上表格格式填写分项报价，报价合计应包括供应商完成本项目所需的一切费用。</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pPr>
    </w:p>
    <w:p>
      <w:pPr>
        <w:rPr>
          <w:rFonts w:ascii="宋体" w:hAnsi="宋体"/>
        </w:rPr>
      </w:pPr>
    </w:p>
    <w:bookmarkEnd w:id="56"/>
    <w:p>
      <w:pPr>
        <w:pStyle w:val="3"/>
        <w:numPr>
          <w:ilvl w:val="0"/>
          <w:numId w:val="1"/>
        </w:numPr>
        <w:spacing w:before="0" w:after="0"/>
        <w:ind w:left="0" w:firstLine="0"/>
      </w:pPr>
      <w:bookmarkStart w:id="68" w:name="_Toc25405"/>
      <w:r>
        <w:rPr>
          <w:rFonts w:hint="eastAsia"/>
        </w:rPr>
        <w:t>技术、服务、商务及其他要求</w:t>
      </w:r>
      <w:bookmarkEnd w:id="68"/>
    </w:p>
    <w:p>
      <w:pPr>
        <w:pStyle w:val="4"/>
        <w:tabs>
          <w:tab w:val="left" w:pos="576"/>
          <w:tab w:val="clear" w:pos="567"/>
        </w:tabs>
      </w:pPr>
      <w:bookmarkStart w:id="69" w:name="_Toc25763"/>
      <w:bookmarkStart w:id="70" w:name="_Toc321334066"/>
      <w:bookmarkStart w:id="71" w:name="_Toc496702872"/>
      <w:r>
        <w:rPr>
          <w:rFonts w:hint="eastAsia"/>
        </w:rPr>
        <w:t>技术参数</w:t>
      </w:r>
      <w:r>
        <w:t>及要求</w:t>
      </w:r>
      <w:bookmarkEnd w:id="69"/>
    </w:p>
    <w:tbl>
      <w:tblPr>
        <w:tblStyle w:val="46"/>
        <w:tblW w:w="96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777"/>
        <w:gridCol w:w="875"/>
        <w:gridCol w:w="721"/>
        <w:gridCol w:w="864"/>
        <w:gridCol w:w="3756"/>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775"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采购内容</w:t>
            </w:r>
          </w:p>
        </w:tc>
        <w:tc>
          <w:tcPr>
            <w:tcW w:w="1777"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产品名称        （标的名称）</w:t>
            </w:r>
          </w:p>
        </w:tc>
        <w:tc>
          <w:tcPr>
            <w:tcW w:w="875"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型号规格</w:t>
            </w:r>
          </w:p>
        </w:tc>
        <w:tc>
          <w:tcPr>
            <w:tcW w:w="721"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单位</w:t>
            </w:r>
          </w:p>
        </w:tc>
        <w:tc>
          <w:tcPr>
            <w:tcW w:w="864"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数量</w:t>
            </w:r>
          </w:p>
        </w:tc>
        <w:tc>
          <w:tcPr>
            <w:tcW w:w="3756"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技术规格及描述</w:t>
            </w:r>
          </w:p>
        </w:tc>
        <w:tc>
          <w:tcPr>
            <w:tcW w:w="840" w:type="dxa"/>
            <w:vAlign w:val="center"/>
          </w:tcPr>
          <w:p>
            <w:pPr>
              <w:spacing w:after="200" w:line="276"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6" w:hRule="exact"/>
          <w:jc w:val="center"/>
        </w:trPr>
        <w:tc>
          <w:tcPr>
            <w:tcW w:w="775" w:type="dxa"/>
            <w:vMerge w:val="restart"/>
            <w:textDirection w:val="tbLrV"/>
            <w:vAlign w:val="center"/>
          </w:tcPr>
          <w:p>
            <w:pPr>
              <w:spacing w:after="200" w:line="276" w:lineRule="auto"/>
              <w:ind w:left="113" w:right="113"/>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可视化大屏</w:t>
            </w: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室内全彩LED屏</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P1.86</w:t>
            </w: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m²</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14.592</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ind w:left="20" w:right="0" w:firstLine="0"/>
              <w:jc w:val="both"/>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模组尺寸：320*160，亮度：500CD,分辨率：3268*1290.净屏尺寸:6.08M*2.4M=14.592平方米.刷新率：3840Hz</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9" w:hRule="exact"/>
          <w:jc w:val="center"/>
        </w:trPr>
        <w:tc>
          <w:tcPr>
            <w:tcW w:w="775" w:type="dxa"/>
            <w:vMerge w:val="continue"/>
          </w:tcPr>
          <w:p>
            <w:pPr>
              <w:spacing w:after="200" w:line="276" w:lineRule="auto"/>
              <w:rPr>
                <w:rFonts w:hint="eastAsia" w:ascii="宋体" w:hAnsi="宋体" w:eastAsia="宋体" w:cs="宋体"/>
                <w:sz w:val="21"/>
                <w:szCs w:val="21"/>
                <w:highlight w:val="none"/>
                <w:vertAlign w:val="baseline"/>
              </w:rPr>
            </w:pP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接收卡</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5A75B</w:t>
            </w: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张</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39</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备用1张。支持常规芯片实现高刷新、高灰度、高亮度；</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·全新灰度引擎，低灰度表现更佳；</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·细节处理更完美，可消除单元板设计引起的某行偏暗、低灰偏红、鬼影等细节问题；</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·支持高精度的色度、亮度一体化逐点校正；</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·支持所有常规芯片、PWM芯片和灯饰芯片；</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1" w:leftChars="0" w:right="0"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z w:val="21"/>
                <w:szCs w:val="21"/>
                <w:highlight w:val="none"/>
              </w:rPr>
              <w:t>支持静态屏、2~64</w:t>
            </w:r>
            <w:r>
              <w:rPr>
                <w:rFonts w:hint="eastAsia" w:ascii="宋体" w:hAnsi="宋体" w:eastAsia="宋体" w:cs="宋体"/>
                <w:spacing w:val="-1"/>
                <w:sz w:val="21"/>
                <w:szCs w:val="21"/>
                <w:highlight w:val="none"/>
              </w:rPr>
              <w:t>扫之间的任意扫描类型；</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Chars="0" w:right="95"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pacing w:val="-1"/>
                <w:sz w:val="21"/>
                <w:szCs w:val="21"/>
                <w:highlight w:val="none"/>
              </w:rPr>
              <w:t>支持任意抽点，支持数据偏移，可轻松实现各</w:t>
            </w:r>
            <w:r>
              <w:rPr>
                <w:rFonts w:hint="eastAsia" w:ascii="宋体" w:hAnsi="宋体" w:eastAsia="宋体" w:cs="宋体"/>
                <w:sz w:val="21"/>
                <w:szCs w:val="21"/>
                <w:highlight w:val="none"/>
              </w:rPr>
              <w:t>种异型屏、球形屏、创意显示屏；</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1" w:leftChars="0" w:right="0"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z w:val="21"/>
                <w:szCs w:val="21"/>
                <w:highlight w:val="none"/>
              </w:rPr>
              <w:t>支持超大带载面积；</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Chars="0" w:right="95"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pacing w:val="-1"/>
                <w:sz w:val="21"/>
                <w:szCs w:val="21"/>
                <w:highlight w:val="none"/>
              </w:rPr>
              <w:t>先进设计，优质元器件，全自动高低温老化测</w:t>
            </w:r>
            <w:r>
              <w:rPr>
                <w:rFonts w:hint="eastAsia" w:ascii="宋体" w:hAnsi="宋体" w:eastAsia="宋体" w:cs="宋体"/>
                <w:sz w:val="21"/>
                <w:szCs w:val="21"/>
                <w:highlight w:val="none"/>
              </w:rPr>
              <w:t>试，零故障出厂；</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Chars="0" w:right="18"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z w:val="21"/>
                <w:szCs w:val="21"/>
                <w:highlight w:val="none"/>
              </w:rPr>
              <w:t>支持DC</w:t>
            </w:r>
            <w:r>
              <w:rPr>
                <w:rFonts w:hint="eastAsia" w:ascii="宋体" w:hAnsi="宋体" w:eastAsia="宋体" w:cs="宋体"/>
                <w:spacing w:val="-1"/>
                <w:sz w:val="21"/>
                <w:szCs w:val="21"/>
                <w:highlight w:val="none"/>
              </w:rPr>
              <w:t xml:space="preserve"> </w:t>
            </w:r>
            <w:r>
              <w:rPr>
                <w:rFonts w:hint="eastAsia" w:ascii="宋体" w:hAnsi="宋体" w:eastAsia="宋体" w:cs="宋体"/>
                <w:sz w:val="21"/>
                <w:szCs w:val="21"/>
                <w:highlight w:val="none"/>
              </w:rPr>
              <w:t>3.3V~5.5V</w:t>
            </w:r>
            <w:r>
              <w:rPr>
                <w:rFonts w:hint="eastAsia" w:ascii="宋体" w:hAnsi="宋体" w:eastAsia="宋体" w:cs="宋体"/>
                <w:spacing w:val="-2"/>
                <w:sz w:val="21"/>
                <w:szCs w:val="21"/>
                <w:highlight w:val="none"/>
              </w:rPr>
              <w:t>超宽工作电压，有效减弱电</w:t>
            </w:r>
            <w:r>
              <w:rPr>
                <w:rFonts w:hint="eastAsia" w:ascii="宋体" w:hAnsi="宋体" w:eastAsia="宋体" w:cs="宋体"/>
                <w:sz w:val="21"/>
                <w:szCs w:val="21"/>
                <w:highlight w:val="none"/>
              </w:rPr>
              <w:t>压波动带来的影响；</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1" w:leftChars="0" w:right="0"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z w:val="21"/>
                <w:szCs w:val="21"/>
                <w:highlight w:val="none"/>
              </w:rPr>
              <w:t>支持卡莱特全系列发送设备。</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1" w:leftChars="0" w:right="0" w:rightChars="0"/>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·预留视频会议接口（HDMI或DVI）</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exact"/>
          <w:jc w:val="center"/>
        </w:trPr>
        <w:tc>
          <w:tcPr>
            <w:tcW w:w="775" w:type="dxa"/>
            <w:vMerge w:val="continue"/>
          </w:tcPr>
          <w:p>
            <w:pPr>
              <w:spacing w:after="200" w:line="276" w:lineRule="auto"/>
              <w:rPr>
                <w:rFonts w:hint="eastAsia" w:ascii="宋体" w:hAnsi="宋体" w:eastAsia="宋体" w:cs="宋体"/>
                <w:sz w:val="21"/>
                <w:szCs w:val="21"/>
                <w:highlight w:val="none"/>
                <w:vertAlign w:val="baseline"/>
              </w:rPr>
            </w:pP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电源</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个</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73</w:t>
            </w:r>
          </w:p>
        </w:tc>
        <w:tc>
          <w:tcPr>
            <w:tcW w:w="3756" w:type="dxa"/>
            <w:vAlign w:val="bottom"/>
          </w:tcPr>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5</w:t>
            </w:r>
            <w:r>
              <w:rPr>
                <w:rFonts w:hint="eastAsia" w:ascii="宋体" w:hAnsi="宋体" w:eastAsia="宋体" w:cs="宋体"/>
                <w:sz w:val="21"/>
                <w:szCs w:val="21"/>
                <w:highlight w:val="none"/>
                <w:vertAlign w:val="baseline"/>
                <w:lang w:val="en-US" w:eastAsia="zh-CN"/>
              </w:rPr>
              <w:t>V/40A/200W</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2" w:hRule="exact"/>
          <w:jc w:val="center"/>
        </w:trPr>
        <w:tc>
          <w:tcPr>
            <w:tcW w:w="775" w:type="dxa"/>
            <w:vMerge w:val="continue"/>
          </w:tcPr>
          <w:p>
            <w:pPr>
              <w:spacing w:after="200" w:line="276" w:lineRule="auto"/>
              <w:rPr>
                <w:rFonts w:hint="eastAsia" w:ascii="宋体" w:hAnsi="宋体" w:eastAsia="宋体" w:cs="宋体"/>
                <w:sz w:val="21"/>
                <w:szCs w:val="21"/>
                <w:highlight w:val="none"/>
                <w:vertAlign w:val="baseline"/>
              </w:rPr>
            </w:pP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视频处理器</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支持丰富的数字信号接口，包括2路DVI，</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路HDMI，1路SDI；</w:t>
            </w:r>
          </w:p>
          <w:p>
            <w:pPr>
              <w:keepNext w:val="0"/>
              <w:keepLines w:val="0"/>
              <w:pageBreakBefore w:val="0"/>
              <w:widowControl w:val="0"/>
              <w:numPr>
                <w:ilvl w:val="0"/>
                <w:numId w:val="0"/>
              </w:numPr>
              <w:tabs>
                <w:tab w:val="left" w:pos="61"/>
              </w:tabs>
              <w:kinsoku/>
              <w:wordWrap/>
              <w:overflowPunct/>
              <w:topLinePunct w:val="0"/>
              <w:autoSpaceDE/>
              <w:autoSpaceDN/>
              <w:bidi w:val="0"/>
              <w:adjustRightInd/>
              <w:snapToGrid/>
              <w:spacing w:after="200" w:line="240" w:lineRule="exact"/>
              <w:ind w:leftChars="0" w:right="18"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z w:val="21"/>
                <w:szCs w:val="21"/>
                <w:highlight w:val="none"/>
              </w:rPr>
              <w:t>最大输入分辨率1920*1200@60Hz</w:t>
            </w:r>
            <w:r>
              <w:rPr>
                <w:rFonts w:hint="eastAsia" w:ascii="宋体" w:hAnsi="宋体" w:eastAsia="宋体" w:cs="宋体"/>
                <w:spacing w:val="-3"/>
                <w:sz w:val="21"/>
                <w:szCs w:val="21"/>
                <w:highlight w:val="none"/>
              </w:rPr>
              <w:t>，支持分辨</w:t>
            </w:r>
            <w:r>
              <w:rPr>
                <w:rFonts w:hint="eastAsia" w:ascii="宋体" w:hAnsi="宋体" w:eastAsia="宋体" w:cs="宋体"/>
                <w:sz w:val="21"/>
                <w:szCs w:val="21"/>
                <w:highlight w:val="none"/>
              </w:rPr>
              <w:t>率任意设置；</w:t>
            </w:r>
          </w:p>
          <w:p>
            <w:pPr>
              <w:pStyle w:val="371"/>
              <w:keepNext w:val="0"/>
              <w:keepLines w:val="0"/>
              <w:pageBreakBefore w:val="0"/>
              <w:widowControl w:val="0"/>
              <w:numPr>
                <w:ilvl w:val="0"/>
                <w:numId w:val="0"/>
              </w:numPr>
              <w:tabs>
                <w:tab w:val="left" w:pos="118"/>
              </w:tabs>
              <w:kinsoku/>
              <w:wordWrap/>
              <w:overflowPunct/>
              <w:topLinePunct w:val="0"/>
              <w:autoSpaceDE/>
              <w:autoSpaceDN/>
              <w:bidi w:val="0"/>
              <w:adjustRightInd/>
              <w:snapToGrid/>
              <w:spacing w:after="0" w:line="240" w:lineRule="exact"/>
              <w:ind w:right="0"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 xml:space="preserve">· </w:t>
            </w:r>
            <w:r>
              <w:rPr>
                <w:rFonts w:hint="eastAsia" w:ascii="宋体" w:hAnsi="宋体" w:eastAsia="宋体" w:cs="宋体"/>
                <w:sz w:val="21"/>
                <w:szCs w:val="21"/>
                <w:highlight w:val="none"/>
              </w:rPr>
              <w:t>最大带载520</w:t>
            </w:r>
            <w:r>
              <w:rPr>
                <w:rFonts w:hint="eastAsia" w:ascii="宋体" w:hAnsi="宋体" w:eastAsia="宋体" w:cs="宋体"/>
                <w:spacing w:val="-1"/>
                <w:sz w:val="21"/>
                <w:szCs w:val="21"/>
                <w:highlight w:val="none"/>
              </w:rPr>
              <w:t>万像素，最宽可达</w:t>
            </w:r>
            <w:r>
              <w:rPr>
                <w:rFonts w:hint="eastAsia" w:ascii="宋体" w:hAnsi="宋体" w:eastAsia="宋体" w:cs="宋体"/>
                <w:sz w:val="21"/>
                <w:szCs w:val="21"/>
                <w:highlight w:val="none"/>
              </w:rPr>
              <w:t>8192点，或最高可达4096点；</w:t>
            </w:r>
          </w:p>
          <w:p>
            <w:pPr>
              <w:pStyle w:val="371"/>
              <w:keepNext w:val="0"/>
              <w:keepLines w:val="0"/>
              <w:pageBreakBefore w:val="0"/>
              <w:widowControl w:val="0"/>
              <w:numPr>
                <w:ilvl w:val="0"/>
                <w:numId w:val="0"/>
              </w:numPr>
              <w:tabs>
                <w:tab w:val="left" w:pos="118"/>
              </w:tabs>
              <w:kinsoku/>
              <w:wordWrap/>
              <w:overflowPunct/>
              <w:topLinePunct w:val="0"/>
              <w:autoSpaceDE/>
              <w:autoSpaceDN/>
              <w:bidi w:val="0"/>
              <w:adjustRightInd/>
              <w:snapToGrid/>
              <w:spacing w:after="0" w:line="240" w:lineRule="exact"/>
              <w:ind w:right="0" w:right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vertAlign w:val="baseline"/>
                <w:lang w:val="en-US" w:eastAsia="zh-CN"/>
              </w:rPr>
              <w:t xml:space="preserve">· </w:t>
            </w:r>
            <w:r>
              <w:rPr>
                <w:rFonts w:hint="eastAsia" w:ascii="宋体" w:hAnsi="宋体" w:eastAsia="宋体" w:cs="宋体"/>
                <w:sz w:val="21"/>
                <w:szCs w:val="21"/>
                <w:highlight w:val="none"/>
              </w:rPr>
              <w:t>支持视频源任意切换，任意缩放；</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w:t>
            </w:r>
            <w:r>
              <w:rPr>
                <w:rFonts w:hint="eastAsia" w:ascii="宋体" w:hAnsi="宋体" w:eastAsia="宋体" w:cs="宋体"/>
                <w:sz w:val="21"/>
                <w:szCs w:val="21"/>
                <w:highlight w:val="none"/>
              </w:rPr>
              <w:t>支持三画面显示，位置、大小可自由调节</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exact"/>
          <w:jc w:val="center"/>
        </w:trPr>
        <w:tc>
          <w:tcPr>
            <w:tcW w:w="775" w:type="dxa"/>
            <w:vMerge w:val="continue"/>
          </w:tcPr>
          <w:p>
            <w:pPr>
              <w:spacing w:after="200" w:line="276" w:lineRule="auto"/>
              <w:rPr>
                <w:rFonts w:hint="eastAsia" w:ascii="宋体" w:hAnsi="宋体" w:eastAsia="宋体" w:cs="宋体"/>
                <w:sz w:val="21"/>
                <w:szCs w:val="21"/>
                <w:highlight w:val="none"/>
                <w:vertAlign w:val="baseline"/>
              </w:rPr>
            </w:pP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安装支架</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m²</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15</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普通壁挂支架</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775" w:type="dxa"/>
            <w:vMerge w:val="continue"/>
          </w:tcPr>
          <w:p>
            <w:pPr>
              <w:spacing w:after="200" w:line="276" w:lineRule="auto"/>
              <w:rPr>
                <w:rFonts w:hint="eastAsia" w:ascii="宋体" w:hAnsi="宋体" w:eastAsia="宋体" w:cs="宋体"/>
                <w:sz w:val="21"/>
                <w:szCs w:val="21"/>
                <w:highlight w:val="none"/>
                <w:vertAlign w:val="baseline"/>
              </w:rPr>
            </w:pP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线材、辅材</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批</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3756" w:type="dxa"/>
            <w:vAlign w:val="bottom"/>
          </w:tcPr>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内部网线，电源线，辅材，排线</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775" w:type="dxa"/>
            <w:vMerge w:val="continue"/>
          </w:tcPr>
          <w:p>
            <w:pPr>
              <w:spacing w:after="200" w:line="276" w:lineRule="auto"/>
              <w:rPr>
                <w:rFonts w:hint="eastAsia" w:ascii="宋体" w:hAnsi="宋体" w:eastAsia="宋体" w:cs="宋体"/>
                <w:sz w:val="21"/>
                <w:szCs w:val="21"/>
                <w:highlight w:val="none"/>
                <w:vertAlign w:val="baseline"/>
              </w:rPr>
            </w:pP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屏幕包边装饰框</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p>
        </w:tc>
        <w:tc>
          <w:tcPr>
            <w:tcW w:w="3756" w:type="dxa"/>
            <w:vAlign w:val="bottom"/>
          </w:tcPr>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单边50mm不锈钢边框,预算3000，最好由装修方负责</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4" w:hRule="atLeast"/>
          <w:jc w:val="center"/>
        </w:trPr>
        <w:tc>
          <w:tcPr>
            <w:tcW w:w="775" w:type="dxa"/>
            <w:textDirection w:val="tbLrV"/>
            <w:vAlign w:val="center"/>
          </w:tcPr>
          <w:p>
            <w:pPr>
              <w:spacing w:after="200" w:line="276" w:lineRule="auto"/>
              <w:ind w:left="113" w:right="113"/>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视频会议摄像头</w:t>
            </w:r>
          </w:p>
        </w:tc>
        <w:tc>
          <w:tcPr>
            <w:tcW w:w="1777"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视频会议摄像头</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p>
        </w:tc>
        <w:tc>
          <w:tcPr>
            <w:tcW w:w="721"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·图像传感器: 1/2.8英寸 CMOS成像传感器,不小于230万像素；</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·视像分辨率：1080p 50/60，1080p 25/30，1080i 50/60，1080p 25/30，720p 50/60；</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·最低照度：2lux（50IRE，F1.8）；</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·变焦倍数：12倍光学变焦+12倍数字变焦；</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·镜头焦距：F=3.9-46.8mm</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视频输出接口：DVI 1.0/YPbPr、SMPTE-424M；</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·光圈：F1.8；</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·最大水平视角：72°；</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·最大垂直视角：44.5°；</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·平移/俯仰角：+/-100°（平移）、+/- 30°（俯仰）；</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·平移/俯仰速度：最低平移和俯仰：2°/s，最大平移：80°/s，俯仰：25°/s；</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·快门速度：1/25-1/10000秒</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·白平衡：自动、手动；</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·预设位数量：30个位置；</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·信噪比：59dB；</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·支持倒装：支持摄像机倒装场景；</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·软件升级：支持本地软件升级和通过高清终端远程升级；</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·图像模式：标准、自然、鲜艳，风景；</w:t>
            </w:r>
          </w:p>
          <w:p>
            <w:pPr>
              <w:keepNext w:val="0"/>
              <w:keepLines w:val="0"/>
              <w:pageBreakBefore w:val="0"/>
              <w:widowControl w:val="0"/>
              <w:kinsoku/>
              <w:wordWrap/>
              <w:overflowPunct/>
              <w:topLinePunct w:val="0"/>
              <w:autoSpaceDE/>
              <w:autoSpaceDN/>
              <w:bidi w:val="0"/>
              <w:adjustRightInd/>
              <w:snapToGrid/>
              <w:spacing w:after="200" w:line="240" w:lineRule="exact"/>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·电源：AC 100-240V，50-60Hz，DC 12V</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after="200" w:line="240" w:lineRule="exact"/>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工业</w:t>
            </w:r>
          </w:p>
        </w:tc>
      </w:tr>
    </w:tbl>
    <w:p>
      <w:pPr>
        <w:pStyle w:val="4"/>
        <w:numPr>
          <w:numId w:val="0"/>
        </w:numPr>
        <w:tabs>
          <w:tab w:val="left" w:pos="576"/>
          <w:tab w:val="clear" w:pos="567"/>
        </w:tabs>
        <w:ind w:leftChars="0"/>
      </w:pPr>
    </w:p>
    <w:p/>
    <w:p>
      <w:pPr>
        <w:pStyle w:val="4"/>
      </w:pPr>
      <w:bookmarkStart w:id="72" w:name="_Toc20195"/>
      <w:bookmarkStart w:id="73" w:name="_Toc65169717"/>
      <w:r>
        <w:rPr>
          <w:rFonts w:hint="eastAsia"/>
        </w:rPr>
        <w:t>核</w:t>
      </w:r>
      <w:r>
        <w:rPr>
          <w:rFonts w:hint="eastAsia"/>
          <w:b/>
          <w:bCs/>
        </w:rPr>
        <w:t>心产品</w:t>
      </w:r>
      <w:bookmarkEnd w:id="72"/>
      <w:bookmarkEnd w:id="73"/>
    </w:p>
    <w:p>
      <w:pPr>
        <w:spacing w:line="360" w:lineRule="auto"/>
        <w:ind w:firstLine="560" w:firstLineChars="200"/>
        <w:rPr>
          <w:sz w:val="28"/>
        </w:rPr>
      </w:pPr>
      <w:r>
        <w:rPr>
          <w:rFonts w:hint="eastAsia"/>
          <w:sz w:val="28"/>
        </w:rPr>
        <w:t>核心产品为</w:t>
      </w:r>
      <w:r>
        <w:rPr>
          <w:rFonts w:hint="eastAsia"/>
          <w:vertAlign w:val="baseline"/>
          <w:lang w:eastAsia="zh-CN"/>
        </w:rPr>
        <w:t>LED大屏</w:t>
      </w:r>
      <w:r>
        <w:rPr>
          <w:rFonts w:hint="eastAsia"/>
          <w:sz w:val="28"/>
        </w:rPr>
        <w:t>。</w:t>
      </w:r>
    </w:p>
    <w:p>
      <w:pPr>
        <w:pStyle w:val="4"/>
        <w:rPr>
          <w:rFonts w:hint="default"/>
          <w:b/>
          <w:bCs/>
          <w:lang w:val="en-US"/>
        </w:rPr>
      </w:pPr>
      <w:bookmarkStart w:id="74" w:name="_Toc11499"/>
      <w:r>
        <w:rPr>
          <w:rFonts w:hint="eastAsia"/>
          <w:b/>
          <w:bCs/>
          <w:lang w:eastAsia="zh-CN"/>
        </w:rPr>
        <w:t>项目</w:t>
      </w:r>
      <w:bookmarkEnd w:id="74"/>
      <w:r>
        <w:rPr>
          <w:rFonts w:hint="eastAsia"/>
          <w:b/>
          <w:bCs/>
          <w:lang w:val="en-US" w:eastAsia="zh-CN"/>
        </w:rPr>
        <w:t>要求</w:t>
      </w:r>
    </w:p>
    <w:p>
      <w:pPr>
        <w:spacing w:after="0" w:line="560" w:lineRule="exact"/>
        <w:ind w:firstLine="560" w:firstLineChars="17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1、成交供应商负责禁毒办原有少量旧设备的拆除（如有）。</w:t>
      </w:r>
    </w:p>
    <w:p>
      <w:pPr>
        <w:spacing w:after="0" w:line="560" w:lineRule="exact"/>
        <w:ind w:firstLine="560" w:firstLineChars="17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2、针对此项目设备的备件供应期不少于5年，在质保期外配件更换时间不超过7天。</w:t>
      </w:r>
    </w:p>
    <w:p>
      <w:pPr>
        <w:spacing w:after="0" w:line="560" w:lineRule="exact"/>
        <w:ind w:firstLine="560" w:firstLineChars="17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3、如后续软件有更新、扩充的，成交供应商免费提供。</w:t>
      </w:r>
    </w:p>
    <w:p>
      <w:pPr>
        <w:spacing w:after="0" w:line="560" w:lineRule="exact"/>
        <w:ind w:firstLine="560" w:firstLineChars="17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4、安装要求：</w:t>
      </w:r>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（1）本项目包括货物设计、材料、制造、包装、运输、搬运、安装、产品清洁、安装所需附件、调试、培训、检测、税费、验收合格交付使用之前及质保期、服务期与备用物件等相关所有费用。</w:t>
      </w:r>
    </w:p>
    <w:p>
      <w:pPr>
        <w:spacing w:after="0" w:line="560" w:lineRule="exact"/>
        <w:ind w:firstLine="560" w:firstLineChars="17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（2）货物在安装调试验收合格前的保险由成交供应商负责，成交供应商负责其派出现场服务人员的一切责任险。</w:t>
      </w:r>
    </w:p>
    <w:p>
      <w:pPr>
        <w:spacing w:after="0" w:line="560" w:lineRule="exact"/>
        <w:ind w:firstLine="560" w:firstLineChars="17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（3）成交供应商负责本项目的安装调试，负责指定现场安装负责人，负责安装协调管理工作。</w:t>
      </w:r>
    </w:p>
    <w:p>
      <w:pPr>
        <w:spacing w:after="0" w:line="560" w:lineRule="exact"/>
        <w:ind w:left="480" w:left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（4）安装所需工具物料由成交供应商自备，自费运到现场，完工后自费搬走。</w:t>
      </w:r>
    </w:p>
    <w:p>
      <w:pPr>
        <w:rPr>
          <w:rFonts w:hint="eastAsia"/>
        </w:rPr>
      </w:pPr>
      <w:r>
        <w:rPr>
          <w:rFonts w:hint="eastAsia" w:ascii="仿宋_GB2312" w:hAnsi="仿宋_GB2312" w:eastAsia="仿宋_GB2312" w:cs="仿宋_GB2312"/>
          <w:sz w:val="32"/>
          <w:szCs w:val="32"/>
          <w:highlight w:val="none"/>
        </w:rPr>
        <w:t>（5）货物的拆箱、安装等工作由成交供应商负责，但应在用户指定人员的参与下进行。安装调试的原始记录须经用户方签字确认后作为验收的文件之一。</w:t>
      </w:r>
    </w:p>
    <w:p>
      <w:pPr>
        <w:pStyle w:val="4"/>
        <w:rPr>
          <w:rFonts w:hint="eastAsia"/>
          <w:b/>
          <w:bCs/>
          <w:lang w:eastAsia="zh-CN"/>
        </w:rPr>
      </w:pPr>
      <w:bookmarkStart w:id="75" w:name="_Toc8941"/>
      <w:r>
        <w:rPr>
          <w:rFonts w:hint="eastAsia"/>
          <w:b/>
          <w:bCs/>
          <w:lang w:eastAsia="zh-CN"/>
        </w:rPr>
        <w:t>商务条款</w:t>
      </w:r>
      <w:bookmarkEnd w:id="75"/>
    </w:p>
    <w:p>
      <w:pPr>
        <w:spacing w:after="0" w:line="560" w:lineRule="exact"/>
        <w:ind w:firstLine="562" w:firstLineChars="175"/>
        <w:rPr>
          <w:rFonts w:hint="default" w:ascii="仿宋_GB2312" w:hAnsi="仿宋_GB2312" w:eastAsia="仿宋_GB2312" w:cs="仿宋_GB2312"/>
          <w:b/>
          <w:bCs/>
          <w:sz w:val="32"/>
          <w:szCs w:val="32"/>
          <w:highlight w:val="none"/>
          <w:lang w:val="en-US" w:eastAsia="zh-CN"/>
        </w:rPr>
      </w:pPr>
      <w:bookmarkStart w:id="76" w:name="_Toc43377657"/>
      <w:bookmarkStart w:id="77" w:name="_Toc65169725"/>
      <w:bookmarkStart w:id="78" w:name="_Toc7494"/>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商务要求</w:t>
      </w:r>
    </w:p>
    <w:p>
      <w:pPr>
        <w:spacing w:after="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val="en-US" w:eastAsia="zh-CN"/>
        </w:rPr>
        <w:t>1、</w:t>
      </w:r>
      <w:r>
        <w:rPr>
          <w:rFonts w:hint="eastAsia" w:ascii="仿宋_GB2312" w:hAnsi="仿宋_GB2312" w:eastAsia="仿宋_GB2312" w:cs="仿宋_GB2312"/>
          <w:b w:val="0"/>
          <w:bCs w:val="0"/>
          <w:sz w:val="32"/>
          <w:szCs w:val="32"/>
          <w:highlight w:val="none"/>
        </w:rPr>
        <w:t>履约验收</w:t>
      </w:r>
      <w:bookmarkEnd w:id="76"/>
    </w:p>
    <w:p>
      <w:pPr>
        <w:spacing w:after="0" w:line="52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成交供应商与采购人应严格按照有关法律法规要求进行验收。</w:t>
      </w:r>
    </w:p>
    <w:p>
      <w:pPr>
        <w:spacing w:after="0" w:line="52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验收标准按国家有关规定及采购文件的产品质量要求和技术参数、成交供应商的响应文件及承诺与本合同约定的标准进行验收；双方如对质量要求和技术指标的约定标准有相互抵触或异议的事项，由采购人在采购文件与响应文件中按质量要求和技术指标比较优胜的原则确定该项的约定标准进行验收。</w:t>
      </w:r>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验收结果不合格的，将不予支付采购资金，还可能会报本项目同级财政部门按照政府采购法律法规及有关规定给予行政处罚或者以失信行为记入诚信档案。</w:t>
      </w:r>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交供应商应将所提供货物的装箱清单、配件、随机工具、用户使用手册、原厂保修卡等资料交付给采购人；成交供应商不能完整交付货物及本款规定的单证和工具的，必须负责补齐，否则视为未按合同约定交货。</w:t>
      </w:r>
    </w:p>
    <w:p>
      <w:pPr>
        <w:spacing w:after="0" w:line="560" w:lineRule="exact"/>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验收步骤：</w:t>
      </w:r>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（1）初步验收：签订合同后</w:t>
      </w:r>
      <w:r>
        <w:rPr>
          <w:rFonts w:hint="eastAsia" w:ascii="仿宋_GB2312" w:hAnsi="仿宋_GB2312" w:eastAsia="仿宋_GB2312" w:cs="仿宋_GB2312"/>
          <w:sz w:val="32"/>
          <w:szCs w:val="32"/>
          <w:highlight w:val="none"/>
          <w:u w:val="single"/>
        </w:rPr>
        <w:t xml:space="preserve"> 15 </w:t>
      </w:r>
      <w:r>
        <w:rPr>
          <w:rFonts w:hint="eastAsia" w:ascii="仿宋_GB2312" w:hAnsi="仿宋_GB2312" w:eastAsia="仿宋_GB2312" w:cs="仿宋_GB2312"/>
          <w:sz w:val="32"/>
          <w:szCs w:val="32"/>
          <w:highlight w:val="none"/>
        </w:rPr>
        <w:t>日内，成交供应商将响应文件清单内产品送抵至交货地点，并在次日内通知采购人进行初步验收，属于强制3C认证的产品，验收时提供产品3C认证证书或产品的3C标识，最终验收交付使用前货物所有权归成交供应商所有，采购人不承担保管义务，但成交供应商不得将已初步验收货物带出交货地点,采购人按照国家有关规定以及采购文件的质量要求和技术指标、成交供应商的响应文件产品品牌、规格型号及承诺标准对成交供应商清单内产品：品牌、型号、规格、参数、数量进行验收，如高于或等于采购文件及响应文件要求的视为合格，低于采购文件及响应文件要求的视为不合格，成交供应商应对不合格产品进行更换，如两次更换设备均无法解决问题的，采购人有权解除合同。</w:t>
      </w:r>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（2）试用期：初步验收合格后，成交供应商按照采购文件及响应文件要求</w:t>
      </w:r>
      <w:r>
        <w:rPr>
          <w:rFonts w:hint="eastAsia" w:ascii="仿宋_GB2312" w:hAnsi="仿宋_GB2312" w:eastAsia="仿宋_GB2312" w:cs="仿宋_GB2312"/>
          <w:sz w:val="32"/>
          <w:szCs w:val="32"/>
          <w:highlight w:val="none"/>
          <w:u w:val="single"/>
        </w:rPr>
        <w:t xml:space="preserve"> 10 </w:t>
      </w:r>
      <w:r>
        <w:rPr>
          <w:rFonts w:hint="eastAsia" w:ascii="仿宋_GB2312" w:hAnsi="仿宋_GB2312" w:eastAsia="仿宋_GB2312" w:cs="仿宋_GB2312"/>
          <w:sz w:val="32"/>
          <w:szCs w:val="32"/>
          <w:highlight w:val="none"/>
        </w:rPr>
        <w:t>日内完成安装、集成、调试，安装时需符合采购文件的所列安装要求。并在完成后次日内通知采购人进行试用，试用期为10日；试用期间若发生质量问题，修复完善后试用期相应顺延；如在试用期间部分功能及要求未达到采购人要求的，成交供应商应在8小时内解决，如须更换设备的应不超过2日完成更换。试用期内产品发生质量问题的，成交供应商须在1日内完成设备换新工作，如两次更换设备均无法解决问题的，采购人有权解除合同；试用期结束后，成交供应商须在7日内对施工过程中可能损坏的原有成品恢复原状，如装修、装饰、墙面、设施、设备等。</w:t>
      </w:r>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最终验收：在对施工过程中损坏的原有成品恢复原状后7日内采购人对系统运行情况进行最终验收，并交付使用。对施工过程中损坏的原有成品恢复原状完成后7日后，采购人无故不进行最终验收工作的，视同最终验收合格。</w:t>
      </w:r>
    </w:p>
    <w:p>
      <w:pPr>
        <w:adjustRightInd w:val="0"/>
        <w:spacing w:after="0" w:line="560" w:lineRule="exact"/>
        <w:ind w:firstLine="640" w:firstLineChars="200"/>
        <w:outlineLvl w:val="2"/>
        <w:rPr>
          <w:rFonts w:hint="eastAsia" w:ascii="仿宋_GB2312" w:hAnsi="仿宋_GB2312" w:eastAsia="仿宋_GB2312" w:cs="仿宋_GB2312"/>
          <w:b/>
          <w:bCs/>
          <w:sz w:val="32"/>
          <w:szCs w:val="32"/>
          <w:highlight w:val="none"/>
        </w:rPr>
      </w:pPr>
      <w:bookmarkStart w:id="79" w:name="_Toc43377658"/>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付款方式</w:t>
      </w:r>
      <w:bookmarkEnd w:id="79"/>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设备安装调试完成，并验收合格后，采购人向成交供应商支付合同金额95%货款，采购人使用一年后无质量问题，支付剩余合同金额5%的货款。</w:t>
      </w:r>
    </w:p>
    <w:p>
      <w:pPr>
        <w:adjustRightInd w:val="0"/>
        <w:spacing w:after="0" w:line="560" w:lineRule="exact"/>
        <w:ind w:firstLine="640" w:firstLineChars="200"/>
        <w:outlineLvl w:val="2"/>
        <w:rPr>
          <w:rFonts w:hint="eastAsia" w:ascii="仿宋_GB2312" w:hAnsi="仿宋_GB2312" w:eastAsia="仿宋_GB2312" w:cs="仿宋_GB2312"/>
          <w:b w:val="0"/>
          <w:bCs w:val="0"/>
          <w:sz w:val="32"/>
          <w:szCs w:val="32"/>
          <w:highlight w:val="none"/>
        </w:rPr>
      </w:pPr>
      <w:bookmarkStart w:id="80" w:name="_Toc43377659"/>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交货时间</w:t>
      </w:r>
      <w:bookmarkEnd w:id="80"/>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签定合同后</w:t>
      </w:r>
      <w:r>
        <w:rPr>
          <w:rFonts w:hint="eastAsia" w:ascii="仿宋_GB2312" w:hAnsi="仿宋_GB2312" w:eastAsia="仿宋_GB2312" w:cs="仿宋_GB2312"/>
          <w:sz w:val="32"/>
          <w:szCs w:val="32"/>
          <w:highlight w:val="none"/>
          <w:u w:val="single"/>
        </w:rPr>
        <w:t xml:space="preserve"> 25 </w:t>
      </w:r>
      <w:r>
        <w:rPr>
          <w:rFonts w:hint="eastAsia" w:ascii="仿宋_GB2312" w:hAnsi="仿宋_GB2312" w:eastAsia="仿宋_GB2312" w:cs="仿宋_GB2312"/>
          <w:sz w:val="32"/>
          <w:szCs w:val="32"/>
          <w:highlight w:val="none"/>
        </w:rPr>
        <w:t>个工作日内完成交货安装调试。</w:t>
      </w:r>
    </w:p>
    <w:p>
      <w:pPr>
        <w:adjustRightInd w:val="0"/>
        <w:spacing w:after="0" w:line="560" w:lineRule="exact"/>
        <w:ind w:firstLine="640" w:firstLineChars="200"/>
        <w:outlineLvl w:val="2"/>
        <w:rPr>
          <w:rFonts w:hint="eastAsia" w:ascii="仿宋_GB2312" w:hAnsi="仿宋_GB2312" w:eastAsia="仿宋_GB2312" w:cs="仿宋_GB2312"/>
          <w:b w:val="0"/>
          <w:bCs w:val="0"/>
          <w:sz w:val="32"/>
          <w:szCs w:val="32"/>
          <w:highlight w:val="none"/>
        </w:rPr>
      </w:pPr>
      <w:bookmarkStart w:id="81" w:name="_Toc43377661"/>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交货地点</w:t>
      </w:r>
      <w:bookmarkEnd w:id="81"/>
    </w:p>
    <w:p>
      <w:pPr>
        <w:spacing w:after="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彭州市</w:t>
      </w:r>
    </w:p>
    <w:p>
      <w:pPr>
        <w:spacing w:after="0" w:line="560" w:lineRule="exact"/>
        <w:ind w:firstLine="643" w:firstLineChars="200"/>
        <w:rPr>
          <w:rFonts w:hint="default"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二</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售后</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 w:val="0"/>
          <w:bCs w:val="0"/>
          <w:sz w:val="32"/>
          <w:szCs w:val="32"/>
          <w:highlight w:val="none"/>
          <w:lang w:val="en-US" w:eastAsia="zh-CN"/>
        </w:rPr>
        <w:t>1、</w:t>
      </w:r>
      <w:r>
        <w:rPr>
          <w:rFonts w:hint="eastAsia" w:ascii="仿宋_GB2312" w:hAnsi="仿宋_GB2312" w:eastAsia="仿宋_GB2312" w:cs="仿宋_GB2312"/>
          <w:sz w:val="32"/>
          <w:szCs w:val="32"/>
          <w:highlight w:val="none"/>
        </w:rPr>
        <w:t>质量保证期为自本项目验收合格签字之日起5年，在质保期内出现质量问题，成交供应商应在接到通知后4小时内响应到场，24小时内完成维修或更换，维修或更换费用由成交供应商承担。如货物经供应商2次维修或更换仍不能达到本合同约定的质量标准，视作成交供应商未能按时交货，用户有权退货并追究成交供应商的违约责任。</w:t>
      </w:r>
      <w:r>
        <w:rPr>
          <w:rFonts w:hint="eastAsia" w:ascii="仿宋_GB2312" w:hAnsi="仿宋_GB2312" w:eastAsia="仿宋_GB2312" w:cs="仿宋_GB2312"/>
          <w:bCs/>
          <w:sz w:val="32"/>
          <w:szCs w:val="32"/>
          <w:highlight w:val="none"/>
        </w:rPr>
        <w:t>质保期内，成交供应商负责对其提供的设备进行现场维修，不收任何费用（如部件费、人工费、差旅费等）。</w:t>
      </w:r>
    </w:p>
    <w:p>
      <w:pPr>
        <w:spacing w:after="0" w:line="560" w:lineRule="exact"/>
        <w:ind w:firstLine="640" w:firstLineChars="200"/>
        <w:rPr>
          <w:rFonts w:hint="eastAsia" w:ascii="仿宋_GB2312" w:hAnsi="仿宋_GB2312" w:eastAsia="仿宋_GB2312" w:cs="仿宋_GB2312"/>
          <w:b w:val="0"/>
          <w:bCs w:val="0"/>
          <w:kern w:val="0"/>
          <w:sz w:val="32"/>
          <w:szCs w:val="32"/>
          <w:highlight w:val="none"/>
          <w:lang w:val="en-US" w:eastAsia="zh-CN" w:bidi="ar-SA"/>
        </w:rPr>
      </w:pP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kern w:val="0"/>
          <w:sz w:val="32"/>
          <w:szCs w:val="32"/>
          <w:highlight w:val="none"/>
          <w:lang w:val="en-US" w:eastAsia="zh-CN" w:bidi="ar-SA"/>
        </w:rPr>
        <w:t>针对此项目设备的备件供应期不少于5年，在质保期外配件更换时间不超过7天。如后续软件有更新、扩充的，成交供应商免费提供。</w:t>
      </w:r>
    </w:p>
    <w:p>
      <w:pPr>
        <w:pStyle w:val="2"/>
        <w:numPr>
          <w:ilvl w:val="3"/>
          <w:numId w:val="0"/>
        </w:numPr>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在签订合同时，提供24小时维修电话和针对此项目专项服务人员的名单、职称、联系电话等信息。</w:t>
      </w:r>
    </w:p>
    <w:p>
      <w:pPr>
        <w:pStyle w:val="4"/>
        <w:rPr>
          <w:sz w:val="32"/>
          <w:szCs w:val="32"/>
        </w:rPr>
      </w:pPr>
      <w:r>
        <w:rPr>
          <w:rFonts w:hint="eastAsia"/>
          <w:sz w:val="32"/>
          <w:szCs w:val="32"/>
        </w:rPr>
        <w:t>采购标的其他技术、服务等要求</w:t>
      </w:r>
      <w:bookmarkEnd w:id="77"/>
      <w:bookmarkEnd w:id="78"/>
    </w:p>
    <w:p>
      <w:pPr>
        <w:spacing w:line="560" w:lineRule="exact"/>
        <w:ind w:firstLine="562" w:firstLineChars="200"/>
        <w:rPr>
          <w:rFonts w:cs="宋体" w:asciiTheme="minorEastAsia" w:hAnsiTheme="minorEastAsia"/>
          <w:b/>
          <w:sz w:val="28"/>
          <w:szCs w:val="28"/>
        </w:rPr>
      </w:pPr>
      <w:bookmarkStart w:id="82" w:name="_Toc65169726"/>
      <w:r>
        <w:rPr>
          <w:rFonts w:hint="eastAsia" w:asciiTheme="minorEastAsia" w:hAnsiTheme="minorEastAsia"/>
          <w:b/>
          <w:sz w:val="28"/>
          <w:szCs w:val="28"/>
          <w:lang w:val="zh-CN"/>
        </w:rPr>
        <w:t>★</w:t>
      </w:r>
      <w:r>
        <w:rPr>
          <w:rFonts w:hint="eastAsia" w:cs="Helvetica" w:asciiTheme="minorEastAsia" w:hAnsiTheme="minorEastAsia"/>
          <w:b/>
          <w:sz w:val="28"/>
          <w:szCs w:val="28"/>
        </w:rPr>
        <w:t>一、</w:t>
      </w:r>
      <w:r>
        <w:rPr>
          <w:rFonts w:hint="eastAsia" w:cs="宋体" w:asciiTheme="minorEastAsia" w:hAnsiTheme="minorEastAsia"/>
          <w:b/>
          <w:sz w:val="28"/>
          <w:szCs w:val="28"/>
        </w:rPr>
        <w:t>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项目提供的所有产品、辅材中属于《国家强制性产品认证目录》范围内产品的，均通过国家强制性产品认证并取得认证证书。</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r>
        <w:rPr>
          <w:rFonts w:hint="eastAsia" w:asciiTheme="minorEastAsia" w:hAnsiTheme="minorEastAsia"/>
          <w:b/>
          <w:sz w:val="28"/>
          <w:szCs w:val="28"/>
          <w:lang w:val="zh-CN"/>
        </w:rPr>
        <w:t>★</w:t>
      </w:r>
      <w:r>
        <w:rPr>
          <w:rFonts w:hint="eastAsia" w:cs="宋体" w:asciiTheme="minorEastAsia" w:hAnsiTheme="minorEastAsia"/>
          <w:b/>
          <w:sz w:val="28"/>
          <w:szCs w:val="28"/>
        </w:rPr>
        <w:t>二、供应商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w:t>
      </w:r>
      <w:r>
        <w:rPr>
          <w:rFonts w:hint="eastAsia" w:asciiTheme="minorEastAsia" w:hAnsiTheme="minorEastAsia"/>
          <w:b/>
          <w:sz w:val="28"/>
          <w:szCs w:val="28"/>
        </w:rPr>
        <w:t>符合现行的强制性国家相关标准、行业标准。</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p>
    <w:p>
      <w:pPr>
        <w:pStyle w:val="4"/>
        <w:rPr>
          <w:sz w:val="32"/>
          <w:szCs w:val="32"/>
        </w:rPr>
      </w:pPr>
      <w:bookmarkStart w:id="83" w:name="_Toc13074"/>
      <w:r>
        <w:rPr>
          <w:rFonts w:hint="eastAsia"/>
          <w:sz w:val="32"/>
          <w:szCs w:val="32"/>
        </w:rPr>
        <w:t>违约责任</w:t>
      </w:r>
      <w:bookmarkEnd w:id="82"/>
      <w:bookmarkEnd w:id="83"/>
    </w:p>
    <w:p>
      <w:pPr>
        <w:tabs>
          <w:tab w:val="left" w:pos="0"/>
        </w:tabs>
        <w:adjustRightInd w:val="0"/>
        <w:snapToGrid w:val="0"/>
        <w:spacing w:line="560" w:lineRule="exact"/>
        <w:ind w:firstLine="560" w:firstLineChars="200"/>
        <w:rPr>
          <w:rFonts w:ascii="宋体" w:hAnsi="宋体" w:cs="宋体"/>
          <w:sz w:val="28"/>
          <w:szCs w:val="28"/>
          <w:lang w:val="zh-CN"/>
        </w:rPr>
      </w:pPr>
      <w:r>
        <w:rPr>
          <w:rFonts w:hint="eastAsia" w:ascii="宋体" w:hAnsi="宋体" w:cs="宋体"/>
          <w:sz w:val="28"/>
          <w:szCs w:val="28"/>
          <w:lang w:val="zh-CN"/>
        </w:rPr>
        <w:t>一、因甲方原因导致变更、中止或者终止政府采购合同的，甲方应当对乙方受到的损失予以赔偿或者补偿。</w:t>
      </w:r>
    </w:p>
    <w:p>
      <w:pPr>
        <w:tabs>
          <w:tab w:val="left" w:pos="0"/>
        </w:tabs>
        <w:adjustRightInd w:val="0"/>
        <w:snapToGrid w:val="0"/>
        <w:spacing w:line="560" w:lineRule="exact"/>
        <w:ind w:firstLine="560" w:firstLineChars="200"/>
        <w:rPr>
          <w:rFonts w:ascii="宋体" w:hAnsi="宋体" w:cs="宋体"/>
          <w:sz w:val="28"/>
          <w:szCs w:val="28"/>
          <w:lang w:val="zh-CN"/>
        </w:rPr>
      </w:pPr>
      <w:r>
        <w:rPr>
          <w:rFonts w:hint="eastAsia" w:ascii="宋体" w:hAnsi="宋体" w:cs="宋体"/>
          <w:sz w:val="28"/>
          <w:szCs w:val="28"/>
          <w:lang w:val="zh-CN"/>
        </w:rPr>
        <w:t>二</w:t>
      </w:r>
      <w:r>
        <w:rPr>
          <w:rFonts w:ascii="宋体" w:hAnsi="宋体" w:cs="宋体"/>
          <w:sz w:val="28"/>
          <w:szCs w:val="28"/>
          <w:lang w:val="zh-CN"/>
        </w:rPr>
        <w:t>、</w:t>
      </w:r>
      <w:r>
        <w:rPr>
          <w:rFonts w:hint="eastAsia" w:asciiTheme="minorEastAsia" w:hAnsiTheme="minorEastAsia" w:eastAsiaTheme="minorEastAsia" w:cstheme="minorEastAsia"/>
          <w:color w:val="000000" w:themeColor="text1"/>
          <w:sz w:val="28"/>
          <w:szCs w:val="28"/>
          <w14:textFill>
            <w14:solidFill>
              <w14:schemeClr w14:val="tx1"/>
            </w14:solidFill>
          </w14:textFill>
        </w:rPr>
        <w:t>乙方在服务期内无质量问题和违约行为的，甲方应准时支付乙方合同资金，如逾期，则按应付金额每日1‰标准向乙方赔付违约金。</w:t>
      </w:r>
    </w:p>
    <w:p>
      <w:pPr>
        <w:pStyle w:val="4"/>
        <w:tabs>
          <w:tab w:val="left" w:pos="993"/>
          <w:tab w:val="clear" w:pos="426"/>
          <w:tab w:val="clear" w:pos="567"/>
        </w:tabs>
        <w:ind w:left="0" w:firstLine="0"/>
      </w:pPr>
      <w:bookmarkStart w:id="84" w:name="_Toc21849"/>
      <w:r>
        <w:rPr>
          <w:rFonts w:hint="eastAsia"/>
        </w:rPr>
        <w:t>报价要求</w:t>
      </w:r>
      <w:bookmarkEnd w:id="84"/>
    </w:p>
    <w:p>
      <w:pPr>
        <w:pStyle w:val="5"/>
        <w:tabs>
          <w:tab w:val="left" w:pos="709"/>
        </w:tabs>
        <w:ind w:left="1135" w:hanging="1135"/>
        <w:jc w:val="left"/>
        <w:rPr>
          <w:color w:val="auto"/>
        </w:rPr>
      </w:pPr>
      <w:r>
        <w:rPr>
          <w:rFonts w:hint="eastAsia"/>
          <w:color w:val="auto"/>
        </w:rPr>
        <w:t>最高限价</w:t>
      </w:r>
    </w:p>
    <w:p>
      <w:pPr>
        <w:ind w:firstLine="562" w:firstLineChars="200"/>
      </w:pPr>
      <w:r>
        <w:rPr>
          <w:rFonts w:hint="eastAsia" w:ascii="宋体" w:hAnsi="宋体"/>
          <w:b/>
          <w:bCs/>
          <w:sz w:val="28"/>
          <w:szCs w:val="28"/>
        </w:rPr>
        <w:t>本项目最高限价为16.03512万元，供应商报价高于最高限价的则其响应文件将按无效响应文件处理。</w:t>
      </w:r>
    </w:p>
    <w:p>
      <w:pPr>
        <w:pStyle w:val="5"/>
        <w:tabs>
          <w:tab w:val="left" w:pos="709"/>
        </w:tabs>
        <w:ind w:left="1135" w:hanging="1135"/>
        <w:jc w:val="left"/>
        <w:rPr>
          <w:color w:val="auto"/>
        </w:rPr>
      </w:pPr>
      <w:r>
        <w:rPr>
          <w:rFonts w:hint="eastAsia"/>
          <w:color w:val="auto"/>
        </w:rPr>
        <w:t>其他要求</w:t>
      </w:r>
    </w:p>
    <w:p>
      <w:pPr>
        <w:pStyle w:val="80"/>
        <w:widowControl w:val="0"/>
        <w:numPr>
          <w:ilvl w:val="0"/>
          <w:numId w:val="33"/>
        </w:numPr>
        <w:spacing w:after="200" w:line="360" w:lineRule="auto"/>
        <w:ind w:left="0" w:firstLine="561" w:firstLineChars="0"/>
        <w:jc w:val="both"/>
        <w:rPr>
          <w:rFonts w:ascii="宋体" w:hAnsi="宋体"/>
          <w:b/>
          <w:sz w:val="28"/>
          <w:szCs w:val="28"/>
        </w:rPr>
      </w:pPr>
      <w:r>
        <w:rPr>
          <w:rFonts w:hint="eastAsia" w:ascii="宋体" w:hAnsi="宋体" w:eastAsia="宋体"/>
          <w:b/>
          <w:sz w:val="28"/>
          <w:szCs w:val="28"/>
          <w:lang w:val="zh-CN"/>
        </w:rPr>
        <w:t>★</w:t>
      </w:r>
      <w:r>
        <w:rPr>
          <w:rFonts w:hint="eastAsia" w:ascii="宋体" w:hAnsi="宋体" w:eastAsia="宋体" w:cs="Times New Roman"/>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4"/>
        <w:spacing w:after="200"/>
      </w:pPr>
      <w:bookmarkStart w:id="85" w:name="_Toc71554969"/>
      <w:bookmarkStart w:id="86" w:name="_Toc11506"/>
      <w:bookmarkStart w:id="87" w:name="_Toc54948228"/>
      <w:r>
        <w:rPr>
          <w:rFonts w:hint="eastAsia"/>
        </w:rPr>
        <w:t>满足采购需求的最低要求</w:t>
      </w:r>
      <w:bookmarkEnd w:id="85"/>
      <w:bookmarkEnd w:id="86"/>
      <w:bookmarkEnd w:id="87"/>
    </w:p>
    <w:p>
      <w:pPr>
        <w:tabs>
          <w:tab w:val="left" w:pos="1134"/>
        </w:tabs>
        <w:snapToGrid w:val="0"/>
        <w:spacing w:after="200" w:line="360" w:lineRule="auto"/>
        <w:ind w:firstLine="565" w:firstLineChars="201"/>
        <w:rPr>
          <w:rFonts w:ascii="宋体" w:hAnsi="宋体"/>
          <w:b/>
          <w:bCs/>
          <w:sz w:val="28"/>
          <w:szCs w:val="28"/>
          <w:lang w:val="zh-CN"/>
        </w:rPr>
      </w:pPr>
      <w:r>
        <w:rPr>
          <w:rFonts w:hint="eastAsia" w:ascii="宋体" w:hAnsi="宋体"/>
          <w:b/>
          <w:sz w:val="28"/>
          <w:szCs w:val="20"/>
        </w:rPr>
        <w:t>技术、服务、商务及其他要求中加★号的要求为满足采购需求的最低要求。</w:t>
      </w:r>
    </w:p>
    <w:p/>
    <w:p/>
    <w:p/>
    <w:p/>
    <w:bookmarkEnd w:id="70"/>
    <w:bookmarkEnd w:id="71"/>
    <w:p>
      <w:pPr>
        <w:pStyle w:val="3"/>
        <w:numPr>
          <w:ilvl w:val="0"/>
          <w:numId w:val="1"/>
        </w:numPr>
        <w:spacing w:before="0" w:after="0"/>
        <w:ind w:left="0" w:firstLine="0"/>
      </w:pPr>
      <w:bookmarkStart w:id="88" w:name="_Toc28302"/>
      <w:bookmarkStart w:id="89" w:name="_Toc360696963"/>
      <w:bookmarkStart w:id="90" w:name="_Toc236285891"/>
      <w:bookmarkStart w:id="91" w:name="_Toc238273564"/>
      <w:bookmarkStart w:id="92" w:name="_Toc205604899"/>
      <w:r>
        <w:rPr>
          <w:rFonts w:hint="eastAsia"/>
        </w:rPr>
        <w:t>询价办法</w:t>
      </w:r>
      <w:bookmarkEnd w:id="88"/>
    </w:p>
    <w:p>
      <w:pPr>
        <w:pStyle w:val="4"/>
        <w:tabs>
          <w:tab w:val="left" w:pos="993"/>
          <w:tab w:val="clear" w:pos="426"/>
          <w:tab w:val="clear" w:pos="567"/>
        </w:tabs>
        <w:ind w:left="0" w:firstLine="0"/>
      </w:pPr>
      <w:bookmarkStart w:id="93" w:name="_Toc1394"/>
      <w:r>
        <w:rPr>
          <w:rFonts w:hint="eastAsia"/>
        </w:rPr>
        <w:t>总则</w:t>
      </w:r>
      <w:bookmarkEnd w:id="93"/>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评审工作由市公资交易中心负责组织，具体评审事务由采购人和市公资交易中心依法组建的询价小组负责。询价小组由采购人代表和评审专家组成。</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tabs>
          <w:tab w:val="left" w:pos="993"/>
          <w:tab w:val="clear" w:pos="426"/>
          <w:tab w:val="clear" w:pos="567"/>
        </w:tabs>
        <w:ind w:left="0" w:firstLine="0"/>
      </w:pPr>
      <w:bookmarkStart w:id="94" w:name="_Toc20178"/>
      <w:r>
        <w:rPr>
          <w:rFonts w:hint="eastAsia"/>
        </w:rPr>
        <w:t>询价</w:t>
      </w:r>
      <w:r>
        <w:t>采购活动</w:t>
      </w:r>
      <w:r>
        <w:rPr>
          <w:rFonts w:hint="eastAsia"/>
        </w:rPr>
        <w:t>程序</w:t>
      </w:r>
      <w:bookmarkEnd w:id="94"/>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在成都市公共资源交易服务中心“政府采购云平台”进行。询价采购</w:t>
      </w:r>
      <w:r>
        <w:rPr>
          <w:rFonts w:ascii="宋体" w:hAnsi="宋体"/>
          <w:sz w:val="28"/>
          <w:szCs w:val="28"/>
        </w:rPr>
        <w:t>活动</w:t>
      </w:r>
      <w:r>
        <w:rPr>
          <w:rFonts w:hint="eastAsia" w:ascii="宋体" w:hAnsi="宋体"/>
          <w:sz w:val="28"/>
          <w:szCs w:val="28"/>
        </w:rPr>
        <w:t>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95" w:name="_Toc63084321"/>
      <w:bookmarkStart w:id="96" w:name="_Toc63437907"/>
      <w:bookmarkStart w:id="97" w:name="_Toc9468"/>
      <w:bookmarkStart w:id="98" w:name="_Toc320698736"/>
      <w:r>
        <w:rPr>
          <w:rFonts w:hint="eastAsia"/>
        </w:rPr>
        <w:t>递交响应文件</w:t>
      </w:r>
      <w:bookmarkEnd w:id="95"/>
      <w:bookmarkEnd w:id="96"/>
      <w:bookmarkEnd w:id="97"/>
      <w:bookmarkEnd w:id="98"/>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4"/>
        <w:numPr>
          <w:ilvl w:val="2"/>
          <w:numId w:val="1"/>
        </w:numPr>
        <w:tabs>
          <w:tab w:val="left" w:pos="993"/>
          <w:tab w:val="clear" w:pos="426"/>
          <w:tab w:val="clear" w:pos="567"/>
        </w:tabs>
        <w:rPr>
          <w:highlight w:val="none"/>
        </w:rPr>
      </w:pPr>
      <w:bookmarkStart w:id="99" w:name="_Toc63437908"/>
      <w:bookmarkStart w:id="100" w:name="_Toc63084322"/>
      <w:bookmarkStart w:id="101" w:name="_Toc13902"/>
      <w:r>
        <w:rPr>
          <w:rFonts w:hint="eastAsia"/>
          <w:highlight w:val="none"/>
        </w:rPr>
        <w:t>确定邀请参加询价</w:t>
      </w:r>
      <w:r>
        <w:rPr>
          <w:highlight w:val="none"/>
        </w:rPr>
        <w:t>采购活动</w:t>
      </w:r>
      <w:r>
        <w:rPr>
          <w:rFonts w:hint="eastAsia"/>
          <w:highlight w:val="none"/>
        </w:rPr>
        <w:t>的供应商数量</w:t>
      </w:r>
      <w:bookmarkEnd w:id="99"/>
      <w:bookmarkEnd w:id="100"/>
      <w:bookmarkEnd w:id="101"/>
    </w:p>
    <w:p>
      <w:pPr>
        <w:tabs>
          <w:tab w:val="left" w:pos="1134"/>
        </w:tabs>
        <w:spacing w:line="360" w:lineRule="auto"/>
        <w:ind w:firstLine="560" w:firstLineChars="200"/>
        <w:rPr>
          <w:rFonts w:ascii="宋体" w:hAnsi="宋体"/>
          <w:sz w:val="28"/>
          <w:szCs w:val="28"/>
          <w:highlight w:val="none"/>
        </w:rPr>
      </w:pPr>
      <w:r>
        <w:rPr>
          <w:rFonts w:hint="eastAsia" w:ascii="宋体" w:hAnsi="宋体" w:cs="宋体"/>
          <w:bCs/>
          <w:sz w:val="28"/>
          <w:szCs w:val="28"/>
          <w:highlight w:val="none"/>
        </w:rPr>
        <w:t>通过资格审查的供应商为被询价的供应商。</w:t>
      </w:r>
    </w:p>
    <w:p>
      <w:pPr>
        <w:pStyle w:val="4"/>
        <w:numPr>
          <w:ilvl w:val="2"/>
          <w:numId w:val="1"/>
        </w:numPr>
        <w:tabs>
          <w:tab w:val="left" w:pos="993"/>
          <w:tab w:val="clear" w:pos="426"/>
          <w:tab w:val="clear" w:pos="567"/>
        </w:tabs>
      </w:pPr>
      <w:bookmarkStart w:id="102" w:name="_Toc1755"/>
      <w:bookmarkStart w:id="103" w:name="_Toc287623646"/>
      <w:bookmarkStart w:id="104" w:name="_Toc63084323"/>
      <w:bookmarkStart w:id="105" w:name="_Toc63437909"/>
      <w:r>
        <w:rPr>
          <w:rFonts w:hint="eastAsia"/>
        </w:rPr>
        <w:t>成立询价小组</w:t>
      </w:r>
      <w:bookmarkEnd w:id="102"/>
      <w:bookmarkEnd w:id="103"/>
      <w:bookmarkEnd w:id="104"/>
      <w:bookmarkEnd w:id="105"/>
    </w:p>
    <w:p>
      <w:pPr>
        <w:pStyle w:val="24"/>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6" w:name="_Toc2013"/>
      <w:r>
        <w:rPr>
          <w:rFonts w:hint="eastAsia"/>
        </w:rPr>
        <w:t>资格审查</w:t>
      </w:r>
      <w:bookmarkEnd w:id="106"/>
    </w:p>
    <w:p>
      <w:pPr>
        <w:pStyle w:val="24"/>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供应商资格申明的函</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单位负责人为同一人或者存在直接控股、管理关系的不同供应商，不得参加同一项目的询价</w:t>
            </w:r>
            <w:r>
              <w:rPr>
                <w:sz w:val="20"/>
              </w:rPr>
              <w:t>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4</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不属于其他国家相关法律法规规定的禁止参加询价采购活动的供应商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询价保证金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bookmarkStart w:id="107" w:name="_Toc63084325"/>
      <w:bookmarkStart w:id="108" w:name="_Toc63437911"/>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市公资交易中心将通知供应商（以短信、现场公示、电话、“政府采购云平台”等任一方式）。供应商如对资格审查结论有异议的，应及时向市公资交易中心反馈意见。市公资交易中心将及时告知询价小组。（说明：无论供应商是否收到通知或提供反馈意见，均不影响资格审查和评审工作，且市公资交易中心对此将不承担任何的责任。供应商对资格审查结论有异议的，其反馈意见仅限于询价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4"/>
        <w:numPr>
          <w:ilvl w:val="2"/>
          <w:numId w:val="1"/>
        </w:numPr>
        <w:tabs>
          <w:tab w:val="left" w:pos="993"/>
          <w:tab w:val="clear" w:pos="426"/>
          <w:tab w:val="clear" w:pos="567"/>
        </w:tabs>
      </w:pPr>
      <w:bookmarkStart w:id="109" w:name="_Toc27723"/>
      <w:r>
        <w:rPr>
          <w:rFonts w:hint="eastAsia"/>
        </w:rPr>
        <w:t>符合性审查</w:t>
      </w:r>
      <w:bookmarkEnd w:id="107"/>
      <w:bookmarkEnd w:id="108"/>
      <w:bookmarkEnd w:id="109"/>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5"/>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市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4"/>
        <w:numPr>
          <w:ilvl w:val="2"/>
          <w:numId w:val="1"/>
        </w:numPr>
        <w:tabs>
          <w:tab w:val="left" w:pos="993"/>
          <w:tab w:val="clear" w:pos="426"/>
          <w:tab w:val="clear" w:pos="567"/>
        </w:tabs>
      </w:pPr>
      <w:bookmarkStart w:id="110" w:name="_Toc2642"/>
      <w:bookmarkStart w:id="111" w:name="_Toc63437912"/>
      <w:bookmarkStart w:id="112" w:name="_Toc63084326"/>
      <w:r>
        <w:rPr>
          <w:rFonts w:hint="eastAsia"/>
        </w:rPr>
        <w:t>报价及</w:t>
      </w:r>
      <w:r>
        <w:t>报价</w:t>
      </w:r>
      <w:r>
        <w:rPr>
          <w:rFonts w:hint="eastAsia"/>
        </w:rPr>
        <w:t>审查</w:t>
      </w:r>
      <w:bookmarkEnd w:id="110"/>
      <w:bookmarkEnd w:id="111"/>
      <w:bookmarkEnd w:id="112"/>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38"/>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38"/>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37"/>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7"/>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有效报价的供应商不足三家的，本次采购活动失败。</w:t>
      </w:r>
    </w:p>
    <w:p/>
    <w:p>
      <w:pPr>
        <w:pStyle w:val="4"/>
        <w:numPr>
          <w:ilvl w:val="2"/>
          <w:numId w:val="1"/>
        </w:numPr>
        <w:tabs>
          <w:tab w:val="left" w:pos="993"/>
          <w:tab w:val="clear" w:pos="426"/>
          <w:tab w:val="clear" w:pos="567"/>
        </w:tabs>
      </w:pPr>
      <w:bookmarkStart w:id="113" w:name="_Toc63437913"/>
      <w:bookmarkStart w:id="114" w:name="_Toc2359"/>
      <w:bookmarkStart w:id="115" w:name="_Toc63084327"/>
      <w:r>
        <w:rPr>
          <w:rFonts w:hint="eastAsia"/>
        </w:rPr>
        <w:t>解释、澄清、说明的有关问题</w:t>
      </w:r>
      <w:bookmarkEnd w:id="113"/>
      <w:bookmarkEnd w:id="114"/>
      <w:bookmarkEnd w:id="115"/>
    </w:p>
    <w:p>
      <w:pPr>
        <w:widowControl w:val="0"/>
        <w:numPr>
          <w:ilvl w:val="0"/>
          <w:numId w:val="4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市公资交易中心书面解释。市公资交易中心的解释不得改变询价通知书的原义或者影响公平、公正，解释事项如果涉及供应商权益的以有利于供应商的原则进行解释。</w:t>
      </w:r>
    </w:p>
    <w:p>
      <w:pPr>
        <w:widowControl w:val="0"/>
        <w:numPr>
          <w:ilvl w:val="0"/>
          <w:numId w:val="4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 w:val="clear" w:pos="426"/>
          <w:tab w:val="clear" w:pos="567"/>
        </w:tabs>
      </w:pPr>
      <w:bookmarkStart w:id="116" w:name="_Toc63084328"/>
      <w:bookmarkStart w:id="117" w:name="_Toc63437914"/>
      <w:bookmarkStart w:id="118" w:name="_Toc4298"/>
      <w:r>
        <w:rPr>
          <w:rFonts w:hint="eastAsia"/>
        </w:rPr>
        <w:t>比较与评价</w:t>
      </w:r>
      <w:bookmarkEnd w:id="116"/>
      <w:bookmarkEnd w:id="117"/>
      <w:bookmarkEnd w:id="118"/>
    </w:p>
    <w:p>
      <w:pPr>
        <w:tabs>
          <w:tab w:val="left" w:pos="851"/>
        </w:tabs>
        <w:spacing w:line="360" w:lineRule="auto"/>
        <w:ind w:firstLine="565" w:firstLineChars="202"/>
        <w:rPr>
          <w:rFonts w:ascii="宋体" w:hAnsi="宋体"/>
          <w:sz w:val="28"/>
          <w:szCs w:val="28"/>
        </w:rPr>
      </w:pPr>
      <w:bookmarkStart w:id="119" w:name="_Toc63437915"/>
      <w:bookmarkStart w:id="120" w:name="_Toc63084329"/>
      <w:r>
        <w:rPr>
          <w:rFonts w:hint="eastAsia" w:ascii="宋体" w:hAnsi="宋体"/>
          <w:sz w:val="28"/>
          <w:szCs w:val="28"/>
        </w:rPr>
        <w:t>按询价通知书中规定的询价方法，对符合性检查合格的响应文件进行商务和技术评估，综合比较和评价。</w:t>
      </w:r>
    </w:p>
    <w:p>
      <w:pPr>
        <w:pStyle w:val="4"/>
        <w:numPr>
          <w:ilvl w:val="2"/>
          <w:numId w:val="1"/>
        </w:numPr>
        <w:tabs>
          <w:tab w:val="left" w:pos="993"/>
          <w:tab w:val="clear" w:pos="426"/>
          <w:tab w:val="clear" w:pos="567"/>
        </w:tabs>
      </w:pPr>
      <w:bookmarkStart w:id="121" w:name="_Toc32700"/>
      <w:r>
        <w:rPr>
          <w:rFonts w:hint="eastAsia"/>
        </w:rPr>
        <w:t>询价小组复核</w:t>
      </w:r>
      <w:bookmarkEnd w:id="119"/>
      <w:bookmarkEnd w:id="120"/>
      <w:bookmarkEnd w:id="121"/>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评审结果汇总完成后，询价小组拟出具评审报告前，市公资交易中心应当组织2名以上的工作人员，在采购现场监督人员的监督之下，依据有关的法律制度和询价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4"/>
        <w:numPr>
          <w:ilvl w:val="2"/>
          <w:numId w:val="1"/>
        </w:numPr>
        <w:tabs>
          <w:tab w:val="left" w:pos="993"/>
          <w:tab w:val="clear" w:pos="426"/>
          <w:tab w:val="clear" w:pos="567"/>
        </w:tabs>
      </w:pPr>
      <w:bookmarkStart w:id="122" w:name="_Toc63437916"/>
      <w:bookmarkStart w:id="123" w:name="_Toc10902"/>
      <w:bookmarkStart w:id="124" w:name="_Toc63084330"/>
      <w:r>
        <w:rPr>
          <w:rFonts w:hint="eastAsia"/>
        </w:rPr>
        <w:t>推荐成交候选供应商</w:t>
      </w:r>
      <w:bookmarkEnd w:id="122"/>
      <w:bookmarkEnd w:id="123"/>
      <w:bookmarkEnd w:id="124"/>
    </w:p>
    <w:p>
      <w:pPr>
        <w:snapToGrid w:val="0"/>
        <w:spacing w:line="620" w:lineRule="exact"/>
        <w:ind w:firstLine="585" w:firstLineChars="209"/>
        <w:rPr>
          <w:rFonts w:ascii="宋体" w:hAnsi="宋体"/>
          <w:sz w:val="28"/>
          <w:szCs w:val="28"/>
        </w:rPr>
      </w:pPr>
      <w:bookmarkStart w:id="125" w:name="_Toc63437917"/>
      <w:bookmarkStart w:id="126" w:name="_Toc63084331"/>
      <w:r>
        <w:rPr>
          <w:rFonts w:hint="eastAsia" w:ascii="宋体" w:hAnsi="宋体"/>
          <w:sz w:val="28"/>
          <w:szCs w:val="28"/>
        </w:rPr>
        <w:t>询价小组应当</w:t>
      </w:r>
      <w:r>
        <w:rPr>
          <w:rFonts w:hint="eastAsia" w:ascii="宋体" w:hAnsi="宋体"/>
          <w:sz w:val="28"/>
        </w:rPr>
        <w:t>按供应商报价（供应商报价按询价通知书</w:t>
      </w:r>
      <w:r>
        <w:rPr>
          <w:rFonts w:ascii="宋体" w:hAnsi="宋体"/>
          <w:sz w:val="28"/>
        </w:rPr>
        <w:t>5.2.6</w:t>
      </w:r>
      <w:r>
        <w:rPr>
          <w:rFonts w:hint="eastAsia" w:ascii="宋体" w:hAnsi="宋体"/>
          <w:sz w:val="28"/>
        </w:rPr>
        <w:t>的标准进行了价格扣除的，为扣除后的报价）由低到高排序，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供应商报价相同的，由询价小组组织供应商抽签确定推荐的成交候选供应商顺序。</w:t>
      </w:r>
    </w:p>
    <w:p>
      <w:pPr>
        <w:pStyle w:val="4"/>
        <w:numPr>
          <w:ilvl w:val="2"/>
          <w:numId w:val="1"/>
        </w:numPr>
        <w:tabs>
          <w:tab w:val="left" w:pos="993"/>
          <w:tab w:val="clear" w:pos="426"/>
          <w:tab w:val="clear" w:pos="567"/>
        </w:tabs>
      </w:pPr>
      <w:bookmarkStart w:id="127" w:name="_Toc26855"/>
      <w:r>
        <w:rPr>
          <w:rFonts w:hint="eastAsia"/>
        </w:rPr>
        <w:t>编写评审报告</w:t>
      </w:r>
      <w:bookmarkEnd w:id="125"/>
      <w:bookmarkEnd w:id="126"/>
      <w:bookmarkEnd w:id="127"/>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28" w:name="_Toc54948232"/>
      <w:bookmarkStart w:id="129" w:name="_Toc63084332"/>
      <w:bookmarkStart w:id="130" w:name="_Toc63437918"/>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0" w:firstLine="0"/>
      </w:pPr>
      <w:bookmarkStart w:id="131" w:name="_Toc16267"/>
      <w:r>
        <w:rPr>
          <w:rFonts w:hint="eastAsia"/>
        </w:rPr>
        <w:t>争议处理规则</w:t>
      </w:r>
      <w:bookmarkEnd w:id="128"/>
      <w:bookmarkEnd w:id="129"/>
      <w:bookmarkEnd w:id="130"/>
      <w:bookmarkEnd w:id="131"/>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市公资交易中心书面反映。采购人或市公资交易中心收到书面反映后，应当书面报告采购项目同级财政部门依法处理。</w:t>
      </w:r>
    </w:p>
    <w:p>
      <w:pPr>
        <w:pStyle w:val="4"/>
        <w:tabs>
          <w:tab w:val="left" w:pos="993"/>
          <w:tab w:val="clear" w:pos="426"/>
          <w:tab w:val="clear" w:pos="567"/>
        </w:tabs>
        <w:ind w:left="0" w:firstLine="0"/>
      </w:pPr>
      <w:bookmarkStart w:id="132" w:name="_Toc494095679"/>
      <w:bookmarkEnd w:id="132"/>
      <w:bookmarkStart w:id="133" w:name="_Toc494357030"/>
      <w:bookmarkEnd w:id="133"/>
      <w:bookmarkStart w:id="134" w:name="_Toc494357024"/>
      <w:bookmarkEnd w:id="134"/>
      <w:bookmarkStart w:id="135" w:name="_Toc494357029"/>
      <w:bookmarkEnd w:id="135"/>
      <w:bookmarkStart w:id="136" w:name="_Toc494357034"/>
      <w:bookmarkEnd w:id="136"/>
      <w:bookmarkStart w:id="137" w:name="_Toc494095674"/>
      <w:bookmarkEnd w:id="137"/>
      <w:bookmarkStart w:id="138" w:name="_Toc494095680"/>
      <w:bookmarkEnd w:id="138"/>
      <w:bookmarkStart w:id="139" w:name="_Toc494357026"/>
      <w:bookmarkEnd w:id="139"/>
      <w:bookmarkStart w:id="140" w:name="_Toc494357033"/>
      <w:bookmarkEnd w:id="140"/>
      <w:bookmarkStart w:id="141" w:name="_Toc494095670"/>
      <w:bookmarkEnd w:id="141"/>
      <w:bookmarkStart w:id="142" w:name="_Toc494095681"/>
      <w:bookmarkEnd w:id="142"/>
      <w:bookmarkStart w:id="143" w:name="_Toc494357032"/>
      <w:bookmarkEnd w:id="143"/>
      <w:bookmarkStart w:id="144" w:name="_Toc494357028"/>
      <w:bookmarkEnd w:id="144"/>
      <w:bookmarkStart w:id="145" w:name="_Toc494095669"/>
      <w:bookmarkEnd w:id="145"/>
      <w:bookmarkStart w:id="146" w:name="_Toc494095668"/>
      <w:bookmarkEnd w:id="146"/>
      <w:bookmarkStart w:id="147" w:name="_Toc494357022"/>
      <w:bookmarkEnd w:id="147"/>
      <w:bookmarkStart w:id="148" w:name="_Toc494357027"/>
      <w:bookmarkEnd w:id="148"/>
      <w:bookmarkStart w:id="149" w:name="_Toc494095673"/>
      <w:bookmarkEnd w:id="149"/>
      <w:bookmarkStart w:id="150" w:name="_Toc494095671"/>
      <w:bookmarkEnd w:id="150"/>
      <w:bookmarkStart w:id="151" w:name="_Toc494095675"/>
      <w:bookmarkEnd w:id="151"/>
      <w:bookmarkStart w:id="152" w:name="_Toc494357031"/>
      <w:bookmarkEnd w:id="152"/>
      <w:bookmarkStart w:id="153" w:name="_Toc494357025"/>
      <w:bookmarkEnd w:id="153"/>
      <w:bookmarkStart w:id="154" w:name="_Toc494357021"/>
      <w:bookmarkEnd w:id="154"/>
      <w:bookmarkStart w:id="155" w:name="_Toc494357023"/>
      <w:bookmarkEnd w:id="155"/>
      <w:bookmarkStart w:id="156" w:name="_Toc494095678"/>
      <w:bookmarkEnd w:id="156"/>
      <w:bookmarkStart w:id="157" w:name="_Toc494095672"/>
      <w:bookmarkEnd w:id="157"/>
      <w:bookmarkStart w:id="158" w:name="_Toc494357035"/>
      <w:bookmarkEnd w:id="158"/>
      <w:bookmarkStart w:id="159" w:name="_Toc494095682"/>
      <w:bookmarkEnd w:id="159"/>
      <w:bookmarkStart w:id="160" w:name="_Toc494095677"/>
      <w:bookmarkEnd w:id="160"/>
      <w:bookmarkStart w:id="161" w:name="_Toc494095676"/>
      <w:bookmarkEnd w:id="161"/>
      <w:bookmarkStart w:id="162" w:name="_Toc23627"/>
      <w:bookmarkStart w:id="163" w:name="_Toc54948234"/>
      <w:r>
        <w:rPr>
          <w:rFonts w:hint="eastAsia"/>
        </w:rPr>
        <w:t>采购失败情形</w:t>
      </w:r>
      <w:bookmarkEnd w:id="162"/>
      <w:bookmarkEnd w:id="163"/>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七、通过报价审查的供应商不足三家的。</w:t>
      </w:r>
    </w:p>
    <w:p>
      <w:pPr>
        <w:pStyle w:val="4"/>
        <w:tabs>
          <w:tab w:val="left" w:pos="993"/>
          <w:tab w:val="clear" w:pos="426"/>
          <w:tab w:val="clear" w:pos="567"/>
        </w:tabs>
        <w:ind w:left="0" w:firstLine="0"/>
      </w:pPr>
      <w:bookmarkStart w:id="164" w:name="_Toc54948235"/>
      <w:bookmarkStart w:id="165" w:name="_Toc25526"/>
      <w:r>
        <w:rPr>
          <w:rFonts w:hint="eastAsia"/>
        </w:rPr>
        <w:t>确定成交供应商</w:t>
      </w:r>
      <w:bookmarkEnd w:id="164"/>
      <w:bookmarkEnd w:id="165"/>
    </w:p>
    <w:p>
      <w:pPr>
        <w:numPr>
          <w:ilvl w:val="0"/>
          <w:numId w:val="4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p>
    <w:p>
      <w:pPr>
        <w:numPr>
          <w:ilvl w:val="0"/>
          <w:numId w:val="4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42"/>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3</w:t>
      </w:r>
      <w:r>
        <w:rPr>
          <w:rStyle w:val="325"/>
          <w:rFonts w:hint="eastAsia"/>
          <w:sz w:val="28"/>
          <w:szCs w:val="28"/>
          <w:shd w:val="clear" w:color="auto" w:fill="FFFFFF"/>
        </w:rPr>
        <w:t>个工作日内，按照评审报告中推荐的成交候选人顺序确定成交供应商。如果成交候选人及其现任法定代表人、主要负责人存在行贿犯罪记录，采购人将不确定其为中成交人。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6" w:name="_Toc287623649"/>
      <w:r>
        <w:rPr>
          <w:rFonts w:hint="eastAsia" w:ascii="宋体" w:hAnsi="宋体" w:cs="宋体"/>
          <w:sz w:val="28"/>
          <w:szCs w:val="28"/>
        </w:rPr>
        <w:t>成交候选供应商存在违法、违纪行为的；</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采购人、市公资交易中心不解释成交或未成交原因，不退回响应文件和其他询价资料。</w:t>
      </w:r>
      <w:bookmarkEnd w:id="166"/>
    </w:p>
    <w:p>
      <w:pPr>
        <w:pStyle w:val="4"/>
        <w:tabs>
          <w:tab w:val="left" w:pos="993"/>
          <w:tab w:val="clear" w:pos="426"/>
          <w:tab w:val="clear" w:pos="567"/>
        </w:tabs>
        <w:ind w:left="0" w:firstLine="0"/>
      </w:pPr>
      <w:bookmarkStart w:id="167" w:name="_Toc54948236"/>
      <w:bookmarkStart w:id="168" w:name="_Toc13666"/>
      <w:r>
        <w:rPr>
          <w:rFonts w:hint="eastAsia"/>
        </w:rPr>
        <w:t>询价小组成员义务</w:t>
      </w:r>
      <w:bookmarkEnd w:id="167"/>
      <w:bookmarkEnd w:id="168"/>
    </w:p>
    <w:p>
      <w:pPr>
        <w:snapToGrid w:val="0"/>
        <w:spacing w:line="360" w:lineRule="auto"/>
        <w:ind w:firstLine="560" w:firstLineChars="200"/>
        <w:rPr>
          <w:sz w:val="28"/>
          <w:szCs w:val="28"/>
        </w:rPr>
      </w:pPr>
      <w:r>
        <w:rPr>
          <w:rFonts w:hint="eastAsia"/>
          <w:sz w:val="28"/>
          <w:szCs w:val="28"/>
        </w:rPr>
        <w:t>询价小组成员在政府采购活动中承担以下义务：</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法律、法规和规章规定的其他义务。</w:t>
      </w:r>
    </w:p>
    <w:p>
      <w:pPr>
        <w:pStyle w:val="4"/>
        <w:tabs>
          <w:tab w:val="left" w:pos="993"/>
          <w:tab w:val="clear" w:pos="426"/>
          <w:tab w:val="clear" w:pos="567"/>
        </w:tabs>
        <w:ind w:left="0" w:firstLine="0"/>
      </w:pPr>
      <w:bookmarkStart w:id="169" w:name="_Toc54948238"/>
      <w:bookmarkStart w:id="170" w:name="_Toc17861"/>
      <w:r>
        <w:rPr>
          <w:rFonts w:hint="eastAsia"/>
        </w:rPr>
        <w:t>询价采购</w:t>
      </w:r>
      <w:r>
        <w:t>活动</w:t>
      </w:r>
      <w:r>
        <w:rPr>
          <w:rFonts w:hint="eastAsia"/>
        </w:rPr>
        <w:t>纪律</w:t>
      </w:r>
      <w:bookmarkEnd w:id="169"/>
      <w:bookmarkEnd w:id="170"/>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进入评标区之前应将所有的通信设备存入市公资交易中心指定的存放处。</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w:t>
      </w:r>
      <w:r>
        <w:rPr>
          <w:rFonts w:hint="eastAsia" w:ascii="宋体" w:hAnsi="宋体"/>
          <w:sz w:val="28"/>
          <w:szCs w:val="28"/>
          <w:lang w:val="en-US" w:eastAsia="zh-CN"/>
        </w:rPr>
        <w:t>处理</w:t>
      </w:r>
      <w:r>
        <w:rPr>
          <w:rFonts w:hint="eastAsia" w:ascii="宋体" w:hAnsi="宋体"/>
          <w:sz w:val="28"/>
          <w:szCs w:val="28"/>
        </w:rPr>
        <w:t>。</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pStyle w:val="18"/>
        <w:ind w:firstLine="560" w:firstLineChars="200"/>
      </w:pPr>
      <w:r>
        <w:rPr>
          <w:rFonts w:hint="eastAsia" w:ascii="宋体" w:hAnsi="宋体"/>
          <w:sz w:val="28"/>
          <w:szCs w:val="28"/>
        </w:rPr>
        <w:t>十、有关部门（机构）制定的其他评审工作纪律。</w:t>
      </w:r>
    </w:p>
    <w:p/>
    <w:p>
      <w:pPr>
        <w:pStyle w:val="18"/>
      </w:pPr>
    </w:p>
    <w:p/>
    <w:p>
      <w:pPr>
        <w:pStyle w:val="18"/>
      </w:pPr>
    </w:p>
    <w:p/>
    <w:p>
      <w:pPr>
        <w:pStyle w:val="18"/>
      </w:pPr>
    </w:p>
    <w:p>
      <w:pPr>
        <w:pStyle w:val="18"/>
      </w:pPr>
    </w:p>
    <w:p>
      <w:pPr>
        <w:pStyle w:val="3"/>
        <w:numPr>
          <w:ilvl w:val="0"/>
          <w:numId w:val="1"/>
        </w:numPr>
        <w:spacing w:before="0" w:after="0"/>
        <w:ind w:left="0" w:firstLine="0"/>
      </w:pPr>
      <w:bookmarkStart w:id="171" w:name="_Toc3286"/>
      <w:r>
        <w:rPr>
          <w:rFonts w:hint="eastAsia"/>
        </w:rPr>
        <w:t>政府</w:t>
      </w:r>
      <w:r>
        <w:t>采购</w:t>
      </w:r>
      <w:r>
        <w:rPr>
          <w:rFonts w:hint="eastAsia"/>
        </w:rPr>
        <w:t>合同草案</w:t>
      </w:r>
      <w:bookmarkEnd w:id="171"/>
    </w:p>
    <w:p>
      <w:pPr>
        <w:spacing w:line="360" w:lineRule="auto"/>
        <w:jc w:val="center"/>
        <w:rPr>
          <w:rFonts w:ascii="宋体" w:hAnsi="宋体" w:cs="宋体"/>
          <w:sz w:val="32"/>
          <w:szCs w:val="32"/>
        </w:rPr>
      </w:pPr>
      <w:bookmarkStart w:id="172" w:name="_Toc296503113"/>
      <w:bookmarkStart w:id="173" w:name="_Toc296346614"/>
      <w:bookmarkStart w:id="174" w:name="_Toc337558811"/>
    </w:p>
    <w:bookmarkEnd w:id="172"/>
    <w:bookmarkEnd w:id="173"/>
    <w:bookmarkEnd w:id="174"/>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合同编号：</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签订地点：</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签订时间：_____年_____月_____日。</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 xml:space="preserve">采购人（甲方）：                              </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供应商（乙方）：</w:t>
      </w:r>
    </w:p>
    <w:p>
      <w:pPr>
        <w:spacing w:after="0" w:line="560" w:lineRule="exact"/>
        <w:ind w:firstLine="640" w:firstLineChars="200"/>
        <w:rPr>
          <w:rFonts w:hint="eastAsia" w:ascii="仿宋_GB2312" w:hAnsi="仿宋_GB2312" w:eastAsia="仿宋_GB2312" w:cs="仿宋_GB2312"/>
          <w:bCs/>
          <w:sz w:val="32"/>
          <w:szCs w:val="32"/>
          <w:highlight w:val="none"/>
        </w:rPr>
      </w:pP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根据《中华人民共和国政府采购法》、《中华人民共和国民法典》及</w:t>
      </w:r>
      <w:r>
        <w:rPr>
          <w:rFonts w:hint="eastAsia" w:ascii="仿宋_GB2312" w:hAnsi="仿宋_GB2312" w:eastAsia="仿宋_GB2312" w:cs="仿宋_GB2312"/>
          <w:bCs/>
          <w:sz w:val="32"/>
          <w:szCs w:val="32"/>
          <w:highlight w:val="none"/>
          <w:lang w:eastAsia="zh-CN"/>
        </w:rPr>
        <w:t>彭州市公安局</w:t>
      </w:r>
      <w:r>
        <w:rPr>
          <w:rFonts w:hint="eastAsia" w:ascii="仿宋_GB2312" w:hAnsi="仿宋_GB2312" w:eastAsia="仿宋_GB2312" w:cs="仿宋_GB2312"/>
          <w:bCs/>
          <w:sz w:val="32"/>
          <w:szCs w:val="32"/>
          <w:highlight w:val="none"/>
        </w:rPr>
        <w:t>LED显示屏采购项目（第二次）的《询价通知书》、乙方的《响应文件》及《成交通知书》，甲、乙双方同意签订本合同。详细技术说明及其他有关合同项目的特定信息由合同附件予以说明，合同附件及本项目的询价通知书、响应文件、《成交通知书》等均为本合同不可分割的部分。双方同意共同遵守如下条款：</w:t>
      </w:r>
    </w:p>
    <w:p>
      <w:pPr>
        <w:spacing w:after="0" w:line="560" w:lineRule="exact"/>
        <w:ind w:firstLine="640" w:firstLineChars="200"/>
        <w:rPr>
          <w:rFonts w:hint="eastAsia" w:ascii="仿宋_GB2312" w:hAnsi="仿宋_GB2312" w:eastAsia="仿宋_GB2312" w:cs="仿宋_GB2312"/>
          <w:bCs/>
          <w:sz w:val="32"/>
          <w:szCs w:val="32"/>
          <w:highlight w:val="none"/>
        </w:rPr>
      </w:pPr>
      <w:bookmarkStart w:id="175" w:name="_Toc217446107"/>
      <w:r>
        <w:rPr>
          <w:rFonts w:hint="eastAsia" w:ascii="仿宋_GB2312" w:hAnsi="仿宋_GB2312" w:eastAsia="仿宋_GB2312" w:cs="仿宋_GB2312"/>
          <w:bCs/>
          <w:sz w:val="32"/>
          <w:szCs w:val="32"/>
          <w:highlight w:val="none"/>
        </w:rPr>
        <w:t>一、合同货物</w:t>
      </w:r>
      <w:bookmarkEnd w:id="175"/>
    </w:p>
    <w:tbl>
      <w:tblPr>
        <w:tblStyle w:val="45"/>
        <w:tblW w:w="903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规格</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单价</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总价</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随机</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室内全彩LED屏</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P1.86</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平方</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14.592</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接收卡</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5A75B</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张</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39</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电源</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5V/40A/200W</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个</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73</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视频处理器</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X7</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台</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安装支架</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普通壁挂支架</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平方</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15</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线材、辅材</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批</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rPr>
              <w:t>数据传输网线</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6类线</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条</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8</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电脑</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自备</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台</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ind w:firstLine="640" w:firstLineChars="20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安装费</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平方</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14.592</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bottom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屏幕包边装饰框</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72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bottom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bottom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575" w:type="dxa"/>
            <w:tcBorders>
              <w:top w:val="single" w:color="auto" w:sz="4" w:space="0"/>
              <w:right w:val="single" w:color="auto" w:sz="4" w:space="0"/>
            </w:tcBorders>
            <w:vAlign w:val="center"/>
          </w:tcPr>
          <w:p>
            <w:pPr>
              <w:spacing w:after="0" w:line="560" w:lineRule="exac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视频会议摄像头</w:t>
            </w:r>
          </w:p>
        </w:tc>
        <w:tc>
          <w:tcPr>
            <w:tcW w:w="1050" w:type="dxa"/>
            <w:tcBorders>
              <w:top w:val="single" w:color="auto" w:sz="4" w:space="0"/>
              <w:left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p>
        </w:tc>
        <w:tc>
          <w:tcPr>
            <w:tcW w:w="720" w:type="dxa"/>
            <w:tcBorders>
              <w:top w:val="single" w:color="auto" w:sz="4" w:space="0"/>
              <w:left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台</w:t>
            </w:r>
          </w:p>
        </w:tc>
        <w:tc>
          <w:tcPr>
            <w:tcW w:w="900" w:type="dxa"/>
            <w:tcBorders>
              <w:top w:val="single" w:color="auto" w:sz="4" w:space="0"/>
              <w:left w:val="single" w:color="auto" w:sz="4" w:space="0"/>
              <w:right w:val="single" w:color="auto" w:sz="4" w:space="0"/>
            </w:tcBorders>
            <w:vAlign w:val="center"/>
          </w:tcPr>
          <w:p>
            <w:pPr>
              <w:spacing w:after="0" w:line="560" w:lineRule="exact"/>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w:t>
            </w:r>
          </w:p>
        </w:tc>
        <w:tc>
          <w:tcPr>
            <w:tcW w:w="1080" w:type="dxa"/>
            <w:tcBorders>
              <w:top w:val="single" w:color="auto" w:sz="4" w:space="0"/>
              <w:left w:val="single" w:color="auto" w:sz="4" w:space="0"/>
              <w:right w:val="single" w:color="auto" w:sz="4" w:space="0"/>
            </w:tcBorders>
            <w:vAlign w:val="center"/>
          </w:tcPr>
          <w:p>
            <w:pPr>
              <w:spacing w:after="0" w:line="560" w:lineRule="exact"/>
              <w:ind w:firstLine="640" w:firstLineChars="200"/>
              <w:rPr>
                <w:rFonts w:hint="eastAsia" w:ascii="仿宋_GB2312" w:hAnsi="仿宋_GB2312" w:eastAsia="仿宋_GB2312" w:cs="仿宋_GB2312"/>
                <w:bCs/>
                <w:sz w:val="32"/>
                <w:szCs w:val="32"/>
                <w:highlight w:val="none"/>
                <w:lang w:val="en-US" w:eastAsia="zh-CN"/>
              </w:rPr>
            </w:pPr>
          </w:p>
        </w:tc>
        <w:tc>
          <w:tcPr>
            <w:tcW w:w="1185" w:type="dxa"/>
            <w:tcBorders>
              <w:top w:val="single" w:color="auto" w:sz="4" w:space="0"/>
              <w:left w:val="single" w:color="auto" w:sz="4" w:space="0"/>
              <w:right w:val="single" w:color="auto" w:sz="4" w:space="0"/>
            </w:tcBorders>
            <w:vAlign w:val="center"/>
          </w:tcPr>
          <w:p>
            <w:pPr>
              <w:spacing w:after="0" w:line="560" w:lineRule="exact"/>
              <w:ind w:firstLine="640" w:firstLineChars="200"/>
              <w:rPr>
                <w:rFonts w:hint="default" w:ascii="仿宋_GB2312" w:hAnsi="仿宋_GB2312" w:eastAsia="仿宋_GB2312" w:cs="仿宋_GB2312"/>
                <w:bCs/>
                <w:sz w:val="32"/>
                <w:szCs w:val="32"/>
                <w:highlight w:val="none"/>
                <w:lang w:val="en-US" w:eastAsia="zh-CN"/>
              </w:rPr>
            </w:pPr>
          </w:p>
        </w:tc>
        <w:tc>
          <w:tcPr>
            <w:tcW w:w="1260" w:type="dxa"/>
            <w:tcBorders>
              <w:top w:val="single" w:color="auto" w:sz="4" w:space="0"/>
              <w:left w:val="single" w:color="auto" w:sz="4" w:space="0"/>
              <w:right w:val="single" w:color="auto" w:sz="4" w:space="0"/>
            </w:tcBorders>
          </w:tcPr>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无</w:t>
            </w:r>
            <w:r>
              <w:rPr>
                <w:rFonts w:hint="eastAsia" w:ascii="仿宋_GB2312" w:hAnsi="仿宋_GB2312" w:eastAsia="仿宋_GB2312" w:cs="仿宋_GB2312"/>
                <w:bCs/>
                <w:sz w:val="32"/>
                <w:szCs w:val="32"/>
                <w:highlight w:val="none"/>
              </w:rPr>
              <w:t> </w:t>
            </w:r>
          </w:p>
        </w:tc>
        <w:tc>
          <w:tcPr>
            <w:tcW w:w="1260" w:type="dxa"/>
            <w:tcBorders>
              <w:top w:val="single" w:color="auto" w:sz="4" w:space="0"/>
              <w:left w:val="single" w:color="auto" w:sz="4" w:space="0"/>
            </w:tcBorders>
          </w:tcPr>
          <w:p>
            <w:pPr>
              <w:spacing w:after="0" w:line="56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签订合同后15日内</w:t>
            </w:r>
          </w:p>
        </w:tc>
      </w:tr>
    </w:tbl>
    <w:p>
      <w:pPr>
        <w:spacing w:after="0" w:line="560" w:lineRule="exact"/>
        <w:ind w:firstLine="640" w:firstLineChars="200"/>
        <w:rPr>
          <w:rFonts w:hint="eastAsia" w:ascii="仿宋_GB2312" w:hAnsi="仿宋_GB2312" w:eastAsia="仿宋_GB2312" w:cs="仿宋_GB2312"/>
          <w:bCs/>
          <w:sz w:val="32"/>
          <w:szCs w:val="32"/>
          <w:highlight w:val="none"/>
        </w:rPr>
      </w:pPr>
    </w:p>
    <w:p>
      <w:pPr>
        <w:spacing w:after="0" w:line="560" w:lineRule="exact"/>
        <w:ind w:firstLine="640" w:firstLineChars="200"/>
        <w:rPr>
          <w:rFonts w:hint="eastAsia" w:ascii="仿宋_GB2312" w:hAnsi="仿宋_GB2312" w:eastAsia="仿宋_GB2312" w:cs="仿宋_GB2312"/>
          <w:bCs/>
          <w:sz w:val="32"/>
          <w:szCs w:val="32"/>
          <w:highlight w:val="none"/>
        </w:rPr>
      </w:pPr>
      <w:bookmarkStart w:id="176" w:name="_Toc217446108"/>
      <w:r>
        <w:rPr>
          <w:rFonts w:hint="eastAsia" w:ascii="仿宋_GB2312" w:hAnsi="仿宋_GB2312" w:eastAsia="仿宋_GB2312" w:cs="仿宋_GB2312"/>
          <w:bCs/>
          <w:sz w:val="32"/>
          <w:szCs w:val="32"/>
          <w:highlight w:val="none"/>
        </w:rPr>
        <w:t>二、合同总价</w:t>
      </w:r>
      <w:bookmarkEnd w:id="176"/>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合同总价为人民币大写：</w:t>
      </w:r>
      <w:r>
        <w:rPr>
          <w:rFonts w:hint="eastAsia" w:ascii="仿宋_GB2312" w:hAnsi="仿宋_GB2312" w:eastAsia="仿宋_GB2312" w:cs="仿宋_GB2312"/>
          <w:bCs/>
          <w:sz w:val="32"/>
          <w:szCs w:val="32"/>
          <w:highlight w:val="none"/>
          <w:u w:val="single"/>
          <w:lang w:val="en-US" w:eastAsia="zh-CN"/>
        </w:rPr>
        <w:t xml:space="preserve">                </w:t>
      </w:r>
      <w:r>
        <w:rPr>
          <w:rFonts w:hint="eastAsia" w:ascii="仿宋_GB2312" w:hAnsi="仿宋_GB2312" w:eastAsia="仿宋_GB2312" w:cs="仿宋_GB2312"/>
          <w:bCs/>
          <w:sz w:val="32"/>
          <w:szCs w:val="32"/>
          <w:highlight w:val="none"/>
        </w:rPr>
        <w:t>，即RMB￥</w:t>
      </w:r>
      <w:r>
        <w:rPr>
          <w:rFonts w:hint="eastAsia" w:ascii="仿宋_GB2312" w:hAnsi="仿宋_GB2312" w:eastAsia="仿宋_GB2312" w:cs="仿宋_GB2312"/>
          <w:bCs/>
          <w:sz w:val="32"/>
          <w:szCs w:val="32"/>
          <w:highlight w:val="none"/>
          <w:u w:val="single"/>
          <w:lang w:val="en-US" w:eastAsia="zh-CN"/>
        </w:rPr>
        <w:t xml:space="preserve">            </w:t>
      </w:r>
      <w:r>
        <w:rPr>
          <w:rFonts w:hint="eastAsia" w:ascii="仿宋_GB2312" w:hAnsi="仿宋_GB2312" w:eastAsia="仿宋_GB2312" w:cs="仿宋_GB2312"/>
          <w:bCs/>
          <w:sz w:val="32"/>
          <w:szCs w:val="32"/>
          <w:highlight w:val="none"/>
        </w:rPr>
        <w:t>元；该合同总价已包括货物设计、材料、保管费、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after="0" w:line="560" w:lineRule="exact"/>
        <w:ind w:firstLine="640" w:firstLineChars="200"/>
        <w:rPr>
          <w:rFonts w:hint="eastAsia" w:ascii="仿宋_GB2312" w:hAnsi="仿宋_GB2312" w:eastAsia="仿宋_GB2312" w:cs="仿宋_GB2312"/>
          <w:bCs/>
          <w:sz w:val="32"/>
          <w:szCs w:val="32"/>
          <w:highlight w:val="none"/>
        </w:rPr>
      </w:pPr>
      <w:bookmarkStart w:id="177" w:name="_Toc217446109"/>
      <w:r>
        <w:rPr>
          <w:rFonts w:hint="eastAsia" w:ascii="仿宋_GB2312" w:hAnsi="仿宋_GB2312" w:eastAsia="仿宋_GB2312" w:cs="仿宋_GB2312"/>
          <w:bCs/>
          <w:sz w:val="32"/>
          <w:szCs w:val="32"/>
          <w:highlight w:val="none"/>
        </w:rPr>
        <w:t>三、质量要求</w:t>
      </w:r>
      <w:bookmarkEnd w:id="177"/>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1、乙方须提供全新的货物（含零部件、配件等），表面无划伤、无碰撞痕迹，且权属清楚，不得侵害他人的知识产权。</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2、货物必须符合或优于国家（行业）相应标准，以及本项目招标文件的质量要求和技术指标与出厂标准。</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3、货物制造质量出现问题，乙方应负责三包（包修、包换、包退），费用由乙方负担，甲方有权到乙方生产场地检查货物质量和生产进度。</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4、货到现场并完成交付后由于甲方保管不当造成的质量问题，乙方亦应负责修理，只收取成本费，但费用由甲方负担。</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5、货到现场完成交付之前的保管责任由乙方承担。</w:t>
      </w:r>
    </w:p>
    <w:p>
      <w:pPr>
        <w:spacing w:after="0" w:line="560" w:lineRule="exact"/>
        <w:ind w:firstLine="640" w:firstLineChars="200"/>
        <w:rPr>
          <w:rFonts w:hint="eastAsia" w:ascii="仿宋_GB2312" w:hAnsi="仿宋_GB2312" w:eastAsia="仿宋_GB2312" w:cs="仿宋_GB2312"/>
          <w:bCs/>
          <w:sz w:val="32"/>
          <w:szCs w:val="32"/>
          <w:highlight w:val="none"/>
        </w:rPr>
      </w:pPr>
      <w:bookmarkStart w:id="178" w:name="_Toc217446110"/>
      <w:r>
        <w:rPr>
          <w:rFonts w:hint="eastAsia" w:ascii="仿宋_GB2312" w:hAnsi="仿宋_GB2312" w:eastAsia="仿宋_GB2312" w:cs="仿宋_GB2312"/>
          <w:bCs/>
          <w:sz w:val="32"/>
          <w:szCs w:val="32"/>
          <w:highlight w:val="none"/>
        </w:rPr>
        <w:t>四、交货及验收</w:t>
      </w:r>
      <w:bookmarkEnd w:id="178"/>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一、验收原则：甲乙双方应严格按照国家有关规定及采购文件的质量要求和技术服务指标、乙方的响应文件、承诺及合同约定的标准进行验收；双方如对质量要求和技术指标的约定标准有相互抵触或异议的事项，由甲方在采购文件与响应文件中按质量要求和技术指标比较优胜的原则确定该项的约定标准进行验收。</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乙方应将所提供货物的装箱清单、配件、随机工具、用户使用手册、原厂保修卡等资料交付给甲方；乙方不能完整交付货物及本款规定的单证和工具的，必须负责补齐，否则视为未按合同约定交货。</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二、验收步骤：</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1、初步验收：签订合同后</w:t>
      </w:r>
      <w:r>
        <w:rPr>
          <w:rFonts w:hint="eastAsia" w:ascii="仿宋_GB2312" w:hAnsi="仿宋_GB2312" w:eastAsia="仿宋_GB2312" w:cs="仿宋_GB2312"/>
          <w:bCs/>
          <w:sz w:val="32"/>
          <w:szCs w:val="32"/>
          <w:highlight w:val="none"/>
          <w:lang w:val="en-US" w:eastAsia="zh-CN"/>
        </w:rPr>
        <w:t>15</w:t>
      </w:r>
      <w:r>
        <w:rPr>
          <w:rFonts w:hint="eastAsia" w:ascii="仿宋_GB2312" w:hAnsi="仿宋_GB2312" w:eastAsia="仿宋_GB2312" w:cs="仿宋_GB2312"/>
          <w:bCs/>
          <w:sz w:val="32"/>
          <w:szCs w:val="32"/>
          <w:highlight w:val="none"/>
        </w:rPr>
        <w:t>日内，乙方将响应文件清单内产品送抵至交货地点，并在次日内通知甲方进行初步验收，属于强制3C认证的产品，验收时提供产品3C认证证书或产品的3C标识，最终验收交付使用前货物所有权归乙方所有，甲方不承担保管义务，但乙方不得将已初步验收货物带出交货地点。甲方按照国家有关规定以及招标文件的质量要求和技术指标、乙方的响应文件产品品牌、规格型号及承诺标准对乙方清单内产品：品牌、型号、规格、参数、数量进行验收，如高于或等于询价通知书及响应文件要求的视为合格，低于询价通知书及响应文件要求的视为不合格，乙方应对不合格产品进行更换，如两次更换设备均无法解决问题的，甲方有权解除合同。</w:t>
      </w:r>
      <w:bookmarkStart w:id="179" w:name="_Toc217446111"/>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试用期：初步验收合格后，成交供应商按照询价通知书及响应文件要求10日内完成安装、集成、调试，并在完成后次日内通知采购人进行试用，试用期为10日；试用期间若发生质量问题，修复完善后试用期相应顺延；如在试用期间部分功能及要求未达到采购人要求的，中标供应商应在8小时内解决，如须更换设备的应不低于2日完成更换。试用期内产品发生质量问题的，中标供应商须在1日内完成设备换新工作，如两次更换设备均无法解决问题的，采购人有权解除合同；试用期结束后，中标供应商须在7日内对施工过程中损坏的原有成品恢复原状，如装修、装饰、墙面、设施、设备等。</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最终验收：在对施工过程中损坏的原有成品恢复原状后7日内采购人对系统运行情况进行最终验收，并交付使用。对施工过程中损坏的原有成品恢复原状完成后7日后，采购人无故不进行最终验收工作的，视同最终验收合格。</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五、付款方式</w:t>
      </w:r>
      <w:bookmarkEnd w:id="179"/>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合同签订后，设备安装调试完成，并经甲方验收合格之日起5个工作日内（注：设备在未经甲方验收前，该设备半成品或成品的保护由乙方承担），甲方向乙方支付合同金额95%的货款,采购人使用一年后无质量问题，支付剩余合同金额5%的货款。（注：双方约定的货款包括设备转让款、安装款、安装材料费、人工费、装卸运输费、保管费、税金等全部费用。）</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2、乙方须向甲方出具合法有效完整的完税发票及凭证资料进行支付结算，否则甲方有权拒绝支付</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3、付款方式：银行转账方式。</w:t>
      </w:r>
    </w:p>
    <w:p>
      <w:pPr>
        <w:spacing w:after="0" w:line="560" w:lineRule="exact"/>
        <w:ind w:firstLine="640" w:firstLineChars="200"/>
        <w:rPr>
          <w:rFonts w:hint="eastAsia" w:ascii="仿宋_GB2312" w:hAnsi="仿宋_GB2312" w:eastAsia="仿宋_GB2312" w:cs="仿宋_GB2312"/>
          <w:bCs/>
          <w:sz w:val="32"/>
          <w:szCs w:val="32"/>
          <w:highlight w:val="none"/>
        </w:rPr>
      </w:pPr>
      <w:bookmarkStart w:id="180" w:name="_Toc217446112"/>
      <w:r>
        <w:rPr>
          <w:rFonts w:hint="eastAsia" w:ascii="仿宋_GB2312" w:hAnsi="仿宋_GB2312" w:eastAsia="仿宋_GB2312" w:cs="仿宋_GB2312"/>
          <w:bCs/>
          <w:sz w:val="32"/>
          <w:szCs w:val="32"/>
          <w:highlight w:val="none"/>
        </w:rPr>
        <w:t>六、售后服务</w:t>
      </w:r>
      <w:bookmarkEnd w:id="180"/>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1、质保期</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保修期为5年,质量保证期为自本项目验收合格签字之日起5年,在质保期内出现质量问题，供应商应在接到通知后2小时内响应到场，12小时内完成维修或更换，维修或更换费用由供货方承担。如货物经供应商3次维修或更换仍不能达到本合同约定的质量标准，视作供应商未能按时交货，用户有权退货并追究供应商的违约责任。</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质保期内，中标商负责对其提供的设备进行现场维修，不收任何费用（如部件费、人工费、差旅费等）。</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2、乙方须指派专人负责与甲方联系售后服务事宜。</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3、质保期内若出现质量问题，乙方未在合同约定的时间内到场维修或经维修仍不能排除全部故障的，甲方有权另行委托第三方进行维修，因此产生的费用由乙方承担。</w:t>
      </w:r>
    </w:p>
    <w:p>
      <w:pPr>
        <w:spacing w:after="0" w:line="560" w:lineRule="exact"/>
        <w:ind w:firstLine="640" w:firstLineChars="200"/>
        <w:rPr>
          <w:rFonts w:hint="eastAsia" w:ascii="仿宋_GB2312" w:hAnsi="仿宋_GB2312" w:eastAsia="仿宋_GB2312" w:cs="仿宋_GB2312"/>
          <w:bCs/>
          <w:sz w:val="32"/>
          <w:szCs w:val="32"/>
          <w:highlight w:val="none"/>
        </w:rPr>
      </w:pPr>
      <w:bookmarkStart w:id="181" w:name="_Toc217446113"/>
      <w:r>
        <w:rPr>
          <w:rFonts w:hint="eastAsia" w:ascii="仿宋_GB2312" w:hAnsi="仿宋_GB2312" w:eastAsia="仿宋_GB2312" w:cs="仿宋_GB2312"/>
          <w:bCs/>
          <w:sz w:val="32"/>
          <w:szCs w:val="32"/>
          <w:highlight w:val="none"/>
        </w:rPr>
        <w:t>七、违约责任</w:t>
      </w:r>
      <w:bookmarkEnd w:id="181"/>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1、甲方违约责任</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 xml:space="preserve">（1） 甲方无正当理由拒收货物的，甲方应偿付合同总价百分之 </w:t>
      </w:r>
      <w:r>
        <w:rPr>
          <w:rFonts w:hint="eastAsia" w:ascii="仿宋_GB2312" w:hAnsi="仿宋_GB2312" w:eastAsia="仿宋_GB2312" w:cs="仿宋_GB2312"/>
          <w:bCs/>
          <w:sz w:val="32"/>
          <w:szCs w:val="32"/>
          <w:highlight w:val="none"/>
          <w:lang w:val="en-US" w:eastAsia="zh-CN"/>
        </w:rPr>
        <w:t>5</w:t>
      </w:r>
      <w:r>
        <w:rPr>
          <w:rFonts w:hint="eastAsia" w:ascii="仿宋_GB2312" w:hAnsi="仿宋_GB2312" w:eastAsia="仿宋_GB2312" w:cs="仿宋_GB2312"/>
          <w:bCs/>
          <w:sz w:val="32"/>
          <w:szCs w:val="32"/>
          <w:highlight w:val="none"/>
        </w:rPr>
        <w:t xml:space="preserve"> 的违约金；</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 甲方逾期支付货款的，除应及时付足货款外，应向乙方偿付欠款总额万分之3/天的违约金；逾期付款超过60天的，乙方有权终止合同；</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 甲方偿付的违约金不足以弥补乙方损失的，还应按乙方损失尚未弥补的部分，支付赔偿金给乙方。</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2、乙方违约责任</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（1）乙方交付的货物质量不符合合同规定的，乙方应向甲方支付合同总价的百分之</w:t>
      </w:r>
      <w:r>
        <w:rPr>
          <w:rFonts w:hint="eastAsia" w:ascii="仿宋_GB2312" w:hAnsi="仿宋_GB2312" w:eastAsia="仿宋_GB2312" w:cs="仿宋_GB2312"/>
          <w:bCs/>
          <w:sz w:val="32"/>
          <w:szCs w:val="32"/>
          <w:highlight w:val="none"/>
          <w:lang w:val="en-US" w:eastAsia="zh-CN"/>
        </w:rPr>
        <w:t>5</w:t>
      </w:r>
      <w:r>
        <w:rPr>
          <w:rFonts w:hint="eastAsia" w:ascii="仿宋_GB2312" w:hAnsi="仿宋_GB2312" w:eastAsia="仿宋_GB2312" w:cs="仿宋_GB2312"/>
          <w:bCs/>
          <w:sz w:val="32"/>
          <w:szCs w:val="32"/>
          <w:highlight w:val="none"/>
        </w:rPr>
        <w:t>的违约金，并须在合同规定的交货时间内更换合格的货物给甲方，否则，视作乙方不能交付货物而违约，按本条本款下述第“（2）”项规定由乙方偿付违约赔偿金给甲方。</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乙方不能交付货物或逾期交付货物而违约的，除应及时交足货物外，应向甲方偿付逾期交货部分货款总额的万分之3/天的违约金；逾期交货超过20天，甲方有权终止合同，乙方则应按合同总价的百分之3的款额向甲方偿付赔偿金，并须全额退还甲方已经付给乙方的货款及其利息。</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乙方货物经甲方送交具有法定资格条件的质量技术监督机构检测后，如检测结果认定货物质量不符合本合同规定标准的，则视为乙方没有按时交货而违约，乙方须在7天内无条件更换合格的货物，如逾期不能更换合格的货物，甲方有权终止本合同，乙方应另付合同总价的百分之3的赔偿金给甲方。</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3向甲方支付违约金并赔偿因此给甲方造成的一切损失。</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（5）乙方偿付的违约金不足以弥补甲方损失的，还应按甲方损失尚未弥补的部分，支付赔偿金给甲方。</w:t>
      </w:r>
    </w:p>
    <w:p>
      <w:pPr>
        <w:spacing w:after="0" w:line="560" w:lineRule="exact"/>
        <w:ind w:firstLine="640" w:firstLineChars="200"/>
        <w:rPr>
          <w:rFonts w:hint="eastAsia" w:ascii="仿宋_GB2312" w:hAnsi="仿宋_GB2312" w:eastAsia="仿宋_GB2312" w:cs="仿宋_GB2312"/>
          <w:bCs/>
          <w:sz w:val="32"/>
          <w:szCs w:val="32"/>
          <w:highlight w:val="none"/>
        </w:rPr>
      </w:pPr>
      <w:bookmarkStart w:id="182" w:name="_Toc217446114"/>
      <w:r>
        <w:rPr>
          <w:rFonts w:hint="eastAsia" w:ascii="仿宋_GB2312" w:hAnsi="仿宋_GB2312" w:eastAsia="仿宋_GB2312" w:cs="仿宋_GB2312"/>
          <w:bCs/>
          <w:sz w:val="32"/>
          <w:szCs w:val="32"/>
          <w:highlight w:val="none"/>
        </w:rPr>
        <w:t>八、争议解决办法</w:t>
      </w:r>
      <w:bookmarkEnd w:id="182"/>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1、因货物的质量问题发生争议，由质量技术监督部门或其指定的质量鉴定机构进行质量鉴定。货物符合标准的，鉴定费由甲方承担；货物不符合质量标准的，鉴定费由乙方承担。</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2、合同履行期间,若双方发生争议，可协商或由有关部门调解解决，协商或调解不成的，双方均可向合同履行地</w:t>
      </w:r>
      <w:r>
        <w:rPr>
          <w:rFonts w:hint="eastAsia" w:ascii="仿宋_GB2312" w:hAnsi="仿宋_GB2312" w:eastAsia="仿宋_GB2312" w:cs="仿宋_GB2312"/>
          <w:bCs/>
          <w:sz w:val="32"/>
          <w:szCs w:val="32"/>
          <w:highlight w:val="none"/>
          <w:lang w:eastAsia="zh-CN"/>
        </w:rPr>
        <w:t>彭州</w:t>
      </w:r>
      <w:r>
        <w:rPr>
          <w:rFonts w:hint="eastAsia" w:ascii="仿宋_GB2312" w:hAnsi="仿宋_GB2312" w:eastAsia="仿宋_GB2312" w:cs="仿宋_GB2312"/>
          <w:bCs/>
          <w:sz w:val="32"/>
          <w:szCs w:val="32"/>
          <w:highlight w:val="none"/>
        </w:rPr>
        <w:t>市人民法院起诉。</w:t>
      </w:r>
    </w:p>
    <w:p>
      <w:pPr>
        <w:spacing w:after="0" w:line="560" w:lineRule="exact"/>
        <w:ind w:firstLine="640" w:firstLineChars="200"/>
        <w:rPr>
          <w:rFonts w:hint="eastAsia" w:ascii="仿宋_GB2312" w:hAnsi="仿宋_GB2312" w:eastAsia="仿宋_GB2312" w:cs="仿宋_GB2312"/>
          <w:bCs/>
          <w:sz w:val="32"/>
          <w:szCs w:val="32"/>
          <w:highlight w:val="none"/>
        </w:rPr>
      </w:pPr>
      <w:bookmarkStart w:id="183" w:name="_Toc217446115"/>
      <w:r>
        <w:rPr>
          <w:rFonts w:hint="eastAsia" w:ascii="仿宋_GB2312" w:hAnsi="仿宋_GB2312" w:eastAsia="仿宋_GB2312" w:cs="仿宋_GB2312"/>
          <w:bCs/>
          <w:sz w:val="32"/>
          <w:szCs w:val="32"/>
          <w:highlight w:val="none"/>
        </w:rPr>
        <w:t>九、其他</w:t>
      </w:r>
      <w:bookmarkEnd w:id="183"/>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1、如有未尽事宜，由双方依法订立补充合同。</w:t>
      </w:r>
    </w:p>
    <w:p>
      <w:pPr>
        <w:spacing w:after="0" w:line="560" w:lineRule="exact"/>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2、本合同一式五份，自双方签章之日起生效。甲方三份，乙方、政府采购管理部门各一份。</w:t>
      </w:r>
    </w:p>
    <w:p>
      <w:pPr>
        <w:spacing w:after="0" w:line="400" w:lineRule="exact"/>
        <w:rPr>
          <w:rFonts w:ascii="宋体"/>
          <w:sz w:val="24"/>
        </w:rPr>
      </w:pP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 xml:space="preserve">甲方：      </w:t>
      </w:r>
      <w:r>
        <w:rPr>
          <w:rFonts w:hint="eastAsia" w:ascii="仿宋_GB2312" w:hAnsi="仿宋_GB2312" w:eastAsia="仿宋_GB2312" w:cs="仿宋_GB2312"/>
          <w:bCs/>
          <w:sz w:val="32"/>
          <w:szCs w:val="32"/>
          <w:highlight w:val="none"/>
        </w:rPr>
        <w:tab/>
      </w:r>
      <w:r>
        <w:rPr>
          <w:rFonts w:hint="eastAsia" w:ascii="仿宋_GB2312" w:hAnsi="仿宋_GB2312" w:eastAsia="仿宋_GB2312" w:cs="仿宋_GB2312"/>
          <w:bCs/>
          <w:sz w:val="32"/>
          <w:szCs w:val="32"/>
          <w:highlight w:val="none"/>
        </w:rPr>
        <w:tab/>
      </w:r>
      <w:r>
        <w:rPr>
          <w:rFonts w:hint="eastAsia" w:ascii="仿宋_GB2312" w:hAnsi="仿宋_GB2312" w:eastAsia="仿宋_GB2312" w:cs="仿宋_GB2312"/>
          <w:bCs/>
          <w:sz w:val="32"/>
          <w:szCs w:val="32"/>
          <w:highlight w:val="none"/>
        </w:rPr>
        <w:tab/>
      </w:r>
      <w:r>
        <w:rPr>
          <w:rFonts w:hint="eastAsia" w:ascii="仿宋_GB2312" w:hAnsi="仿宋_GB2312" w:eastAsia="仿宋_GB2312" w:cs="仿宋_GB2312"/>
          <w:bCs/>
          <w:sz w:val="32"/>
          <w:szCs w:val="32"/>
          <w:highlight w:val="none"/>
        </w:rPr>
        <w:t xml:space="preserve">            乙方：   </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法定代表人（授权代表）：       法定代表人（授权代表）</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    址：                    地    址：</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开户银行：                    开户银行：</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账号：                        账号：</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 xml:space="preserve">电    话：                    电    话：                      </w:t>
      </w:r>
    </w:p>
    <w:p>
      <w:pPr>
        <w:spacing w:after="0" w:line="56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签约日期：___年__月__      签约日期：___年__月__</w:t>
      </w:r>
    </w:p>
    <w:p>
      <w:pPr>
        <w:rPr>
          <w:rFonts w:hint="eastAsia" w:ascii="仿宋_GB2312" w:hAnsi="仿宋_GB2312" w:eastAsia="仿宋_GB2312" w:cs="仿宋_GB2312"/>
          <w:b w:val="0"/>
          <w:bCs w:val="0"/>
          <w:sz w:val="32"/>
          <w:szCs w:val="32"/>
          <w:highlight w:val="none"/>
          <w:lang w:val="en-US" w:eastAsia="zh-CN"/>
        </w:rPr>
      </w:pPr>
    </w:p>
    <w:p>
      <w:pPr>
        <w:rPr>
          <w:rFonts w:hint="eastAsia" w:ascii="仿宋_GB2312" w:hAnsi="仿宋_GB2312" w:eastAsia="仿宋_GB2312" w:cs="仿宋_GB2312"/>
          <w:b w:val="0"/>
          <w:bCs w:val="0"/>
          <w:sz w:val="32"/>
          <w:szCs w:val="32"/>
          <w:highlight w:val="none"/>
          <w:lang w:val="en-US" w:eastAsia="zh-CN"/>
        </w:rPr>
      </w:pPr>
    </w:p>
    <w:p>
      <w:pPr>
        <w:widowControl/>
        <w:spacing w:line="560" w:lineRule="exact"/>
        <w:ind w:firstLine="627" w:firstLineChars="196"/>
        <w:rPr>
          <w:rFonts w:hint="eastAsia" w:eastAsia="仿宋_GB2312"/>
          <w:lang w:val="en-US" w:eastAsia="zh-CN"/>
        </w:rPr>
        <w:sectPr>
          <w:pgSz w:w="11906" w:h="16838"/>
          <w:pgMar w:top="1276" w:right="1474" w:bottom="1871" w:left="1588" w:header="851" w:footer="992" w:gutter="0"/>
          <w:cols w:space="720" w:num="1"/>
          <w:docGrid w:type="lines" w:linePitch="312" w:charSpace="0"/>
        </w:sectPr>
      </w:pPr>
      <w:r>
        <w:rPr>
          <w:rFonts w:hint="eastAsia" w:ascii="仿宋_GB2312" w:hAnsi="仿宋_GB2312" w:eastAsia="仿宋_GB2312" w:cs="仿宋_GB2312"/>
          <w:b w:val="0"/>
          <w:bCs w:val="0"/>
          <w:sz w:val="32"/>
          <w:szCs w:val="32"/>
          <w:highlight w:val="none"/>
          <w:lang w:val="en-US" w:eastAsia="zh-CN"/>
        </w:rPr>
        <w:t xml:space="preserve">                    </w:t>
      </w:r>
    </w:p>
    <w:p>
      <w:pPr>
        <w:pStyle w:val="18"/>
      </w:pPr>
    </w:p>
    <w:p>
      <w:pPr>
        <w:pStyle w:val="18"/>
      </w:pPr>
      <w:r>
        <w:rPr>
          <w:rFonts w:hint="eastAsia"/>
        </w:rPr>
        <w:t>附件</w:t>
      </w:r>
    </w:p>
    <w:bookmarkEnd w:id="89"/>
    <w:bookmarkEnd w:id="90"/>
    <w:bookmarkEnd w:id="91"/>
    <w:bookmarkEnd w:id="92"/>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3"/>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9"/>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0"/>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1"/>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2"/>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3"/>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4"/>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5"/>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6"/>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7"/>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8"/>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9"/>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0"/>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1"/>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jc w:val="both"/>
        <w:sectPr>
          <w:footerReference r:id="rId7" w:type="default"/>
          <w:pgSz w:w="11906" w:h="16838"/>
          <w:pgMar w:top="1440" w:right="1800" w:bottom="1440" w:left="1800" w:header="851" w:footer="992" w:gutter="0"/>
          <w:cols w:space="0" w:num="1"/>
          <w:rtlGutter w:val="0"/>
          <w:docGrid w:type="lines" w:linePitch="312" w:charSpace="0"/>
        </w:sectPr>
      </w:pPr>
    </w:p>
    <w:p/>
    <w:p/>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504020202020204"/>
    <w:charset w:val="00"/>
    <w:family w:val="swiss"/>
    <w:pitch w:val="default"/>
    <w:sig w:usb0="00000000" w:usb1="00000000" w:usb2="00000008" w:usb3="00000000" w:csb0="000001F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82</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88</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2">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1">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8">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9">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5">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5D607C5F"/>
    <w:multiLevelType w:val="multilevel"/>
    <w:tmpl w:val="5D607C5F"/>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3">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18"/>
  </w:num>
  <w:num w:numId="3">
    <w:abstractNumId w:val="42"/>
  </w:num>
  <w:num w:numId="4">
    <w:abstractNumId w:val="34"/>
  </w:num>
  <w:num w:numId="5">
    <w:abstractNumId w:val="7"/>
  </w:num>
  <w:num w:numId="6">
    <w:abstractNumId w:val="23"/>
  </w:num>
  <w:num w:numId="7">
    <w:abstractNumId w:val="43"/>
  </w:num>
  <w:num w:numId="8">
    <w:abstractNumId w:val="3"/>
  </w:num>
  <w:num w:numId="9">
    <w:abstractNumId w:val="15"/>
  </w:num>
  <w:num w:numId="10">
    <w:abstractNumId w:val="16"/>
  </w:num>
  <w:num w:numId="11">
    <w:abstractNumId w:val="20"/>
  </w:num>
  <w:num w:numId="12">
    <w:abstractNumId w:val="37"/>
  </w:num>
  <w:num w:numId="13">
    <w:abstractNumId w:val="21"/>
  </w:num>
  <w:num w:numId="14">
    <w:abstractNumId w:val="36"/>
  </w:num>
  <w:num w:numId="15">
    <w:abstractNumId w:val="9"/>
  </w:num>
  <w:num w:numId="16">
    <w:abstractNumId w:val="41"/>
  </w:num>
  <w:num w:numId="17">
    <w:abstractNumId w:val="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6"/>
  </w:num>
  <w:num w:numId="24">
    <w:abstractNumId w:val="1"/>
  </w:num>
  <w:num w:numId="25">
    <w:abstractNumId w:val="4"/>
  </w:num>
  <w:num w:numId="26">
    <w:abstractNumId w:val="0"/>
  </w:num>
  <w:num w:numId="27">
    <w:abstractNumId w:val="39"/>
  </w:num>
  <w:num w:numId="28">
    <w:abstractNumId w:val="29"/>
  </w:num>
  <w:num w:numId="29">
    <w:abstractNumId w:val="35"/>
  </w:num>
  <w:num w:numId="30">
    <w:abstractNumId w:val="14"/>
  </w:num>
  <w:num w:numId="31">
    <w:abstractNumId w:val="4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33"/>
  </w:num>
  <w:num w:numId="36">
    <w:abstractNumId w:val="17"/>
  </w:num>
  <w:num w:numId="37">
    <w:abstractNumId w:val="28"/>
  </w:num>
  <w:num w:numId="38">
    <w:abstractNumId w:val="44"/>
  </w:num>
  <w:num w:numId="39">
    <w:abstractNumId w:val="3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4"/>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4DC"/>
    <w:rsid w:val="00025699"/>
    <w:rsid w:val="000279F5"/>
    <w:rsid w:val="00033418"/>
    <w:rsid w:val="00055B3A"/>
    <w:rsid w:val="000637FD"/>
    <w:rsid w:val="00070289"/>
    <w:rsid w:val="000800EF"/>
    <w:rsid w:val="000821A0"/>
    <w:rsid w:val="00090BA6"/>
    <w:rsid w:val="0009494C"/>
    <w:rsid w:val="000B2FA4"/>
    <w:rsid w:val="000B3AB8"/>
    <w:rsid w:val="000C4C74"/>
    <w:rsid w:val="000C5490"/>
    <w:rsid w:val="000C6CE2"/>
    <w:rsid w:val="000E6097"/>
    <w:rsid w:val="000E65EA"/>
    <w:rsid w:val="000F4809"/>
    <w:rsid w:val="000F6B7C"/>
    <w:rsid w:val="0011018B"/>
    <w:rsid w:val="00114B69"/>
    <w:rsid w:val="00116640"/>
    <w:rsid w:val="00131E75"/>
    <w:rsid w:val="00134EB4"/>
    <w:rsid w:val="00136D53"/>
    <w:rsid w:val="00140DCC"/>
    <w:rsid w:val="001415FC"/>
    <w:rsid w:val="00147136"/>
    <w:rsid w:val="00147E57"/>
    <w:rsid w:val="00154EA1"/>
    <w:rsid w:val="001701F4"/>
    <w:rsid w:val="00171B70"/>
    <w:rsid w:val="001828EF"/>
    <w:rsid w:val="00197B45"/>
    <w:rsid w:val="001A07E3"/>
    <w:rsid w:val="001B2140"/>
    <w:rsid w:val="001B4384"/>
    <w:rsid w:val="001B6619"/>
    <w:rsid w:val="001C5A0A"/>
    <w:rsid w:val="001C66BE"/>
    <w:rsid w:val="001D1EAF"/>
    <w:rsid w:val="001D2AD5"/>
    <w:rsid w:val="001E5D2E"/>
    <w:rsid w:val="001F161D"/>
    <w:rsid w:val="001F2DA3"/>
    <w:rsid w:val="002013BE"/>
    <w:rsid w:val="00205A63"/>
    <w:rsid w:val="00211D04"/>
    <w:rsid w:val="0023681B"/>
    <w:rsid w:val="0023687E"/>
    <w:rsid w:val="00237901"/>
    <w:rsid w:val="0024760E"/>
    <w:rsid w:val="002619C0"/>
    <w:rsid w:val="00261EB2"/>
    <w:rsid w:val="00262C45"/>
    <w:rsid w:val="0028699C"/>
    <w:rsid w:val="00295121"/>
    <w:rsid w:val="002A1DCC"/>
    <w:rsid w:val="002A2E78"/>
    <w:rsid w:val="002D0C65"/>
    <w:rsid w:val="002D160A"/>
    <w:rsid w:val="002D5D94"/>
    <w:rsid w:val="002D62A2"/>
    <w:rsid w:val="002E2F4B"/>
    <w:rsid w:val="002E56D2"/>
    <w:rsid w:val="002E6FF9"/>
    <w:rsid w:val="002F1F1F"/>
    <w:rsid w:val="003028AF"/>
    <w:rsid w:val="00302AD8"/>
    <w:rsid w:val="0031025D"/>
    <w:rsid w:val="0031657A"/>
    <w:rsid w:val="00340391"/>
    <w:rsid w:val="00365C5B"/>
    <w:rsid w:val="00366676"/>
    <w:rsid w:val="00366D3E"/>
    <w:rsid w:val="00371A62"/>
    <w:rsid w:val="00373FFE"/>
    <w:rsid w:val="0037555F"/>
    <w:rsid w:val="00380652"/>
    <w:rsid w:val="00394685"/>
    <w:rsid w:val="0039751D"/>
    <w:rsid w:val="003A41D6"/>
    <w:rsid w:val="003A549F"/>
    <w:rsid w:val="003C0D99"/>
    <w:rsid w:val="003C1B31"/>
    <w:rsid w:val="003C5B8E"/>
    <w:rsid w:val="003C6644"/>
    <w:rsid w:val="003D590F"/>
    <w:rsid w:val="003D798F"/>
    <w:rsid w:val="003E3ADD"/>
    <w:rsid w:val="003F22FC"/>
    <w:rsid w:val="00404806"/>
    <w:rsid w:val="0040670A"/>
    <w:rsid w:val="004212EA"/>
    <w:rsid w:val="00423109"/>
    <w:rsid w:val="00424C12"/>
    <w:rsid w:val="00425351"/>
    <w:rsid w:val="00435502"/>
    <w:rsid w:val="00447CBA"/>
    <w:rsid w:val="00453C58"/>
    <w:rsid w:val="0045562D"/>
    <w:rsid w:val="00464572"/>
    <w:rsid w:val="0047167F"/>
    <w:rsid w:val="0047395B"/>
    <w:rsid w:val="00475776"/>
    <w:rsid w:val="00495E22"/>
    <w:rsid w:val="00495E4F"/>
    <w:rsid w:val="00497260"/>
    <w:rsid w:val="004B053A"/>
    <w:rsid w:val="004B4C27"/>
    <w:rsid w:val="004B77FE"/>
    <w:rsid w:val="004C2D8F"/>
    <w:rsid w:val="004C5C1A"/>
    <w:rsid w:val="004D56B9"/>
    <w:rsid w:val="004D739D"/>
    <w:rsid w:val="004F508C"/>
    <w:rsid w:val="004F7EE8"/>
    <w:rsid w:val="00505A16"/>
    <w:rsid w:val="0051358E"/>
    <w:rsid w:val="00525ECC"/>
    <w:rsid w:val="00534A7E"/>
    <w:rsid w:val="005402F1"/>
    <w:rsid w:val="0054488D"/>
    <w:rsid w:val="00545DE6"/>
    <w:rsid w:val="005474A3"/>
    <w:rsid w:val="00547D22"/>
    <w:rsid w:val="00550B07"/>
    <w:rsid w:val="0056438F"/>
    <w:rsid w:val="00566AAC"/>
    <w:rsid w:val="00575563"/>
    <w:rsid w:val="00575602"/>
    <w:rsid w:val="00576299"/>
    <w:rsid w:val="00576C28"/>
    <w:rsid w:val="0058079A"/>
    <w:rsid w:val="00584E99"/>
    <w:rsid w:val="005A3991"/>
    <w:rsid w:val="005A427B"/>
    <w:rsid w:val="005A53A8"/>
    <w:rsid w:val="005B1076"/>
    <w:rsid w:val="005B4FD3"/>
    <w:rsid w:val="005D0E78"/>
    <w:rsid w:val="005D1959"/>
    <w:rsid w:val="005E1BD1"/>
    <w:rsid w:val="005E3AFD"/>
    <w:rsid w:val="005F13FA"/>
    <w:rsid w:val="005F14C5"/>
    <w:rsid w:val="005F320F"/>
    <w:rsid w:val="005F398A"/>
    <w:rsid w:val="005F4954"/>
    <w:rsid w:val="006053D1"/>
    <w:rsid w:val="00611BF3"/>
    <w:rsid w:val="006126A5"/>
    <w:rsid w:val="00622849"/>
    <w:rsid w:val="00635038"/>
    <w:rsid w:val="006401F7"/>
    <w:rsid w:val="006411D2"/>
    <w:rsid w:val="00641F64"/>
    <w:rsid w:val="006455C8"/>
    <w:rsid w:val="00651FAA"/>
    <w:rsid w:val="006616C4"/>
    <w:rsid w:val="0066449E"/>
    <w:rsid w:val="00665DC5"/>
    <w:rsid w:val="00667360"/>
    <w:rsid w:val="00667772"/>
    <w:rsid w:val="00670CDC"/>
    <w:rsid w:val="00675A16"/>
    <w:rsid w:val="00676006"/>
    <w:rsid w:val="00676040"/>
    <w:rsid w:val="00694460"/>
    <w:rsid w:val="006A2EF7"/>
    <w:rsid w:val="006B152F"/>
    <w:rsid w:val="006B1E3C"/>
    <w:rsid w:val="006C1F87"/>
    <w:rsid w:val="006C2E09"/>
    <w:rsid w:val="00705742"/>
    <w:rsid w:val="00711537"/>
    <w:rsid w:val="0071192C"/>
    <w:rsid w:val="00714214"/>
    <w:rsid w:val="0072638B"/>
    <w:rsid w:val="00727809"/>
    <w:rsid w:val="0075399D"/>
    <w:rsid w:val="00760F65"/>
    <w:rsid w:val="007627EB"/>
    <w:rsid w:val="00763665"/>
    <w:rsid w:val="00764A63"/>
    <w:rsid w:val="00767686"/>
    <w:rsid w:val="00772210"/>
    <w:rsid w:val="00773ED2"/>
    <w:rsid w:val="0077444D"/>
    <w:rsid w:val="00777E22"/>
    <w:rsid w:val="00780349"/>
    <w:rsid w:val="007A361A"/>
    <w:rsid w:val="007A6B9E"/>
    <w:rsid w:val="007A7A5A"/>
    <w:rsid w:val="007B16B7"/>
    <w:rsid w:val="007B2356"/>
    <w:rsid w:val="007B7306"/>
    <w:rsid w:val="007C3186"/>
    <w:rsid w:val="007C73FF"/>
    <w:rsid w:val="007D38CA"/>
    <w:rsid w:val="007D6A85"/>
    <w:rsid w:val="0080030C"/>
    <w:rsid w:val="008124E6"/>
    <w:rsid w:val="00843959"/>
    <w:rsid w:val="00847DE0"/>
    <w:rsid w:val="00853161"/>
    <w:rsid w:val="008535E1"/>
    <w:rsid w:val="0085456F"/>
    <w:rsid w:val="00861424"/>
    <w:rsid w:val="00862422"/>
    <w:rsid w:val="00867C68"/>
    <w:rsid w:val="00871170"/>
    <w:rsid w:val="00871E3A"/>
    <w:rsid w:val="00875944"/>
    <w:rsid w:val="00875CD1"/>
    <w:rsid w:val="00886CCC"/>
    <w:rsid w:val="00887F2C"/>
    <w:rsid w:val="008A1AB9"/>
    <w:rsid w:val="008A65FB"/>
    <w:rsid w:val="008B032E"/>
    <w:rsid w:val="008B3127"/>
    <w:rsid w:val="008B472D"/>
    <w:rsid w:val="008C4381"/>
    <w:rsid w:val="008C76D8"/>
    <w:rsid w:val="008C7B4C"/>
    <w:rsid w:val="008E48A5"/>
    <w:rsid w:val="008F6A89"/>
    <w:rsid w:val="00915F92"/>
    <w:rsid w:val="0092448C"/>
    <w:rsid w:val="00924EB7"/>
    <w:rsid w:val="009343B3"/>
    <w:rsid w:val="00946DC1"/>
    <w:rsid w:val="009623F1"/>
    <w:rsid w:val="00963D3E"/>
    <w:rsid w:val="009640D6"/>
    <w:rsid w:val="0097323C"/>
    <w:rsid w:val="00981D11"/>
    <w:rsid w:val="00984181"/>
    <w:rsid w:val="00987BFB"/>
    <w:rsid w:val="009900A1"/>
    <w:rsid w:val="0099637E"/>
    <w:rsid w:val="009B2BA5"/>
    <w:rsid w:val="009B533B"/>
    <w:rsid w:val="009C00A3"/>
    <w:rsid w:val="009D019A"/>
    <w:rsid w:val="009D578F"/>
    <w:rsid w:val="009F0A01"/>
    <w:rsid w:val="009F5BB5"/>
    <w:rsid w:val="00A03F53"/>
    <w:rsid w:val="00A126F3"/>
    <w:rsid w:val="00A205B1"/>
    <w:rsid w:val="00A21A17"/>
    <w:rsid w:val="00A33CE8"/>
    <w:rsid w:val="00A3552C"/>
    <w:rsid w:val="00A44299"/>
    <w:rsid w:val="00A65FF9"/>
    <w:rsid w:val="00A71DAA"/>
    <w:rsid w:val="00A768B6"/>
    <w:rsid w:val="00A8201D"/>
    <w:rsid w:val="00A8689F"/>
    <w:rsid w:val="00A96DB9"/>
    <w:rsid w:val="00AA04A2"/>
    <w:rsid w:val="00AA10B5"/>
    <w:rsid w:val="00AA1A1B"/>
    <w:rsid w:val="00AA1BC0"/>
    <w:rsid w:val="00AB2F81"/>
    <w:rsid w:val="00AB6DFB"/>
    <w:rsid w:val="00AC1469"/>
    <w:rsid w:val="00AD5351"/>
    <w:rsid w:val="00AE4A06"/>
    <w:rsid w:val="00AE61A8"/>
    <w:rsid w:val="00AF3B32"/>
    <w:rsid w:val="00AF3F02"/>
    <w:rsid w:val="00AF7B4C"/>
    <w:rsid w:val="00B06C14"/>
    <w:rsid w:val="00B211A5"/>
    <w:rsid w:val="00B312F9"/>
    <w:rsid w:val="00B35130"/>
    <w:rsid w:val="00B4323E"/>
    <w:rsid w:val="00B53858"/>
    <w:rsid w:val="00B57B42"/>
    <w:rsid w:val="00B60851"/>
    <w:rsid w:val="00B85AC4"/>
    <w:rsid w:val="00B9216B"/>
    <w:rsid w:val="00B931D6"/>
    <w:rsid w:val="00BB14B9"/>
    <w:rsid w:val="00BB28E3"/>
    <w:rsid w:val="00BC6F31"/>
    <w:rsid w:val="00BE6051"/>
    <w:rsid w:val="00BF38C5"/>
    <w:rsid w:val="00BF69C2"/>
    <w:rsid w:val="00C03D13"/>
    <w:rsid w:val="00C166A8"/>
    <w:rsid w:val="00C16790"/>
    <w:rsid w:val="00C22BD9"/>
    <w:rsid w:val="00C22EF9"/>
    <w:rsid w:val="00C263D0"/>
    <w:rsid w:val="00C27D3A"/>
    <w:rsid w:val="00C3139B"/>
    <w:rsid w:val="00C352B9"/>
    <w:rsid w:val="00C52705"/>
    <w:rsid w:val="00C60594"/>
    <w:rsid w:val="00C76D6E"/>
    <w:rsid w:val="00C80D3E"/>
    <w:rsid w:val="00C86D71"/>
    <w:rsid w:val="00C9048A"/>
    <w:rsid w:val="00C91C5E"/>
    <w:rsid w:val="00C92A76"/>
    <w:rsid w:val="00C92F1D"/>
    <w:rsid w:val="00CA0302"/>
    <w:rsid w:val="00CA26A2"/>
    <w:rsid w:val="00CA728D"/>
    <w:rsid w:val="00CC22D9"/>
    <w:rsid w:val="00CD2A58"/>
    <w:rsid w:val="00CD4C09"/>
    <w:rsid w:val="00CE4136"/>
    <w:rsid w:val="00CF1154"/>
    <w:rsid w:val="00CF5080"/>
    <w:rsid w:val="00CF713C"/>
    <w:rsid w:val="00D00193"/>
    <w:rsid w:val="00D07696"/>
    <w:rsid w:val="00D21069"/>
    <w:rsid w:val="00D21D44"/>
    <w:rsid w:val="00D22517"/>
    <w:rsid w:val="00D32ED4"/>
    <w:rsid w:val="00D35100"/>
    <w:rsid w:val="00D367AB"/>
    <w:rsid w:val="00D36A66"/>
    <w:rsid w:val="00D4794D"/>
    <w:rsid w:val="00D47C21"/>
    <w:rsid w:val="00D572EF"/>
    <w:rsid w:val="00D63649"/>
    <w:rsid w:val="00D72C15"/>
    <w:rsid w:val="00D755BE"/>
    <w:rsid w:val="00D81A05"/>
    <w:rsid w:val="00D8200E"/>
    <w:rsid w:val="00D977E7"/>
    <w:rsid w:val="00DA16DE"/>
    <w:rsid w:val="00DA3C93"/>
    <w:rsid w:val="00DA5EB0"/>
    <w:rsid w:val="00DB2AC4"/>
    <w:rsid w:val="00DB2DEE"/>
    <w:rsid w:val="00DB3BD1"/>
    <w:rsid w:val="00DB6B28"/>
    <w:rsid w:val="00DB76EA"/>
    <w:rsid w:val="00DB7AB0"/>
    <w:rsid w:val="00DC0F33"/>
    <w:rsid w:val="00DC1A6A"/>
    <w:rsid w:val="00DC6B3E"/>
    <w:rsid w:val="00DD022E"/>
    <w:rsid w:val="00DD05EC"/>
    <w:rsid w:val="00DD341F"/>
    <w:rsid w:val="00DD4A54"/>
    <w:rsid w:val="00DD724B"/>
    <w:rsid w:val="00DE2BE2"/>
    <w:rsid w:val="00DF6235"/>
    <w:rsid w:val="00E14C32"/>
    <w:rsid w:val="00E16DBB"/>
    <w:rsid w:val="00E23342"/>
    <w:rsid w:val="00E264A3"/>
    <w:rsid w:val="00E2692D"/>
    <w:rsid w:val="00E276E2"/>
    <w:rsid w:val="00E3177B"/>
    <w:rsid w:val="00E35450"/>
    <w:rsid w:val="00E421DD"/>
    <w:rsid w:val="00E52268"/>
    <w:rsid w:val="00E61631"/>
    <w:rsid w:val="00E6450C"/>
    <w:rsid w:val="00E74A51"/>
    <w:rsid w:val="00E861E3"/>
    <w:rsid w:val="00E93215"/>
    <w:rsid w:val="00E94E24"/>
    <w:rsid w:val="00EA03A5"/>
    <w:rsid w:val="00EB1C8B"/>
    <w:rsid w:val="00EB6528"/>
    <w:rsid w:val="00EB7EF3"/>
    <w:rsid w:val="00EC1237"/>
    <w:rsid w:val="00EC51CF"/>
    <w:rsid w:val="00ED47D6"/>
    <w:rsid w:val="00ED500E"/>
    <w:rsid w:val="00EE4AB3"/>
    <w:rsid w:val="00EF419C"/>
    <w:rsid w:val="00EF65F2"/>
    <w:rsid w:val="00EF6E4E"/>
    <w:rsid w:val="00F020A9"/>
    <w:rsid w:val="00F201D2"/>
    <w:rsid w:val="00F315B7"/>
    <w:rsid w:val="00F334EB"/>
    <w:rsid w:val="00F336C1"/>
    <w:rsid w:val="00F34905"/>
    <w:rsid w:val="00F34D23"/>
    <w:rsid w:val="00F42F68"/>
    <w:rsid w:val="00F442D2"/>
    <w:rsid w:val="00F5571E"/>
    <w:rsid w:val="00F73616"/>
    <w:rsid w:val="00F76C83"/>
    <w:rsid w:val="00F810D4"/>
    <w:rsid w:val="00F874EB"/>
    <w:rsid w:val="00F9261F"/>
    <w:rsid w:val="00FA1420"/>
    <w:rsid w:val="00FA6DC5"/>
    <w:rsid w:val="00FB5009"/>
    <w:rsid w:val="00FB501F"/>
    <w:rsid w:val="00FB54A0"/>
    <w:rsid w:val="00FC524D"/>
    <w:rsid w:val="00FD4483"/>
    <w:rsid w:val="00FD493E"/>
    <w:rsid w:val="00FE64E1"/>
    <w:rsid w:val="00FF1187"/>
    <w:rsid w:val="00FF43F7"/>
    <w:rsid w:val="00FF5F08"/>
    <w:rsid w:val="00FF63E5"/>
    <w:rsid w:val="0226347A"/>
    <w:rsid w:val="02960403"/>
    <w:rsid w:val="02B63A09"/>
    <w:rsid w:val="05031124"/>
    <w:rsid w:val="0B432D0E"/>
    <w:rsid w:val="0C58263C"/>
    <w:rsid w:val="0D563A1E"/>
    <w:rsid w:val="11D97F39"/>
    <w:rsid w:val="122F4068"/>
    <w:rsid w:val="144D481B"/>
    <w:rsid w:val="167D6938"/>
    <w:rsid w:val="168963B1"/>
    <w:rsid w:val="172B5CC8"/>
    <w:rsid w:val="21747195"/>
    <w:rsid w:val="224158BB"/>
    <w:rsid w:val="24957DD5"/>
    <w:rsid w:val="24D718E4"/>
    <w:rsid w:val="268366BE"/>
    <w:rsid w:val="27112395"/>
    <w:rsid w:val="275B5D44"/>
    <w:rsid w:val="27DD7857"/>
    <w:rsid w:val="2B1451B9"/>
    <w:rsid w:val="2BEE27FA"/>
    <w:rsid w:val="2D2552A9"/>
    <w:rsid w:val="30527ED2"/>
    <w:rsid w:val="3380526E"/>
    <w:rsid w:val="33D47ADA"/>
    <w:rsid w:val="361C0048"/>
    <w:rsid w:val="3B3911EE"/>
    <w:rsid w:val="3F0E5C47"/>
    <w:rsid w:val="3FE31A45"/>
    <w:rsid w:val="417B410B"/>
    <w:rsid w:val="42332F71"/>
    <w:rsid w:val="42E4214C"/>
    <w:rsid w:val="498112DB"/>
    <w:rsid w:val="4AA65E7D"/>
    <w:rsid w:val="4B5E72D1"/>
    <w:rsid w:val="4CC70C25"/>
    <w:rsid w:val="52160A1E"/>
    <w:rsid w:val="54704696"/>
    <w:rsid w:val="54FB3057"/>
    <w:rsid w:val="55FB5BCF"/>
    <w:rsid w:val="57717C6C"/>
    <w:rsid w:val="57EB589C"/>
    <w:rsid w:val="61255926"/>
    <w:rsid w:val="67C609C4"/>
    <w:rsid w:val="69886EA0"/>
    <w:rsid w:val="6C302C73"/>
    <w:rsid w:val="6D28714D"/>
    <w:rsid w:val="6D2C5804"/>
    <w:rsid w:val="6ECB32FF"/>
    <w:rsid w:val="70216270"/>
    <w:rsid w:val="71477CBB"/>
    <w:rsid w:val="71F12615"/>
    <w:rsid w:val="743E352F"/>
    <w:rsid w:val="76C47FA4"/>
    <w:rsid w:val="792869EC"/>
    <w:rsid w:val="79384B8D"/>
    <w:rsid w:val="7F467634"/>
    <w:rsid w:val="7F6E0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2">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6">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7">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8">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9">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0">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widowControl w:val="0"/>
      <w:ind w:left="1080"/>
    </w:pPr>
    <w:rPr>
      <w:kern w:val="2"/>
      <w:sz w:val="18"/>
      <w:szCs w:val="20"/>
    </w:rPr>
  </w:style>
  <w:style w:type="paragraph" w:styleId="12">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3">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4">
    <w:name w:val="Document Map"/>
    <w:basedOn w:val="1"/>
    <w:link w:val="89"/>
    <w:unhideWhenUsed/>
    <w:qFormat/>
    <w:uiPriority w:val="0"/>
    <w:rPr>
      <w:rFonts w:ascii="宋体" w:hAnsiTheme="minorHAnsi" w:eastAsiaTheme="minorEastAsia" w:cstheme="minorBidi"/>
      <w:kern w:val="2"/>
      <w:sz w:val="18"/>
      <w:szCs w:val="18"/>
    </w:rPr>
  </w:style>
  <w:style w:type="paragraph" w:styleId="15">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6">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7">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8">
    <w:name w:val="Body Text"/>
    <w:basedOn w:val="1"/>
    <w:next w:val="1"/>
    <w:link w:val="98"/>
    <w:qFormat/>
    <w:uiPriority w:val="0"/>
    <w:pPr>
      <w:spacing w:after="120"/>
    </w:pPr>
    <w:rPr>
      <w:rFonts w:asciiTheme="minorHAnsi" w:hAnsiTheme="minorHAnsi" w:eastAsiaTheme="minorEastAsia" w:cstheme="minorBidi"/>
      <w:kern w:val="2"/>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5"/>
    <w:next w:val="15"/>
    <w:link w:val="71"/>
    <w:qFormat/>
    <w:uiPriority w:val="99"/>
    <w:rPr>
      <w:b/>
    </w:rPr>
  </w:style>
  <w:style w:type="paragraph" w:styleId="44">
    <w:name w:val="Body Text First Indent"/>
    <w:basedOn w:val="18"/>
    <w:link w:val="95"/>
    <w:qFormat/>
    <w:uiPriority w:val="0"/>
    <w:pPr>
      <w:widowControl w:val="0"/>
      <w:ind w:firstLine="420" w:firstLineChars="100"/>
      <w:jc w:val="both"/>
    </w:pPr>
    <w:rPr>
      <w:rFonts w:ascii="宋体" w:hAnsi="宋体"/>
      <w:sz w:val="21"/>
    </w:rPr>
  </w:style>
  <w:style w:type="table" w:styleId="46">
    <w:name w:val="Table Grid"/>
    <w:basedOn w:val="4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kern w:val="0"/>
      <w:sz w:val="28"/>
      <w:szCs w:val="28"/>
    </w:rPr>
  </w:style>
  <w:style w:type="character" w:customStyle="1" w:styleId="64">
    <w:name w:val="标题 3 字符"/>
    <w:basedOn w:val="48"/>
    <w:link w:val="5"/>
    <w:qFormat/>
    <w:uiPriority w:val="99"/>
    <w:rPr>
      <w:rFonts w:ascii="宋体" w:hAnsi="宋体" w:eastAsia="宋体" w:cs="Times New Roman"/>
      <w:b/>
      <w:bCs/>
      <w:color w:val="000000"/>
      <w:sz w:val="28"/>
      <w:szCs w:val="28"/>
    </w:rPr>
  </w:style>
  <w:style w:type="character" w:customStyle="1" w:styleId="65">
    <w:name w:val="标题 4 字符"/>
    <w:basedOn w:val="48"/>
    <w:link w:val="2"/>
    <w:qFormat/>
    <w:uiPriority w:val="0"/>
    <w:rPr>
      <w:rFonts w:ascii="宋体" w:hAnsi="宋体" w:eastAsia="宋体" w:cs="Times New Roman"/>
      <w:b/>
      <w:bCs/>
      <w:kern w:val="0"/>
      <w:sz w:val="28"/>
      <w:szCs w:val="28"/>
    </w:rPr>
  </w:style>
  <w:style w:type="character" w:customStyle="1" w:styleId="66">
    <w:name w:val="标题 5 字符"/>
    <w:basedOn w:val="48"/>
    <w:link w:val="6"/>
    <w:qFormat/>
    <w:uiPriority w:val="0"/>
    <w:rPr>
      <w:rFonts w:ascii="Times New Roman" w:hAnsi="Times New Roman" w:eastAsia="宋体" w:cs="Times New Roman"/>
      <w:b/>
      <w:bCs/>
      <w:kern w:val="0"/>
      <w:sz w:val="28"/>
      <w:szCs w:val="28"/>
    </w:rPr>
  </w:style>
  <w:style w:type="character" w:customStyle="1" w:styleId="67">
    <w:name w:val="标题 6 字符"/>
    <w:basedOn w:val="48"/>
    <w:link w:val="7"/>
    <w:qFormat/>
    <w:uiPriority w:val="0"/>
    <w:rPr>
      <w:rFonts w:ascii="Arial" w:hAnsi="Arial" w:eastAsia="黑体" w:cs="Times New Roman"/>
      <w:b/>
      <w:bCs/>
      <w:sz w:val="24"/>
      <w:szCs w:val="24"/>
    </w:rPr>
  </w:style>
  <w:style w:type="character" w:customStyle="1" w:styleId="68">
    <w:name w:val="标题 7 字符"/>
    <w:basedOn w:val="48"/>
    <w:link w:val="8"/>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9"/>
    <w:qFormat/>
    <w:uiPriority w:val="0"/>
    <w:rPr>
      <w:rFonts w:ascii="Arial" w:hAnsi="Arial" w:eastAsia="黑体" w:cs="Times New Roman"/>
      <w:sz w:val="24"/>
      <w:szCs w:val="20"/>
    </w:rPr>
  </w:style>
  <w:style w:type="character" w:customStyle="1" w:styleId="70">
    <w:name w:val="标题 9 字符"/>
    <w:basedOn w:val="48"/>
    <w:link w:val="10"/>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5"/>
    <w:qFormat/>
    <w:uiPriority w:val="0"/>
    <w:rPr>
      <w:sz w:val="18"/>
    </w:rPr>
  </w:style>
  <w:style w:type="character" w:customStyle="1" w:styleId="74">
    <w:name w:val="fontblank12"/>
    <w:basedOn w:val="48"/>
    <w:uiPriority w:val="0"/>
  </w:style>
  <w:style w:type="character" w:customStyle="1" w:styleId="75">
    <w:name w:val="标书（正文） Char"/>
    <w:link w:val="76"/>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uiPriority w:val="0"/>
  </w:style>
  <w:style w:type="character" w:customStyle="1" w:styleId="87">
    <w:name w:val="页脚 字符"/>
    <w:link w:val="29"/>
    <w:qFormat/>
    <w:uiPriority w:val="99"/>
    <w:rPr>
      <w:sz w:val="18"/>
      <w:szCs w:val="18"/>
    </w:rPr>
  </w:style>
  <w:style w:type="character" w:customStyle="1" w:styleId="88">
    <w:name w:val="keyword"/>
    <w:basedOn w:val="48"/>
    <w:uiPriority w:val="0"/>
  </w:style>
  <w:style w:type="character" w:customStyle="1" w:styleId="89">
    <w:name w:val="文档结构图 字符"/>
    <w:link w:val="14"/>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2"/>
    <w:qFormat/>
    <w:uiPriority w:val="0"/>
    <w:rPr>
      <w:szCs w:val="24"/>
    </w:rPr>
  </w:style>
  <w:style w:type="character" w:customStyle="1" w:styleId="97">
    <w:name w:val="称呼 字符"/>
    <w:link w:val="16"/>
    <w:uiPriority w:val="0"/>
    <w:rPr>
      <w:rFonts w:eastAsia="黑体"/>
      <w:sz w:val="24"/>
    </w:rPr>
  </w:style>
  <w:style w:type="character" w:customStyle="1" w:styleId="98">
    <w:name w:val="正文文本 字符"/>
    <w:link w:val="18"/>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uiPriority w:val="0"/>
    <w:rPr>
      <w:rFonts w:ascii="Wingdings" w:hAnsi="Wingdings"/>
    </w:rPr>
  </w:style>
  <w:style w:type="character" w:customStyle="1" w:styleId="102">
    <w:name w:val="magic-list1"/>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7"/>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uiPriority w:val="0"/>
    <w:rPr>
      <w:rFonts w:ascii="Arial" w:hAnsi="Arial" w:eastAsia="宋体"/>
      <w:b/>
      <w:kern w:val="2"/>
      <w:sz w:val="28"/>
      <w:lang w:val="en-US" w:eastAsia="zh-CN"/>
    </w:rPr>
  </w:style>
  <w:style w:type="character" w:customStyle="1" w:styleId="111">
    <w:name w:val="正文缩进 Char1"/>
    <w:uiPriority w:val="0"/>
    <w:rPr>
      <w:kern w:val="2"/>
      <w:sz w:val="21"/>
      <w:szCs w:val="24"/>
    </w:rPr>
  </w:style>
  <w:style w:type="paragraph" w:customStyle="1" w:styleId="112">
    <w:name w:val="MM Topic 9"/>
    <w:basedOn w:val="10"/>
    <w:qFormat/>
    <w:uiPriority w:val="0"/>
    <w:pPr>
      <w:tabs>
        <w:tab w:val="left" w:pos="5102"/>
      </w:tabs>
    </w:pPr>
  </w:style>
  <w:style w:type="paragraph" w:customStyle="1" w:styleId="113">
    <w:name w:val="默认段落字体 Para Char Char Char Char Char Char Char Char Char Char Char Char Char Char Char Char"/>
    <w:basedOn w:val="14"/>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uiPriority w:val="0"/>
    <w:rPr>
      <w:rFonts w:ascii="Times New Roman" w:hAnsi="Times New Roman" w:eastAsia="宋体" w:cs="Times New Roman"/>
      <w:kern w:val="0"/>
      <w:sz w:val="18"/>
      <w:szCs w:val="18"/>
    </w:rPr>
  </w:style>
  <w:style w:type="character" w:customStyle="1" w:styleId="125">
    <w:name w:val="称呼 Char1"/>
    <w:basedOn w:val="48"/>
    <w:semiHidden/>
    <w:uiPriority w:val="99"/>
    <w:rPr>
      <w:rFonts w:ascii="Times New Roman" w:hAnsi="Times New Roman" w:eastAsia="宋体" w:cs="Times New Roman"/>
      <w:kern w:val="0"/>
      <w:sz w:val="24"/>
      <w:szCs w:val="24"/>
    </w:rPr>
  </w:style>
  <w:style w:type="character" w:customStyle="1" w:styleId="126">
    <w:name w:val="批注文字 Char1"/>
    <w:basedOn w:val="48"/>
    <w:semiHidden/>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2"/>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7"/>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6"/>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6"/>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9"/>
    <w:qFormat/>
    <w:uiPriority w:val="0"/>
    <w:pPr>
      <w:tabs>
        <w:tab w:val="left" w:pos="4394"/>
      </w:tabs>
    </w:pPr>
  </w:style>
  <w:style w:type="paragraph" w:customStyle="1" w:styleId="162">
    <w:name w:val="MM Topic 7"/>
    <w:basedOn w:val="8"/>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2"/>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4"/>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uiPriority w:val="99"/>
    <w:rPr>
      <w:rFonts w:ascii="Calibri" w:hAnsi="Calibri" w:eastAsia="宋体" w:cs="Times New Roman"/>
      <w:sz w:val="16"/>
      <w:szCs w:val="16"/>
    </w:rPr>
  </w:style>
  <w:style w:type="character" w:customStyle="1" w:styleId="264">
    <w:name w:val="批注文字 字符1"/>
    <w:basedOn w:val="48"/>
    <w:semiHidden/>
    <w:uiPriority w:val="99"/>
    <w:rPr>
      <w:rFonts w:ascii="Calibri" w:hAnsi="Calibri" w:eastAsia="宋体" w:cs="Times New Roman"/>
    </w:rPr>
  </w:style>
  <w:style w:type="character" w:customStyle="1" w:styleId="265">
    <w:name w:val="正文文本 2 字符1"/>
    <w:basedOn w:val="48"/>
    <w:semiHidden/>
    <w:uiPriority w:val="99"/>
    <w:rPr>
      <w:rFonts w:ascii="Calibri" w:hAnsi="Calibri" w:eastAsia="宋体" w:cs="Times New Roman"/>
    </w:rPr>
  </w:style>
  <w:style w:type="character" w:customStyle="1" w:styleId="266">
    <w:name w:val="正文文本缩进 字符1"/>
    <w:basedOn w:val="48"/>
    <w:semiHidden/>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uiPriority w:val="99"/>
    <w:rPr>
      <w:rFonts w:ascii="Calibri" w:hAnsi="Calibri" w:eastAsia="宋体" w:cs="Times New Roman"/>
      <w:sz w:val="18"/>
      <w:szCs w:val="18"/>
    </w:rPr>
  </w:style>
  <w:style w:type="character" w:customStyle="1" w:styleId="290">
    <w:name w:val="正文文本首行缩进 字符1"/>
    <w:basedOn w:val="272"/>
    <w:semiHidden/>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6"/>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6"/>
    <w:next w:val="19"/>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uiPriority w:val="0"/>
    <w:pPr>
      <w:widowControl w:val="0"/>
      <w:spacing w:line="400" w:lineRule="exact"/>
      <w:ind w:firstLine="200" w:firstLineChars="200"/>
      <w:jc w:val="both"/>
    </w:pPr>
    <w:rPr>
      <w:kern w:val="2"/>
      <w:szCs w:val="20"/>
    </w:rPr>
  </w:style>
  <w:style w:type="paragraph" w:customStyle="1" w:styleId="336">
    <w:name w:val="bf.1"/>
    <w:basedOn w:val="12"/>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uiPriority w:val="99"/>
    <w:pPr>
      <w:spacing w:before="100" w:beforeAutospacing="1" w:after="100" w:afterAutospacing="1"/>
      <w:jc w:val="both"/>
    </w:pPr>
    <w:rPr>
      <w:rFonts w:ascii="宋体" w:hAnsi="宋体"/>
      <w:szCs w:val="20"/>
    </w:rPr>
  </w:style>
  <w:style w:type="paragraph" w:customStyle="1" w:styleId="339">
    <w:name w:val="Char Char1 Char"/>
    <w:basedOn w:val="1"/>
    <w:uiPriority w:val="0"/>
    <w:pPr>
      <w:widowControl w:val="0"/>
      <w:jc w:val="both"/>
    </w:pPr>
    <w:rPr>
      <w:kern w:val="2"/>
      <w:sz w:val="21"/>
      <w:szCs w:val="20"/>
    </w:rPr>
  </w:style>
  <w:style w:type="paragraph" w:customStyle="1" w:styleId="340">
    <w:name w:val="Blockquote"/>
    <w:basedOn w:val="1"/>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uiPriority w:val="0"/>
    <w:rPr>
      <w:rFonts w:ascii="Arial" w:hAnsi="Arial"/>
      <w:b/>
      <w:bCs/>
      <w:sz w:val="24"/>
      <w:szCs w:val="32"/>
    </w:rPr>
  </w:style>
  <w:style w:type="character" w:customStyle="1" w:styleId="345">
    <w:name w:val="标题5 Char Char"/>
    <w:link w:val="346"/>
    <w:uiPriority w:val="0"/>
    <w:rPr>
      <w:rFonts w:ascii="Arial" w:hAnsi="Arial"/>
      <w:b/>
      <w:bCs/>
      <w:sz w:val="24"/>
      <w:szCs w:val="32"/>
    </w:rPr>
  </w:style>
  <w:style w:type="paragraph" w:customStyle="1" w:styleId="346">
    <w:name w:val="标题5"/>
    <w:basedOn w:val="5"/>
    <w:link w:val="345"/>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uiPriority w:val="0"/>
    <w:rPr>
      <w:rFonts w:ascii="宋体" w:hAnsi="Times New Roman" w:eastAsia="宋体" w:cs="Times New Roman"/>
      <w:sz w:val="28"/>
      <w:szCs w:val="20"/>
    </w:rPr>
  </w:style>
  <w:style w:type="character" w:customStyle="1" w:styleId="355">
    <w:name w:val="批注框文本 Char2"/>
    <w:semiHidden/>
    <w:uiPriority w:val="99"/>
    <w:rPr>
      <w:kern w:val="2"/>
      <w:sz w:val="18"/>
      <w:szCs w:val="18"/>
    </w:rPr>
  </w:style>
  <w:style w:type="character" w:customStyle="1" w:styleId="356">
    <w:name w:val="批注主题 Char2"/>
    <w:semiHidden/>
    <w:uiPriority w:val="99"/>
    <w:rPr>
      <w:b/>
      <w:bCs/>
      <w:kern w:val="2"/>
      <w:sz w:val="21"/>
      <w:szCs w:val="22"/>
    </w:rPr>
  </w:style>
  <w:style w:type="character" w:customStyle="1" w:styleId="357">
    <w:name w:val="文档结构图 Char2"/>
    <w:semiHidden/>
    <w:uiPriority w:val="99"/>
    <w:rPr>
      <w:rFonts w:ascii="宋体"/>
      <w:kern w:val="2"/>
      <w:sz w:val="18"/>
      <w:szCs w:val="18"/>
    </w:rPr>
  </w:style>
  <w:style w:type="character" w:customStyle="1" w:styleId="358">
    <w:name w:val="日期 Char2"/>
    <w:semiHidden/>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标书正文"/>
    <w:basedOn w:val="1"/>
    <w:qFormat/>
    <w:uiPriority w:val="0"/>
    <w:pPr>
      <w:spacing w:line="360" w:lineRule="auto"/>
      <w:ind w:firstLine="200" w:firstLineChars="200"/>
    </w:pPr>
    <w:rPr>
      <w:sz w:val="24"/>
    </w:rPr>
  </w:style>
  <w:style w:type="paragraph" w:customStyle="1" w:styleId="371">
    <w:name w:val="Table Paragraph"/>
    <w:basedOn w:val="1"/>
    <w:qFormat/>
    <w:uiPriority w:val="1"/>
    <w:pPr>
      <w:spacing w:after="0" w:line="240" w:lineRule="auto"/>
      <w:jc w:val="left"/>
    </w:pPr>
    <w:rPr>
      <w:rFonts w:cs="Calibri"/>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65C9A3-E29B-4EC4-8101-F9E4D821B6B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91</Pages>
  <Words>31447</Words>
  <Characters>32798</Characters>
  <Lines>225</Lines>
  <Paragraphs>63</Paragraphs>
  <TotalTime>9</TotalTime>
  <ScaleCrop>false</ScaleCrop>
  <LinksUpToDate>false</LinksUpToDate>
  <CharactersWithSpaces>33575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LI</cp:lastModifiedBy>
  <cp:lastPrinted>2021-07-29T01:50:00Z</cp:lastPrinted>
  <dcterms:modified xsi:type="dcterms:W3CDTF">2021-09-01T07:45:16Z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685481E0AE2341DFBBF9C7DF934F877F</vt:lpwstr>
  </property>
</Properties>
</file>