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新建学校办学条件配套项目(LED)等项目采购</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彭州市政采（2021）A0020号</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bookmarkStart w:id="180" w:name="_GoBack"/>
      <w:bookmarkEnd w:id="180"/>
      <w:r>
        <w:rPr>
          <w:rFonts w:hint="eastAsia" w:ascii="华文中宋" w:hAnsi="华文中宋" w:eastAsia="华文中宋"/>
          <w:sz w:val="32"/>
          <w:szCs w:val="32"/>
          <w:lang w:eastAsia="zh-CN"/>
        </w:rPr>
        <w:t>彭州市教育局电化教育馆</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九</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_Toc4692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_Toc4692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_Toc22823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_Toc22823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_Toc1273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_Toc1273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_Toc9103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_Toc9103 \h </w:instrText>
      </w:r>
      <w:r>
        <w:fldChar w:fldCharType="separate"/>
      </w:r>
      <w:r>
        <w:t>11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_Toc14554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_Toc14554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_Toc24646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_Toc24646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_Toc17612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_Toc17612 \h </w:instrText>
      </w:r>
      <w:r>
        <w:fldChar w:fldCharType="separate"/>
      </w:r>
      <w:r>
        <w:t>20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_Toc5323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_Toc5323 \h </w:instrText>
      </w:r>
      <w:r>
        <w:fldChar w:fldCharType="separate"/>
      </w:r>
      <w:r>
        <w:t>21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_Toc16975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_Toc16975 \h </w:instrText>
      </w:r>
      <w:r>
        <w:fldChar w:fldCharType="separate"/>
      </w:r>
      <w:r>
        <w:t>22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_Toc24240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_Toc24240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_Toc25201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_Toc25201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_Toc13679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_Toc13679 \h </w:instrText>
      </w:r>
      <w:r>
        <w:fldChar w:fldCharType="separate"/>
      </w:r>
      <w:r>
        <w:t>27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_Toc9959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_Toc9959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_Toc17307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_Toc17307 \h </w:instrText>
      </w:r>
      <w:r>
        <w:fldChar w:fldCharType="separate"/>
      </w:r>
      <w:r>
        <w:t>29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_Toc18650 </w:instrText>
      </w:r>
      <w:r>
        <w:rPr>
          <w:rFonts w:ascii="宋体" w:hAnsi="宋体"/>
          <w:bCs w:val="0"/>
          <w:szCs w:val="36"/>
        </w:rPr>
        <w:fldChar w:fldCharType="separate"/>
      </w:r>
      <w:r>
        <w:rPr>
          <w:rFonts w:hint="eastAsia" w:ascii="宋体" w:hAnsi="宋体" w:cs="宋体"/>
        </w:rPr>
        <w:t>监狱企业生产的产品</w:t>
      </w:r>
      <w:r>
        <w:rPr>
          <w:rFonts w:hint="eastAsia" w:ascii="宋体" w:hAnsi="宋体"/>
        </w:rPr>
        <w:t>总价合计：</w:t>
      </w:r>
      <w:r>
        <w:rPr>
          <w:rFonts w:ascii="宋体" w:hAnsi="宋体"/>
        </w:rPr>
        <w:t>XXXXXXXXXXXXX</w:t>
      </w:r>
      <w:r>
        <w:rPr>
          <w:rFonts w:hint="eastAsia" w:ascii="宋体" w:hAnsi="宋体"/>
        </w:rPr>
        <w:t>元</w:t>
      </w:r>
      <w:r>
        <w:tab/>
      </w:r>
      <w:r>
        <w:fldChar w:fldCharType="begin"/>
      </w:r>
      <w:r>
        <w:instrText xml:space="preserve"> PAGEREF _Toc18650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_Toc23288 </w:instrText>
      </w:r>
      <w:r>
        <w:rPr>
          <w:rFonts w:ascii="宋体" w:hAnsi="宋体"/>
          <w:bCs w:val="0"/>
          <w:szCs w:val="36"/>
        </w:rPr>
        <w:fldChar w:fldCharType="separate"/>
      </w:r>
      <w:r>
        <w:rPr>
          <w:rFonts w:hint="eastAsia" w:ascii="宋体" w:hAnsi="宋体" w:cs="宋体"/>
        </w:rPr>
        <w:t>残疾人福利性单位生产的产品总价合计</w:t>
      </w:r>
      <w:r>
        <w:rPr>
          <w:rFonts w:hint="eastAsia" w:ascii="宋体" w:hAnsi="宋体"/>
        </w:rPr>
        <w:t>：</w:t>
      </w:r>
      <w:r>
        <w:rPr>
          <w:rFonts w:ascii="宋体" w:hAnsi="宋体"/>
        </w:rPr>
        <w:t>XXXXXXXXXXXXX</w:t>
      </w:r>
      <w:r>
        <w:rPr>
          <w:rFonts w:hint="eastAsia" w:ascii="宋体" w:hAnsi="宋体"/>
        </w:rPr>
        <w:t>元</w:t>
      </w:r>
      <w:r>
        <w:tab/>
      </w:r>
      <w:r>
        <w:fldChar w:fldCharType="begin"/>
      </w:r>
      <w:r>
        <w:instrText xml:space="preserve"> PAGEREF _Toc23288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_Toc25405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_Toc25405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_Toc25090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_Toc25090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_Toc25763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_Toc25763 \h </w:instrText>
      </w:r>
      <w:r>
        <w:fldChar w:fldCharType="separate"/>
      </w:r>
      <w:r>
        <w:t>43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_Toc20195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核</w:t>
      </w:r>
      <w:r>
        <w:rPr>
          <w:rFonts w:hint="eastAsia"/>
          <w:bCs/>
        </w:rPr>
        <w:t>心产品</w:t>
      </w:r>
      <w:r>
        <w:tab/>
      </w:r>
      <w:r>
        <w:fldChar w:fldCharType="begin"/>
      </w:r>
      <w:r>
        <w:instrText xml:space="preserve"> PAGEREF _Toc20195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_Toc11499 </w:instrText>
      </w:r>
      <w:r>
        <w:rPr>
          <w:rFonts w:ascii="宋体" w:hAnsi="宋体"/>
          <w:bCs w:val="0"/>
          <w:szCs w:val="36"/>
        </w:rPr>
        <w:fldChar w:fldCharType="separate"/>
      </w:r>
      <w:r>
        <w:rPr>
          <w:rFonts w:hint="default" w:ascii="Times New Roman" w:hAnsi="Times New Roman" w:eastAsia="宋体" w:cs="Times New Roman"/>
          <w:bCs/>
          <w:i w:val="0"/>
          <w:szCs w:val="28"/>
        </w:rPr>
        <w:t xml:space="preserve">4.4 </w:t>
      </w:r>
      <w:r>
        <w:rPr>
          <w:rFonts w:hint="eastAsia"/>
          <w:bCs/>
          <w:lang w:eastAsia="zh-CN"/>
        </w:rPr>
        <w:t>项目需求</w:t>
      </w:r>
      <w:r>
        <w:tab/>
      </w:r>
      <w:r>
        <w:fldChar w:fldCharType="begin"/>
      </w:r>
      <w:r>
        <w:instrText xml:space="preserve"> PAGEREF _Toc11499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_Toc8941 </w:instrText>
      </w:r>
      <w:r>
        <w:rPr>
          <w:rFonts w:ascii="宋体" w:hAnsi="宋体"/>
          <w:bCs w:val="0"/>
          <w:szCs w:val="36"/>
        </w:rPr>
        <w:fldChar w:fldCharType="separate"/>
      </w:r>
      <w:r>
        <w:rPr>
          <w:rFonts w:hint="default" w:ascii="Times New Roman" w:hAnsi="Times New Roman" w:eastAsia="宋体" w:cs="Times New Roman"/>
          <w:bCs/>
          <w:i w:val="0"/>
          <w:szCs w:val="28"/>
          <w:lang w:eastAsia="zh-CN"/>
        </w:rPr>
        <w:t xml:space="preserve">4.5 </w:t>
      </w:r>
      <w:r>
        <w:rPr>
          <w:rFonts w:hint="eastAsia"/>
          <w:bCs/>
          <w:lang w:eastAsia="zh-CN"/>
        </w:rPr>
        <w:t>商务条款</w:t>
      </w:r>
      <w:r>
        <w:tab/>
      </w:r>
      <w:r>
        <w:fldChar w:fldCharType="begin"/>
      </w:r>
      <w:r>
        <w:instrText xml:space="preserve"> PAGEREF _Toc8941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_Toc7494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szCs w:val="32"/>
        </w:rPr>
        <w:t>采购标的其他技术、服务等要求</w:t>
      </w:r>
      <w:r>
        <w:tab/>
      </w:r>
      <w:r>
        <w:fldChar w:fldCharType="begin"/>
      </w:r>
      <w:r>
        <w:instrText xml:space="preserve"> PAGEREF _Toc7494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_Toc13074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szCs w:val="32"/>
        </w:rPr>
        <w:t>违约责任</w:t>
      </w:r>
      <w:r>
        <w:tab/>
      </w:r>
      <w:r>
        <w:fldChar w:fldCharType="begin"/>
      </w:r>
      <w:r>
        <w:instrText xml:space="preserve"> PAGEREF _Toc13074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_Toc21849 </w:instrText>
      </w:r>
      <w:r>
        <w:rPr>
          <w:rFonts w:ascii="宋体" w:hAnsi="宋体"/>
          <w:bCs w:val="0"/>
          <w:szCs w:val="36"/>
        </w:rPr>
        <w:fldChar w:fldCharType="separate"/>
      </w:r>
      <w:r>
        <w:rPr>
          <w:rFonts w:hint="default" w:ascii="Times New Roman" w:hAnsi="Times New Roman" w:eastAsia="宋体" w:cs="Times New Roman"/>
          <w:i w:val="0"/>
          <w:szCs w:val="28"/>
        </w:rPr>
        <w:t xml:space="preserve">4.8 </w:t>
      </w:r>
      <w:r>
        <w:rPr>
          <w:rFonts w:hint="eastAsia"/>
        </w:rPr>
        <w:t>报价要求</w:t>
      </w:r>
      <w:r>
        <w:tab/>
      </w:r>
      <w:r>
        <w:fldChar w:fldCharType="begin"/>
      </w:r>
      <w:r>
        <w:instrText xml:space="preserve"> PAGEREF _Toc21849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_Toc11506 </w:instrText>
      </w:r>
      <w:r>
        <w:rPr>
          <w:rFonts w:ascii="宋体" w:hAnsi="宋体"/>
          <w:bCs w:val="0"/>
          <w:szCs w:val="36"/>
        </w:rPr>
        <w:fldChar w:fldCharType="separate"/>
      </w:r>
      <w:r>
        <w:rPr>
          <w:rFonts w:hint="default" w:ascii="Times New Roman" w:hAnsi="Times New Roman" w:eastAsia="宋体" w:cs="Times New Roman"/>
          <w:i w:val="0"/>
          <w:szCs w:val="28"/>
        </w:rPr>
        <w:t xml:space="preserve">4.9 </w:t>
      </w:r>
      <w:r>
        <w:rPr>
          <w:rFonts w:hint="eastAsia"/>
        </w:rPr>
        <w:t>满足采购需求的最低要求</w:t>
      </w:r>
      <w:r>
        <w:tab/>
      </w:r>
      <w:r>
        <w:fldChar w:fldCharType="begin"/>
      </w:r>
      <w:r>
        <w:instrText xml:space="preserve"> PAGEREF _Toc11506 \h </w:instrText>
      </w:r>
      <w:r>
        <w:fldChar w:fldCharType="separate"/>
      </w:r>
      <w:r>
        <w:t>49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_Toc28302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_Toc28302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_Toc1394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_Toc1394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_Toc20178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_Toc20178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_Toc9468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递交响应文件</w:t>
      </w:r>
      <w:r>
        <w:tab/>
      </w:r>
      <w:r>
        <w:fldChar w:fldCharType="begin"/>
      </w:r>
      <w:r>
        <w:instrText xml:space="preserve"> PAGEREF _Toc9468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_Toc13902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highlight w:val="none"/>
        </w:rPr>
        <w:t>确定邀请参加询价</w:t>
      </w:r>
      <w:r>
        <w:rPr>
          <w:highlight w:val="none"/>
        </w:rPr>
        <w:t>采购活动</w:t>
      </w:r>
      <w:r>
        <w:rPr>
          <w:rFonts w:hint="eastAsia"/>
          <w:highlight w:val="none"/>
        </w:rPr>
        <w:t>的供应商数量</w:t>
      </w:r>
      <w:r>
        <w:tab/>
      </w:r>
      <w:r>
        <w:fldChar w:fldCharType="begin"/>
      </w:r>
      <w:r>
        <w:instrText xml:space="preserve"> PAGEREF _Toc13902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_Toc1755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成立询价小组</w:t>
      </w:r>
      <w:r>
        <w:tab/>
      </w:r>
      <w:r>
        <w:fldChar w:fldCharType="begin"/>
      </w:r>
      <w:r>
        <w:instrText xml:space="preserve"> PAGEREF _Toc1755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_Toc2013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资格审查</w:t>
      </w:r>
      <w:r>
        <w:tab/>
      </w:r>
      <w:r>
        <w:fldChar w:fldCharType="begin"/>
      </w:r>
      <w:r>
        <w:instrText xml:space="preserve"> PAGEREF _Toc2013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_Toc27723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_Toc27723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_Toc2642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报价及</w:t>
      </w:r>
      <w:r>
        <w:t>报价</w:t>
      </w:r>
      <w:r>
        <w:rPr>
          <w:rFonts w:hint="eastAsia"/>
        </w:rPr>
        <w:t>审查</w:t>
      </w:r>
      <w:r>
        <w:tab/>
      </w:r>
      <w:r>
        <w:fldChar w:fldCharType="begin"/>
      </w:r>
      <w:r>
        <w:instrText xml:space="preserve"> PAGEREF _Toc2642 \h </w:instrText>
      </w:r>
      <w:r>
        <w:fldChar w:fldCharType="separate"/>
      </w:r>
      <w:r>
        <w:t>57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_Toc2359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_Toc2359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_Toc4298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_Toc4298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_Toc32700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询价小组复核</w:t>
      </w:r>
      <w:r>
        <w:tab/>
      </w:r>
      <w:r>
        <w:fldChar w:fldCharType="begin"/>
      </w:r>
      <w:r>
        <w:instrText xml:space="preserve"> PAGEREF _Toc32700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_Toc10902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_Toc10902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_Toc26855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编写评审报告</w:t>
      </w:r>
      <w:r>
        <w:tab/>
      </w:r>
      <w:r>
        <w:fldChar w:fldCharType="begin"/>
      </w:r>
      <w:r>
        <w:instrText xml:space="preserve"> PAGEREF _Toc26855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_Toc16267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_Toc16267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_Toc23627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_Toc23627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_Toc25526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_Toc25526 \h </w:instrText>
      </w:r>
      <w:r>
        <w:fldChar w:fldCharType="separate"/>
      </w:r>
      <w:r>
        <w:t>62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_Toc13666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_Toc13666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_Toc17861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_Toc17861 \h </w:instrText>
      </w:r>
      <w:r>
        <w:fldChar w:fldCharType="separate"/>
      </w:r>
      <w:r>
        <w:t>64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_Toc3286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_Toc3286 \h </w:instrText>
      </w:r>
      <w:r>
        <w:fldChar w:fldCharType="separate"/>
      </w:r>
      <w:r>
        <w:t>66</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4692"/>
      <w:r>
        <w:rPr>
          <w:rFonts w:hint="eastAsia"/>
        </w:rPr>
        <w:t>询价邀请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u w:val="single"/>
          <w:lang w:val="en-US" w:eastAsia="zh-CN"/>
        </w:rPr>
        <w:t>彭州</w:t>
      </w:r>
      <w:r>
        <w:rPr>
          <w:rFonts w:hint="eastAsia" w:ascii="宋体" w:hAnsi="宋体"/>
          <w:b/>
          <w:sz w:val="28"/>
          <w:szCs w:val="28"/>
          <w:u w:val="single"/>
        </w:rPr>
        <w:t>市公共资源交易服务中心</w:t>
      </w:r>
      <w:r>
        <w:rPr>
          <w:rFonts w:hint="eastAsia" w:ascii="宋体" w:hAnsi="宋体"/>
          <w:sz w:val="28"/>
          <w:szCs w:val="28"/>
        </w:rPr>
        <w:t>(以下简称“市公资交易中心”)受</w:t>
      </w:r>
      <w:r>
        <w:rPr>
          <w:rFonts w:hint="eastAsia" w:ascii="宋体" w:hAnsi="宋体"/>
          <w:b/>
          <w:bCs/>
          <w:sz w:val="28"/>
          <w:szCs w:val="28"/>
          <w:u w:val="single"/>
          <w:lang w:eastAsia="zh-CN"/>
        </w:rPr>
        <w:t>彭州市教育局电化教育馆</w:t>
      </w:r>
      <w:r>
        <w:rPr>
          <w:rFonts w:hint="eastAsia" w:ascii="宋体" w:hAnsi="宋体"/>
          <w:sz w:val="28"/>
          <w:szCs w:val="28"/>
        </w:rPr>
        <w:t>委托,拟对</w:t>
      </w:r>
      <w:r>
        <w:rPr>
          <w:rFonts w:hint="eastAsia" w:ascii="宋体" w:hAnsi="宋体"/>
          <w:b/>
          <w:bCs/>
          <w:sz w:val="28"/>
          <w:szCs w:val="28"/>
          <w:u w:val="single"/>
          <w:lang w:eastAsia="zh-CN"/>
        </w:rPr>
        <w:t>新建学校办学条件配套项目(LED)等项目采购</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彭州市政采（2021）A0020号</w:t>
      </w:r>
    </w:p>
    <w:p>
      <w:pPr>
        <w:spacing w:line="600" w:lineRule="exact"/>
        <w:ind w:firstLine="562" w:firstLineChars="200"/>
        <w:rPr>
          <w:rFonts w:hint="eastAsia" w:ascii="宋体" w:hAnsi="宋体"/>
          <w:b/>
          <w:sz w:val="28"/>
          <w:szCs w:val="28"/>
        </w:rPr>
      </w:pPr>
      <w:r>
        <w:rPr>
          <w:rFonts w:hint="eastAsia" w:ascii="宋体" w:hAnsi="宋体"/>
          <w:b/>
          <w:sz w:val="28"/>
          <w:szCs w:val="28"/>
        </w:rPr>
        <w:t>（采购项目编号：510182202100180）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新建学校办学条件配套项目(LED)等项目采购</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"/plan/list/detail?id=1000000000005545011&amp;encrypt=e727f382aaf27bd4efd945d77935f07f" \t "https://www.zcygov.cn/project-center/purchasePlans/_blank" </w:instrText>
      </w:r>
      <w:r>
        <w:rPr>
          <w:rFonts w:hint="eastAsia" w:ascii="宋体" w:hAnsi="宋体"/>
          <w:sz w:val="28"/>
          <w:szCs w:val="28"/>
        </w:rPr>
        <w:fldChar w:fldCharType="separate"/>
      </w:r>
      <w:r>
        <w:rPr>
          <w:rFonts w:hint="eastAsia" w:ascii="宋体" w:hAnsi="宋体"/>
          <w:sz w:val="28"/>
          <w:szCs w:val="28"/>
        </w:rPr>
        <w:t>(2021)</w:t>
      </w:r>
      <w:r>
        <w:rPr>
          <w:rFonts w:hint="eastAsia" w:ascii="宋体" w:hAnsi="宋体"/>
          <w:sz w:val="28"/>
          <w:szCs w:val="28"/>
          <w:lang w:val="en-US" w:eastAsia="zh-CN"/>
        </w:rPr>
        <w:t>0504</w:t>
      </w:r>
      <w:r>
        <w:rPr>
          <w:rFonts w:hint="eastAsia" w:ascii="宋体" w:hAnsi="宋体"/>
          <w:sz w:val="28"/>
          <w:szCs w:val="28"/>
        </w:rPr>
        <w:t>号</w:t>
      </w:r>
      <w:r>
        <w:rPr>
          <w:rFonts w:hint="eastAsia" w:ascii="宋体" w:hAnsi="宋体"/>
          <w:sz w:val="28"/>
          <w:szCs w:val="28"/>
        </w:rPr>
        <w:fldChar w:fldCharType="end"/>
      </w:r>
      <w:r>
        <w:rPr>
          <w:rFonts w:hint="eastAsia" w:ascii="宋体" w:hAnsi="宋体"/>
          <w:sz w:val="28"/>
          <w:szCs w:val="28"/>
        </w:rPr>
        <w:t>；预算品目：A020207LED显示屏；预算金额：246.5万元，最高限价：246.5万元。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pStyle w:val="2"/>
      </w:pPr>
    </w:p>
    <w:tbl>
      <w:tblPr>
        <w:tblStyle w:val="45"/>
        <w:tblW w:w="9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715"/>
        <w:gridCol w:w="5582"/>
        <w:gridCol w:w="712"/>
        <w:gridCol w:w="87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序列</w:t>
            </w:r>
          </w:p>
        </w:tc>
        <w:tc>
          <w:tcPr>
            <w:tcW w:w="715"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设备名称</w:t>
            </w:r>
          </w:p>
        </w:tc>
        <w:tc>
          <w:tcPr>
            <w:tcW w:w="5582"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技术参数</w:t>
            </w:r>
          </w:p>
        </w:tc>
        <w:tc>
          <w:tcPr>
            <w:tcW w:w="712"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单位</w:t>
            </w:r>
          </w:p>
        </w:tc>
        <w:tc>
          <w:tcPr>
            <w:tcW w:w="878"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数量</w:t>
            </w:r>
          </w:p>
        </w:tc>
        <w:tc>
          <w:tcPr>
            <w:tcW w:w="986" w:type="dxa"/>
            <w:shd w:val="clear" w:color="000000" w:fill="BDD7EE"/>
            <w:vAlign w:val="center"/>
          </w:tcPr>
          <w:p>
            <w:pPr>
              <w:widowControl/>
              <w:jc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所属</w:t>
            </w:r>
          </w:p>
          <w:p>
            <w:pPr>
              <w:widowControl/>
              <w:jc w:val="center"/>
              <w:rPr>
                <w:rFonts w:hint="default"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2.5</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室内彩屏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像素构成：表贴三合一2020，厂家具备LED自主封装能力，LED灯珠及显示屏为同一品牌（提供证明材料）；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视角（水平、垂直）：H≥160°V≥140°；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点间距：≤2.5mm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模组分辨率：≥128点*64点；像素密度：≥160000点/㎡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白平衡亮度：≥550cd/㎡；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r>
              <w:rPr>
                <w:rFonts w:hint="eastAsia" w:ascii="宋体" w:hAnsi="宋体" w:eastAsia="宋体" w:cs="宋体"/>
                <w:color w:val="000000"/>
                <w:kern w:val="0"/>
                <w:szCs w:val="21"/>
              </w:rPr>
              <w:t xml:space="preserve">刷新频率：≥1920Hz ；                             </w:t>
            </w:r>
          </w:p>
          <w:p>
            <w:pPr>
              <w:jc w:val="left"/>
              <w:rPr>
                <w:rFonts w:ascii="宋体" w:hAnsi="宋体" w:cs="宋体"/>
                <w:kern w:val="0"/>
                <w:szCs w:val="21"/>
              </w:rPr>
            </w:pPr>
            <w:r>
              <w:rPr>
                <w:rFonts w:hint="eastAsia" w:ascii="宋体" w:hAnsi="宋体" w:eastAsia="宋体" w:cs="宋体"/>
                <w:color w:val="000000"/>
                <w:kern w:val="0"/>
                <w:szCs w:val="21"/>
              </w:rPr>
              <w:t>11. LED显示屏无噪声污染,噪音≤17db</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p>
            <w:pPr>
              <w:widowControl/>
              <w:jc w:val="left"/>
              <w:rPr>
                <w:rFonts w:ascii="宋体" w:hAnsi="宋体" w:eastAsia="宋体" w:cs="宋体"/>
                <w:color w:val="000000"/>
                <w:kern w:val="0"/>
                <w:szCs w:val="21"/>
              </w:rPr>
            </w:pPr>
            <w:r>
              <w:rPr>
                <w:rFonts w:hint="eastAsia" w:ascii="宋体" w:hAnsi="宋体" w:cs="宋体"/>
                <w:kern w:val="0"/>
                <w:szCs w:val="21"/>
              </w:rPr>
              <w:t>1</w:t>
            </w:r>
            <w:r>
              <w:rPr>
                <w:rFonts w:hint="eastAsia" w:ascii="宋体" w:hAnsi="宋体" w:eastAsia="宋体" w:cs="宋体"/>
                <w:color w:val="000000"/>
                <w:kern w:val="0"/>
                <w:szCs w:val="21"/>
              </w:rPr>
              <w:t>2.LED显示屏具有抗振能力。</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w:t>
            </w:r>
            <w:r>
              <w:rPr>
                <w:rFonts w:ascii="宋体" w:hAnsi="宋体" w:eastAsia="宋体" w:cs="宋体"/>
                <w:color w:val="000000"/>
                <w:kern w:val="0"/>
                <w:szCs w:val="21"/>
              </w:rPr>
              <w:t>4</w:t>
            </w:r>
          </w:p>
        </w:tc>
        <w:tc>
          <w:tcPr>
            <w:tcW w:w="986" w:type="dxa"/>
            <w:shd w:val="clear" w:color="auto" w:fill="auto"/>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2</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166</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3</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视频处理器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1.支持≥ 5 路输入接口，包括≥ 1 路 DVI，≥1 路 HDMI1.3，≥1 路 VGA，≥1 路 USB 播 放，≥1 路 CVBS，≥1 路选配扩展子卡。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3.扩展子卡安装后支持使用鼠标或键盘进行控制和手机电脑等无线投屏。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 DVI、HDMI 的输入分辨率预设及自定义调节。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7.支持画面一键全屏缩放、点对点显示、自定义缩放三种缩放模式。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4 个网口输出，最大带载 260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11.支持通过 RS232 协议连接中控设备。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13.前面板直观的 LCD 显示界面，清晰的按键灯提示，简化了系统的控制操作。</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4</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1.CPU不低于第六代I5，内存≥8G，硬盘不低于126G固态硬盘+1T机械硬盘。</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2.具有独立显卡</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w:t>
            </w:r>
            <w:r>
              <w:rPr>
                <w:rFonts w:ascii="宋体" w:hAnsi="宋体" w:eastAsia="宋体" w:cs="宋体"/>
                <w:kern w:val="0"/>
                <w:szCs w:val="21"/>
              </w:rPr>
              <w:t>4</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2.设备的固定安装符合施工要求，安装美观，整体走线符合施工工艺要求；</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w:t>
            </w:r>
            <w:r>
              <w:rPr>
                <w:rFonts w:ascii="宋体" w:hAnsi="宋体" w:eastAsia="宋体" w:cs="宋体"/>
                <w:kern w:val="0"/>
                <w:szCs w:val="21"/>
              </w:rPr>
              <w:t>4</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4</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8</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户外彩屏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像素构成：表贴三合一1921，厂家具备LED自主封装能力，LED灯珠及显示屏为同一品牌（提供证明材料）；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视角（水平、垂直）：H≥160°V≥120°；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点间距：≤4mm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模组分辨率：≥80点*40点；像素密度：≥62500点/㎡；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白平衡亮度：≥5000cd/㎡；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pStyle w:val="372"/>
              <w:jc w:val="left"/>
              <w:rPr>
                <w:rFonts w:ascii="宋体" w:hAnsi="宋体" w:cs="宋体"/>
                <w:kern w:val="0"/>
                <w:szCs w:val="21"/>
              </w:rPr>
            </w:pPr>
            <w:r>
              <w:rPr>
                <w:rFonts w:hint="eastAsia" w:ascii="宋体" w:hAnsi="宋体" w:cs="宋体"/>
                <w:color w:val="000000"/>
                <w:kern w:val="0"/>
                <w:szCs w:val="21"/>
              </w:rPr>
              <w:t>1</w:t>
            </w:r>
            <w:r>
              <w:rPr>
                <w:rFonts w:ascii="宋体" w:hAnsi="宋体" w:cs="宋体"/>
                <w:color w:val="000000"/>
                <w:kern w:val="0"/>
                <w:szCs w:val="21"/>
              </w:rPr>
              <w:t>0.</w:t>
            </w:r>
            <w:r>
              <w:rPr>
                <w:rFonts w:hint="eastAsia" w:ascii="宋体" w:hAnsi="宋体" w:cs="宋体"/>
                <w:color w:val="000000"/>
                <w:kern w:val="0"/>
                <w:szCs w:val="21"/>
              </w:rPr>
              <w:t>刷新频率：≥1920Hz                                         11.</w:t>
            </w:r>
            <w:r>
              <w:rPr>
                <w:rFonts w:hint="eastAsia" w:ascii="宋体" w:hAnsi="宋体" w:cs="宋体"/>
                <w:kern w:val="0"/>
                <w:szCs w:val="21"/>
              </w:rPr>
              <w:t xml:space="preserve"> LED显示屏无蓝光危害。（提供具有C</w:t>
            </w:r>
            <w:r>
              <w:rPr>
                <w:rFonts w:ascii="宋体" w:hAnsi="宋体" w:cs="宋体"/>
                <w:kern w:val="0"/>
                <w:szCs w:val="21"/>
              </w:rPr>
              <w:t>MA</w:t>
            </w:r>
            <w:r>
              <w:rPr>
                <w:rFonts w:hint="eastAsia" w:ascii="宋体" w:hAnsi="宋体" w:cs="宋体"/>
                <w:kern w:val="0"/>
                <w:szCs w:val="21"/>
              </w:rPr>
              <w:t>或C</w:t>
            </w:r>
            <w:r>
              <w:rPr>
                <w:rFonts w:ascii="宋体" w:hAnsi="宋体" w:cs="宋体"/>
                <w:kern w:val="0"/>
                <w:szCs w:val="21"/>
              </w:rPr>
              <w:t>NAS</w:t>
            </w:r>
            <w:r>
              <w:rPr>
                <w:rFonts w:hint="eastAsia" w:ascii="宋体" w:hAnsi="宋体" w:cs="宋体"/>
                <w:kern w:val="0"/>
                <w:szCs w:val="21"/>
              </w:rPr>
              <w:t xml:space="preserve">标识的检测报告复印件并加盖投标人公章）                     </w:t>
            </w:r>
          </w:p>
          <w:p>
            <w:pPr>
              <w:pStyle w:val="372"/>
              <w:jc w:val="left"/>
              <w:rPr>
                <w:rFonts w:ascii="宋体" w:hAnsi="宋体" w:cs="宋体"/>
                <w:color w:val="000000"/>
                <w:kern w:val="0"/>
                <w:szCs w:val="21"/>
              </w:rPr>
            </w:pPr>
            <w:r>
              <w:rPr>
                <w:rFonts w:hint="eastAsia" w:ascii="宋体" w:hAnsi="宋体" w:cs="宋体"/>
                <w:kern w:val="0"/>
                <w:szCs w:val="21"/>
              </w:rPr>
              <w:t>12.LED显示屏具备良好的防护特性，防水等级达到IP65及以上。（提供证书复印件并加盖投标人公章）</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45</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9</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视频控制器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1.支持≥ 5 路输入接口，包括≥ 1 路 DVI，≥1 路 HDMI1.3，≥1 路 VGA，≥1 路 USB 播 放，≥1 路 CVBS，≥选配 1 路 Android 子卡。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3.安装 Android 子卡后，Android 播放源模式下，支持使用鼠标进行控制。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7.支持画面全屏缩放、点对点缩放、自定义缩放三种缩放模式。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≥2 个网口输出，最大带载 130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11.支持连接控台设备。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13.前面板直观的 OLED 显示界面，清晰的按键灯提示，简化了系统的控制操作。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14.安装 Android 子卡后，支持无线投屏，可投放手机或 Pad 画面。</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3</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50</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1</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智能管理系统主机</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1.支持≥18路双向RS-232、≥8路RS-485通讯串口（提供具有C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2.支持≥8路红外编程接口、≥8路弱继电器以及≥32路I/O触发编程串口（提供具有C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3.内置网络模块，支持同一网段≥255台组网以及跨网段组网，实现远程控制及远程监控、报警等（提供具有C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4.绝缘系统依靠加强绝缘的隔离变压器和足够电气间隙与爬电距离提供防触电绝缘（提供具有C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5.基本绝缘的绝缘电阻不小于2MΩ；加强绝缘的绝缘电阻不小于4MΩ（提供具有C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6.由电源适配器提供电源，其规格为输入：额定电压或电压范围：100-240V；额定电流或电流范围：≥2A；额定频率或频率范围：50/60Hz；输出：12V DC 5A（提供具有C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7.系统含操作终端：通讯标准 IEEE802.11，按键3D/2D及多种操作效果；</w:t>
            </w:r>
            <w:r>
              <w:rPr>
                <w:rFonts w:hint="eastAsia" w:ascii="宋体" w:hAnsi="宋体" w:eastAsia="宋体" w:cs="宋体"/>
                <w:kern w:val="0"/>
                <w:szCs w:val="21"/>
              </w:rPr>
              <w:br w:type="textWrapping"/>
            </w:r>
            <w:r>
              <w:rPr>
                <w:rFonts w:hint="eastAsia" w:ascii="宋体" w:hAnsi="宋体" w:eastAsia="宋体" w:cs="宋体"/>
                <w:kern w:val="0"/>
                <w:szCs w:val="21"/>
              </w:rPr>
              <w:t>8.设备内嵌网络远程集中控制软件；</w:t>
            </w:r>
            <w:r>
              <w:rPr>
                <w:rFonts w:hint="eastAsia" w:ascii="宋体" w:hAnsi="宋体" w:eastAsia="宋体" w:cs="宋体"/>
                <w:kern w:val="0"/>
                <w:szCs w:val="21"/>
              </w:rPr>
              <w:br w:type="textWrapping"/>
            </w:r>
            <w:r>
              <w:rPr>
                <w:rFonts w:hint="eastAsia" w:ascii="宋体" w:hAnsi="宋体" w:eastAsia="宋体" w:cs="宋体"/>
                <w:kern w:val="0"/>
                <w:szCs w:val="21"/>
              </w:rPr>
              <w:t>9.设备内嵌网络多媒体中央控制系统软件。</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2</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APP授权软件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APP接口触摸屏编程软件，基于Windowns系统，可根据现场环境、设备及要求进行定制编程；支持3D、2D按键编程及PS界面设计，可见可得编程界面，可使用现场环境实际布局编程；支持CheckBoxBotton、RadioButton、ResponseButton等按键状态；支持任意种语言编写，适用于任意PC系统，支持按键蜂鸣发音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3</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触摸屏控制软件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1.基于Windowns系统，支持Android /IOS系统APP接口编程软件，可根据现场环境、设备及要求进行定制编程；支持3D、2D按键编程及PS界面设计，可见可得编程界面，可使用现场环境实际布局编程；支持CheckBoxBotton、RadioButton、ResponseButton等按键状态；支持任意种语言编写，适用于任意PC系统，支持按键蜂鸣发音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4</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控制器</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1.支持WIFI多点连接通讯、NET端口通讯功能，支持AP和Station工作模式；</w:t>
            </w:r>
            <w:r>
              <w:rPr>
                <w:rFonts w:hint="eastAsia" w:ascii="宋体" w:hAnsi="宋体" w:eastAsia="宋体" w:cs="宋体"/>
                <w:kern w:val="0"/>
                <w:szCs w:val="21"/>
              </w:rPr>
              <w:br w:type="textWrapping"/>
            </w:r>
            <w:r>
              <w:rPr>
                <w:rFonts w:hint="eastAsia" w:ascii="宋体" w:hAnsi="宋体" w:eastAsia="宋体" w:cs="宋体"/>
                <w:kern w:val="0"/>
                <w:szCs w:val="21"/>
              </w:rPr>
              <w:t>2.≥2个手动应急按键，支持一键重启/复位，≥4路RS232/485串口双向通讯；</w:t>
            </w:r>
            <w:r>
              <w:rPr>
                <w:rFonts w:hint="eastAsia" w:ascii="宋体" w:hAnsi="宋体" w:eastAsia="宋体" w:cs="宋体"/>
                <w:kern w:val="0"/>
                <w:szCs w:val="21"/>
              </w:rPr>
              <w:br w:type="textWrapping"/>
            </w:r>
            <w:r>
              <w:rPr>
                <w:rFonts w:hint="eastAsia" w:ascii="宋体" w:hAnsi="宋体" w:eastAsia="宋体" w:cs="宋体"/>
                <w:kern w:val="0"/>
                <w:szCs w:val="21"/>
              </w:rPr>
              <w:t>3.内置多种编程逻辑，编程数据可达不少于128个指令集，每个指令集下可添加不少于64段指令；</w:t>
            </w:r>
            <w:r>
              <w:rPr>
                <w:rFonts w:hint="eastAsia" w:ascii="宋体" w:hAnsi="宋体" w:eastAsia="宋体" w:cs="宋体"/>
                <w:kern w:val="0"/>
                <w:szCs w:val="21"/>
              </w:rPr>
              <w:br w:type="textWrapping"/>
            </w:r>
            <w:r>
              <w:rPr>
                <w:rFonts w:hint="eastAsia" w:ascii="宋体" w:hAnsi="宋体" w:eastAsia="宋体" w:cs="宋体"/>
                <w:kern w:val="0"/>
                <w:szCs w:val="21"/>
              </w:rPr>
              <w:t>4.设备内嵌控制服务器编辑软件。</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5</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电源控制器</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1.≥8路强/弱电开关量控制，每路额定功率2KW，具有状态显示，支持断电记忆功能；</w:t>
            </w:r>
            <w:r>
              <w:rPr>
                <w:rFonts w:hint="eastAsia" w:ascii="宋体" w:hAnsi="宋体" w:eastAsia="宋体" w:cs="宋体"/>
                <w:kern w:val="0"/>
                <w:szCs w:val="21"/>
              </w:rPr>
              <w:br w:type="textWrapping"/>
            </w:r>
            <w:r>
              <w:rPr>
                <w:rFonts w:hint="eastAsia" w:ascii="宋体" w:hAnsi="宋体" w:eastAsia="宋体" w:cs="宋体"/>
                <w:kern w:val="0"/>
                <w:szCs w:val="21"/>
              </w:rPr>
              <w:t>2.可编程定义各种逻辑开关动作如互锁、时序开关、同步动作等；</w:t>
            </w:r>
            <w:r>
              <w:rPr>
                <w:rFonts w:hint="eastAsia" w:ascii="宋体" w:hAnsi="宋体" w:eastAsia="宋体" w:cs="宋体"/>
                <w:kern w:val="0"/>
                <w:szCs w:val="21"/>
              </w:rPr>
              <w:br w:type="textWrapping"/>
            </w:r>
            <w:r>
              <w:rPr>
                <w:rFonts w:hint="eastAsia" w:ascii="宋体" w:hAnsi="宋体" w:eastAsia="宋体" w:cs="宋体"/>
                <w:kern w:val="0"/>
                <w:szCs w:val="21"/>
              </w:rPr>
              <w:t>3.支持RS-485、RS-232控制协议，支持级联多台设备；</w:t>
            </w:r>
            <w:r>
              <w:rPr>
                <w:rFonts w:hint="eastAsia" w:ascii="宋体" w:hAnsi="宋体" w:eastAsia="宋体" w:cs="宋体"/>
                <w:kern w:val="0"/>
                <w:szCs w:val="21"/>
              </w:rPr>
              <w:br w:type="textWrapping"/>
            </w:r>
            <w:r>
              <w:rPr>
                <w:rFonts w:hint="eastAsia" w:ascii="宋体" w:hAnsi="宋体" w:eastAsia="宋体" w:cs="宋体"/>
                <w:kern w:val="0"/>
                <w:szCs w:val="21"/>
              </w:rPr>
              <w:t>4.支持手动应急和中控或电脑软件同时管理功能。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7</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1.CPU不低于第六代I5，内存≥8G，硬盘不低于128G固态硬盘+1T机械硬盘。</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2.具有独立显卡</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18</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音响设备</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音响：</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w:t>
            </w:r>
            <w:r>
              <w:rPr>
                <w:rFonts w:hint="eastAsia" w:ascii="宋体" w:hAnsi="宋体" w:eastAsia="宋体" w:cs="宋体"/>
                <w:color w:val="000000"/>
                <w:kern w:val="0"/>
                <w:szCs w:val="21"/>
              </w:rPr>
              <w:t>铝合金箱体，不变形，不生锈。</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2.喇叭单元</w:t>
            </w:r>
            <w:r>
              <w:rPr>
                <w:rFonts w:ascii="宋体" w:hAnsi="宋体" w:eastAsia="宋体" w:cs="宋体"/>
                <w:color w:val="000000"/>
                <w:kern w:val="0"/>
                <w:szCs w:val="21"/>
              </w:rPr>
              <w:t xml:space="preserve"> 3"×2， 2"×1</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3.额定功率（</w:t>
            </w:r>
            <w:r>
              <w:rPr>
                <w:rFonts w:ascii="宋体" w:hAnsi="宋体" w:eastAsia="宋体" w:cs="宋体"/>
                <w:color w:val="000000"/>
                <w:kern w:val="0"/>
                <w:szCs w:val="21"/>
              </w:rPr>
              <w:t>RMS）</w:t>
            </w:r>
            <w:r>
              <w:rPr>
                <w:rFonts w:hint="eastAsia" w:ascii="宋体" w:hAnsi="宋体" w:eastAsia="宋体" w:cs="宋体"/>
                <w:kern w:val="0"/>
                <w:szCs w:val="21"/>
              </w:rPr>
              <w:t>≥</w:t>
            </w:r>
            <w:r>
              <w:rPr>
                <w:rFonts w:ascii="宋体" w:hAnsi="宋体" w:eastAsia="宋体" w:cs="宋体"/>
                <w:color w:val="000000"/>
                <w:kern w:val="0"/>
                <w:szCs w:val="21"/>
              </w:rPr>
              <w:t>30W</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4</w:t>
            </w:r>
            <w:r>
              <w:rPr>
                <w:rFonts w:hint="eastAsia" w:ascii="宋体" w:hAnsi="宋体" w:eastAsia="宋体" w:cs="宋体"/>
                <w:color w:val="000000"/>
                <w:kern w:val="0"/>
                <w:szCs w:val="21"/>
              </w:rPr>
              <w:t>.频响范围</w:t>
            </w:r>
            <w:r>
              <w:rPr>
                <w:rFonts w:ascii="宋体" w:hAnsi="宋体" w:eastAsia="宋体" w:cs="宋体"/>
                <w:color w:val="000000"/>
                <w:kern w:val="0"/>
                <w:szCs w:val="21"/>
              </w:rPr>
              <w:t xml:space="preserve"> 140Hz-20kHz</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5.灵敏度（</w:t>
            </w:r>
            <w:r>
              <w:rPr>
                <w:rFonts w:ascii="宋体" w:hAnsi="宋体" w:eastAsia="宋体" w:cs="宋体"/>
                <w:color w:val="000000"/>
                <w:kern w:val="0"/>
                <w:szCs w:val="21"/>
              </w:rPr>
              <w:t>1m，1W） 87±3dB</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6</w:t>
            </w:r>
            <w:r>
              <w:rPr>
                <w:rFonts w:hint="eastAsia" w:ascii="宋体" w:hAnsi="宋体" w:eastAsia="宋体" w:cs="宋体"/>
                <w:color w:val="000000"/>
                <w:kern w:val="0"/>
                <w:szCs w:val="21"/>
              </w:rPr>
              <w:t>.最大声压级（</w:t>
            </w:r>
            <w:r>
              <w:rPr>
                <w:rFonts w:ascii="宋体" w:hAnsi="宋体" w:eastAsia="宋体" w:cs="宋体"/>
                <w:color w:val="000000"/>
                <w:kern w:val="0"/>
                <w:szCs w:val="21"/>
              </w:rPr>
              <w:t>1m） 102</w:t>
            </w:r>
            <w:r>
              <w:rPr>
                <w:rFonts w:hint="eastAsia" w:ascii="宋体" w:hAnsi="宋体" w:eastAsia="宋体" w:cs="宋体"/>
                <w:color w:val="000000"/>
                <w:kern w:val="0"/>
                <w:szCs w:val="21"/>
              </w:rPr>
              <w:t>·</w:t>
            </w:r>
            <w:r>
              <w:rPr>
                <w:rFonts w:ascii="宋体" w:hAnsi="宋体" w:eastAsia="宋体" w:cs="宋体"/>
                <w:color w:val="000000"/>
                <w:kern w:val="0"/>
                <w:szCs w:val="21"/>
              </w:rPr>
              <w:t>±3dB</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功放：</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1</w:t>
            </w:r>
            <w:r>
              <w:rPr>
                <w:rFonts w:hint="eastAsia" w:ascii="宋体" w:hAnsi="宋体" w:eastAsia="宋体" w:cs="宋体"/>
                <w:color w:val="000000"/>
                <w:kern w:val="0"/>
                <w:szCs w:val="21"/>
              </w:rPr>
              <w:t>.</w:t>
            </w:r>
            <w:r>
              <w:rPr>
                <w:rFonts w:ascii="宋体" w:hAnsi="宋体" w:eastAsia="宋体" w:cs="宋体"/>
                <w:color w:val="000000"/>
                <w:kern w:val="0"/>
                <w:szCs w:val="21"/>
              </w:rPr>
              <w:t>支持</w:t>
            </w:r>
            <w:r>
              <w:rPr>
                <w:rFonts w:hint="eastAsia" w:ascii="宋体" w:hAnsi="宋体" w:eastAsia="宋体" w:cs="宋体"/>
                <w:color w:val="000000"/>
                <w:kern w:val="0"/>
                <w:szCs w:val="21"/>
              </w:rPr>
              <w:t>不少于</w:t>
            </w:r>
            <w:r>
              <w:rPr>
                <w:rFonts w:ascii="宋体" w:hAnsi="宋体" w:eastAsia="宋体" w:cs="宋体"/>
                <w:color w:val="000000"/>
                <w:kern w:val="0"/>
                <w:szCs w:val="21"/>
              </w:rPr>
              <w:t>3路话筒输入，</w:t>
            </w:r>
            <w:r>
              <w:rPr>
                <w:rFonts w:hint="eastAsia" w:ascii="宋体" w:hAnsi="宋体" w:eastAsia="宋体" w:cs="宋体"/>
                <w:color w:val="000000"/>
                <w:kern w:val="0"/>
                <w:szCs w:val="21"/>
              </w:rPr>
              <w:t>不少于</w:t>
            </w:r>
            <w:r>
              <w:rPr>
                <w:rFonts w:ascii="宋体" w:hAnsi="宋体" w:eastAsia="宋体" w:cs="宋体"/>
                <w:color w:val="000000"/>
                <w:kern w:val="0"/>
                <w:szCs w:val="21"/>
              </w:rPr>
              <w:t>2路辅助输入，</w:t>
            </w:r>
            <w:r>
              <w:rPr>
                <w:rFonts w:hint="eastAsia" w:ascii="宋体" w:hAnsi="宋体" w:eastAsia="宋体" w:cs="宋体"/>
                <w:color w:val="000000"/>
                <w:kern w:val="0"/>
                <w:szCs w:val="21"/>
              </w:rPr>
              <w:t>不少于</w:t>
            </w:r>
            <w:r>
              <w:rPr>
                <w:rFonts w:ascii="宋体" w:hAnsi="宋体" w:eastAsia="宋体" w:cs="宋体"/>
                <w:color w:val="000000"/>
                <w:kern w:val="0"/>
                <w:szCs w:val="21"/>
              </w:rPr>
              <w:t>1路辅助输出。</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w:t>
            </w:r>
            <w:r>
              <w:rPr>
                <w:rFonts w:ascii="宋体" w:hAnsi="宋体" w:eastAsia="宋体" w:cs="宋体"/>
                <w:color w:val="000000"/>
                <w:kern w:val="0"/>
                <w:szCs w:val="21"/>
              </w:rPr>
              <w:t>具有默音功能,便于插入优先广播。</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w:t>
            </w:r>
            <w:r>
              <w:rPr>
                <w:rFonts w:ascii="宋体" w:hAnsi="宋体" w:eastAsia="宋体" w:cs="宋体"/>
                <w:color w:val="000000"/>
                <w:kern w:val="0"/>
                <w:szCs w:val="21"/>
              </w:rPr>
              <w:t>支持各通道音量独立控制,支持高音和低音音调控制。</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4</w:t>
            </w:r>
            <w:r>
              <w:rPr>
                <w:rFonts w:hint="eastAsia" w:ascii="宋体" w:hAnsi="宋体" w:eastAsia="宋体" w:cs="宋体"/>
                <w:color w:val="000000"/>
                <w:kern w:val="0"/>
                <w:szCs w:val="21"/>
              </w:rPr>
              <w:t>.</w:t>
            </w:r>
            <w:r>
              <w:rPr>
                <w:rFonts w:ascii="宋体" w:hAnsi="宋体" w:eastAsia="宋体" w:cs="宋体"/>
                <w:color w:val="000000"/>
                <w:kern w:val="0"/>
                <w:szCs w:val="21"/>
              </w:rPr>
              <w:t>提供</w:t>
            </w:r>
            <w:r>
              <w:rPr>
                <w:rFonts w:hint="eastAsia" w:ascii="宋体" w:hAnsi="宋体" w:eastAsia="宋体" w:cs="宋体"/>
                <w:color w:val="000000"/>
                <w:kern w:val="0"/>
                <w:szCs w:val="21"/>
              </w:rPr>
              <w:t>不少于</w:t>
            </w:r>
            <w:r>
              <w:rPr>
                <w:rFonts w:ascii="宋体" w:hAnsi="宋体" w:eastAsia="宋体" w:cs="宋体"/>
                <w:color w:val="000000"/>
                <w:kern w:val="0"/>
                <w:szCs w:val="21"/>
              </w:rPr>
              <w:t>5单位LED电平表,易监察工作状态,支持输出短路保护并告警。</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5</w:t>
            </w:r>
            <w:r>
              <w:rPr>
                <w:rFonts w:hint="eastAsia" w:ascii="宋体" w:hAnsi="宋体" w:eastAsia="宋体" w:cs="宋体"/>
                <w:color w:val="000000"/>
                <w:kern w:val="0"/>
                <w:szCs w:val="21"/>
              </w:rPr>
              <w:t>.</w:t>
            </w:r>
            <w:r>
              <w:rPr>
                <w:rFonts w:ascii="宋体" w:hAnsi="宋体" w:eastAsia="宋体" w:cs="宋体"/>
                <w:color w:val="000000"/>
                <w:kern w:val="0"/>
                <w:szCs w:val="21"/>
              </w:rPr>
              <w:t>输出调整率由满载到空载，小于3dB</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6</w:t>
            </w:r>
            <w:r>
              <w:rPr>
                <w:rFonts w:hint="eastAsia" w:ascii="宋体" w:hAnsi="宋体" w:eastAsia="宋体" w:cs="宋体"/>
                <w:color w:val="000000"/>
                <w:kern w:val="0"/>
                <w:szCs w:val="21"/>
              </w:rPr>
              <w:t>.</w:t>
            </w:r>
            <w:r>
              <w:rPr>
                <w:rFonts w:ascii="宋体" w:hAnsi="宋体" w:eastAsia="宋体" w:cs="宋体"/>
                <w:color w:val="000000"/>
                <w:kern w:val="0"/>
                <w:szCs w:val="21"/>
              </w:rPr>
              <w:t>具有短路保护、直流保护、电源通断多种保护和告警功能；为保证功放有故障自恢复电路性能</w:t>
            </w:r>
            <w:r>
              <w:rPr>
                <w:rFonts w:ascii="宋体" w:hAnsi="宋体" w:eastAsia="宋体" w:cs="宋体"/>
                <w:color w:val="FF0000"/>
                <w:kern w:val="0"/>
                <w:szCs w:val="21"/>
              </w:rPr>
              <w:t xml:space="preserve"> </w:t>
            </w:r>
            <w:r>
              <w:rPr>
                <w:rFonts w:ascii="宋体" w:hAnsi="宋体" w:eastAsia="宋体" w:cs="宋体"/>
                <w:color w:val="000000"/>
                <w:kern w:val="0"/>
                <w:szCs w:val="21"/>
              </w:rPr>
              <w:t xml:space="preserve">                                                 </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7</w:t>
            </w:r>
            <w:r>
              <w:rPr>
                <w:rFonts w:hint="eastAsia" w:ascii="宋体" w:hAnsi="宋体" w:eastAsia="宋体" w:cs="宋体"/>
                <w:color w:val="000000"/>
                <w:kern w:val="0"/>
                <w:szCs w:val="21"/>
              </w:rPr>
              <w:t>.</w:t>
            </w:r>
            <w:r>
              <w:rPr>
                <w:rFonts w:ascii="宋体" w:hAnsi="宋体" w:eastAsia="宋体" w:cs="宋体"/>
                <w:color w:val="000000"/>
                <w:kern w:val="0"/>
                <w:szCs w:val="21"/>
              </w:rPr>
              <w:t xml:space="preserve">失真限制的输出功率120W                                                                                                          </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　</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19</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空调</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不小于正1P</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r>
              <w:rPr>
                <w:rFonts w:ascii="宋体" w:hAnsi="宋体" w:eastAsia="宋体" w:cs="宋体"/>
                <w:color w:val="000000"/>
                <w:kern w:val="0"/>
                <w:szCs w:val="21"/>
              </w:rPr>
              <w:t>0</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45</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r>
              <w:rPr>
                <w:rFonts w:ascii="宋体" w:hAnsi="宋体" w:eastAsia="宋体" w:cs="宋体"/>
                <w:color w:val="000000"/>
                <w:kern w:val="0"/>
                <w:szCs w:val="21"/>
              </w:rPr>
              <w:t>1</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45</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1.8</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2</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室内彩屏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像素构成：表贴三合一1515，厂家具备LED自主封装能力，LED灯珠及显示屏为同一品牌（提供证明材料）；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视角（水平、垂直）：H≥160°V≥140°；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点间距：≤1.86mm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模组分辨率：≥172点*86点；像素密度：≥288906点/㎡；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白平衡亮度：≥550cd/㎡；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jc w:val="left"/>
              <w:rPr>
                <w:rFonts w:ascii="宋体" w:hAnsi="宋体" w:cs="宋体"/>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r>
              <w:rPr>
                <w:rFonts w:hint="eastAsia" w:ascii="宋体" w:hAnsi="宋体" w:eastAsia="宋体" w:cs="宋体"/>
                <w:color w:val="000000"/>
                <w:kern w:val="0"/>
                <w:szCs w:val="21"/>
              </w:rPr>
              <w:t>刷新频率：≥3840Hz                                11. LED显示屏无噪声污染,噪音≤17db</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p>
            <w:pPr>
              <w:widowControl/>
              <w:jc w:val="left"/>
              <w:rPr>
                <w:rFonts w:ascii="宋体" w:hAnsi="宋体" w:eastAsia="宋体" w:cs="宋体"/>
                <w:color w:val="000000"/>
                <w:kern w:val="0"/>
                <w:szCs w:val="21"/>
              </w:rPr>
            </w:pPr>
            <w:r>
              <w:rPr>
                <w:rFonts w:hint="eastAsia" w:ascii="宋体" w:hAnsi="宋体" w:cs="宋体"/>
                <w:kern w:val="0"/>
                <w:szCs w:val="21"/>
              </w:rPr>
              <w:t>1</w:t>
            </w:r>
            <w:r>
              <w:rPr>
                <w:rFonts w:hint="eastAsia" w:ascii="宋体" w:hAnsi="宋体" w:eastAsia="宋体" w:cs="宋体"/>
                <w:color w:val="000000"/>
                <w:kern w:val="0"/>
                <w:szCs w:val="21"/>
              </w:rPr>
              <w:t>2.LED显示屏具有抗振能力。</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3</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视频控制器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1.支持≥ 5 路输入接口，包括≥ 1 路 DVI，≥1 路 HDMI1.3，≥1 路 VGA，≥1 路 USB 播 放，≥1 路 CVBS，≥1 路选配扩展子卡。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3.扩展子卡安装后支持使用鼠标或键盘进行控制和手机电脑等无线投屏。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 DVI、HDMI 的输入分辨率预设及自定义调节。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7.支持画面一键全屏缩放、点对点显示、自定义缩放三种缩放模式。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≥4 个网口输出，最大带载 260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11.支持通过 RS232 协议连接中控设备。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13.前面板直观的 LCD 显示界面，清晰的按键灯提示，简化了系统的控制操作。</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4</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张</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r>
              <w:rPr>
                <w:rFonts w:ascii="宋体" w:hAnsi="宋体" w:eastAsia="宋体" w:cs="宋体"/>
                <w:kern w:val="0"/>
                <w:szCs w:val="21"/>
              </w:rPr>
              <w:t>1</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5</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1.CPU不低于第六代I5，内存≥8G，硬盘不低于128G固态硬盘+1T机械硬盘。2.具有独立显卡</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7</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控制软件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通用播放控制软件、实现多种控制方案</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28</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r>
              <w:rPr>
                <w:rFonts w:hint="eastAsia" w:ascii="宋体" w:hAnsi="宋体" w:eastAsia="宋体" w:cs="宋体"/>
                <w:kern w:val="0"/>
                <w:szCs w:val="21"/>
              </w:rPr>
              <w:t xml:space="preserve"> </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29</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单色P</w:t>
            </w:r>
            <w:r>
              <w:rPr>
                <w:rFonts w:ascii="宋体" w:hAnsi="宋体" w:eastAsia="宋体" w:cs="宋体"/>
                <w:color w:val="000000"/>
                <w:kern w:val="0"/>
                <w:szCs w:val="21"/>
              </w:rPr>
              <w:t>10</w:t>
            </w:r>
          </w:p>
        </w:tc>
        <w:tc>
          <w:tcPr>
            <w:tcW w:w="986" w:type="dxa"/>
            <w:shd w:val="clear" w:color="000000" w:fill="BDD7EE"/>
            <w:vAlign w:val="center"/>
          </w:tcPr>
          <w:p>
            <w:pPr>
              <w:widowControl/>
              <w:jc w:val="left"/>
              <w:rPr>
                <w:rFonts w:hint="eastAsia"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30</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户外单色L</w:t>
            </w:r>
            <w:r>
              <w:rPr>
                <w:rFonts w:ascii="宋体" w:hAnsi="宋体" w:eastAsia="宋体" w:cs="宋体"/>
                <w:kern w:val="0"/>
                <w:szCs w:val="21"/>
              </w:rPr>
              <w:t>ED</w:t>
            </w:r>
            <w:r>
              <w:rPr>
                <w:rFonts w:hint="eastAsia" w:ascii="宋体" w:hAnsi="宋体" w:eastAsia="宋体" w:cs="宋体"/>
                <w:kern w:val="0"/>
                <w:szCs w:val="21"/>
              </w:rPr>
              <w:t>屏</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1.像数点间距:不大于10mm                                                                                                                                                 2.像素密度:</w:t>
            </w:r>
            <w:r>
              <w:rPr>
                <w:rFonts w:hint="eastAsia" w:ascii="宋体" w:hAnsi="宋体" w:eastAsia="宋体" w:cs="宋体"/>
                <w:color w:val="000000"/>
                <w:kern w:val="0"/>
                <w:szCs w:val="21"/>
              </w:rPr>
              <w:t xml:space="preserve"> ≥</w:t>
            </w:r>
            <w:r>
              <w:rPr>
                <w:rFonts w:hint="eastAsia" w:ascii="宋体" w:hAnsi="宋体" w:eastAsia="宋体" w:cs="宋体"/>
                <w:kern w:val="0"/>
                <w:szCs w:val="21"/>
              </w:rPr>
              <w:t>10000Dots/㎡                                                                                                                                            3.像素构成 1R                                                                                                                                                  4.单元板分辨率</w:t>
            </w:r>
            <w:r>
              <w:rPr>
                <w:rFonts w:hint="eastAsia" w:ascii="宋体" w:hAnsi="宋体" w:eastAsia="宋体" w:cs="宋体"/>
                <w:color w:val="000000"/>
                <w:kern w:val="0"/>
                <w:szCs w:val="21"/>
              </w:rPr>
              <w:t>≥</w:t>
            </w:r>
            <w:r>
              <w:rPr>
                <w:rFonts w:hint="eastAsia" w:ascii="宋体" w:hAnsi="宋体" w:eastAsia="宋体" w:cs="宋体"/>
                <w:kern w:val="0"/>
                <w:szCs w:val="21"/>
              </w:rPr>
              <w:t xml:space="preserve">32*16Dots                                                                                                                                         </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24</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31</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24</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询价通知书获取时间</w:t>
      </w:r>
    </w:p>
    <w:p>
      <w:pPr>
        <w:spacing w:line="600" w:lineRule="exact"/>
        <w:ind w:firstLine="560" w:firstLineChars="200"/>
        <w:rPr>
          <w:rFonts w:ascii="宋体" w:hAnsi="宋体"/>
          <w:sz w:val="28"/>
          <w:szCs w:val="28"/>
        </w:rPr>
      </w:pPr>
      <w:r>
        <w:rPr>
          <w:rFonts w:hint="eastAsia" w:ascii="宋体" w:hAnsi="宋体"/>
          <w:sz w:val="28"/>
          <w:szCs w:val="28"/>
        </w:rPr>
        <w:t>（一）询价</w:t>
      </w:r>
      <w:r>
        <w:rPr>
          <w:rFonts w:ascii="宋体" w:hAnsi="宋体"/>
          <w:sz w:val="28"/>
          <w:szCs w:val="28"/>
        </w:rPr>
        <w:t>通知书</w:t>
      </w:r>
      <w:r>
        <w:rPr>
          <w:rFonts w:hint="eastAsia" w:ascii="宋体" w:hAnsi="宋体"/>
          <w:sz w:val="28"/>
          <w:szCs w:val="28"/>
        </w:rPr>
        <w:t>获取时间：2021年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10</w:t>
      </w:r>
      <w:r>
        <w:rPr>
          <w:rFonts w:hint="eastAsia" w:ascii="宋体" w:hAnsi="宋体"/>
          <w:sz w:val="28"/>
          <w:szCs w:val="28"/>
        </w:rPr>
        <w:t>日至</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14</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响应文件递交截止时间及开启时间（北京时间）、地点、方式</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响应文件递交截止时间及开启时间：2021</w:t>
      </w:r>
      <w:r>
        <w:rPr>
          <w:rFonts w:ascii="宋体" w:hAnsi="宋体" w:eastAsia="宋体"/>
          <w:b/>
          <w:sz w:val="28"/>
          <w:szCs w:val="28"/>
        </w:rPr>
        <w:t>年</w:t>
      </w:r>
      <w:r>
        <w:rPr>
          <w:rFonts w:hint="eastAsia" w:ascii="宋体" w:hAnsi="宋体" w:eastAsia="宋体"/>
          <w:sz w:val="28"/>
          <w:szCs w:val="28"/>
          <w:lang w:val="en-US" w:eastAsia="zh-CN"/>
        </w:rPr>
        <w:t>9</w:t>
      </w:r>
      <w:r>
        <w:rPr>
          <w:rFonts w:ascii="宋体" w:hAnsi="宋体" w:eastAsia="宋体"/>
          <w:b/>
          <w:sz w:val="28"/>
          <w:szCs w:val="28"/>
        </w:rPr>
        <w:t>月</w:t>
      </w:r>
      <w:r>
        <w:rPr>
          <w:rFonts w:hint="eastAsia" w:ascii="宋体" w:hAnsi="宋体" w:eastAsia="宋体"/>
          <w:sz w:val="28"/>
          <w:szCs w:val="28"/>
          <w:lang w:val="en-US" w:eastAsia="zh-CN"/>
        </w:rPr>
        <w:t>15</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30</w:t>
      </w:r>
      <w:r>
        <w:rPr>
          <w:rFonts w:hint="eastAsia" w:ascii="宋体" w:hAnsi="宋体" w:eastAsia="宋体"/>
          <w:b/>
          <w:sz w:val="28"/>
          <w:szCs w:val="28"/>
        </w:rPr>
        <w:t>。</w:t>
      </w:r>
    </w:p>
    <w:p>
      <w:pPr>
        <w:pStyle w:val="80"/>
        <w:numPr>
          <w:ilvl w:val="0"/>
          <w:numId w:val="4"/>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十三、</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十四</w:t>
      </w:r>
      <w:r>
        <w:rPr>
          <w:rFonts w:ascii="宋体" w:hAnsi="宋体"/>
          <w:b/>
          <w:sz w:val="28"/>
          <w:szCs w:val="28"/>
        </w:rPr>
        <w:t>、</w:t>
      </w:r>
      <w:r>
        <w:rPr>
          <w:rFonts w:hint="eastAsia" w:ascii="宋体" w:hAnsi="宋体"/>
          <w:b/>
          <w:sz w:val="28"/>
          <w:szCs w:val="28"/>
        </w:rPr>
        <w:t>联系人及联系电话</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采购人：彭州市教育局电化教育馆</w:t>
      </w:r>
      <w:r>
        <w:rPr>
          <w:rFonts w:hint="eastAsia" w:ascii="宋体" w:hAnsi="宋体"/>
          <w:kern w:val="0"/>
          <w:sz w:val="28"/>
          <w:szCs w:val="22"/>
        </w:rPr>
        <w:t>；</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址：彭州市天彭街道龙塔路47号；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张世述</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b/>
          <w:sz w:val="28"/>
          <w:szCs w:val="28"/>
        </w:rPr>
      </w:pPr>
      <w:r>
        <w:rPr>
          <w:rFonts w:hint="eastAsia" w:ascii="宋体" w:hAnsi="宋体"/>
          <w:kern w:val="0"/>
          <w:sz w:val="28"/>
          <w:szCs w:val="22"/>
        </w:rPr>
        <w:t>联系电话：028-83881058</w:t>
      </w:r>
    </w:p>
    <w:p>
      <w:pPr>
        <w:pStyle w:val="193"/>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技术支持电话：4008817190</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集中采购监督机构：彭州市财政局</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22823"/>
      <w:bookmarkStart w:id="2" w:name="_Toc391885334"/>
      <w:bookmarkStart w:id="3" w:name="_Toc287623638"/>
      <w:bookmarkStart w:id="4" w:name="_Toc381263230"/>
      <w:r>
        <w:rPr>
          <w:rFonts w:hint="eastAsia"/>
        </w:rPr>
        <w:t>供应商须知</w:t>
      </w:r>
      <w:bookmarkEnd w:id="1"/>
      <w:bookmarkEnd w:id="2"/>
    </w:p>
    <w:p>
      <w:pPr>
        <w:pStyle w:val="4"/>
        <w:ind w:left="851" w:hanging="851"/>
      </w:pPr>
      <w:bookmarkStart w:id="5" w:name="_Toc1273"/>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rightChars="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246.5</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leftChars="0" w:hanging="24" w:firstLineChars="0"/>
              <w:rPr>
                <w:b/>
                <w:lang w:val="zh-CN"/>
              </w:rPr>
            </w:pPr>
            <w:r>
              <w:rPr>
                <w:rFonts w:hint="eastAsia" w:cs="Times New Roman"/>
                <w:b/>
                <w:kern w:val="2"/>
              </w:rPr>
              <w:t>本项目最高限价为人民币</w:t>
            </w:r>
            <w:r>
              <w:rPr>
                <w:rFonts w:hint="eastAsia" w:cs="Times New Roman"/>
                <w:b/>
                <w:kern w:val="2"/>
                <w:lang w:val="en-US" w:eastAsia="zh-CN"/>
              </w:rPr>
              <w:t xml:space="preserve"> 246.5</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p>
          <w:p>
            <w:pPr>
              <w:pStyle w:val="148"/>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w:t>
            </w:r>
            <w:r>
              <w:rPr>
                <w:rFonts w:hint="eastAsia" w:ascii="宋体" w:hAnsi="宋体"/>
                <w:lang w:val="en-US" w:eastAsia="zh-CN"/>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hint="eastAsia" w:ascii="宋体" w:hAnsi="宋体" w:cs="宋体"/>
                <w:lang w:val="zh-CN"/>
              </w:rPr>
            </w:pPr>
            <w:r>
              <w:rPr>
                <w:rFonts w:hint="eastAsia" w:ascii="宋体" w:hAnsi="宋体" w:cs="宋体"/>
                <w:lang w:val="zh-CN"/>
              </w:rPr>
              <w:t>投诉受理单位：彭州市财政局。</w:t>
            </w:r>
          </w:p>
          <w:p>
            <w:pPr>
              <w:tabs>
                <w:tab w:val="left" w:pos="7665"/>
              </w:tabs>
              <w:spacing w:line="360" w:lineRule="auto"/>
              <w:rPr>
                <w:rFonts w:hint="eastAsia" w:ascii="宋体" w:hAnsi="宋体" w:cs="宋体"/>
                <w:lang w:val="zh-CN"/>
              </w:rPr>
            </w:pPr>
            <w:r>
              <w:rPr>
                <w:rFonts w:hint="eastAsia" w:ascii="宋体" w:hAnsi="宋体" w:cs="宋体"/>
                <w:lang w:val="zh-CN"/>
              </w:rPr>
              <w:t>联系电话：028-83888323。</w:t>
            </w:r>
          </w:p>
          <w:p>
            <w:pPr>
              <w:tabs>
                <w:tab w:val="left" w:pos="7665"/>
              </w:tabs>
              <w:spacing w:line="360" w:lineRule="auto"/>
              <w:rPr>
                <w:rFonts w:ascii="宋体" w:hAnsi="宋体"/>
              </w:rPr>
            </w:pPr>
            <w:r>
              <w:rPr>
                <w:rFonts w:hint="eastAsia" w:ascii="宋体" w:hAnsi="宋体" w:cs="宋体"/>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宋体" w:cs="Times New Roman"/>
                <w:kern w:val="0"/>
                <w:sz w:val="24"/>
                <w:szCs w:val="24"/>
                <w:lang w:val="en-US" w:eastAsia="zh-CN" w:bidi="ar-SA"/>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095619"/>
      <w:bookmarkEnd w:id="6"/>
      <w:bookmarkStart w:id="7" w:name="_Toc494356973"/>
      <w:bookmarkEnd w:id="7"/>
      <w:bookmarkStart w:id="8" w:name="_Toc9103"/>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及其他要求、评分标准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7"/>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市级机关、事业单位、团体组织。本次询价采购项目的采购人是</w:t>
      </w:r>
      <w:r>
        <w:rPr>
          <w:rFonts w:hint="eastAsia" w:ascii="宋体" w:hAnsi="宋体"/>
          <w:b/>
          <w:sz w:val="28"/>
          <w:szCs w:val="28"/>
          <w:u w:val="single"/>
          <w:lang w:eastAsia="zh-CN"/>
        </w:rPr>
        <w:t>彭州市教育局电化教育馆</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合格的供应商应具备以下条件：符合询价邀请第五条规定的条件</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14554"/>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8"/>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8"/>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8"/>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24646"/>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9"/>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0"/>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4"/>
        </w:numPr>
        <w:ind w:firstLineChars="0"/>
        <w:rPr>
          <w:rFonts w:ascii="宋体" w:hAnsi="宋体"/>
          <w:sz w:val="28"/>
          <w:szCs w:val="28"/>
        </w:rPr>
      </w:pPr>
      <w:r>
        <w:rPr>
          <w:rFonts w:hint="eastAsia" w:ascii="宋体" w:hAnsi="宋体"/>
          <w:sz w:val="28"/>
          <w:szCs w:val="28"/>
        </w:rPr>
        <w:t>报价书；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供应商</w:t>
      </w:r>
      <w:r>
        <w:rPr>
          <w:rFonts w:ascii="宋体" w:hAnsi="宋体"/>
          <w:sz w:val="28"/>
          <w:szCs w:val="28"/>
        </w:rPr>
        <w:t>基本情况表；</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服务</w:t>
      </w:r>
      <w:r>
        <w:rPr>
          <w:rFonts w:ascii="宋体" w:hAnsi="宋体"/>
          <w:sz w:val="28"/>
          <w:szCs w:val="28"/>
        </w:rPr>
        <w:t>方案及服务承诺；</w:t>
      </w:r>
    </w:p>
    <w:p>
      <w:pPr>
        <w:pStyle w:val="154"/>
        <w:widowControl w:val="0"/>
        <w:numPr>
          <w:ilvl w:val="0"/>
          <w:numId w:val="14"/>
        </w:numPr>
        <w:tabs>
          <w:tab w:val="left" w:pos="1134"/>
        </w:tabs>
        <w:spacing w:line="600" w:lineRule="exact"/>
        <w:ind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w:t>
      </w:r>
      <w:r>
        <w:rPr>
          <w:rFonts w:ascii="宋体" w:hAnsi="宋体"/>
          <w:sz w:val="28"/>
          <w:szCs w:val="28"/>
        </w:rPr>
        <w:t>：</w:t>
      </w:r>
      <w:r>
        <w:rPr>
          <w:rFonts w:hint="eastAsia" w:ascii="宋体" w:hAnsi="宋体"/>
          <w:sz w:val="28"/>
          <w:szCs w:val="28"/>
        </w:rPr>
        <w:t>如未提供中小企业声明函，则不能享受询价通知书规定的价格扣除，但不影响供应商响应文件的有效性）；</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w:t>
      </w:r>
      <w:r>
        <w:rPr>
          <w:rFonts w:ascii="宋体" w:hAnsi="宋体"/>
          <w:sz w:val="28"/>
          <w:szCs w:val="28"/>
        </w:rPr>
        <w:t>：</w:t>
      </w:r>
      <w:r>
        <w:rPr>
          <w:rFonts w:hint="eastAsia" w:ascii="宋体" w:hAnsi="宋体"/>
          <w:sz w:val="28"/>
          <w:szCs w:val="28"/>
        </w:rPr>
        <w:t>如未提供残疾人福利性单位声明函，则不能享受询价通知书规定的价格扣除，但不影响供应商响应文件的有效性）。</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5"/>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特殊情况下，采购人可于响应文件有效期满之前要求供应商同意延长有效期，要求与答复均应为书面形式。供应商可以拒绝上述要求，同意延长响应文件有效期的供应商不能修改其响应文件。</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18"/>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183582232"/>
      <w:bookmarkStart w:id="34" w:name="_Toc183682369"/>
      <w:bookmarkStart w:id="35" w:name="_Toc217446057"/>
      <w:bookmarkStart w:id="36" w:name="_Toc17612"/>
      <w:r>
        <w:rPr>
          <w:rFonts w:hint="eastAsia"/>
        </w:rPr>
        <w:t>开标</w:t>
      </w:r>
      <w:bookmarkEnd w:id="33"/>
      <w:bookmarkEnd w:id="34"/>
      <w:bookmarkEnd w:id="35"/>
      <w:r>
        <w:rPr>
          <w:rFonts w:hint="eastAsia"/>
        </w:rPr>
        <w:t>及开标程序</w:t>
      </w:r>
      <w:bookmarkEnd w:id="36"/>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7" w:name="_Toc5323"/>
      <w:r>
        <w:t>成交通知书</w:t>
      </w:r>
      <w:bookmarkEnd w:id="37"/>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0"/>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8" w:name="_Toc16975"/>
      <w:bookmarkStart w:id="39" w:name="_Toc287623650"/>
      <w:r>
        <w:rPr>
          <w:rFonts w:hint="eastAsia"/>
        </w:rPr>
        <w:t>签订及履行合同和验收</w:t>
      </w:r>
      <w:bookmarkEnd w:id="38"/>
    </w:p>
    <w:p>
      <w:pPr>
        <w:pStyle w:val="5"/>
        <w:spacing w:line="600" w:lineRule="exact"/>
        <w:rPr>
          <w:color w:val="auto"/>
        </w:rPr>
      </w:pPr>
      <w:r>
        <w:rPr>
          <w:rFonts w:hint="eastAsia"/>
          <w:color w:val="auto"/>
        </w:rPr>
        <w:t>签订合同</w:t>
      </w:r>
      <w:bookmarkEnd w:id="39"/>
    </w:p>
    <w:p>
      <w:pPr>
        <w:widowControl w:val="0"/>
        <w:numPr>
          <w:ilvl w:val="0"/>
          <w:numId w:val="21"/>
        </w:numPr>
        <w:tabs>
          <w:tab w:val="left" w:pos="1134"/>
        </w:tabs>
        <w:spacing w:line="360" w:lineRule="auto"/>
        <w:ind w:left="0" w:firstLine="565" w:firstLineChars="202"/>
        <w:jc w:val="both"/>
        <w:rPr>
          <w:rFonts w:ascii="宋体" w:hAnsi="宋体"/>
          <w:sz w:val="28"/>
          <w:szCs w:val="28"/>
        </w:rPr>
      </w:pPr>
      <w:bookmarkStart w:id="40"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1" w:name="_Toc217446066"/>
      <w:r>
        <w:rPr>
          <w:rFonts w:hint="eastAsia"/>
          <w:color w:val="auto"/>
        </w:rPr>
        <w:t>合同分包</w:t>
      </w:r>
      <w:bookmarkEnd w:id="41"/>
      <w:r>
        <w:rPr>
          <w:rFonts w:hint="eastAsia"/>
          <w:color w:val="auto"/>
        </w:rPr>
        <w:t>和转包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3"/>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2" w:name="_Toc217446067"/>
      <w:r>
        <w:rPr>
          <w:rFonts w:hint="eastAsia"/>
          <w:color w:val="auto"/>
        </w:rPr>
        <w:t>采购人增加合同标的的权</w:t>
      </w:r>
      <w:bookmarkEnd w:id="42"/>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3" w:name="_Toc217446068"/>
      <w:r>
        <w:rPr>
          <w:rFonts w:hint="eastAsia"/>
          <w:color w:val="auto"/>
        </w:rPr>
        <w:t>履约保证金</w:t>
      </w:r>
      <w:bookmarkEnd w:id="43"/>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0"/>
    <w:p>
      <w:pPr>
        <w:pStyle w:val="5"/>
        <w:spacing w:line="600" w:lineRule="exact"/>
        <w:rPr>
          <w:color w:val="auto"/>
        </w:rPr>
      </w:pPr>
      <w:bookmarkStart w:id="44" w:name="_Toc217446070"/>
      <w:r>
        <w:rPr>
          <w:rFonts w:hint="eastAsia" w:cs="宋体"/>
          <w:color w:val="auto"/>
        </w:rPr>
        <w:t>履行</w:t>
      </w:r>
      <w:r>
        <w:rPr>
          <w:rFonts w:hint="eastAsia"/>
          <w:color w:val="auto"/>
        </w:rPr>
        <w:t>合同</w:t>
      </w:r>
    </w:p>
    <w:p>
      <w:pPr>
        <w:widowControl w:val="0"/>
        <w:numPr>
          <w:ilvl w:val="0"/>
          <w:numId w:val="24"/>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4"/>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5" w:name="_Toc24240"/>
      <w:r>
        <w:rPr>
          <w:rFonts w:hint="eastAsia"/>
        </w:rPr>
        <w:t>询价</w:t>
      </w:r>
      <w:r>
        <w:t>采购</w:t>
      </w:r>
      <w:r>
        <w:rPr>
          <w:rFonts w:hint="eastAsia"/>
        </w:rPr>
        <w:t>工作纪律及要求</w:t>
      </w:r>
      <w:bookmarkEnd w:id="45"/>
    </w:p>
    <w:p>
      <w:pPr>
        <w:pStyle w:val="5"/>
        <w:spacing w:line="600" w:lineRule="exact"/>
        <w:ind w:left="0" w:firstLine="0"/>
        <w:rPr>
          <w:color w:val="auto"/>
        </w:rPr>
      </w:pPr>
      <w:bookmarkStart w:id="46" w:name="_Toc217446075"/>
      <w:r>
        <w:rPr>
          <w:rFonts w:hint="eastAsia"/>
          <w:color w:val="auto"/>
        </w:rPr>
        <w:t>供应商不得具有的情形</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5"/>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47" w:name="_Toc314574786"/>
      <w:r>
        <w:rPr>
          <w:rFonts w:hint="eastAsia"/>
          <w:color w:val="auto"/>
        </w:rPr>
        <w:t>保密</w:t>
      </w:r>
      <w:bookmarkEnd w:id="47"/>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6"/>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8" w:name="_Toc405886181"/>
      <w:bookmarkStart w:id="49" w:name="_Toc25201"/>
      <w:r>
        <w:rPr>
          <w:rFonts w:hint="eastAsia"/>
        </w:rPr>
        <w:t>询问、质疑</w:t>
      </w:r>
      <w:bookmarkEnd w:id="48"/>
      <w:r>
        <w:rPr>
          <w:rFonts w:hint="eastAsia"/>
        </w:rPr>
        <w:t>和投诉</w:t>
      </w:r>
      <w:bookmarkEnd w:id="49"/>
    </w:p>
    <w:p>
      <w:pPr>
        <w:pStyle w:val="27"/>
        <w:numPr>
          <w:ilvl w:val="0"/>
          <w:numId w:val="27"/>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29"/>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0" w:name="_Toc376425021"/>
      <w:bookmarkEnd w:id="50"/>
      <w:bookmarkStart w:id="51" w:name="_Toc13679"/>
      <w:bookmarkStart w:id="52" w:name="_Toc3363724"/>
      <w:r>
        <w:rPr>
          <w:rFonts w:hint="eastAsia"/>
        </w:rPr>
        <w:t>中小企业政府采购信用融资</w:t>
      </w:r>
      <w:bookmarkEnd w:id="51"/>
      <w:bookmarkEnd w:id="52"/>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pStyle w:val="27"/>
        <w:numPr>
          <w:ilvl w:val="0"/>
          <w:numId w:val="0"/>
        </w:numPr>
        <w:tabs>
          <w:tab w:val="left" w:pos="1134"/>
        </w:tabs>
        <w:spacing w:line="600" w:lineRule="exact"/>
        <w:ind w:left="567" w:leftChars="0"/>
        <w:rPr>
          <w:rFonts w:ascii="宋体" w:hAnsi="宋体"/>
          <w:sz w:val="28"/>
          <w:szCs w:val="28"/>
        </w:rPr>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3" w:name="_Toc9959"/>
      <w:r>
        <w:rPr>
          <w:rFonts w:hint="eastAsia"/>
        </w:rPr>
        <w:t>响应文件格式</w:t>
      </w:r>
      <w:bookmarkEnd w:id="53"/>
    </w:p>
    <w:p>
      <w:pPr>
        <w:pStyle w:val="4"/>
      </w:pPr>
      <w:bookmarkStart w:id="54" w:name="_Toc17307"/>
      <w:bookmarkStart w:id="55" w:name="_Toc448403805"/>
      <w:bookmarkStart w:id="56" w:name="_Toc320698765"/>
      <w:r>
        <w:rPr>
          <w:rFonts w:hint="eastAsia"/>
        </w:rPr>
        <w:t>响应文件格式</w:t>
      </w:r>
      <w:bookmarkEnd w:id="54"/>
    </w:p>
    <w:p>
      <w:pPr>
        <w:pStyle w:val="5"/>
        <w:tabs>
          <w:tab w:val="left" w:pos="709"/>
        </w:tabs>
        <w:ind w:left="1135" w:hanging="1135"/>
        <w:jc w:val="left"/>
        <w:rPr>
          <w:color w:val="auto"/>
        </w:rPr>
      </w:pPr>
      <w:r>
        <w:rPr>
          <w:rFonts w:hint="eastAsia"/>
          <w:color w:val="auto"/>
        </w:rPr>
        <w:t>响应文件封面格式</w:t>
      </w:r>
      <w:bookmarkEnd w:id="55"/>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新建学校办学条件配套项目(LED)等项目采购</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彭州市政采（2021）A0020号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7" w:name="_Toc238581782"/>
      <w:bookmarkStart w:id="58" w:name="_Toc119296788"/>
      <w:bookmarkStart w:id="59" w:name="_Toc52184753"/>
      <w:bookmarkStart w:id="60" w:name="_Toc119203988"/>
      <w:bookmarkStart w:id="61" w:name="_Toc146903609"/>
      <w:bookmarkStart w:id="62" w:name="_Toc119295087"/>
      <w:r>
        <w:rPr>
          <w:rFonts w:hint="eastAsia" w:ascii="宋体" w:hAnsi="宋体"/>
          <w:sz w:val="28"/>
          <w:szCs w:val="28"/>
          <w:lang w:val="en-US" w:eastAsia="zh-CN"/>
        </w:rPr>
        <w:t>彭州</w:t>
      </w:r>
      <w:r>
        <w:rPr>
          <w:rFonts w:hint="eastAsia" w:ascii="宋体" w:hAnsi="宋体"/>
          <w:sz w:val="28"/>
          <w:szCs w:val="28"/>
        </w:rPr>
        <w:t>市公共资源交易服务中心</w:t>
      </w:r>
      <w:bookmarkEnd w:id="57"/>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bCs w:val="0"/>
          <w:sz w:val="28"/>
          <w:szCs w:val="28"/>
          <w:u w:val="single"/>
          <w:lang w:eastAsia="zh-CN"/>
        </w:rPr>
        <w:t>新建学校办学条件配套项目(LED)等项目采购</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彭州市政采（2021）A0020号</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0"/>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1"/>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1"/>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0"/>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58"/>
    <w:bookmarkEnd w:id="59"/>
    <w:bookmarkEnd w:id="60"/>
    <w:bookmarkEnd w:id="61"/>
    <w:bookmarkEnd w:id="62"/>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声明</w:t>
      </w:r>
    </w:p>
    <w:p>
      <w:pPr>
        <w:snapToGrid w:val="0"/>
        <w:spacing w:line="360" w:lineRule="auto"/>
        <w:ind w:left="1276" w:right="-65" w:rightChars="-27" w:hanging="1276" w:hangingChars="454"/>
        <w:rPr>
          <w:rFonts w:hint="eastAsia" w:ascii="宋体" w:hAnsi="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新建学校办学条件配套项目(LED)等项目采购</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lang w:val="en-US" w:eastAsia="zh-CN"/>
        </w:rPr>
        <w:t>彭州市政采（2021）A0020号</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val="en-US" w:eastAsia="zh-CN"/>
        </w:rPr>
        <w:t>彭州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bCs w:val="0"/>
          <w:sz w:val="28"/>
          <w:szCs w:val="28"/>
          <w:u w:val="single"/>
          <w:lang w:eastAsia="zh-CN"/>
        </w:rPr>
        <w:t>新建学校办学条件配套项目(LED)等项目采购</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rPr>
          <w:lang w:val="zh-CN"/>
        </w:rPr>
      </w:pPr>
    </w:p>
    <w:p/>
    <w:p/>
    <w:p/>
    <w:p>
      <w:pPr>
        <w:pStyle w:val="5"/>
        <w:numPr>
          <w:ilvl w:val="3"/>
          <w:numId w:val="1"/>
        </w:numPr>
        <w:tabs>
          <w:tab w:val="left" w:pos="709"/>
        </w:tabs>
        <w:jc w:val="left"/>
        <w:rPr>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w:t>
      </w:r>
      <w:r>
        <w:rPr>
          <w:rFonts w:hint="eastAsia" w:ascii="宋体" w:hAnsi="宋体"/>
          <w:sz w:val="28"/>
          <w:szCs w:val="28"/>
          <w:lang w:val="en-US" w:eastAsia="zh-CN"/>
        </w:rPr>
        <w:t>需</w:t>
      </w:r>
      <w:r>
        <w:rPr>
          <w:rFonts w:hint="eastAsia" w:ascii="宋体" w:hAnsi="宋体"/>
          <w:sz w:val="28"/>
          <w:szCs w:val="28"/>
          <w:lang w:val="en-US"/>
        </w:rPr>
        <w:t>的设备和专业技术能力无其他特殊要求，供应商具有有效的营业执照或法人证书即可，可不提供其他证明材料；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val="0"/>
          <w:sz w:val="28"/>
          <w:szCs w:val="28"/>
          <w:u w:val="single"/>
          <w:lang w:eastAsia="zh-CN"/>
        </w:rPr>
        <w:t>新建学校办学条件配套项目(LED)等项目采购</w:t>
      </w:r>
      <w:r>
        <w:rPr>
          <w:rFonts w:hint="eastAsia" w:ascii="宋体" w:hAnsi="宋体"/>
          <w:b/>
          <w:bCs/>
          <w:sz w:val="28"/>
          <w:szCs w:val="28"/>
          <w:u w:val="single"/>
        </w:rPr>
        <w:t>”（项目编号：</w:t>
      </w:r>
      <w:r>
        <w:rPr>
          <w:rFonts w:hint="eastAsia" w:ascii="宋体" w:hAnsi="宋体"/>
          <w:b/>
          <w:bCs/>
          <w:sz w:val="28"/>
          <w:szCs w:val="28"/>
          <w:u w:val="single"/>
          <w:lang w:val="en-US" w:eastAsia="zh-CN"/>
        </w:rPr>
        <w:t>彭州市政采（2021）A0020号</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2"/>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2"/>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供应商基本情况表</w:t>
      </w:r>
    </w:p>
    <w:tbl>
      <w:tblPr>
        <w:tblStyle w:val="4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63" w:name="_Toc302997928"/>
      <w:bookmarkStart w:id="64" w:name="_Toc263768877"/>
      <w:bookmarkStart w:id="65" w:name="_Toc263753619"/>
    </w:p>
    <w:p>
      <w:pPr>
        <w:adjustRightInd w:val="0"/>
        <w:spacing w:line="400" w:lineRule="exact"/>
        <w:rPr>
          <w:rFonts w:ascii="宋体" w:hAnsi="宋体"/>
          <w:bCs/>
          <w:sz w:val="28"/>
          <w:u w:val="single"/>
        </w:rPr>
      </w:pPr>
    </w:p>
    <w:bookmarkEnd w:id="63"/>
    <w:bookmarkEnd w:id="64"/>
    <w:bookmarkEnd w:id="65"/>
    <w:p>
      <w:pPr>
        <w:pStyle w:val="5"/>
        <w:numPr>
          <w:ilvl w:val="3"/>
          <w:numId w:val="1"/>
        </w:numPr>
        <w:tabs>
          <w:tab w:val="left" w:pos="709"/>
        </w:tabs>
        <w:jc w:val="left"/>
        <w:rPr>
          <w:color w:val="auto"/>
        </w:rPr>
      </w:pPr>
      <w:r>
        <w:rPr>
          <w:rFonts w:hint="eastAsia"/>
          <w:color w:val="auto"/>
        </w:rPr>
        <w:t>服务方案及服务承诺</w:t>
      </w:r>
    </w:p>
    <w:p>
      <w:pPr>
        <w:snapToGrid w:val="0"/>
        <w:spacing w:line="360" w:lineRule="auto"/>
        <w:ind w:left="1276" w:right="-65" w:rightChars="-27" w:hanging="1276" w:hangingChars="454"/>
        <w:rPr>
          <w:rFonts w:hint="eastAsia" w:ascii="宋体" w:hAnsi="宋体"/>
          <w:b/>
          <w:sz w:val="28"/>
          <w:szCs w:val="28"/>
          <w:u w:val="single"/>
          <w:lang w:eastAsia="zh-CN"/>
        </w:rPr>
      </w:pPr>
      <w:r>
        <w:rPr>
          <w:rFonts w:hint="eastAsia" w:ascii="宋体" w:hAnsi="宋体"/>
          <w:b/>
          <w:sz w:val="28"/>
        </w:rPr>
        <w:t>项目名称：</w:t>
      </w:r>
      <w:r>
        <w:rPr>
          <w:rFonts w:hint="eastAsia" w:ascii="宋体" w:hAnsi="宋体"/>
          <w:b/>
          <w:sz w:val="28"/>
          <w:szCs w:val="28"/>
          <w:u w:val="single"/>
          <w:lang w:eastAsia="zh-CN"/>
        </w:rPr>
        <w:t>新建学校办学条件配套项目(LED)等项目采购</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编号：</w:t>
      </w:r>
      <w:r>
        <w:rPr>
          <w:rFonts w:hint="eastAsia" w:ascii="宋体" w:hAnsi="宋体"/>
          <w:b/>
          <w:bCs/>
          <w:sz w:val="28"/>
          <w:szCs w:val="28"/>
          <w:u w:val="single"/>
          <w:lang w:val="en-US" w:eastAsia="zh-CN"/>
        </w:rPr>
        <w:t>彭州市政采（2021）A0020号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z w:val="28"/>
          <w:szCs w:val="28"/>
          <w:u w:val="single"/>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新建学校办学条件配套项目(LED)等项目采购</w:t>
      </w:r>
    </w:p>
    <w:p>
      <w:pPr>
        <w:snapToGrid w:val="0"/>
        <w:spacing w:line="360" w:lineRule="auto"/>
        <w:rPr>
          <w:rFonts w:ascii="宋体" w:hAnsi="宋体"/>
          <w:b/>
          <w:sz w:val="28"/>
          <w:szCs w:val="28"/>
          <w:u w:val="single"/>
        </w:rPr>
      </w:pPr>
      <w:r>
        <w:rPr>
          <w:rFonts w:hint="eastAsia" w:ascii="宋体" w:hAnsi="宋体"/>
          <w:b/>
          <w:sz w:val="28"/>
          <w:szCs w:val="28"/>
        </w:rPr>
        <w:t>编号：</w:t>
      </w:r>
      <w:r>
        <w:rPr>
          <w:rFonts w:hint="eastAsia" w:ascii="宋体" w:hAnsi="宋体"/>
          <w:b/>
          <w:sz w:val="28"/>
          <w:szCs w:val="28"/>
          <w:u w:val="single"/>
          <w:lang w:val="en-US" w:eastAsia="zh-CN"/>
        </w:rPr>
        <w:t>彭州市政采（2021）A0020号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bCs w:val="0"/>
          <w:sz w:val="28"/>
          <w:szCs w:val="28"/>
          <w:u w:val="single"/>
          <w:lang w:eastAsia="zh-CN"/>
        </w:rPr>
        <w:t>新建学校办学条件配套项目(LED)等项目采购</w:t>
      </w:r>
      <w:r>
        <w:rPr>
          <w:rFonts w:hint="eastAsia" w:ascii="宋体" w:hAnsi="宋体"/>
          <w:sz w:val="28"/>
        </w:rPr>
        <w:t>的供应商，在此郑重承诺：</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right="0" w:firstLine="560" w:firstLineChars="20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一、为本项目提供的所有产品、辅材中属于《国家强制性产品认证目录》范围内产品的，均通过国家强制性产品认证并取得认证证书。</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560" w:lineRule="exact"/>
        <w:ind w:left="0" w:right="0" w:firstLine="480"/>
        <w:textAlignment w:val="auto"/>
        <w:rPr>
          <w:rFonts w:hint="default" w:ascii="Times New Roman" w:hAnsi="Times New Roman" w:cs="Times New Roman"/>
          <w:i w:val="0"/>
          <w:caps w:val="0"/>
          <w:color w:val="000000"/>
          <w:spacing w:val="0"/>
          <w:sz w:val="24"/>
          <w:szCs w:val="24"/>
        </w:rPr>
      </w:pPr>
      <w:r>
        <w:rPr>
          <w:rFonts w:hint="eastAsia" w:ascii="宋体" w:hAnsi="宋体" w:eastAsia="宋体" w:cs="宋体"/>
          <w:i w:val="0"/>
          <w:caps w:val="0"/>
          <w:color w:val="000000"/>
          <w:spacing w:val="0"/>
          <w:sz w:val="28"/>
          <w:szCs w:val="28"/>
          <w:shd w:val="clear" w:fill="FFFFFF"/>
        </w:rPr>
        <w:t>二、为本项目提供的所有产品、辅材符合现行的强制性国家相关标准、行业标准。</w:t>
      </w:r>
    </w:p>
    <w:p>
      <w:pPr>
        <w:snapToGrid w:val="0"/>
        <w:spacing w:line="360" w:lineRule="auto"/>
        <w:ind w:firstLine="560" w:firstLineChars="200"/>
        <w:rPr>
          <w:rFonts w:hint="eastAsia"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2"/>
        <w:rPr>
          <w:rFonts w:ascii="宋体" w:hAnsi="宋体"/>
        </w:rPr>
      </w:pPr>
    </w:p>
    <w:p>
      <w:pPr>
        <w:pStyle w:val="2"/>
        <w:rPr>
          <w:rFonts w:ascii="宋体" w:hAnsi="宋体"/>
        </w:rPr>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60" w:lineRule="exact"/>
        <w:ind w:firstLine="563"/>
        <w:rPr>
          <w:rFonts w:ascii="宋体" w:hAnsi="宋体"/>
          <w:sz w:val="28"/>
          <w:szCs w:val="28"/>
        </w:rPr>
      </w:pP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sz w:val="28"/>
          <w:szCs w:val="28"/>
          <w:u w:val="single"/>
        </w:rPr>
        <w:t>XXXX</w:t>
      </w:r>
      <w:r>
        <w:rPr>
          <w:rFonts w:ascii="宋体" w:hAnsi="宋体"/>
          <w:sz w:val="28"/>
          <w:szCs w:val="28"/>
          <w:u w:val="single"/>
        </w:rPr>
        <w:t>（单位名称）</w:t>
      </w:r>
      <w:r>
        <w:rPr>
          <w:rFonts w:ascii="宋体" w:hAnsi="宋体"/>
          <w:sz w:val="28"/>
          <w:szCs w:val="28"/>
        </w:rPr>
        <w:t>的</w:t>
      </w:r>
      <w:r>
        <w:rPr>
          <w:rFonts w:hint="eastAsia" w:ascii="宋体" w:hAnsi="宋体"/>
          <w:sz w:val="28"/>
          <w:szCs w:val="28"/>
          <w:u w:val="single"/>
        </w:rPr>
        <w:t>XXXX</w:t>
      </w:r>
      <w:r>
        <w:rPr>
          <w:rFonts w:ascii="宋体" w:hAnsi="宋体"/>
          <w:sz w:val="28"/>
          <w:szCs w:val="28"/>
          <w:u w:val="single"/>
        </w:rPr>
        <w:t>（项目名称）</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sz w:val="28"/>
          <w:szCs w:val="28"/>
          <w:u w:val="single"/>
        </w:rPr>
        <w:t>XXXX</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0"/>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rPr>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新建学校办学条件配套项目(LED)等项目采购</w:t>
      </w:r>
      <w:r>
        <w:rPr>
          <w:rFonts w:hint="eastAsia" w:ascii="宋体" w:hAnsi="宋体"/>
          <w:b/>
          <w:sz w:val="28"/>
          <w:szCs w:val="28"/>
        </w:rPr>
        <w:t>项目编号：</w:t>
      </w:r>
      <w:r>
        <w:rPr>
          <w:rFonts w:hint="eastAsia" w:ascii="宋体" w:hAnsi="宋体"/>
          <w:b/>
          <w:sz w:val="28"/>
          <w:szCs w:val="28"/>
          <w:u w:val="single"/>
          <w:lang w:val="en-US" w:eastAsia="zh-CN"/>
        </w:rPr>
        <w:t>彭州市政采（2021）A0020号</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360" w:lineRule="auto"/>
        <w:rPr>
          <w:rFonts w:hint="eastAsia" w:ascii="宋体" w:hAnsi="宋体"/>
          <w:b/>
          <w:color w:val="C00000"/>
          <w:sz w:val="28"/>
          <w:szCs w:val="28"/>
          <w:highlight w:val="none"/>
        </w:rPr>
      </w:pPr>
    </w:p>
    <w:p>
      <w:pPr>
        <w:snapToGrid w:val="0"/>
        <w:spacing w:line="360" w:lineRule="auto"/>
        <w:rPr>
          <w:rFonts w:hint="eastAsia" w:ascii="宋体" w:hAnsi="宋体"/>
          <w:b/>
          <w:color w:val="C00000"/>
          <w:sz w:val="28"/>
          <w:szCs w:val="28"/>
          <w:highlight w:val="none"/>
        </w:rPr>
      </w:pPr>
      <w:r>
        <w:rPr>
          <w:rFonts w:hint="eastAsia" w:ascii="宋体" w:hAnsi="宋体"/>
          <w:b/>
          <w:color w:val="C00000"/>
          <w:sz w:val="28"/>
          <w:szCs w:val="28"/>
          <w:highlight w:val="none"/>
        </w:rPr>
        <w:t>注：参加询价的供应商在响应文件里做出“一次性不可更改”的报价。</w:t>
      </w:r>
    </w:p>
    <w:p>
      <w:pPr>
        <w:pStyle w:val="2"/>
        <w:rPr>
          <w:rFonts w:hint="eastAsia"/>
          <w:lang w:eastAsia="zh-CN"/>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ascii="宋体" w:hAnsi="宋体"/>
          <w:b/>
          <w:sz w:val="28"/>
          <w:szCs w:val="28"/>
          <w:u w:val="single"/>
        </w:rPr>
      </w:pPr>
      <w:r>
        <w:rPr>
          <w:rFonts w:hint="eastAsia" w:ascii="宋体" w:hAnsi="宋体"/>
          <w:b/>
          <w:spacing w:val="-20"/>
          <w:sz w:val="28"/>
          <w:szCs w:val="28"/>
        </w:rPr>
        <w:t>项目名称：</w:t>
      </w:r>
      <w:r>
        <w:rPr>
          <w:rFonts w:hint="eastAsia" w:ascii="宋体" w:hAnsi="宋体"/>
          <w:b/>
          <w:sz w:val="28"/>
          <w:szCs w:val="28"/>
          <w:u w:val="single"/>
          <w:lang w:eastAsia="zh-CN"/>
        </w:rPr>
        <w:t>新建学校办学条件配套项目(LED)等项目采购</w:t>
      </w:r>
      <w:r>
        <w:rPr>
          <w:rFonts w:hint="eastAsia" w:ascii="宋体" w:hAnsi="宋体"/>
          <w:b/>
          <w:sz w:val="28"/>
          <w:szCs w:val="28"/>
        </w:rPr>
        <w:t>项目编号：</w:t>
      </w:r>
      <w:r>
        <w:rPr>
          <w:rFonts w:hint="eastAsia" w:ascii="宋体" w:hAnsi="宋体"/>
          <w:b/>
          <w:sz w:val="28"/>
          <w:szCs w:val="28"/>
          <w:u w:val="single"/>
          <w:lang w:val="en-US" w:eastAsia="zh-CN"/>
        </w:rPr>
        <w:t>彭州市政采（2021）A0020号</w:t>
      </w:r>
    </w:p>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一、分项报价明细表</w:t>
      </w:r>
    </w:p>
    <w:tbl>
      <w:tblPr>
        <w:tblStyle w:val="45"/>
        <w:tblW w:w="10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35"/>
        <w:gridCol w:w="1110"/>
        <w:gridCol w:w="1110"/>
        <w:gridCol w:w="1110"/>
        <w:gridCol w:w="1110"/>
        <w:gridCol w:w="1122"/>
        <w:gridCol w:w="111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序号</w:t>
            </w:r>
          </w:p>
        </w:tc>
        <w:tc>
          <w:tcPr>
            <w:tcW w:w="1135"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货物名称</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品牌</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规格型号</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制造商</w:t>
            </w: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进口或国产</w:t>
            </w:r>
          </w:p>
        </w:tc>
        <w:tc>
          <w:tcPr>
            <w:tcW w:w="1122"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数量</w:t>
            </w: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
                <w:bCs/>
                <w:szCs w:val="21"/>
              </w:rPr>
            </w:pPr>
            <w:r>
              <w:rPr>
                <w:rFonts w:ascii="宋体" w:hAnsi="宋体"/>
                <w:b/>
                <w:bCs/>
                <w:szCs w:val="21"/>
              </w:rPr>
              <w:t>单价</w:t>
            </w:r>
          </w:p>
        </w:tc>
        <w:tc>
          <w:tcPr>
            <w:tcW w:w="1127"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u w:val="single"/>
              </w:rPr>
            </w:pPr>
          </w:p>
        </w:tc>
        <w:tc>
          <w:tcPr>
            <w:tcW w:w="1127"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109"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35"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10"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rPr>
                <w:rFonts w:ascii="宋体" w:hAnsi="宋体"/>
                <w:bCs/>
                <w:szCs w:val="21"/>
              </w:rPr>
            </w:pPr>
          </w:p>
        </w:tc>
        <w:tc>
          <w:tcPr>
            <w:tcW w:w="1122" w:type="dxa"/>
            <w:tcBorders>
              <w:top w:val="single" w:color="auto" w:sz="2" w:space="0"/>
              <w:left w:val="single" w:color="auto" w:sz="2" w:space="0"/>
              <w:bottom w:val="single" w:color="auto" w:sz="2" w:space="0"/>
              <w:right w:val="single" w:color="auto" w:sz="2" w:space="0"/>
            </w:tcBorders>
            <w:vAlign w:val="center"/>
          </w:tcPr>
          <w:p>
            <w:pPr>
              <w:pStyle w:val="80"/>
              <w:numPr>
                <w:ilvl w:val="0"/>
                <w:numId w:val="0"/>
              </w:numPr>
              <w:ind w:leftChars="0"/>
              <w:jc w:val="center"/>
              <w:rPr>
                <w:rFonts w:ascii="宋体" w:hAnsi="宋体" w:eastAsia="宋体"/>
                <w:kern w:val="0"/>
                <w:szCs w:val="21"/>
              </w:rPr>
            </w:pPr>
          </w:p>
        </w:tc>
        <w:tc>
          <w:tcPr>
            <w:tcW w:w="1118" w:type="dxa"/>
            <w:tcBorders>
              <w:top w:val="single" w:color="auto" w:sz="2" w:space="0"/>
              <w:left w:val="single" w:color="auto" w:sz="2"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p>
        </w:tc>
        <w:tc>
          <w:tcPr>
            <w:tcW w:w="1127" w:type="dxa"/>
            <w:tcBorders>
              <w:top w:val="single" w:color="auto" w:sz="2" w:space="0"/>
              <w:left w:val="single" w:color="auto" w:sz="2" w:space="0"/>
              <w:bottom w:val="single" w:color="auto" w:sz="2" w:space="0"/>
              <w:right w:val="single" w:color="auto" w:sz="2" w:space="0"/>
            </w:tcBorders>
            <w:vAlign w:val="center"/>
          </w:tcPr>
          <w:p>
            <w:pPr>
              <w:numPr>
                <w:ilvl w:val="0"/>
                <w:numId w:val="0"/>
              </w:numPr>
              <w:ind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4" w:type="dxa"/>
            <w:gridSpan w:val="8"/>
            <w:tcBorders>
              <w:top w:val="single" w:color="auto" w:sz="2" w:space="0"/>
              <w:left w:val="single" w:color="auto" w:sz="2" w:space="0"/>
              <w:bottom w:val="single" w:color="auto" w:sz="2" w:space="0"/>
              <w:right w:val="single" w:color="auto" w:sz="4" w:space="0"/>
            </w:tcBorders>
            <w:vAlign w:val="center"/>
          </w:tcPr>
          <w:p>
            <w:pPr>
              <w:pStyle w:val="27"/>
              <w:numPr>
                <w:ilvl w:val="0"/>
                <w:numId w:val="0"/>
              </w:numPr>
              <w:ind w:leftChars="0"/>
              <w:jc w:val="center"/>
              <w:rPr>
                <w:rFonts w:ascii="宋体" w:hAnsi="宋体"/>
                <w:bCs/>
                <w:szCs w:val="21"/>
              </w:rPr>
            </w:pPr>
            <w:r>
              <w:rPr>
                <w:rFonts w:hint="eastAsia" w:ascii="宋体" w:hAnsi="宋体"/>
                <w:bCs/>
                <w:szCs w:val="21"/>
              </w:rPr>
              <w:t>投标报价（总价合计）</w:t>
            </w:r>
          </w:p>
        </w:tc>
        <w:tc>
          <w:tcPr>
            <w:tcW w:w="1127" w:type="dxa"/>
            <w:tcBorders>
              <w:top w:val="single" w:color="auto" w:sz="2" w:space="0"/>
              <w:left w:val="single" w:color="auto" w:sz="4" w:space="0"/>
              <w:bottom w:val="single" w:color="auto" w:sz="2" w:space="0"/>
              <w:right w:val="single" w:color="auto" w:sz="2" w:space="0"/>
            </w:tcBorders>
            <w:vAlign w:val="center"/>
          </w:tcPr>
          <w:p>
            <w:pPr>
              <w:pStyle w:val="27"/>
              <w:numPr>
                <w:ilvl w:val="0"/>
                <w:numId w:val="0"/>
              </w:numPr>
              <w:ind w:leftChars="0"/>
              <w:jc w:val="center"/>
              <w:rPr>
                <w:rFonts w:ascii="宋体" w:hAnsi="宋体"/>
                <w:bCs/>
                <w:szCs w:val="21"/>
              </w:rPr>
            </w:pPr>
            <w:r>
              <w:rPr>
                <w:rFonts w:ascii="宋体" w:hAnsi="宋体"/>
                <w:bCs/>
                <w:szCs w:val="21"/>
                <w:u w:val="single"/>
              </w:rPr>
              <w:t xml:space="preserve">xx </w:t>
            </w:r>
            <w:r>
              <w:rPr>
                <w:rFonts w:hint="eastAsia" w:ascii="宋体" w:hAnsi="宋体"/>
                <w:bCs/>
                <w:szCs w:val="21"/>
              </w:rPr>
              <w:t>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tabs>
          <w:tab w:val="left" w:pos="720"/>
          <w:tab w:val="left" w:pos="7560"/>
        </w:tabs>
        <w:spacing w:line="360" w:lineRule="auto"/>
        <w:ind w:firstLine="281" w:firstLineChars="100"/>
        <w:rPr>
          <w:rFonts w:ascii="宋体" w:hAnsi="宋体"/>
          <w:b/>
          <w:sz w:val="28"/>
        </w:rPr>
      </w:pPr>
      <w:r>
        <w:rPr>
          <w:rFonts w:hint="eastAsia" w:ascii="宋体" w:hAnsi="宋体" w:cstheme="minorBidi"/>
          <w:b/>
          <w:sz w:val="28"/>
          <w:szCs w:val="28"/>
        </w:rPr>
        <w:t>二、供应商</w:t>
      </w:r>
      <w:r>
        <w:rPr>
          <w:rFonts w:hint="eastAsia" w:ascii="宋体" w:hAnsi="宋体" w:cstheme="minorBidi"/>
          <w:b/>
          <w:sz w:val="28"/>
        </w:rPr>
        <w:t>报价产品</w:t>
      </w:r>
      <w:r>
        <w:rPr>
          <w:rFonts w:hint="eastAsia" w:ascii="宋体" w:hAnsi="宋体"/>
          <w:b/>
          <w:sz w:val="28"/>
        </w:rPr>
        <w:t>中为</w:t>
      </w:r>
      <w:r>
        <w:rPr>
          <w:rFonts w:hint="eastAsia" w:ascii="宋体" w:hAnsi="宋体" w:cstheme="minorBidi"/>
          <w:b/>
          <w:sz w:val="28"/>
        </w:rPr>
        <w:t>监狱企业生产的产品清单及价格（说明：</w:t>
      </w:r>
      <w:r>
        <w:rPr>
          <w:rFonts w:ascii="宋体" w:hAnsi="宋体" w:cstheme="minorBidi"/>
          <w:b/>
          <w:sz w:val="28"/>
        </w:rPr>
        <w:t>1、提供由省级以上监狱管理局、戒毒管理局（含新疆生产建设兵团）出具的生产厂商属于监狱企业的证明文件复印件；2、如未提供产品清单及价格以及相关证明材料复印件，则不能享受对监狱企业生产的产品的价格扣除，但不影响</w:t>
      </w:r>
      <w:r>
        <w:rPr>
          <w:rFonts w:hint="eastAsia" w:ascii="宋体" w:hAnsi="宋体" w:cstheme="minorBidi"/>
          <w:b/>
          <w:sz w:val="28"/>
        </w:rPr>
        <w:t>响应</w:t>
      </w:r>
      <w:r>
        <w:rPr>
          <w:rFonts w:ascii="宋体" w:hAnsi="宋体" w:cstheme="minorBidi"/>
          <w:b/>
          <w:sz w:val="28"/>
        </w:rPr>
        <w:t>文件的有效性。）</w:t>
      </w:r>
    </w:p>
    <w:tbl>
      <w:tblPr>
        <w:tblStyle w:val="45"/>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851"/>
        <w:gridCol w:w="92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69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53"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szCs w:val="28"/>
              </w:rPr>
              <w:t>进口或国产</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2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w:t>
            </w:r>
            <w:r>
              <w:rPr>
                <w:rFonts w:hint="eastAsia" w:ascii="宋体" w:hAnsi="宋体"/>
                <w:b/>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0144" w:type="dxa"/>
            <w:gridSpan w:val="9"/>
            <w:tcBorders>
              <w:top w:val="single" w:color="auto" w:sz="4" w:space="0"/>
              <w:left w:val="single" w:color="auto" w:sz="4" w:space="0"/>
              <w:bottom w:val="single" w:color="auto" w:sz="4" w:space="0"/>
              <w:right w:val="single" w:color="auto" w:sz="4" w:space="0"/>
            </w:tcBorders>
          </w:tcPr>
          <w:p>
            <w:pPr>
              <w:spacing w:before="240" w:after="60" w:line="360" w:lineRule="auto"/>
              <w:ind w:firstLine="843" w:firstLineChars="350"/>
              <w:outlineLvl w:val="0"/>
              <w:rPr>
                <w:rFonts w:ascii="宋体" w:hAnsi="宋体"/>
              </w:rPr>
            </w:pPr>
            <w:bookmarkStart w:id="66" w:name="_Toc18650"/>
            <w:r>
              <w:rPr>
                <w:rFonts w:hint="eastAsia" w:ascii="宋体" w:hAnsi="宋体" w:cs="宋体"/>
                <w:b/>
              </w:rPr>
              <w:t>监狱企业生产的产品</w:t>
            </w:r>
            <w:r>
              <w:rPr>
                <w:rFonts w:hint="eastAsia" w:ascii="宋体" w:hAnsi="宋体"/>
                <w:b/>
              </w:rPr>
              <w:t>总价合计：</w:t>
            </w:r>
            <w:r>
              <w:rPr>
                <w:rFonts w:ascii="宋体" w:hAnsi="宋体"/>
                <w:b/>
                <w:u w:val="single"/>
              </w:rPr>
              <w:t>XXXXXXXXXXXXX</w:t>
            </w:r>
            <w:r>
              <w:rPr>
                <w:rFonts w:hint="eastAsia" w:ascii="宋体" w:hAnsi="宋体"/>
                <w:b/>
              </w:rPr>
              <w:t>元</w:t>
            </w:r>
            <w:bookmarkEnd w:id="66"/>
          </w:p>
        </w:tc>
      </w:tr>
    </w:tbl>
    <w:p>
      <w:pPr>
        <w:tabs>
          <w:tab w:val="left" w:pos="630"/>
          <w:tab w:val="left" w:pos="720"/>
          <w:tab w:val="left" w:pos="7560"/>
        </w:tabs>
        <w:spacing w:line="360" w:lineRule="auto"/>
        <w:ind w:firstLine="281" w:firstLineChars="100"/>
        <w:rPr>
          <w:rFonts w:ascii="宋体" w:hAnsi="宋体"/>
          <w:b/>
          <w:sz w:val="28"/>
        </w:rPr>
      </w:pPr>
      <w:r>
        <w:rPr>
          <w:rFonts w:hint="eastAsia" w:ascii="宋体" w:hAnsi="宋体"/>
          <w:b/>
          <w:sz w:val="28"/>
        </w:rPr>
        <w:t>三、供应商报价产品中为残疾人福利性单位生产的产品清单及价格（说明：如未提供则不能享受对残疾人福利性单位生产的产品的价格扣除</w:t>
      </w:r>
      <w:r>
        <w:rPr>
          <w:rFonts w:ascii="宋体" w:hAnsi="宋体" w:cstheme="minorBidi"/>
          <w:b/>
          <w:sz w:val="28"/>
        </w:rPr>
        <w:t>，但不影响</w:t>
      </w:r>
      <w:r>
        <w:rPr>
          <w:rFonts w:hint="eastAsia" w:ascii="宋体" w:hAnsi="宋体" w:cstheme="minorBidi"/>
          <w:b/>
          <w:sz w:val="28"/>
        </w:rPr>
        <w:t>响应</w:t>
      </w:r>
      <w:r>
        <w:rPr>
          <w:rFonts w:ascii="宋体" w:hAnsi="宋体" w:cstheme="minorBidi"/>
          <w:b/>
          <w:sz w:val="28"/>
        </w:rPr>
        <w:t>文件的有效性</w:t>
      </w:r>
      <w:r>
        <w:rPr>
          <w:rFonts w:hint="eastAsia" w:ascii="宋体" w:hAnsi="宋体" w:cstheme="minorBidi"/>
          <w:b/>
          <w:sz w:val="28"/>
        </w:rPr>
        <w:t>。</w:t>
      </w:r>
      <w:r>
        <w:rPr>
          <w:rFonts w:hint="eastAsia" w:ascii="宋体" w:hAnsi="宋体"/>
          <w:b/>
          <w:sz w:val="28"/>
        </w:rPr>
        <w:t>）</w:t>
      </w:r>
    </w:p>
    <w:tbl>
      <w:tblPr>
        <w:tblStyle w:val="45"/>
        <w:tblW w:w="9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59"/>
        <w:gridCol w:w="709"/>
        <w:gridCol w:w="1276"/>
        <w:gridCol w:w="1417"/>
        <w:gridCol w:w="851"/>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产品名称</w:t>
            </w:r>
          </w:p>
        </w:tc>
        <w:tc>
          <w:tcPr>
            <w:tcW w:w="709"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生产厂商</w:t>
            </w:r>
          </w:p>
        </w:tc>
        <w:tc>
          <w:tcPr>
            <w:tcW w:w="85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数量(单位)</w:t>
            </w:r>
          </w:p>
        </w:tc>
        <w:tc>
          <w:tcPr>
            <w:tcW w:w="99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总价</w:t>
            </w:r>
            <w:r>
              <w:rPr>
                <w:rFonts w:hint="eastAsia" w:ascii="宋体" w:hAnsi="宋体"/>
                <w:b/>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9338" w:type="dxa"/>
            <w:gridSpan w:val="8"/>
            <w:tcBorders>
              <w:top w:val="single" w:color="auto" w:sz="4" w:space="0"/>
              <w:left w:val="single" w:color="auto" w:sz="4" w:space="0"/>
              <w:bottom w:val="single" w:color="auto" w:sz="4" w:space="0"/>
              <w:right w:val="single" w:color="auto" w:sz="4" w:space="0"/>
            </w:tcBorders>
          </w:tcPr>
          <w:p>
            <w:pPr>
              <w:spacing w:before="240" w:after="60" w:line="360" w:lineRule="auto"/>
              <w:ind w:firstLine="964" w:firstLineChars="400"/>
              <w:outlineLvl w:val="0"/>
              <w:rPr>
                <w:rFonts w:ascii="宋体" w:hAnsi="宋体"/>
              </w:rPr>
            </w:pPr>
            <w:bookmarkStart w:id="67" w:name="_Toc23288"/>
            <w:r>
              <w:rPr>
                <w:rFonts w:hint="eastAsia" w:ascii="宋体" w:hAnsi="宋体" w:cs="宋体"/>
                <w:b/>
              </w:rPr>
              <w:t>残疾人福利性单位生产的产品总价合计</w:t>
            </w:r>
            <w:r>
              <w:rPr>
                <w:rFonts w:hint="eastAsia" w:ascii="宋体" w:hAnsi="宋体"/>
                <w:b/>
              </w:rPr>
              <w:t>：</w:t>
            </w:r>
            <w:r>
              <w:rPr>
                <w:rFonts w:ascii="宋体" w:hAnsi="宋体"/>
                <w:b/>
                <w:u w:val="single"/>
              </w:rPr>
              <w:t>XXXXXXXXXXXXX</w:t>
            </w:r>
            <w:r>
              <w:rPr>
                <w:rFonts w:hint="eastAsia" w:ascii="宋体" w:hAnsi="宋体"/>
                <w:b/>
              </w:rPr>
              <w:t>元</w:t>
            </w:r>
            <w:bookmarkEnd w:id="67"/>
          </w:p>
        </w:tc>
      </w:tr>
    </w:tbl>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rPr>
          <w:rFonts w:ascii="宋体" w:hAnsi="宋体"/>
          <w:sz w:val="28"/>
          <w:lang w:val="zh-CN"/>
        </w:rPr>
      </w:pPr>
      <w:r>
        <w:rPr>
          <w:rFonts w:hint="eastAsia" w:ascii="宋体" w:hAnsi="宋体"/>
          <w:sz w:val="28"/>
          <w:lang w:val="zh-CN"/>
        </w:rPr>
        <w:t>供应商名称：XXXX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line="240" w:lineRule="auto"/>
        <w:ind w:firstLine="562"/>
        <w:rPr>
          <w:rFonts w:ascii="宋体" w:hAnsi="宋体"/>
          <w:b/>
          <w:sz w:val="28"/>
        </w:rPr>
      </w:pPr>
      <w:r>
        <w:rPr>
          <w:rFonts w:hint="eastAsia" w:ascii="宋体" w:hAnsi="宋体"/>
          <w:b/>
          <w:sz w:val="28"/>
        </w:rPr>
        <w:t>说明：供应商应根据以上表格格式填写分项报价，报价合计应包括供应商完成本项目所需的一切费用。</w:t>
      </w:r>
    </w:p>
    <w:p>
      <w:pPr>
        <w:rPr>
          <w:rFonts w:ascii="宋体" w:hAnsi="宋体"/>
        </w:rPr>
      </w:pPr>
    </w:p>
    <w:p>
      <w:pPr>
        <w:pStyle w:val="6"/>
        <w:rPr>
          <w:rFonts w:ascii="宋体" w:hAnsi="宋体"/>
        </w:rPr>
      </w:pPr>
    </w:p>
    <w:p>
      <w:pPr>
        <w:rPr>
          <w:rFonts w:ascii="宋体" w:hAnsi="宋体"/>
        </w:rPr>
      </w:pPr>
    </w:p>
    <w:p>
      <w:pPr>
        <w:pStyle w:val="6"/>
        <w:rPr>
          <w:rFonts w:ascii="宋体" w:hAnsi="宋体"/>
        </w:rPr>
      </w:pPr>
    </w:p>
    <w:p>
      <w:pPr>
        <w:rPr>
          <w:rFonts w:ascii="宋体" w:hAnsi="宋体"/>
        </w:rPr>
      </w:pPr>
    </w:p>
    <w:p>
      <w:pPr>
        <w:pStyle w:val="6"/>
        <w:rPr>
          <w:rFonts w:ascii="宋体" w:hAnsi="宋体"/>
        </w:rPr>
      </w:pPr>
    </w:p>
    <w:p>
      <w:pPr>
        <w:rPr>
          <w:rFonts w:ascii="宋体" w:hAnsi="宋体"/>
        </w:rPr>
      </w:pPr>
    </w:p>
    <w:p>
      <w:pPr>
        <w:pStyle w:val="6"/>
        <w:rPr>
          <w:rFonts w:ascii="宋体" w:hAnsi="宋体"/>
        </w:rPr>
      </w:pPr>
    </w:p>
    <w:p/>
    <w:p>
      <w:pPr>
        <w:rPr>
          <w:rFonts w:ascii="宋体" w:hAnsi="宋体"/>
        </w:rPr>
      </w:pPr>
    </w:p>
    <w:p>
      <w:pPr>
        <w:pStyle w:val="6"/>
        <w:rPr>
          <w:rFonts w:ascii="宋体" w:hAnsi="宋体"/>
        </w:rPr>
      </w:pPr>
    </w:p>
    <w:p>
      <w:pPr>
        <w:rPr>
          <w:rFonts w:ascii="宋体" w:hAnsi="宋体"/>
        </w:rPr>
      </w:pPr>
    </w:p>
    <w:p>
      <w:pPr>
        <w:pStyle w:val="6"/>
        <w:rPr>
          <w:rFonts w:ascii="宋体" w:hAnsi="宋体"/>
        </w:rPr>
      </w:pPr>
    </w:p>
    <w:p>
      <w:pPr>
        <w:rPr>
          <w:rFonts w:ascii="宋体" w:hAnsi="宋体"/>
        </w:rPr>
      </w:pPr>
    </w:p>
    <w:p>
      <w:pPr>
        <w:pStyle w:val="6"/>
      </w:pPr>
    </w:p>
    <w:p>
      <w:pPr>
        <w:rPr>
          <w:rFonts w:ascii="宋体" w:hAnsi="宋体"/>
        </w:rPr>
      </w:pPr>
    </w:p>
    <w:bookmarkEnd w:id="56"/>
    <w:p>
      <w:pPr>
        <w:pStyle w:val="3"/>
        <w:numPr>
          <w:ilvl w:val="0"/>
          <w:numId w:val="1"/>
        </w:numPr>
        <w:spacing w:before="0" w:after="0"/>
        <w:ind w:left="0" w:firstLine="0"/>
      </w:pPr>
      <w:bookmarkStart w:id="68" w:name="_Toc25405"/>
      <w:r>
        <w:rPr>
          <w:rFonts w:hint="eastAsia"/>
        </w:rPr>
        <w:t>技术、服务、商务及其他要求</w:t>
      </w:r>
      <w:bookmarkEnd w:id="68"/>
    </w:p>
    <w:p>
      <w:pPr>
        <w:pStyle w:val="4"/>
        <w:tabs>
          <w:tab w:val="left" w:pos="576"/>
          <w:tab w:val="clear" w:pos="567"/>
        </w:tabs>
      </w:pPr>
      <w:bookmarkStart w:id="69" w:name="_Toc25763"/>
      <w:bookmarkStart w:id="70" w:name="_Toc321334066"/>
      <w:bookmarkStart w:id="71" w:name="_Toc496702872"/>
      <w:r>
        <w:rPr>
          <w:rFonts w:hint="eastAsia"/>
        </w:rPr>
        <w:t>技术参数</w:t>
      </w:r>
      <w:r>
        <w:t>及要求</w:t>
      </w:r>
      <w:bookmarkEnd w:id="69"/>
    </w:p>
    <w:tbl>
      <w:tblPr>
        <w:tblStyle w:val="45"/>
        <w:tblW w:w="9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715"/>
        <w:gridCol w:w="5582"/>
        <w:gridCol w:w="712"/>
        <w:gridCol w:w="87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序列</w:t>
            </w:r>
          </w:p>
        </w:tc>
        <w:tc>
          <w:tcPr>
            <w:tcW w:w="715"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设备名称</w:t>
            </w:r>
          </w:p>
        </w:tc>
        <w:tc>
          <w:tcPr>
            <w:tcW w:w="5582"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技术参数</w:t>
            </w:r>
          </w:p>
        </w:tc>
        <w:tc>
          <w:tcPr>
            <w:tcW w:w="712"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单位</w:t>
            </w:r>
          </w:p>
        </w:tc>
        <w:tc>
          <w:tcPr>
            <w:tcW w:w="878" w:type="dxa"/>
            <w:shd w:val="clear" w:color="000000" w:fill="BDD7EE"/>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数量</w:t>
            </w:r>
          </w:p>
        </w:tc>
        <w:tc>
          <w:tcPr>
            <w:tcW w:w="986" w:type="dxa"/>
            <w:shd w:val="clear" w:color="000000" w:fill="BDD7EE"/>
            <w:vAlign w:val="center"/>
          </w:tcPr>
          <w:p>
            <w:pPr>
              <w:widowControl/>
              <w:jc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所属</w:t>
            </w:r>
          </w:p>
          <w:p>
            <w:pPr>
              <w:widowControl/>
              <w:jc w:val="center"/>
              <w:rPr>
                <w:rFonts w:hint="default"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2.5</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室内彩屏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像素构成：表贴三合一2020，厂家具备LED自主封装能力，LED灯珠及显示屏为同一品牌（提供证明材料）；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视角（水平、垂直）：H≥160°V≥140°；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点间距：≤2.5mm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模组分辨率：≥128点*64点；像素密度：≥160000点/㎡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白平衡亮度：≥550cd/㎡；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r>
              <w:rPr>
                <w:rFonts w:hint="eastAsia" w:ascii="宋体" w:hAnsi="宋体" w:eastAsia="宋体" w:cs="宋体"/>
                <w:color w:val="000000"/>
                <w:kern w:val="0"/>
                <w:szCs w:val="21"/>
              </w:rPr>
              <w:t xml:space="preserve">刷新频率：≥1920Hz ；                             </w:t>
            </w:r>
          </w:p>
          <w:p>
            <w:pPr>
              <w:jc w:val="left"/>
              <w:rPr>
                <w:rFonts w:ascii="宋体" w:hAnsi="宋体" w:cs="宋体"/>
                <w:kern w:val="0"/>
                <w:szCs w:val="21"/>
              </w:rPr>
            </w:pPr>
            <w:r>
              <w:rPr>
                <w:rFonts w:hint="eastAsia" w:ascii="宋体" w:hAnsi="宋体" w:eastAsia="宋体" w:cs="宋体"/>
                <w:color w:val="000000"/>
                <w:kern w:val="0"/>
                <w:szCs w:val="21"/>
              </w:rPr>
              <w:t>11. LED显示屏无噪声污染,噪音≤17db</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p>
            <w:pPr>
              <w:widowControl/>
              <w:jc w:val="left"/>
              <w:rPr>
                <w:rFonts w:ascii="宋体" w:hAnsi="宋体" w:eastAsia="宋体" w:cs="宋体"/>
                <w:color w:val="000000"/>
                <w:kern w:val="0"/>
                <w:szCs w:val="21"/>
              </w:rPr>
            </w:pPr>
            <w:r>
              <w:rPr>
                <w:rFonts w:hint="eastAsia" w:ascii="宋体" w:hAnsi="宋体" w:cs="宋体"/>
                <w:kern w:val="0"/>
                <w:szCs w:val="21"/>
              </w:rPr>
              <w:t>1</w:t>
            </w:r>
            <w:r>
              <w:rPr>
                <w:rFonts w:hint="eastAsia" w:ascii="宋体" w:hAnsi="宋体" w:eastAsia="宋体" w:cs="宋体"/>
                <w:color w:val="000000"/>
                <w:kern w:val="0"/>
                <w:szCs w:val="21"/>
              </w:rPr>
              <w:t>2.LED显示屏具有抗振能力。</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w:t>
            </w:r>
            <w:r>
              <w:rPr>
                <w:rFonts w:ascii="宋体" w:hAnsi="宋体" w:eastAsia="宋体" w:cs="宋体"/>
                <w:color w:val="000000"/>
                <w:kern w:val="0"/>
                <w:szCs w:val="21"/>
              </w:rPr>
              <w:t>4</w:t>
            </w:r>
          </w:p>
        </w:tc>
        <w:tc>
          <w:tcPr>
            <w:tcW w:w="986" w:type="dxa"/>
            <w:shd w:val="clear" w:color="auto" w:fill="auto"/>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2</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166</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3</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视频处理器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1.支持≥ 5 路输入接口，包括≥ 1 路 DVI，≥1 路 HDMI1.3，≥1 路 VGA，≥1 路 USB 播 放，≥1 路 CVBS，≥1 路选配扩展子卡。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3.扩展子卡安装后支持使用鼠标或键盘进行控制和手机电脑等无线投屏。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 DVI、HDMI 的输入分辨率预设及自定义调节。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7.支持画面一键全屏缩放、点对点显示、自定义缩放三种缩放模式。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4 个网口输出，最大带载 260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11.支持通过 RS232 协议连接中控设备。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13.前面板直观的 LCD 显示界面，清晰的按键灯提示，简化了系统的控制操作。</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4</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1.CPU不低于第六代I5，内存≥8G，硬盘不低于126G固态硬盘+1T机械硬盘。</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2.具有独立显卡</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w:t>
            </w:r>
            <w:r>
              <w:rPr>
                <w:rFonts w:ascii="宋体" w:hAnsi="宋体" w:eastAsia="宋体" w:cs="宋体"/>
                <w:kern w:val="0"/>
                <w:szCs w:val="21"/>
              </w:rPr>
              <w:t>4</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2.设备的固定安装符合施工要求，安装美观，整体走线符合施工工艺要求；</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w:t>
            </w:r>
            <w:r>
              <w:rPr>
                <w:rFonts w:ascii="宋体" w:hAnsi="宋体" w:eastAsia="宋体" w:cs="宋体"/>
                <w:kern w:val="0"/>
                <w:szCs w:val="21"/>
              </w:rPr>
              <w:t>4</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4</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8</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户外彩屏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像素构成：表贴三合一1921，厂家具备LED自主封装能力，LED灯珠及显示屏为同一品牌（提供证明材料）；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视角（水平、垂直）：H≥160°V≥120°；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点间距：≤4mm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模组分辨率：≥80点*40点；像素密度：≥62500点/㎡；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白平衡亮度：≥5000cd/㎡；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pStyle w:val="372"/>
              <w:jc w:val="left"/>
              <w:rPr>
                <w:rFonts w:ascii="宋体" w:hAnsi="宋体" w:cs="宋体"/>
                <w:kern w:val="0"/>
                <w:szCs w:val="21"/>
              </w:rPr>
            </w:pPr>
            <w:r>
              <w:rPr>
                <w:rFonts w:hint="eastAsia" w:ascii="宋体" w:hAnsi="宋体" w:cs="宋体"/>
                <w:color w:val="000000"/>
                <w:kern w:val="0"/>
                <w:szCs w:val="21"/>
              </w:rPr>
              <w:t>1</w:t>
            </w:r>
            <w:r>
              <w:rPr>
                <w:rFonts w:ascii="宋体" w:hAnsi="宋体" w:cs="宋体"/>
                <w:color w:val="000000"/>
                <w:kern w:val="0"/>
                <w:szCs w:val="21"/>
              </w:rPr>
              <w:t>0.</w:t>
            </w:r>
            <w:r>
              <w:rPr>
                <w:rFonts w:hint="eastAsia" w:ascii="宋体" w:hAnsi="宋体" w:cs="宋体"/>
                <w:color w:val="000000"/>
                <w:kern w:val="0"/>
                <w:szCs w:val="21"/>
              </w:rPr>
              <w:t>刷新频率：≥1920Hz                                         11.</w:t>
            </w:r>
            <w:r>
              <w:rPr>
                <w:rFonts w:hint="eastAsia" w:ascii="宋体" w:hAnsi="宋体" w:cs="宋体"/>
                <w:kern w:val="0"/>
                <w:szCs w:val="21"/>
              </w:rPr>
              <w:t xml:space="preserve"> LED显示屏无蓝光危害。（提供具有C</w:t>
            </w:r>
            <w:r>
              <w:rPr>
                <w:rFonts w:ascii="宋体" w:hAnsi="宋体" w:cs="宋体"/>
                <w:kern w:val="0"/>
                <w:szCs w:val="21"/>
              </w:rPr>
              <w:t>MA</w:t>
            </w:r>
            <w:r>
              <w:rPr>
                <w:rFonts w:hint="eastAsia" w:ascii="宋体" w:hAnsi="宋体" w:cs="宋体"/>
                <w:kern w:val="0"/>
                <w:szCs w:val="21"/>
              </w:rPr>
              <w:t>或C</w:t>
            </w:r>
            <w:r>
              <w:rPr>
                <w:rFonts w:ascii="宋体" w:hAnsi="宋体" w:cs="宋体"/>
                <w:kern w:val="0"/>
                <w:szCs w:val="21"/>
              </w:rPr>
              <w:t>NAS</w:t>
            </w:r>
            <w:r>
              <w:rPr>
                <w:rFonts w:hint="eastAsia" w:ascii="宋体" w:hAnsi="宋体" w:cs="宋体"/>
                <w:kern w:val="0"/>
                <w:szCs w:val="21"/>
              </w:rPr>
              <w:t xml:space="preserve">标识的检测报告复印件并加盖投标人公章）                     </w:t>
            </w:r>
          </w:p>
          <w:p>
            <w:pPr>
              <w:pStyle w:val="372"/>
              <w:jc w:val="left"/>
              <w:rPr>
                <w:rFonts w:ascii="宋体" w:hAnsi="宋体" w:cs="宋体"/>
                <w:color w:val="000000"/>
                <w:kern w:val="0"/>
                <w:szCs w:val="21"/>
              </w:rPr>
            </w:pPr>
            <w:r>
              <w:rPr>
                <w:rFonts w:hint="eastAsia" w:ascii="宋体" w:hAnsi="宋体" w:cs="宋体"/>
                <w:kern w:val="0"/>
                <w:szCs w:val="21"/>
              </w:rPr>
              <w:t>12.LED显示屏具备良好的防护特性，防水等级达到IP65及以上。（提供证书复印件并加盖投标人公章）</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45</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9</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视频控制器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1.支持≥ 5 路输入接口，包括≥ 1 路 DVI，≥1 路 HDMI1.3，≥1 路 VGA，≥1 路 USB 播 放，≥1 路 CVBS，≥选配 1 路 Android 子卡。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3.安装 Android 子卡后，Android 播放源模式下，支持使用鼠标进行控制。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7.支持画面全屏缩放、点对点缩放、自定义缩放三种缩放模式。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≥2 个网口输出，最大带载 130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11.支持连接控台设备。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13.前面板直观的 OLED 显示界面，清晰的按键灯提示，简化了系统的控制操作。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14.安装 Android 子卡后，支持无线投屏，可投放手机或 Pad 画面。</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3</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c>
          <w:tcPr>
            <w:tcW w:w="878"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50</w:t>
            </w:r>
          </w:p>
        </w:tc>
        <w:tc>
          <w:tcPr>
            <w:tcW w:w="98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1</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智能管理系统主机</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1.支持≥18路双向RS-232、≥8路RS-485通讯串口（提供具有C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2.支持≥8路红外编程接口、≥8路弱继电器以及≥32路I/O触发编程串口（提供具有C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3.内置网络模块，支持同一网段≥255台组网以及跨网段组网，实现远程控制及远程监控、报警等（提供具有C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4.绝缘系统依靠加强绝缘的隔离变压器和足够电气间隙与爬电距离提供防触电绝缘（提供具有C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5.基本绝缘的绝缘电阻不小于2MΩ；加强绝缘的绝缘电阻不小于4MΩ（提供具有C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6.由电源适配器提供电源，其规格为输入：额定电压或电压范围：100-240V；额定电流或电流范围：≥2A；额定频率或频率范围：50/60Hz；输出：12V DC 5A（提供具有C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r>
              <w:rPr>
                <w:rFonts w:hint="eastAsia" w:ascii="宋体" w:hAnsi="宋体" w:eastAsia="宋体" w:cs="宋体"/>
                <w:kern w:val="0"/>
                <w:szCs w:val="21"/>
              </w:rPr>
              <w:br w:type="textWrapping"/>
            </w:r>
            <w:r>
              <w:rPr>
                <w:rFonts w:hint="eastAsia" w:ascii="宋体" w:hAnsi="宋体" w:eastAsia="宋体" w:cs="宋体"/>
                <w:kern w:val="0"/>
                <w:szCs w:val="21"/>
              </w:rPr>
              <w:t>7.系统含操作终端：通讯标准 IEEE802.11，按键3D/2D及多种操作效果；</w:t>
            </w:r>
            <w:r>
              <w:rPr>
                <w:rFonts w:hint="eastAsia" w:ascii="宋体" w:hAnsi="宋体" w:eastAsia="宋体" w:cs="宋体"/>
                <w:kern w:val="0"/>
                <w:szCs w:val="21"/>
              </w:rPr>
              <w:br w:type="textWrapping"/>
            </w:r>
            <w:r>
              <w:rPr>
                <w:rFonts w:hint="eastAsia" w:ascii="宋体" w:hAnsi="宋体" w:eastAsia="宋体" w:cs="宋体"/>
                <w:kern w:val="0"/>
                <w:szCs w:val="21"/>
              </w:rPr>
              <w:t>8.设备内嵌网络远程集中控制软件；</w:t>
            </w:r>
            <w:r>
              <w:rPr>
                <w:rFonts w:hint="eastAsia" w:ascii="宋体" w:hAnsi="宋体" w:eastAsia="宋体" w:cs="宋体"/>
                <w:kern w:val="0"/>
                <w:szCs w:val="21"/>
              </w:rPr>
              <w:br w:type="textWrapping"/>
            </w:r>
            <w:r>
              <w:rPr>
                <w:rFonts w:hint="eastAsia" w:ascii="宋体" w:hAnsi="宋体" w:eastAsia="宋体" w:cs="宋体"/>
                <w:kern w:val="0"/>
                <w:szCs w:val="21"/>
              </w:rPr>
              <w:t>9.设备内嵌网络多媒体中央控制系统软件。</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2</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APP授权软件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APP接口触摸屏编程软件，基于Windowns系统，可根据现场环境、设备及要求进行定制编程；支持3D、2D按键编程及PS界面设计，可见可得编程界面，可使用现场环境实际布局编程；支持CheckBoxBotton、RadioButton、ResponseButton等按键状态；支持任意种语言编写，适用于任意PC系统，支持按键蜂鸣发音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3</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触摸屏控制软件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1.基于Windowns系统，支持Android /IOS系统APP接口编程软件，可根据现场环境、设备及要求进行定制编程；支持3D、2D按键编程及PS界面设计，可见可得编程界面，可使用现场环境实际布局编程；支持CheckBoxBotton、RadioButton、ResponseButton等按键状态；支持任意种语言编写，适用于任意PC系统，支持按键蜂鸣发音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4</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控制器</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1.支持WIFI多点连接通讯、NET端口通讯功能，支持AP和Station工作模式；</w:t>
            </w:r>
            <w:r>
              <w:rPr>
                <w:rFonts w:hint="eastAsia" w:ascii="宋体" w:hAnsi="宋体" w:eastAsia="宋体" w:cs="宋体"/>
                <w:kern w:val="0"/>
                <w:szCs w:val="21"/>
              </w:rPr>
              <w:br w:type="textWrapping"/>
            </w:r>
            <w:r>
              <w:rPr>
                <w:rFonts w:hint="eastAsia" w:ascii="宋体" w:hAnsi="宋体" w:eastAsia="宋体" w:cs="宋体"/>
                <w:kern w:val="0"/>
                <w:szCs w:val="21"/>
              </w:rPr>
              <w:t>2.≥2个手动应急按键，支持一键重启/复位，≥4路RS232/485串口双向通讯；</w:t>
            </w:r>
            <w:r>
              <w:rPr>
                <w:rFonts w:hint="eastAsia" w:ascii="宋体" w:hAnsi="宋体" w:eastAsia="宋体" w:cs="宋体"/>
                <w:kern w:val="0"/>
                <w:szCs w:val="21"/>
              </w:rPr>
              <w:br w:type="textWrapping"/>
            </w:r>
            <w:r>
              <w:rPr>
                <w:rFonts w:hint="eastAsia" w:ascii="宋体" w:hAnsi="宋体" w:eastAsia="宋体" w:cs="宋体"/>
                <w:kern w:val="0"/>
                <w:szCs w:val="21"/>
              </w:rPr>
              <w:t>3.内置多种编程逻辑，编程数据可达不少于128个指令集，每个指令集下可添加不少于64段指令；</w:t>
            </w:r>
            <w:r>
              <w:rPr>
                <w:rFonts w:hint="eastAsia" w:ascii="宋体" w:hAnsi="宋体" w:eastAsia="宋体" w:cs="宋体"/>
                <w:kern w:val="0"/>
                <w:szCs w:val="21"/>
              </w:rPr>
              <w:br w:type="textWrapping"/>
            </w:r>
            <w:r>
              <w:rPr>
                <w:rFonts w:hint="eastAsia" w:ascii="宋体" w:hAnsi="宋体" w:eastAsia="宋体" w:cs="宋体"/>
                <w:kern w:val="0"/>
                <w:szCs w:val="21"/>
              </w:rPr>
              <w:t>4.设备内嵌控制服务器编辑软件。</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5</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电源控制器</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1.≥8路强/弱电开关量控制，每路额定功率2KW，具有状态显示，支持断电记忆功能；</w:t>
            </w:r>
            <w:r>
              <w:rPr>
                <w:rFonts w:hint="eastAsia" w:ascii="宋体" w:hAnsi="宋体" w:eastAsia="宋体" w:cs="宋体"/>
                <w:kern w:val="0"/>
                <w:szCs w:val="21"/>
              </w:rPr>
              <w:br w:type="textWrapping"/>
            </w:r>
            <w:r>
              <w:rPr>
                <w:rFonts w:hint="eastAsia" w:ascii="宋体" w:hAnsi="宋体" w:eastAsia="宋体" w:cs="宋体"/>
                <w:kern w:val="0"/>
                <w:szCs w:val="21"/>
              </w:rPr>
              <w:t>2.可编程定义各种逻辑开关动作如互锁、时序开关、同步动作等；</w:t>
            </w:r>
            <w:r>
              <w:rPr>
                <w:rFonts w:hint="eastAsia" w:ascii="宋体" w:hAnsi="宋体" w:eastAsia="宋体" w:cs="宋体"/>
                <w:kern w:val="0"/>
                <w:szCs w:val="21"/>
              </w:rPr>
              <w:br w:type="textWrapping"/>
            </w:r>
            <w:r>
              <w:rPr>
                <w:rFonts w:hint="eastAsia" w:ascii="宋体" w:hAnsi="宋体" w:eastAsia="宋体" w:cs="宋体"/>
                <w:kern w:val="0"/>
                <w:szCs w:val="21"/>
              </w:rPr>
              <w:t>3.支持RS-485、RS-232控制协议，支持级联多台设备；</w:t>
            </w:r>
            <w:r>
              <w:rPr>
                <w:rFonts w:hint="eastAsia" w:ascii="宋体" w:hAnsi="宋体" w:eastAsia="宋体" w:cs="宋体"/>
                <w:kern w:val="0"/>
                <w:szCs w:val="21"/>
              </w:rPr>
              <w:br w:type="textWrapping"/>
            </w:r>
            <w:r>
              <w:rPr>
                <w:rFonts w:hint="eastAsia" w:ascii="宋体" w:hAnsi="宋体" w:eastAsia="宋体" w:cs="宋体"/>
                <w:kern w:val="0"/>
                <w:szCs w:val="21"/>
              </w:rPr>
              <w:t>4.支持手动应急和中控或电脑软件同时管理功能。</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7</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1.CPU不低于第六代I5，内存≥8G，硬盘不低于128G固态硬盘+1T机械硬盘。</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2.具有独立显卡</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18</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音响设备</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音响：</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w:t>
            </w:r>
            <w:r>
              <w:rPr>
                <w:rFonts w:hint="eastAsia" w:ascii="宋体" w:hAnsi="宋体" w:eastAsia="宋体" w:cs="宋体"/>
                <w:color w:val="000000"/>
                <w:kern w:val="0"/>
                <w:szCs w:val="21"/>
              </w:rPr>
              <w:t>铝合金箱体，不变形，不生锈。</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2.喇叭单元</w:t>
            </w:r>
            <w:r>
              <w:rPr>
                <w:rFonts w:ascii="宋体" w:hAnsi="宋体" w:eastAsia="宋体" w:cs="宋体"/>
                <w:color w:val="000000"/>
                <w:kern w:val="0"/>
                <w:szCs w:val="21"/>
              </w:rPr>
              <w:t xml:space="preserve"> 3"×2， 2"×1</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3.额定功率（</w:t>
            </w:r>
            <w:r>
              <w:rPr>
                <w:rFonts w:ascii="宋体" w:hAnsi="宋体" w:eastAsia="宋体" w:cs="宋体"/>
                <w:color w:val="000000"/>
                <w:kern w:val="0"/>
                <w:szCs w:val="21"/>
              </w:rPr>
              <w:t>RMS）</w:t>
            </w:r>
            <w:r>
              <w:rPr>
                <w:rFonts w:hint="eastAsia" w:ascii="宋体" w:hAnsi="宋体" w:eastAsia="宋体" w:cs="宋体"/>
                <w:kern w:val="0"/>
                <w:szCs w:val="21"/>
              </w:rPr>
              <w:t>≥</w:t>
            </w:r>
            <w:r>
              <w:rPr>
                <w:rFonts w:ascii="宋体" w:hAnsi="宋体" w:eastAsia="宋体" w:cs="宋体"/>
                <w:color w:val="000000"/>
                <w:kern w:val="0"/>
                <w:szCs w:val="21"/>
              </w:rPr>
              <w:t>30W</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4</w:t>
            </w:r>
            <w:r>
              <w:rPr>
                <w:rFonts w:hint="eastAsia" w:ascii="宋体" w:hAnsi="宋体" w:eastAsia="宋体" w:cs="宋体"/>
                <w:color w:val="000000"/>
                <w:kern w:val="0"/>
                <w:szCs w:val="21"/>
              </w:rPr>
              <w:t>.频响范围</w:t>
            </w:r>
            <w:r>
              <w:rPr>
                <w:rFonts w:ascii="宋体" w:hAnsi="宋体" w:eastAsia="宋体" w:cs="宋体"/>
                <w:color w:val="000000"/>
                <w:kern w:val="0"/>
                <w:szCs w:val="21"/>
              </w:rPr>
              <w:t xml:space="preserve"> 140Hz-20kHz</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5.灵敏度（</w:t>
            </w:r>
            <w:r>
              <w:rPr>
                <w:rFonts w:ascii="宋体" w:hAnsi="宋体" w:eastAsia="宋体" w:cs="宋体"/>
                <w:color w:val="000000"/>
                <w:kern w:val="0"/>
                <w:szCs w:val="21"/>
              </w:rPr>
              <w:t>1m，1W） 87±3dB</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6</w:t>
            </w:r>
            <w:r>
              <w:rPr>
                <w:rFonts w:hint="eastAsia" w:ascii="宋体" w:hAnsi="宋体" w:eastAsia="宋体" w:cs="宋体"/>
                <w:color w:val="000000"/>
                <w:kern w:val="0"/>
                <w:szCs w:val="21"/>
              </w:rPr>
              <w:t>.最大声压级（</w:t>
            </w:r>
            <w:r>
              <w:rPr>
                <w:rFonts w:ascii="宋体" w:hAnsi="宋体" w:eastAsia="宋体" w:cs="宋体"/>
                <w:color w:val="000000"/>
                <w:kern w:val="0"/>
                <w:szCs w:val="21"/>
              </w:rPr>
              <w:t>1m） 102</w:t>
            </w:r>
            <w:r>
              <w:rPr>
                <w:rFonts w:hint="eastAsia" w:ascii="宋体" w:hAnsi="宋体" w:eastAsia="宋体" w:cs="宋体"/>
                <w:color w:val="000000"/>
                <w:kern w:val="0"/>
                <w:szCs w:val="21"/>
              </w:rPr>
              <w:t>·</w:t>
            </w:r>
            <w:r>
              <w:rPr>
                <w:rFonts w:ascii="宋体" w:hAnsi="宋体" w:eastAsia="宋体" w:cs="宋体"/>
                <w:color w:val="000000"/>
                <w:kern w:val="0"/>
                <w:szCs w:val="21"/>
              </w:rPr>
              <w:t>±3dB</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功放：</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1</w:t>
            </w:r>
            <w:r>
              <w:rPr>
                <w:rFonts w:hint="eastAsia" w:ascii="宋体" w:hAnsi="宋体" w:eastAsia="宋体" w:cs="宋体"/>
                <w:color w:val="000000"/>
                <w:kern w:val="0"/>
                <w:szCs w:val="21"/>
              </w:rPr>
              <w:t>.</w:t>
            </w:r>
            <w:r>
              <w:rPr>
                <w:rFonts w:ascii="宋体" w:hAnsi="宋体" w:eastAsia="宋体" w:cs="宋体"/>
                <w:color w:val="000000"/>
                <w:kern w:val="0"/>
                <w:szCs w:val="21"/>
              </w:rPr>
              <w:t>支持</w:t>
            </w:r>
            <w:r>
              <w:rPr>
                <w:rFonts w:hint="eastAsia" w:ascii="宋体" w:hAnsi="宋体" w:eastAsia="宋体" w:cs="宋体"/>
                <w:color w:val="000000"/>
                <w:kern w:val="0"/>
                <w:szCs w:val="21"/>
              </w:rPr>
              <w:t>不少于</w:t>
            </w:r>
            <w:r>
              <w:rPr>
                <w:rFonts w:ascii="宋体" w:hAnsi="宋体" w:eastAsia="宋体" w:cs="宋体"/>
                <w:color w:val="000000"/>
                <w:kern w:val="0"/>
                <w:szCs w:val="21"/>
              </w:rPr>
              <w:t>3路话筒输入，</w:t>
            </w:r>
            <w:r>
              <w:rPr>
                <w:rFonts w:hint="eastAsia" w:ascii="宋体" w:hAnsi="宋体" w:eastAsia="宋体" w:cs="宋体"/>
                <w:color w:val="000000"/>
                <w:kern w:val="0"/>
                <w:szCs w:val="21"/>
              </w:rPr>
              <w:t>不少于</w:t>
            </w:r>
            <w:r>
              <w:rPr>
                <w:rFonts w:ascii="宋体" w:hAnsi="宋体" w:eastAsia="宋体" w:cs="宋体"/>
                <w:color w:val="000000"/>
                <w:kern w:val="0"/>
                <w:szCs w:val="21"/>
              </w:rPr>
              <w:t>2路辅助输入，</w:t>
            </w:r>
            <w:r>
              <w:rPr>
                <w:rFonts w:hint="eastAsia" w:ascii="宋体" w:hAnsi="宋体" w:eastAsia="宋体" w:cs="宋体"/>
                <w:color w:val="000000"/>
                <w:kern w:val="0"/>
                <w:szCs w:val="21"/>
              </w:rPr>
              <w:t>不少于</w:t>
            </w:r>
            <w:r>
              <w:rPr>
                <w:rFonts w:ascii="宋体" w:hAnsi="宋体" w:eastAsia="宋体" w:cs="宋体"/>
                <w:color w:val="000000"/>
                <w:kern w:val="0"/>
                <w:szCs w:val="21"/>
              </w:rPr>
              <w:t>1路辅助输出。</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w:t>
            </w:r>
            <w:r>
              <w:rPr>
                <w:rFonts w:ascii="宋体" w:hAnsi="宋体" w:eastAsia="宋体" w:cs="宋体"/>
                <w:color w:val="000000"/>
                <w:kern w:val="0"/>
                <w:szCs w:val="21"/>
              </w:rPr>
              <w:t>具有默音功能,便于插入优先广播。</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w:t>
            </w:r>
            <w:r>
              <w:rPr>
                <w:rFonts w:ascii="宋体" w:hAnsi="宋体" w:eastAsia="宋体" w:cs="宋体"/>
                <w:color w:val="000000"/>
                <w:kern w:val="0"/>
                <w:szCs w:val="21"/>
              </w:rPr>
              <w:t>支持各通道音量独立控制,支持高音和低音音调控制。</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4</w:t>
            </w:r>
            <w:r>
              <w:rPr>
                <w:rFonts w:hint="eastAsia" w:ascii="宋体" w:hAnsi="宋体" w:eastAsia="宋体" w:cs="宋体"/>
                <w:color w:val="000000"/>
                <w:kern w:val="0"/>
                <w:szCs w:val="21"/>
              </w:rPr>
              <w:t>.</w:t>
            </w:r>
            <w:r>
              <w:rPr>
                <w:rFonts w:ascii="宋体" w:hAnsi="宋体" w:eastAsia="宋体" w:cs="宋体"/>
                <w:color w:val="000000"/>
                <w:kern w:val="0"/>
                <w:szCs w:val="21"/>
              </w:rPr>
              <w:t>提供</w:t>
            </w:r>
            <w:r>
              <w:rPr>
                <w:rFonts w:hint="eastAsia" w:ascii="宋体" w:hAnsi="宋体" w:eastAsia="宋体" w:cs="宋体"/>
                <w:color w:val="000000"/>
                <w:kern w:val="0"/>
                <w:szCs w:val="21"/>
              </w:rPr>
              <w:t>不少于</w:t>
            </w:r>
            <w:r>
              <w:rPr>
                <w:rFonts w:ascii="宋体" w:hAnsi="宋体" w:eastAsia="宋体" w:cs="宋体"/>
                <w:color w:val="000000"/>
                <w:kern w:val="0"/>
                <w:szCs w:val="21"/>
              </w:rPr>
              <w:t>5单位LED电平表,易监察工作状态,支持输出短路保护并告警。</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5</w:t>
            </w:r>
            <w:r>
              <w:rPr>
                <w:rFonts w:hint="eastAsia" w:ascii="宋体" w:hAnsi="宋体" w:eastAsia="宋体" w:cs="宋体"/>
                <w:color w:val="000000"/>
                <w:kern w:val="0"/>
                <w:szCs w:val="21"/>
              </w:rPr>
              <w:t>.</w:t>
            </w:r>
            <w:r>
              <w:rPr>
                <w:rFonts w:ascii="宋体" w:hAnsi="宋体" w:eastAsia="宋体" w:cs="宋体"/>
                <w:color w:val="000000"/>
                <w:kern w:val="0"/>
                <w:szCs w:val="21"/>
              </w:rPr>
              <w:t>输出调整率由满载到空载，小于3dB</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6</w:t>
            </w:r>
            <w:r>
              <w:rPr>
                <w:rFonts w:hint="eastAsia" w:ascii="宋体" w:hAnsi="宋体" w:eastAsia="宋体" w:cs="宋体"/>
                <w:color w:val="000000"/>
                <w:kern w:val="0"/>
                <w:szCs w:val="21"/>
              </w:rPr>
              <w:t>.</w:t>
            </w:r>
            <w:r>
              <w:rPr>
                <w:rFonts w:ascii="宋体" w:hAnsi="宋体" w:eastAsia="宋体" w:cs="宋体"/>
                <w:color w:val="000000"/>
                <w:kern w:val="0"/>
                <w:szCs w:val="21"/>
              </w:rPr>
              <w:t>具有短路保护、直流保护、电源通断多种保护和告警功能；为保证功放有故障自恢复电路性能</w:t>
            </w:r>
            <w:r>
              <w:rPr>
                <w:rFonts w:ascii="宋体" w:hAnsi="宋体" w:eastAsia="宋体" w:cs="宋体"/>
                <w:color w:val="FF0000"/>
                <w:kern w:val="0"/>
                <w:szCs w:val="21"/>
              </w:rPr>
              <w:t xml:space="preserve"> </w:t>
            </w:r>
            <w:r>
              <w:rPr>
                <w:rFonts w:ascii="宋体" w:hAnsi="宋体" w:eastAsia="宋体" w:cs="宋体"/>
                <w:color w:val="000000"/>
                <w:kern w:val="0"/>
                <w:szCs w:val="21"/>
              </w:rPr>
              <w:t xml:space="preserve">                                                 </w:t>
            </w:r>
          </w:p>
          <w:p>
            <w:pPr>
              <w:widowControl/>
              <w:jc w:val="left"/>
              <w:rPr>
                <w:rFonts w:ascii="宋体" w:hAnsi="宋体" w:eastAsia="宋体" w:cs="宋体"/>
                <w:color w:val="000000"/>
                <w:kern w:val="0"/>
                <w:szCs w:val="21"/>
              </w:rPr>
            </w:pPr>
            <w:r>
              <w:rPr>
                <w:rFonts w:ascii="宋体" w:hAnsi="宋体" w:eastAsia="宋体" w:cs="宋体"/>
                <w:color w:val="000000"/>
                <w:kern w:val="0"/>
                <w:szCs w:val="21"/>
              </w:rPr>
              <w:t>7</w:t>
            </w:r>
            <w:r>
              <w:rPr>
                <w:rFonts w:hint="eastAsia" w:ascii="宋体" w:hAnsi="宋体" w:eastAsia="宋体" w:cs="宋体"/>
                <w:color w:val="000000"/>
                <w:kern w:val="0"/>
                <w:szCs w:val="21"/>
              </w:rPr>
              <w:t>.</w:t>
            </w:r>
            <w:r>
              <w:rPr>
                <w:rFonts w:ascii="宋体" w:hAnsi="宋体" w:eastAsia="宋体" w:cs="宋体"/>
                <w:color w:val="000000"/>
                <w:kern w:val="0"/>
                <w:szCs w:val="21"/>
              </w:rPr>
              <w:t xml:space="preserve">失真限制的输出功率120W                                                                                                          </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　</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19</w:t>
            </w:r>
          </w:p>
        </w:tc>
        <w:tc>
          <w:tcPr>
            <w:tcW w:w="715"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空调</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不小于正1P</w:t>
            </w:r>
          </w:p>
        </w:tc>
        <w:tc>
          <w:tcPr>
            <w:tcW w:w="712"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878"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986" w:type="dxa"/>
            <w:shd w:val="clear" w:color="auto" w:fill="auto"/>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r>
              <w:rPr>
                <w:rFonts w:ascii="宋体" w:hAnsi="宋体" w:eastAsia="宋体" w:cs="宋体"/>
                <w:color w:val="000000"/>
                <w:kern w:val="0"/>
                <w:szCs w:val="21"/>
              </w:rPr>
              <w:t>0</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45</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r>
              <w:rPr>
                <w:rFonts w:ascii="宋体" w:hAnsi="宋体" w:eastAsia="宋体" w:cs="宋体"/>
                <w:color w:val="000000"/>
                <w:kern w:val="0"/>
                <w:szCs w:val="21"/>
              </w:rPr>
              <w:t>1</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45</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P</w:t>
            </w:r>
            <w:r>
              <w:rPr>
                <w:rFonts w:ascii="宋体" w:hAnsi="宋体" w:eastAsia="宋体" w:cs="宋体"/>
                <w:b/>
                <w:bCs/>
                <w:color w:val="000000"/>
                <w:kern w:val="0"/>
                <w:szCs w:val="21"/>
              </w:rPr>
              <w:t>1.8</w:t>
            </w:r>
            <w:r>
              <w:rPr>
                <w:rFonts w:hint="eastAsia" w:ascii="宋体" w:hAnsi="宋体" w:eastAsia="宋体" w:cs="宋体"/>
                <w:b/>
                <w:bCs/>
                <w:color w:val="000000"/>
                <w:kern w:val="0"/>
                <w:szCs w:val="21"/>
              </w:rPr>
              <w:t>全彩L</w:t>
            </w:r>
            <w:r>
              <w:rPr>
                <w:rFonts w:ascii="宋体" w:hAnsi="宋体" w:eastAsia="宋体" w:cs="宋体"/>
                <w:b/>
                <w:bCs/>
                <w:color w:val="000000"/>
                <w:kern w:val="0"/>
                <w:szCs w:val="21"/>
              </w:rPr>
              <w:t>ED</w:t>
            </w:r>
          </w:p>
        </w:tc>
        <w:tc>
          <w:tcPr>
            <w:tcW w:w="986" w:type="dxa"/>
            <w:shd w:val="clear" w:color="000000" w:fill="BDD7EE"/>
            <w:vAlign w:val="center"/>
          </w:tcPr>
          <w:p>
            <w:pPr>
              <w:widowControl/>
              <w:jc w:val="left"/>
              <w:rPr>
                <w:rFonts w:hint="eastAsia" w:ascii="宋体" w:hAnsi="宋体" w:eastAsia="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2</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室内彩屏</w:t>
            </w:r>
          </w:p>
        </w:tc>
        <w:tc>
          <w:tcPr>
            <w:tcW w:w="5582" w:type="dxa"/>
            <w:shd w:val="clear" w:color="auto" w:fill="auto"/>
            <w:vAlign w:val="center"/>
          </w:tcPr>
          <w:p>
            <w:pPr>
              <w:pStyle w:val="372"/>
              <w:jc w:val="left"/>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像素构成：表贴三合一1515，厂家具备LED自主封装能力，LED灯珠及显示屏为同一品牌（提供证明材料）；</w:t>
            </w:r>
          </w:p>
          <w:p>
            <w:pPr>
              <w:pStyle w:val="372"/>
              <w:jc w:val="left"/>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视角（水平、垂直）：H≥160°V≥140°；</w:t>
            </w:r>
          </w:p>
          <w:p>
            <w:pPr>
              <w:pStyle w:val="372"/>
              <w:jc w:val="left"/>
              <w:rPr>
                <w:rFonts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点间距：≤1.86mm</w:t>
            </w:r>
          </w:p>
          <w:p>
            <w:pPr>
              <w:pStyle w:val="372"/>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模组分辨率：≥172点*86点；像素密度：≥288906点/㎡；</w:t>
            </w:r>
          </w:p>
          <w:p>
            <w:pPr>
              <w:pStyle w:val="372"/>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模组尺寸：≥320mm*160mm；</w:t>
            </w:r>
          </w:p>
          <w:p>
            <w:pPr>
              <w:pStyle w:val="372"/>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白平衡亮度：≥550cd/㎡；</w:t>
            </w:r>
          </w:p>
          <w:p>
            <w:pPr>
              <w:pStyle w:val="372"/>
              <w:jc w:val="left"/>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w:t>
            </w:r>
            <w:r>
              <w:rPr>
                <w:rFonts w:hint="eastAsia" w:ascii="宋体" w:hAnsi="宋体" w:cs="宋体"/>
                <w:color w:val="000000"/>
                <w:kern w:val="0"/>
                <w:szCs w:val="21"/>
              </w:rPr>
              <w:t>色温：3000-18000可调；</w:t>
            </w:r>
          </w:p>
          <w:p>
            <w:pPr>
              <w:pStyle w:val="372"/>
              <w:jc w:val="left"/>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w:t>
            </w:r>
            <w:r>
              <w:rPr>
                <w:rFonts w:hint="eastAsia" w:ascii="宋体" w:hAnsi="宋体" w:cs="宋体"/>
                <w:color w:val="000000"/>
                <w:kern w:val="0"/>
                <w:szCs w:val="21"/>
              </w:rPr>
              <w:t>最大对比度：≥5000：1</w:t>
            </w:r>
          </w:p>
          <w:p>
            <w:pPr>
              <w:pStyle w:val="372"/>
              <w:jc w:val="left"/>
              <w:rPr>
                <w:rFonts w:ascii="宋体" w:hAnsi="宋体" w:cs="宋体"/>
                <w:color w:val="000000"/>
                <w:kern w:val="0"/>
                <w:szCs w:val="21"/>
              </w:rPr>
            </w:pPr>
            <w:r>
              <w:rPr>
                <w:rFonts w:hint="eastAsia" w:ascii="宋体" w:hAnsi="宋体" w:cs="宋体"/>
                <w:color w:val="000000"/>
                <w:kern w:val="0"/>
                <w:szCs w:val="21"/>
              </w:rPr>
              <w:t>9</w:t>
            </w:r>
            <w:r>
              <w:rPr>
                <w:rFonts w:ascii="宋体" w:hAnsi="宋体" w:cs="宋体"/>
                <w:color w:val="000000"/>
                <w:kern w:val="0"/>
                <w:szCs w:val="21"/>
              </w:rPr>
              <w:t>.</w:t>
            </w:r>
            <w:r>
              <w:rPr>
                <w:rFonts w:hint="eastAsia" w:ascii="宋体" w:hAnsi="宋体" w:cs="宋体"/>
                <w:color w:val="000000"/>
                <w:kern w:val="0"/>
                <w:szCs w:val="21"/>
              </w:rPr>
              <w:t>换帧频率：≥60HZ</w:t>
            </w:r>
          </w:p>
          <w:p>
            <w:pPr>
              <w:jc w:val="left"/>
              <w:rPr>
                <w:rFonts w:ascii="宋体" w:hAnsi="宋体" w:cs="宋体"/>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0.</w:t>
            </w:r>
            <w:r>
              <w:rPr>
                <w:rFonts w:hint="eastAsia" w:ascii="宋体" w:hAnsi="宋体" w:eastAsia="宋体" w:cs="宋体"/>
                <w:color w:val="000000"/>
                <w:kern w:val="0"/>
                <w:szCs w:val="21"/>
              </w:rPr>
              <w:t>刷新频率：≥3840Hz                                11. LED显示屏无噪声污染,噪音≤17db</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p>
            <w:pPr>
              <w:widowControl/>
              <w:jc w:val="left"/>
              <w:rPr>
                <w:rFonts w:ascii="宋体" w:hAnsi="宋体" w:eastAsia="宋体" w:cs="宋体"/>
                <w:color w:val="000000"/>
                <w:kern w:val="0"/>
                <w:szCs w:val="21"/>
              </w:rPr>
            </w:pPr>
            <w:r>
              <w:rPr>
                <w:rFonts w:hint="eastAsia" w:ascii="宋体" w:hAnsi="宋体" w:cs="宋体"/>
                <w:kern w:val="0"/>
                <w:szCs w:val="21"/>
              </w:rPr>
              <w:t>1</w:t>
            </w:r>
            <w:r>
              <w:rPr>
                <w:rFonts w:hint="eastAsia" w:ascii="宋体" w:hAnsi="宋体" w:eastAsia="宋体" w:cs="宋体"/>
                <w:color w:val="000000"/>
                <w:kern w:val="0"/>
                <w:szCs w:val="21"/>
              </w:rPr>
              <w:t>2.LED显示屏具有抗振能力。</w:t>
            </w:r>
            <w:r>
              <w:rPr>
                <w:rFonts w:hint="eastAsia" w:ascii="宋体" w:hAnsi="宋体" w:eastAsia="宋体" w:cs="宋体"/>
                <w:kern w:val="0"/>
                <w:szCs w:val="21"/>
              </w:rPr>
              <w:t>（提供具有C</w:t>
            </w:r>
            <w:r>
              <w:rPr>
                <w:rFonts w:ascii="宋体" w:hAnsi="宋体" w:eastAsia="宋体" w:cs="宋体"/>
                <w:kern w:val="0"/>
                <w:szCs w:val="21"/>
              </w:rPr>
              <w:t>MA</w:t>
            </w:r>
            <w:r>
              <w:rPr>
                <w:rFonts w:hint="eastAsia" w:ascii="宋体" w:hAnsi="宋体" w:eastAsia="宋体" w:cs="宋体"/>
                <w:kern w:val="0"/>
                <w:szCs w:val="21"/>
              </w:rPr>
              <w:t>或C</w:t>
            </w:r>
            <w:r>
              <w:rPr>
                <w:rFonts w:ascii="宋体" w:hAnsi="宋体" w:eastAsia="宋体" w:cs="宋体"/>
                <w:kern w:val="0"/>
                <w:szCs w:val="21"/>
              </w:rPr>
              <w:t>NAS</w:t>
            </w:r>
            <w:r>
              <w:rPr>
                <w:rFonts w:hint="eastAsia" w:ascii="宋体" w:hAnsi="宋体" w:eastAsia="宋体" w:cs="宋体"/>
                <w:kern w:val="0"/>
                <w:szCs w:val="21"/>
              </w:rPr>
              <w:t>标识的检测报告复印件并加盖投标人公章）</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3</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视频控制器</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1.支持≥ 5 路输入接口，包括≥ 1 路 DVI，≥1 路 HDMI1.3，≥1 路 VGA，≥1 路 USB 播 放，≥1 路 CVBS，≥1 路选配扩展子卡。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2.支持窗口位置、大小调整及窗口截取功能。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3.扩展子卡安装后支持使用鼠标或键盘进行控制和手机电脑等无线投屏。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4.支持输入源一键切换。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5.支持外置独立音频。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6.支持 DVI、HDMI 的输入分辨率预设及自定义调节。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7.支持画面一键全屏缩放、点对点显示、自定义缩放三种缩放模式。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8.支持快捷点屏，简单操作即可完成屏体配置。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9.支持 ≥4 个网口输出，最大带载 260 万像素。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10.支持创建 6 个用户场景作为模板保存，可直接调用，方便使用。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11.支持通过 RS232 协议连接中控设备。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12.支持屏体参数调整，例如亮度、Gamma 等。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13.前面板直观的 LCD 显示界面，清晰的按键灯提示，简化了系统的控制操作。</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4</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接收卡</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1.集成 ≥16个标准HUB75 接口，免接HUB；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2.支持 ≥32 扫；</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3.单卡输出 RGB 数据≥32组；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4.单卡带载像素为 ≥512×256·；</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5.支持配置文件回读；</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6.成熟的热备份和任意换卡；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7.支持温度监控，支持网线通讯状态检测；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8.支持供电电压检测；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9.支持高灰度高刷新；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10.支持逐点亮色度校正；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11.支持接收卡预存画面设置；</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12.支持Mapping功能；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13.支持灯板Flash管理；</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14.支持5pin液晶模块；</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15.支持固件程序版本回读。</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张</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r>
              <w:rPr>
                <w:rFonts w:ascii="宋体" w:hAnsi="宋体" w:eastAsia="宋体" w:cs="宋体"/>
                <w:kern w:val="0"/>
                <w:szCs w:val="21"/>
              </w:rPr>
              <w:t>1</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5</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配电柜</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一键启动分布式上电</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6</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电脑</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1.CPU不低于第六代I5，内存≥8G，硬盘不低于128G固态硬盘+1T机械硬盘。2.具有独立显卡</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7</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控制软件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通用播放控制软件、实现多种控制方案</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878"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986"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28</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显示屏结构支架</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根据现场具体尺寸制作钢结构</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r>
              <w:rPr>
                <w:rFonts w:hint="eastAsia" w:ascii="宋体" w:hAnsi="宋体" w:eastAsia="宋体" w:cs="宋体"/>
                <w:kern w:val="0"/>
                <w:szCs w:val="21"/>
              </w:rPr>
              <w:t xml:space="preserve"> </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29</w:t>
            </w:r>
          </w:p>
        </w:tc>
        <w:tc>
          <w:tcPr>
            <w:tcW w:w="715"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13.25</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443" w:type="dxa"/>
            <w:gridSpan w:val="5"/>
            <w:shd w:val="clear" w:color="000000" w:fill="BDD7EE"/>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单色P</w:t>
            </w:r>
            <w:r>
              <w:rPr>
                <w:rFonts w:ascii="宋体" w:hAnsi="宋体" w:eastAsia="宋体" w:cs="宋体"/>
                <w:color w:val="000000"/>
                <w:kern w:val="0"/>
                <w:szCs w:val="21"/>
              </w:rPr>
              <w:t>10</w:t>
            </w:r>
          </w:p>
        </w:tc>
        <w:tc>
          <w:tcPr>
            <w:tcW w:w="986" w:type="dxa"/>
            <w:shd w:val="clear" w:color="000000" w:fill="BDD7EE"/>
            <w:vAlign w:val="center"/>
          </w:tcPr>
          <w:p>
            <w:pPr>
              <w:widowControl/>
              <w:jc w:val="left"/>
              <w:rPr>
                <w:rFonts w:hint="eastAsia"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30</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户外单色L</w:t>
            </w:r>
            <w:r>
              <w:rPr>
                <w:rFonts w:ascii="宋体" w:hAnsi="宋体" w:eastAsia="宋体" w:cs="宋体"/>
                <w:kern w:val="0"/>
                <w:szCs w:val="21"/>
              </w:rPr>
              <w:t>ED</w:t>
            </w:r>
            <w:r>
              <w:rPr>
                <w:rFonts w:hint="eastAsia" w:ascii="宋体" w:hAnsi="宋体" w:eastAsia="宋体" w:cs="宋体"/>
                <w:kern w:val="0"/>
                <w:szCs w:val="21"/>
              </w:rPr>
              <w:t>屏</w:t>
            </w:r>
          </w:p>
        </w:tc>
        <w:tc>
          <w:tcPr>
            <w:tcW w:w="5582" w:type="dxa"/>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1.像数点间距:不大于10mm                                                                                                                                                 2.像素密度:</w:t>
            </w:r>
            <w:r>
              <w:rPr>
                <w:rFonts w:hint="eastAsia" w:ascii="宋体" w:hAnsi="宋体" w:eastAsia="宋体" w:cs="宋体"/>
                <w:color w:val="000000"/>
                <w:kern w:val="0"/>
                <w:szCs w:val="21"/>
              </w:rPr>
              <w:t xml:space="preserve"> ≥</w:t>
            </w:r>
            <w:r>
              <w:rPr>
                <w:rFonts w:hint="eastAsia" w:ascii="宋体" w:hAnsi="宋体" w:eastAsia="宋体" w:cs="宋体"/>
                <w:kern w:val="0"/>
                <w:szCs w:val="21"/>
              </w:rPr>
              <w:t>10000Dots/㎡                                                                                                                                            3.像素构成 1R                                                                                                                                                  4.单元板分辨率</w:t>
            </w:r>
            <w:r>
              <w:rPr>
                <w:rFonts w:hint="eastAsia" w:ascii="宋体" w:hAnsi="宋体" w:eastAsia="宋体" w:cs="宋体"/>
                <w:color w:val="000000"/>
                <w:kern w:val="0"/>
                <w:szCs w:val="21"/>
              </w:rPr>
              <w:t>≥</w:t>
            </w:r>
            <w:r>
              <w:rPr>
                <w:rFonts w:hint="eastAsia" w:ascii="宋体" w:hAnsi="宋体" w:eastAsia="宋体" w:cs="宋体"/>
                <w:kern w:val="0"/>
                <w:szCs w:val="21"/>
              </w:rPr>
              <w:t xml:space="preserve">32*16Dots                                                                                                                                         </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24</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56"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31</w:t>
            </w:r>
          </w:p>
        </w:tc>
        <w:tc>
          <w:tcPr>
            <w:tcW w:w="715"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工程施工</w:t>
            </w:r>
          </w:p>
        </w:tc>
        <w:tc>
          <w:tcPr>
            <w:tcW w:w="5582"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1.含施工人工、辅材、安装、调试、运输等费用；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2.设备的固定安装符合施工要求，安装美观，整体走线符合施工工艺要求； </w:t>
            </w:r>
          </w:p>
          <w:p>
            <w:pPr>
              <w:widowControl/>
              <w:jc w:val="left"/>
              <w:rPr>
                <w:rFonts w:ascii="宋体" w:hAnsi="宋体" w:eastAsia="宋体" w:cs="宋体"/>
                <w:kern w:val="0"/>
                <w:szCs w:val="21"/>
              </w:rPr>
            </w:pPr>
            <w:r>
              <w:rPr>
                <w:rFonts w:hint="eastAsia" w:ascii="宋体" w:hAnsi="宋体" w:eastAsia="宋体" w:cs="宋体"/>
                <w:color w:val="000000"/>
                <w:kern w:val="0"/>
                <w:szCs w:val="21"/>
              </w:rPr>
              <w:t>3.线材管材、设备间连接线、转接头、电源插座板等均采用经质检合格的产品。</w:t>
            </w:r>
          </w:p>
        </w:tc>
        <w:tc>
          <w:tcPr>
            <w:tcW w:w="712"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w:t>
            </w:r>
          </w:p>
        </w:tc>
        <w:tc>
          <w:tcPr>
            <w:tcW w:w="878" w:type="dxa"/>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24</w:t>
            </w:r>
          </w:p>
        </w:tc>
        <w:tc>
          <w:tcPr>
            <w:tcW w:w="986" w:type="dxa"/>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color w:val="000000"/>
                <w:kern w:val="0"/>
                <w:szCs w:val="21"/>
                <w:lang w:val="en-US" w:eastAsia="zh-CN"/>
              </w:rPr>
              <w:t>制造业</w:t>
            </w:r>
          </w:p>
        </w:tc>
      </w:tr>
    </w:tbl>
    <w:p>
      <w:pPr>
        <w:pStyle w:val="4"/>
        <w:numPr>
          <w:ilvl w:val="1"/>
          <w:numId w:val="0"/>
        </w:numPr>
        <w:tabs>
          <w:tab w:val="left" w:pos="576"/>
          <w:tab w:val="clear" w:pos="567"/>
        </w:tabs>
        <w:ind w:leftChars="0"/>
      </w:pPr>
    </w:p>
    <w:p/>
    <w:p>
      <w:pPr>
        <w:pStyle w:val="4"/>
      </w:pPr>
      <w:bookmarkStart w:id="72" w:name="_Toc65169717"/>
      <w:bookmarkStart w:id="73" w:name="_Toc20195"/>
      <w:r>
        <w:rPr>
          <w:rFonts w:hint="eastAsia"/>
        </w:rPr>
        <w:t>核</w:t>
      </w:r>
      <w:r>
        <w:rPr>
          <w:rFonts w:hint="eastAsia"/>
          <w:b/>
          <w:bCs/>
        </w:rPr>
        <w:t>心产品</w:t>
      </w:r>
      <w:bookmarkEnd w:id="72"/>
      <w:bookmarkEnd w:id="73"/>
    </w:p>
    <w:p>
      <w:pPr>
        <w:spacing w:line="360" w:lineRule="auto"/>
        <w:ind w:firstLine="560" w:firstLineChars="200"/>
        <w:rPr>
          <w:sz w:val="28"/>
        </w:rPr>
      </w:pPr>
      <w:r>
        <w:rPr>
          <w:rFonts w:hint="eastAsia"/>
          <w:sz w:val="28"/>
        </w:rPr>
        <w:t>核心产品为</w:t>
      </w:r>
      <w:r>
        <w:rPr>
          <w:rFonts w:hint="eastAsia" w:ascii="宋体" w:hAnsi="宋体" w:eastAsia="宋体" w:cs="宋体"/>
          <w:sz w:val="28"/>
          <w:szCs w:val="28"/>
          <w:lang w:val="en-US" w:eastAsia="zh-CN"/>
        </w:rPr>
        <w:t>p2.5全彩LED室内彩屏，p4全彩LED户外彩屏</w:t>
      </w:r>
      <w:r>
        <w:rPr>
          <w:rFonts w:hint="eastAsia"/>
          <w:vertAlign w:val="baseline"/>
          <w:lang w:eastAsia="zh-CN"/>
        </w:rPr>
        <w:t>LED大屏</w:t>
      </w:r>
      <w:r>
        <w:rPr>
          <w:rFonts w:hint="eastAsia"/>
          <w:sz w:val="28"/>
        </w:rPr>
        <w:t>。</w:t>
      </w:r>
    </w:p>
    <w:p>
      <w:pPr>
        <w:pStyle w:val="4"/>
        <w:rPr>
          <w:rFonts w:hint="eastAsia"/>
          <w:b/>
          <w:bCs/>
          <w:lang w:eastAsia="zh-CN"/>
        </w:rPr>
      </w:pPr>
      <w:bookmarkStart w:id="74" w:name="_Toc8941"/>
      <w:r>
        <w:rPr>
          <w:rFonts w:hint="eastAsia"/>
          <w:b/>
          <w:bCs/>
          <w:lang w:eastAsia="zh-CN"/>
        </w:rPr>
        <w:t>商务条款</w:t>
      </w:r>
      <w:bookmarkEnd w:id="74"/>
    </w:p>
    <w:p>
      <w:pPr>
        <w:spacing w:after="0" w:line="560" w:lineRule="exact"/>
        <w:ind w:firstLine="562" w:firstLineChars="175"/>
        <w:rPr>
          <w:rFonts w:hint="default" w:ascii="仿宋_GB2312" w:hAnsi="仿宋_GB2312" w:eastAsia="仿宋_GB2312" w:cs="仿宋_GB2312"/>
          <w:b/>
          <w:bCs/>
          <w:sz w:val="32"/>
          <w:szCs w:val="32"/>
          <w:highlight w:val="none"/>
          <w:lang w:val="en-US" w:eastAsia="zh-CN"/>
        </w:rPr>
      </w:pPr>
      <w:bookmarkStart w:id="75" w:name="_Toc43377657"/>
      <w:bookmarkStart w:id="76" w:name="_Toc65169725"/>
      <w:bookmarkStart w:id="77" w:name="_Toc7494"/>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商务要求</w:t>
      </w:r>
    </w:p>
    <w:bookmarkEnd w:id="75"/>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★1．交货期及地点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1.1合同签订后，乙方在30日内交货到甲方指定地点，随即在</w:t>
      </w: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0日内完成全部安装调试交付使用。</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1.2 交货地点：业主方指定地点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★2．付款方法和条件</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2.1</w:t>
      </w:r>
      <w:r>
        <w:rPr>
          <w:rFonts w:hint="eastAsia" w:ascii="宋体" w:hAnsi="宋体" w:eastAsia="宋体" w:cs="宋体"/>
          <w:color w:val="000000"/>
          <w:kern w:val="0"/>
          <w:sz w:val="28"/>
          <w:szCs w:val="28"/>
        </w:rPr>
        <w:t>甲方在本合同签订生效后，在收到乙方票据10日内预付合同总金额30%的预付款。</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2.2</w:t>
      </w:r>
      <w:r>
        <w:rPr>
          <w:rFonts w:hint="eastAsia" w:ascii="宋体" w:hAnsi="宋体" w:eastAsia="宋体" w:cs="宋体"/>
          <w:color w:val="000000"/>
          <w:kern w:val="0"/>
          <w:sz w:val="28"/>
          <w:szCs w:val="28"/>
        </w:rPr>
        <w:t>甲方在本合同签订生效之后到乙方全部送货到甲方指定地点并完成安装调试完毕并随机抽查验收合格之日起，甲方接到乙方通知与票据凭证资料以后的</w:t>
      </w:r>
      <w:r>
        <w:rPr>
          <w:rFonts w:hint="eastAsia" w:ascii="宋体" w:hAnsi="宋体" w:eastAsia="宋体" w:cs="宋体"/>
          <w:color w:val="000000"/>
          <w:kern w:val="0"/>
          <w:sz w:val="28"/>
          <w:szCs w:val="28"/>
          <w:lang w:val="en-US" w:eastAsia="zh-CN"/>
        </w:rPr>
        <w:t>2</w:t>
      </w:r>
      <w:r>
        <w:rPr>
          <w:rFonts w:hint="eastAsia" w:ascii="宋体" w:hAnsi="宋体" w:eastAsia="宋体" w:cs="宋体"/>
          <w:color w:val="000000"/>
          <w:kern w:val="0"/>
          <w:sz w:val="28"/>
          <w:szCs w:val="28"/>
        </w:rPr>
        <w:t>0日内，向乙方支付合同总价的</w:t>
      </w: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0%款项。</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2.3</w:t>
      </w:r>
      <w:r>
        <w:rPr>
          <w:rFonts w:hint="eastAsia" w:ascii="宋体" w:hAnsi="宋体" w:eastAsia="宋体" w:cs="宋体"/>
          <w:color w:val="000000"/>
          <w:kern w:val="0"/>
          <w:sz w:val="28"/>
          <w:szCs w:val="28"/>
        </w:rPr>
        <w:t>余款</w:t>
      </w:r>
      <w:r>
        <w:rPr>
          <w:rFonts w:hint="eastAsia" w:ascii="宋体" w:hAnsi="宋体" w:eastAsia="宋体" w:cs="宋体"/>
          <w:color w:val="000000"/>
          <w:kern w:val="0"/>
          <w:sz w:val="28"/>
          <w:szCs w:val="28"/>
          <w:lang w:val="en-US" w:eastAsia="zh-CN"/>
        </w:rPr>
        <w:t>4</w:t>
      </w:r>
      <w:r>
        <w:rPr>
          <w:rFonts w:hint="eastAsia" w:ascii="宋体" w:hAnsi="宋体" w:eastAsia="宋体" w:cs="宋体"/>
          <w:color w:val="000000"/>
          <w:kern w:val="0"/>
          <w:sz w:val="28"/>
          <w:szCs w:val="28"/>
        </w:rPr>
        <w:t>0%，待全部产品设备验收合格，乙方提供完整资料后30日内全部付清。</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★3.质保期：</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质保期为验收合格后36个月。</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★4.售后服务：</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4.1备件送达期限：在设备的使用寿命期内，卖方应保证国内不超过7天，国外不超过21天。</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4.2终身零配件供应：投标人应保证设备停产后的备件供应保证10年，并以优惠的价格提供该设备所需的维修零配件。</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4.3卖方在国内应有24小时电话维修系统，并列出工程师名单、联系电话、通讯地址及备件库地址和备件的详细目录。</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4.4质保期后，卖方应向用户提供及时的、优质的、价格优惠的技术服务和备品备件供应。</w:t>
      </w:r>
    </w:p>
    <w:p>
      <w:pPr>
        <w:widowControl/>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w:t>
      </w:r>
      <w:r>
        <w:rPr>
          <w:rFonts w:hint="eastAsia" w:ascii="宋体" w:hAnsi="宋体" w:eastAsia="宋体" w:cs="宋体"/>
          <w:color w:val="000000"/>
          <w:kern w:val="0"/>
          <w:sz w:val="28"/>
          <w:szCs w:val="28"/>
          <w:lang w:val="en-US" w:eastAsia="zh-CN"/>
        </w:rPr>
        <w:t>5.</w:t>
      </w:r>
      <w:r>
        <w:rPr>
          <w:rFonts w:hint="eastAsia" w:ascii="宋体" w:hAnsi="宋体" w:eastAsia="宋体" w:cs="宋体"/>
          <w:color w:val="000000"/>
          <w:kern w:val="0"/>
          <w:sz w:val="28"/>
          <w:szCs w:val="28"/>
        </w:rPr>
        <w:t>技术参数表中涉及到要求提供检测报告等证明材料的条款，中标人在签订合同之前，需提供原件给招标人备查，若发现提供虚假材料，招标人有权取消其中标资格并上报相关部门按相关规定予以处理。</w:t>
      </w:r>
    </w:p>
    <w:p>
      <w:pPr>
        <w:pStyle w:val="4"/>
        <w:rPr>
          <w:sz w:val="32"/>
          <w:szCs w:val="32"/>
        </w:rPr>
      </w:pPr>
      <w:r>
        <w:rPr>
          <w:rFonts w:hint="eastAsia"/>
          <w:sz w:val="32"/>
          <w:szCs w:val="32"/>
        </w:rPr>
        <w:t>采购标的其他技术、服务等要求</w:t>
      </w:r>
      <w:bookmarkEnd w:id="76"/>
      <w:bookmarkEnd w:id="77"/>
    </w:p>
    <w:p>
      <w:pPr>
        <w:spacing w:line="560" w:lineRule="exact"/>
        <w:ind w:firstLine="562" w:firstLineChars="200"/>
        <w:rPr>
          <w:rFonts w:cs="宋体" w:asciiTheme="minorEastAsia" w:hAnsiTheme="minorEastAsia"/>
          <w:b/>
          <w:sz w:val="28"/>
          <w:szCs w:val="28"/>
        </w:rPr>
      </w:pPr>
      <w:bookmarkStart w:id="78" w:name="_Toc65169726"/>
      <w:r>
        <w:rPr>
          <w:rFonts w:hint="eastAsia" w:asciiTheme="minorEastAsia" w:hAnsiTheme="minorEastAsia"/>
          <w:b/>
          <w:sz w:val="28"/>
          <w:szCs w:val="28"/>
          <w:lang w:val="zh-CN"/>
        </w:rPr>
        <w:t>★</w:t>
      </w:r>
      <w:r>
        <w:rPr>
          <w:rFonts w:hint="eastAsia" w:cs="Helvetica" w:asciiTheme="minorEastAsia" w:hAnsiTheme="minorEastAsia"/>
          <w:b/>
          <w:sz w:val="28"/>
          <w:szCs w:val="28"/>
        </w:rPr>
        <w:t>一、</w:t>
      </w:r>
      <w:r>
        <w:rPr>
          <w:rFonts w:hint="eastAsia" w:cs="宋体" w:asciiTheme="minorEastAsia" w:hAnsiTheme="minorEastAsia"/>
          <w:b/>
          <w:sz w:val="28"/>
          <w:szCs w:val="28"/>
        </w:rPr>
        <w:t>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项目提供的所有产品、辅材中属于《国家强制性产品认证目录》范围内产品的，均通过国家强制性产品认证并取得认证证书。</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r>
        <w:rPr>
          <w:rFonts w:hint="eastAsia" w:asciiTheme="minorEastAsia" w:hAnsiTheme="minorEastAsia"/>
          <w:b/>
          <w:sz w:val="28"/>
          <w:szCs w:val="28"/>
          <w:lang w:val="zh-CN"/>
        </w:rPr>
        <w:t>★</w:t>
      </w:r>
      <w:r>
        <w:rPr>
          <w:rFonts w:hint="eastAsia" w:cs="宋体" w:asciiTheme="minorEastAsia" w:hAnsiTheme="minorEastAsia"/>
          <w:b/>
          <w:sz w:val="28"/>
          <w:szCs w:val="28"/>
        </w:rPr>
        <w:t>二、供应商</w:t>
      </w:r>
      <w:r>
        <w:rPr>
          <w:rFonts w:cs="宋体" w:asciiTheme="minorEastAsia" w:hAnsiTheme="minorEastAsia"/>
          <w:b/>
          <w:sz w:val="28"/>
          <w:szCs w:val="28"/>
        </w:rPr>
        <w:t>为</w:t>
      </w:r>
      <w:r>
        <w:rPr>
          <w:rFonts w:hint="eastAsia" w:cs="宋体" w:asciiTheme="minorEastAsia" w:hAnsiTheme="minorEastAsia"/>
          <w:b/>
          <w:sz w:val="28"/>
          <w:szCs w:val="28"/>
        </w:rPr>
        <w:t>本</w:t>
      </w:r>
      <w:r>
        <w:rPr>
          <w:rFonts w:cs="宋体" w:asciiTheme="minorEastAsia" w:hAnsiTheme="minorEastAsia"/>
          <w:b/>
          <w:sz w:val="28"/>
          <w:szCs w:val="28"/>
        </w:rPr>
        <w:t>项目提供的所有产品、辅材</w:t>
      </w:r>
      <w:r>
        <w:rPr>
          <w:rFonts w:hint="eastAsia" w:asciiTheme="minorEastAsia" w:hAnsiTheme="minorEastAsia"/>
          <w:b/>
          <w:sz w:val="28"/>
          <w:szCs w:val="28"/>
        </w:rPr>
        <w:t>符合现行的强制性国家相关标准、行业标准。</w:t>
      </w:r>
      <w:r>
        <w:rPr>
          <w:rFonts w:asciiTheme="minorEastAsia" w:hAnsiTheme="minorEastAsia"/>
          <w:b/>
          <w:sz w:val="28"/>
          <w:szCs w:val="28"/>
        </w:rPr>
        <w:t>（说明：按照</w:t>
      </w:r>
      <w:r>
        <w:rPr>
          <w:rFonts w:hint="eastAsia" w:asciiTheme="minorEastAsia" w:hAnsiTheme="minorEastAsia"/>
          <w:b/>
          <w:sz w:val="28"/>
          <w:szCs w:val="28"/>
        </w:rPr>
        <w:t>询价通知书</w:t>
      </w:r>
      <w:r>
        <w:rPr>
          <w:rFonts w:asciiTheme="minorEastAsia" w:hAnsiTheme="minorEastAsia"/>
          <w:b/>
          <w:sz w:val="28"/>
          <w:szCs w:val="28"/>
        </w:rPr>
        <w:t>3.1.3.5承诺函内容进行承诺。）</w:t>
      </w:r>
    </w:p>
    <w:p>
      <w:pPr>
        <w:spacing w:line="560" w:lineRule="exact"/>
        <w:ind w:firstLine="562" w:firstLineChars="200"/>
        <w:rPr>
          <w:rFonts w:asciiTheme="minorEastAsia" w:hAnsiTheme="minorEastAsia"/>
          <w:b/>
          <w:sz w:val="28"/>
          <w:szCs w:val="28"/>
        </w:rPr>
      </w:pPr>
    </w:p>
    <w:p>
      <w:pPr>
        <w:pStyle w:val="4"/>
        <w:rPr>
          <w:sz w:val="32"/>
          <w:szCs w:val="32"/>
        </w:rPr>
      </w:pPr>
      <w:bookmarkStart w:id="79" w:name="_Toc13074"/>
      <w:r>
        <w:rPr>
          <w:rFonts w:hint="eastAsia"/>
          <w:sz w:val="32"/>
          <w:szCs w:val="32"/>
        </w:rPr>
        <w:t>违约责任</w:t>
      </w:r>
      <w:bookmarkEnd w:id="78"/>
      <w:bookmarkEnd w:id="79"/>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一、因甲方原因导致变更、中止或者终止政府采购合同的，甲方应当对乙方受到的损失予以赔偿或者补偿。</w:t>
      </w:r>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二</w:t>
      </w:r>
      <w:r>
        <w:rPr>
          <w:rFonts w:ascii="宋体" w:hAnsi="宋体" w:cs="宋体"/>
          <w:sz w:val="28"/>
          <w:szCs w:val="28"/>
          <w:lang w:val="zh-CN"/>
        </w:rPr>
        <w:t>、</w:t>
      </w:r>
      <w:r>
        <w:rPr>
          <w:rFonts w:hint="eastAsia" w:asciiTheme="minorEastAsia" w:hAnsiTheme="minorEastAsia" w:eastAsiaTheme="minorEastAsia" w:cstheme="minorEastAsia"/>
          <w:color w:val="000000" w:themeColor="text1"/>
          <w:sz w:val="28"/>
          <w:szCs w:val="28"/>
          <w14:textFill>
            <w14:solidFill>
              <w14:schemeClr w14:val="tx1"/>
            </w14:solidFill>
          </w14:textFill>
        </w:rPr>
        <w:t>乙方在服务期内无质量问题和违约行为的，甲方应准时支付乙方合同资金，如逾期，则按应付金额每日1‰标准向乙方赔付违约金。</w:t>
      </w:r>
    </w:p>
    <w:p>
      <w:pPr>
        <w:pStyle w:val="4"/>
        <w:tabs>
          <w:tab w:val="left" w:pos="993"/>
          <w:tab w:val="clear" w:pos="426"/>
          <w:tab w:val="clear" w:pos="567"/>
        </w:tabs>
        <w:ind w:left="0" w:firstLine="0"/>
      </w:pPr>
      <w:bookmarkStart w:id="80" w:name="_Toc21849"/>
      <w:r>
        <w:rPr>
          <w:rFonts w:hint="eastAsia"/>
        </w:rPr>
        <w:t>报价要求</w:t>
      </w:r>
      <w:bookmarkEnd w:id="80"/>
    </w:p>
    <w:p>
      <w:pPr>
        <w:pStyle w:val="5"/>
        <w:tabs>
          <w:tab w:val="left" w:pos="709"/>
        </w:tabs>
        <w:ind w:left="1135" w:hanging="1135"/>
        <w:jc w:val="left"/>
        <w:rPr>
          <w:color w:val="auto"/>
        </w:rPr>
      </w:pPr>
      <w:r>
        <w:rPr>
          <w:rFonts w:hint="eastAsia"/>
          <w:color w:val="auto"/>
        </w:rPr>
        <w:t>最高限价</w:t>
      </w:r>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246.5</w:t>
      </w:r>
      <w:r>
        <w:rPr>
          <w:rFonts w:hint="eastAsia" w:ascii="宋体" w:hAnsi="宋体"/>
          <w:b/>
          <w:bCs/>
          <w:sz w:val="28"/>
          <w:szCs w:val="28"/>
        </w:rPr>
        <w:t>万元，供应商报价高于最高限价的则其响应文件将按无效响应文件处理。</w:t>
      </w:r>
    </w:p>
    <w:p>
      <w:pPr>
        <w:pStyle w:val="5"/>
        <w:tabs>
          <w:tab w:val="left" w:pos="709"/>
        </w:tabs>
        <w:ind w:left="1135" w:hanging="1135"/>
        <w:jc w:val="left"/>
        <w:rPr>
          <w:color w:val="auto"/>
        </w:rPr>
      </w:pPr>
      <w:r>
        <w:rPr>
          <w:rFonts w:hint="eastAsia"/>
          <w:color w:val="auto"/>
        </w:rPr>
        <w:t>其他要求</w:t>
      </w:r>
    </w:p>
    <w:p>
      <w:pPr>
        <w:pStyle w:val="80"/>
        <w:widowControl w:val="0"/>
        <w:numPr>
          <w:ilvl w:val="0"/>
          <w:numId w:val="33"/>
        </w:numPr>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4"/>
        <w:spacing w:after="200"/>
      </w:pPr>
      <w:bookmarkStart w:id="81" w:name="_Toc71554969"/>
      <w:bookmarkStart w:id="82" w:name="_Toc11506"/>
      <w:bookmarkStart w:id="83" w:name="_Toc54948228"/>
      <w:r>
        <w:rPr>
          <w:rFonts w:hint="eastAsia"/>
        </w:rPr>
        <w:t>满足采购需求的最低要求</w:t>
      </w:r>
      <w:bookmarkEnd w:id="81"/>
      <w:bookmarkEnd w:id="82"/>
      <w:bookmarkEnd w:id="83"/>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bookmarkEnd w:id="70"/>
    <w:bookmarkEnd w:id="71"/>
    <w:p>
      <w:pPr>
        <w:pStyle w:val="3"/>
        <w:numPr>
          <w:ilvl w:val="0"/>
          <w:numId w:val="1"/>
        </w:numPr>
        <w:spacing w:before="0" w:after="0"/>
        <w:ind w:left="0" w:firstLine="0"/>
      </w:pPr>
      <w:bookmarkStart w:id="84" w:name="_Toc28302"/>
      <w:bookmarkStart w:id="85" w:name="_Toc360696963"/>
      <w:bookmarkStart w:id="86" w:name="_Toc205604899"/>
      <w:bookmarkStart w:id="87" w:name="_Toc236285891"/>
      <w:bookmarkStart w:id="88" w:name="_Toc238273564"/>
      <w:r>
        <w:rPr>
          <w:rFonts w:hint="eastAsia"/>
        </w:rPr>
        <w:t>询价办法</w:t>
      </w:r>
      <w:bookmarkEnd w:id="84"/>
    </w:p>
    <w:p>
      <w:pPr>
        <w:pStyle w:val="4"/>
        <w:tabs>
          <w:tab w:val="left" w:pos="993"/>
          <w:tab w:val="clear" w:pos="426"/>
          <w:tab w:val="clear" w:pos="567"/>
        </w:tabs>
        <w:ind w:left="0" w:firstLine="0"/>
      </w:pPr>
      <w:bookmarkStart w:id="89" w:name="_Toc1394"/>
      <w:r>
        <w:rPr>
          <w:rFonts w:hint="eastAsia"/>
        </w:rPr>
        <w:t>总则</w:t>
      </w:r>
      <w:bookmarkEnd w:id="89"/>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5"/>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90" w:name="_Toc20178"/>
      <w:r>
        <w:rPr>
          <w:rFonts w:hint="eastAsia"/>
        </w:rPr>
        <w:t>询价</w:t>
      </w:r>
      <w:r>
        <w:t>采购活动</w:t>
      </w:r>
      <w:r>
        <w:rPr>
          <w:rFonts w:hint="eastAsia"/>
        </w:rPr>
        <w:t>程序</w:t>
      </w:r>
      <w:bookmarkEnd w:id="90"/>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在成都市公共资源交易服务中心“政府采购云平台”进行。询价采购</w:t>
      </w:r>
      <w:r>
        <w:rPr>
          <w:rFonts w:ascii="宋体" w:hAnsi="宋体"/>
          <w:sz w:val="28"/>
          <w:szCs w:val="28"/>
        </w:rPr>
        <w:t>活动</w:t>
      </w:r>
      <w:r>
        <w:rPr>
          <w:rFonts w:hint="eastAsia" w:ascii="宋体" w:hAnsi="宋体"/>
          <w:sz w:val="28"/>
          <w:szCs w:val="28"/>
        </w:rPr>
        <w:t>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91" w:name="_Toc320698736"/>
      <w:bookmarkStart w:id="92" w:name="_Toc63437907"/>
      <w:bookmarkStart w:id="93" w:name="_Toc9468"/>
      <w:bookmarkStart w:id="94" w:name="_Toc63084321"/>
      <w:r>
        <w:rPr>
          <w:rFonts w:hint="eastAsia"/>
        </w:rPr>
        <w:t>递交响应文件</w:t>
      </w:r>
      <w:bookmarkEnd w:id="91"/>
      <w:bookmarkEnd w:id="92"/>
      <w:bookmarkEnd w:id="93"/>
      <w:bookmarkEnd w:id="94"/>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rPr>
          <w:highlight w:val="none"/>
        </w:rPr>
      </w:pPr>
      <w:bookmarkStart w:id="95" w:name="_Toc13902"/>
      <w:bookmarkStart w:id="96" w:name="_Toc63084322"/>
      <w:bookmarkStart w:id="97" w:name="_Toc63437908"/>
      <w:r>
        <w:rPr>
          <w:rFonts w:hint="eastAsia"/>
          <w:highlight w:val="none"/>
        </w:rPr>
        <w:t>确定邀请参加询价</w:t>
      </w:r>
      <w:r>
        <w:rPr>
          <w:highlight w:val="none"/>
        </w:rPr>
        <w:t>采购活动</w:t>
      </w:r>
      <w:r>
        <w:rPr>
          <w:rFonts w:hint="eastAsia"/>
          <w:highlight w:val="none"/>
        </w:rPr>
        <w:t>的供应商数量</w:t>
      </w:r>
      <w:bookmarkEnd w:id="95"/>
      <w:bookmarkEnd w:id="96"/>
      <w:bookmarkEnd w:id="97"/>
    </w:p>
    <w:p>
      <w:pPr>
        <w:tabs>
          <w:tab w:val="left" w:pos="1134"/>
        </w:tabs>
        <w:spacing w:line="360" w:lineRule="auto"/>
        <w:ind w:firstLine="560" w:firstLineChars="200"/>
        <w:rPr>
          <w:rFonts w:ascii="宋体" w:hAnsi="宋体"/>
          <w:sz w:val="28"/>
          <w:szCs w:val="28"/>
          <w:highlight w:val="none"/>
        </w:rPr>
      </w:pPr>
      <w:r>
        <w:rPr>
          <w:rFonts w:hint="eastAsia" w:ascii="宋体" w:hAnsi="宋体" w:cs="宋体"/>
          <w:bCs/>
          <w:sz w:val="28"/>
          <w:szCs w:val="28"/>
          <w:highlight w:val="none"/>
        </w:rPr>
        <w:t>通过资格审查的供应商为被询价的供应商。</w:t>
      </w:r>
    </w:p>
    <w:p>
      <w:pPr>
        <w:pStyle w:val="4"/>
        <w:numPr>
          <w:ilvl w:val="2"/>
          <w:numId w:val="1"/>
        </w:numPr>
        <w:tabs>
          <w:tab w:val="left" w:pos="993"/>
          <w:tab w:val="clear" w:pos="426"/>
          <w:tab w:val="clear" w:pos="567"/>
        </w:tabs>
      </w:pPr>
      <w:bookmarkStart w:id="98" w:name="_Toc1755"/>
      <w:bookmarkStart w:id="99" w:name="_Toc63437909"/>
      <w:bookmarkStart w:id="100" w:name="_Toc63084323"/>
      <w:bookmarkStart w:id="101" w:name="_Toc287623646"/>
      <w:r>
        <w:rPr>
          <w:rFonts w:hint="eastAsia"/>
        </w:rPr>
        <w:t>成立询价小组</w:t>
      </w:r>
      <w:bookmarkEnd w:id="98"/>
      <w:bookmarkEnd w:id="99"/>
      <w:bookmarkEnd w:id="100"/>
      <w:bookmarkEnd w:id="101"/>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2" w:name="_Toc2013"/>
      <w:r>
        <w:rPr>
          <w:rFonts w:hint="eastAsia"/>
        </w:rPr>
        <w:t>资格审查</w:t>
      </w:r>
      <w:bookmarkEnd w:id="102"/>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供应商资格申明的函</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单位负责人为同一人或者存在直接控股、管理关系的不同供应商，不得参加同一项目的询价</w:t>
            </w:r>
            <w:r>
              <w:rPr>
                <w:sz w:val="20"/>
              </w:rPr>
              <w:t>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bookmarkStart w:id="103" w:name="_Toc63084325"/>
      <w:bookmarkStart w:id="104"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市公资交易中心将通知供应商（以短信、现场公示、电话、“政府采购云平台”等任一方式）。供应商如对资格审查结论有异议的，应及时向市公资交易中心反馈意见。市公资交易中心将及时告知询价小组。（说明：无论供应商是否收到通知或提供反馈意见，均不影响资格审查和评审工作，且市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4"/>
        <w:numPr>
          <w:ilvl w:val="2"/>
          <w:numId w:val="1"/>
        </w:numPr>
        <w:tabs>
          <w:tab w:val="left" w:pos="993"/>
          <w:tab w:val="clear" w:pos="426"/>
          <w:tab w:val="clear" w:pos="567"/>
        </w:tabs>
      </w:pPr>
      <w:bookmarkStart w:id="105" w:name="_Toc27723"/>
      <w:r>
        <w:rPr>
          <w:rFonts w:hint="eastAsia"/>
        </w:rPr>
        <w:t>符合性审查</w:t>
      </w:r>
      <w:bookmarkEnd w:id="103"/>
      <w:bookmarkEnd w:id="104"/>
      <w:bookmarkEnd w:id="105"/>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36"/>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市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106" w:name="_Toc63084326"/>
      <w:bookmarkStart w:id="107" w:name="_Toc2642"/>
      <w:bookmarkStart w:id="108" w:name="_Toc63437912"/>
      <w:r>
        <w:rPr>
          <w:rFonts w:hint="eastAsia"/>
        </w:rPr>
        <w:t>报价及</w:t>
      </w:r>
      <w:r>
        <w:t>报价</w:t>
      </w:r>
      <w:r>
        <w:rPr>
          <w:rFonts w:hint="eastAsia"/>
        </w:rPr>
        <w:t>审查</w:t>
      </w:r>
      <w:bookmarkEnd w:id="106"/>
      <w:bookmarkEnd w:id="107"/>
      <w:bookmarkEnd w:id="108"/>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8"/>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8"/>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7"/>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39"/>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109" w:name="_Toc2359"/>
      <w:bookmarkStart w:id="110" w:name="_Toc63437913"/>
      <w:bookmarkStart w:id="111" w:name="_Toc63084327"/>
      <w:r>
        <w:rPr>
          <w:rFonts w:hint="eastAsia"/>
        </w:rPr>
        <w:t>解释、澄清、说明的有关问题</w:t>
      </w:r>
      <w:bookmarkEnd w:id="109"/>
      <w:bookmarkEnd w:id="110"/>
      <w:bookmarkEnd w:id="111"/>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112" w:name="_Toc4298"/>
      <w:bookmarkStart w:id="113" w:name="_Toc63437914"/>
      <w:bookmarkStart w:id="114" w:name="_Toc63084328"/>
      <w:r>
        <w:rPr>
          <w:rFonts w:hint="eastAsia"/>
        </w:rPr>
        <w:t>比较与评价</w:t>
      </w:r>
      <w:bookmarkEnd w:id="112"/>
      <w:bookmarkEnd w:id="113"/>
      <w:bookmarkEnd w:id="114"/>
    </w:p>
    <w:p>
      <w:pPr>
        <w:tabs>
          <w:tab w:val="left" w:pos="851"/>
        </w:tabs>
        <w:spacing w:line="360" w:lineRule="auto"/>
        <w:ind w:firstLine="565" w:firstLineChars="202"/>
        <w:rPr>
          <w:rFonts w:ascii="宋体" w:hAnsi="宋体"/>
          <w:sz w:val="28"/>
          <w:szCs w:val="28"/>
        </w:rPr>
      </w:pPr>
      <w:bookmarkStart w:id="115" w:name="_Toc63084329"/>
      <w:bookmarkStart w:id="116" w:name="_Toc63437915"/>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117" w:name="_Toc32700"/>
      <w:r>
        <w:rPr>
          <w:rFonts w:hint="eastAsia"/>
        </w:rPr>
        <w:t>询价小组复核</w:t>
      </w:r>
      <w:bookmarkEnd w:id="115"/>
      <w:bookmarkEnd w:id="116"/>
      <w:bookmarkEnd w:id="117"/>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8" w:name="_Toc10902"/>
      <w:bookmarkStart w:id="119" w:name="_Toc63437916"/>
      <w:bookmarkStart w:id="120" w:name="_Toc63084330"/>
      <w:r>
        <w:rPr>
          <w:rFonts w:hint="eastAsia"/>
        </w:rPr>
        <w:t>推荐成交候选供应商</w:t>
      </w:r>
      <w:bookmarkEnd w:id="118"/>
      <w:bookmarkEnd w:id="119"/>
      <w:bookmarkEnd w:id="120"/>
    </w:p>
    <w:p>
      <w:pPr>
        <w:snapToGrid w:val="0"/>
        <w:spacing w:line="620" w:lineRule="exact"/>
        <w:ind w:firstLine="585" w:firstLineChars="209"/>
        <w:rPr>
          <w:rFonts w:ascii="宋体" w:hAnsi="宋体"/>
          <w:sz w:val="28"/>
          <w:szCs w:val="28"/>
        </w:rPr>
      </w:pPr>
      <w:bookmarkStart w:id="121" w:name="_Toc63437917"/>
      <w:bookmarkStart w:id="122" w:name="_Toc63084331"/>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供应商报价相同的，由询价小组组织供应商抽签确定推荐的成交候选供应商顺序。</w:t>
      </w:r>
    </w:p>
    <w:p>
      <w:pPr>
        <w:pStyle w:val="4"/>
        <w:numPr>
          <w:ilvl w:val="2"/>
          <w:numId w:val="1"/>
        </w:numPr>
        <w:tabs>
          <w:tab w:val="left" w:pos="993"/>
          <w:tab w:val="clear" w:pos="426"/>
          <w:tab w:val="clear" w:pos="567"/>
        </w:tabs>
      </w:pPr>
      <w:bookmarkStart w:id="123" w:name="_Toc26855"/>
      <w:r>
        <w:rPr>
          <w:rFonts w:hint="eastAsia"/>
        </w:rPr>
        <w:t>编写评审报告</w:t>
      </w:r>
      <w:bookmarkEnd w:id="121"/>
      <w:bookmarkEnd w:id="122"/>
      <w:bookmarkEnd w:id="123"/>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24" w:name="_Toc54948232"/>
      <w:bookmarkStart w:id="125" w:name="_Toc63437918"/>
      <w:bookmarkStart w:id="126" w:name="_Toc63084332"/>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27" w:name="_Toc16267"/>
      <w:r>
        <w:rPr>
          <w:rFonts w:hint="eastAsia"/>
        </w:rPr>
        <w:t>争议处理规则</w:t>
      </w:r>
      <w:bookmarkEnd w:id="124"/>
      <w:bookmarkEnd w:id="125"/>
      <w:bookmarkEnd w:id="126"/>
      <w:bookmarkEnd w:id="127"/>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28" w:name="_Toc494095672"/>
      <w:bookmarkEnd w:id="128"/>
      <w:bookmarkStart w:id="129" w:name="_Toc494095680"/>
      <w:bookmarkEnd w:id="129"/>
      <w:bookmarkStart w:id="130" w:name="_Toc494357029"/>
      <w:bookmarkEnd w:id="130"/>
      <w:bookmarkStart w:id="131" w:name="_Toc494357021"/>
      <w:bookmarkEnd w:id="131"/>
      <w:bookmarkStart w:id="132" w:name="_Toc494357032"/>
      <w:bookmarkEnd w:id="132"/>
      <w:bookmarkStart w:id="133" w:name="_Toc494095678"/>
      <w:bookmarkEnd w:id="133"/>
      <w:bookmarkStart w:id="134" w:name="_Toc494357033"/>
      <w:bookmarkEnd w:id="134"/>
      <w:bookmarkStart w:id="135" w:name="_Toc494357034"/>
      <w:bookmarkEnd w:id="135"/>
      <w:bookmarkStart w:id="136" w:name="_Toc494357022"/>
      <w:bookmarkEnd w:id="136"/>
      <w:bookmarkStart w:id="137" w:name="_Toc494357031"/>
      <w:bookmarkEnd w:id="137"/>
      <w:bookmarkStart w:id="138" w:name="_Toc494095679"/>
      <w:bookmarkEnd w:id="138"/>
      <w:bookmarkStart w:id="139" w:name="_Toc494357025"/>
      <w:bookmarkEnd w:id="139"/>
      <w:bookmarkStart w:id="140" w:name="_Toc494095670"/>
      <w:bookmarkEnd w:id="140"/>
      <w:bookmarkStart w:id="141" w:name="_Toc494357023"/>
      <w:bookmarkEnd w:id="141"/>
      <w:bookmarkStart w:id="142" w:name="_Toc494095675"/>
      <w:bookmarkEnd w:id="142"/>
      <w:bookmarkStart w:id="143" w:name="_Toc494095677"/>
      <w:bookmarkEnd w:id="143"/>
      <w:bookmarkStart w:id="144" w:name="_Toc494357024"/>
      <w:bookmarkEnd w:id="144"/>
      <w:bookmarkStart w:id="145" w:name="_Toc494095669"/>
      <w:bookmarkEnd w:id="145"/>
      <w:bookmarkStart w:id="146" w:name="_Toc494095673"/>
      <w:bookmarkEnd w:id="146"/>
      <w:bookmarkStart w:id="147" w:name="_Toc494095671"/>
      <w:bookmarkEnd w:id="147"/>
      <w:bookmarkStart w:id="148" w:name="_Toc494357035"/>
      <w:bookmarkEnd w:id="148"/>
      <w:bookmarkStart w:id="149" w:name="_Toc494095681"/>
      <w:bookmarkEnd w:id="149"/>
      <w:bookmarkStart w:id="150" w:name="_Toc494095682"/>
      <w:bookmarkEnd w:id="150"/>
      <w:bookmarkStart w:id="151" w:name="_Toc494357030"/>
      <w:bookmarkEnd w:id="151"/>
      <w:bookmarkStart w:id="152" w:name="_Toc494357027"/>
      <w:bookmarkEnd w:id="152"/>
      <w:bookmarkStart w:id="153" w:name="_Toc494357026"/>
      <w:bookmarkEnd w:id="153"/>
      <w:bookmarkStart w:id="154" w:name="_Toc494095668"/>
      <w:bookmarkEnd w:id="154"/>
      <w:bookmarkStart w:id="155" w:name="_Toc494357028"/>
      <w:bookmarkEnd w:id="155"/>
      <w:bookmarkStart w:id="156" w:name="_Toc494095676"/>
      <w:bookmarkEnd w:id="156"/>
      <w:bookmarkStart w:id="157" w:name="_Toc494095674"/>
      <w:bookmarkEnd w:id="157"/>
      <w:bookmarkStart w:id="158" w:name="_Toc23627"/>
      <w:bookmarkStart w:id="159" w:name="_Toc54948234"/>
      <w:r>
        <w:rPr>
          <w:rFonts w:hint="eastAsia"/>
        </w:rPr>
        <w:t>采购失败情形</w:t>
      </w:r>
      <w:bookmarkEnd w:id="158"/>
      <w:bookmarkEnd w:id="159"/>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60" w:name="_Toc54948235"/>
      <w:bookmarkStart w:id="161" w:name="_Toc25526"/>
      <w:r>
        <w:rPr>
          <w:rFonts w:hint="eastAsia"/>
        </w:rPr>
        <w:t>确定成交供应商</w:t>
      </w:r>
      <w:bookmarkEnd w:id="160"/>
      <w:bookmarkEnd w:id="161"/>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p>
    <w:p>
      <w:pPr>
        <w:numPr>
          <w:ilvl w:val="0"/>
          <w:numId w:val="4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2"/>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2"/>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2" w:name="_Toc287623649"/>
      <w:r>
        <w:rPr>
          <w:rFonts w:hint="eastAsia" w:ascii="宋体" w:hAnsi="宋体" w:cs="宋体"/>
          <w:sz w:val="28"/>
          <w:szCs w:val="28"/>
        </w:rPr>
        <w:t>成交候选供应商存在违法、违纪行为的；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3"/>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62"/>
    </w:p>
    <w:p>
      <w:pPr>
        <w:pStyle w:val="4"/>
        <w:tabs>
          <w:tab w:val="left" w:pos="993"/>
          <w:tab w:val="clear" w:pos="426"/>
          <w:tab w:val="clear" w:pos="567"/>
        </w:tabs>
        <w:ind w:left="0" w:firstLine="0"/>
      </w:pPr>
      <w:bookmarkStart w:id="163" w:name="_Toc13666"/>
      <w:bookmarkStart w:id="164" w:name="_Toc54948236"/>
      <w:r>
        <w:rPr>
          <w:rFonts w:hint="eastAsia"/>
        </w:rPr>
        <w:t>询价小组成员义务</w:t>
      </w:r>
      <w:bookmarkEnd w:id="163"/>
      <w:bookmarkEnd w:id="164"/>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44"/>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65" w:name="_Toc17861"/>
      <w:bookmarkStart w:id="166" w:name="_Toc54948238"/>
      <w:r>
        <w:rPr>
          <w:rFonts w:hint="eastAsia"/>
        </w:rPr>
        <w:t>询价采购</w:t>
      </w:r>
      <w:r>
        <w:t>活动</w:t>
      </w:r>
      <w:r>
        <w:rPr>
          <w:rFonts w:hint="eastAsia"/>
        </w:rPr>
        <w:t>纪律</w:t>
      </w:r>
      <w:bookmarkEnd w:id="165"/>
      <w:bookmarkEnd w:id="166"/>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进入评标区之前应将所有的通信设备存入市公资交易中心指定的存放处。</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45"/>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Style w:val="2"/>
        <w:ind w:firstLine="560" w:firstLineChars="200"/>
      </w:pPr>
      <w:r>
        <w:rPr>
          <w:rFonts w:hint="eastAsia" w:ascii="宋体" w:hAnsi="宋体"/>
          <w:sz w:val="28"/>
          <w:szCs w:val="28"/>
        </w:rPr>
        <w:t>十、有关部门（机构）制定的其他评审工作纪律。</w:t>
      </w:r>
    </w:p>
    <w:p/>
    <w:p>
      <w:pPr>
        <w:pStyle w:val="2"/>
      </w:pPr>
    </w:p>
    <w:p/>
    <w:p>
      <w:pPr>
        <w:pStyle w:val="2"/>
      </w:pPr>
    </w:p>
    <w:p/>
    <w:p>
      <w:pPr>
        <w:pStyle w:val="2"/>
      </w:pPr>
    </w:p>
    <w:p>
      <w:pPr>
        <w:pStyle w:val="2"/>
      </w:pPr>
    </w:p>
    <w:p>
      <w:pPr>
        <w:pStyle w:val="3"/>
        <w:numPr>
          <w:ilvl w:val="0"/>
          <w:numId w:val="1"/>
        </w:numPr>
        <w:spacing w:before="0" w:after="0"/>
        <w:ind w:left="0" w:firstLine="0"/>
      </w:pPr>
      <w:bookmarkStart w:id="167" w:name="_Toc3286"/>
      <w:r>
        <w:rPr>
          <w:rFonts w:hint="eastAsia"/>
        </w:rPr>
        <w:t>政府</w:t>
      </w:r>
      <w:r>
        <w:t>采购</w:t>
      </w:r>
      <w:r>
        <w:rPr>
          <w:rFonts w:hint="eastAsia"/>
        </w:rPr>
        <w:t>合同草案</w:t>
      </w:r>
      <w:bookmarkEnd w:id="167"/>
    </w:p>
    <w:p>
      <w:pPr>
        <w:spacing w:line="360" w:lineRule="auto"/>
        <w:jc w:val="center"/>
        <w:rPr>
          <w:rFonts w:ascii="宋体" w:hAnsi="宋体" w:cs="宋体"/>
          <w:sz w:val="32"/>
          <w:szCs w:val="32"/>
        </w:rPr>
      </w:pPr>
      <w:bookmarkStart w:id="168" w:name="_Toc337558811"/>
      <w:bookmarkStart w:id="169" w:name="_Toc296503113"/>
      <w:bookmarkStart w:id="170" w:name="_Toc296346614"/>
    </w:p>
    <w:bookmarkEnd w:id="168"/>
    <w:bookmarkEnd w:id="169"/>
    <w:bookmarkEnd w:id="170"/>
    <w:p>
      <w:pPr>
        <w:spacing w:line="360" w:lineRule="auto"/>
        <w:ind w:firstLine="600" w:firstLineChars="200"/>
        <w:rPr>
          <w:rFonts w:hint="default" w:ascii="仿宋" w:hAnsi="仿宋" w:eastAsia="仿宋"/>
          <w:sz w:val="30"/>
          <w:szCs w:val="30"/>
          <w:lang w:val="en-US" w:eastAsia="zh-CN"/>
        </w:rPr>
      </w:pPr>
      <w:r>
        <w:rPr>
          <w:rFonts w:hint="eastAsia" w:ascii="仿宋" w:hAnsi="仿宋" w:eastAsia="仿宋"/>
          <w:sz w:val="30"/>
          <w:szCs w:val="30"/>
        </w:rPr>
        <w:t>合同编号：PZJYJZCG-20</w:t>
      </w:r>
      <w:r>
        <w:rPr>
          <w:rFonts w:hint="eastAsia" w:ascii="仿宋" w:hAnsi="仿宋" w:eastAsia="仿宋"/>
          <w:sz w:val="30"/>
          <w:szCs w:val="30"/>
          <w:lang w:val="en-US" w:eastAsia="zh-CN"/>
        </w:rPr>
        <w:t>21XXXX</w:t>
      </w:r>
    </w:p>
    <w:p>
      <w:pPr>
        <w:spacing w:line="360" w:lineRule="auto"/>
        <w:ind w:firstLine="600" w:firstLineChars="200"/>
        <w:rPr>
          <w:rFonts w:ascii="仿宋" w:hAnsi="仿宋" w:eastAsia="仿宋"/>
          <w:sz w:val="30"/>
          <w:szCs w:val="30"/>
        </w:rPr>
      </w:pPr>
      <w:r>
        <w:rPr>
          <w:rFonts w:hint="eastAsia" w:ascii="仿宋" w:hAnsi="仿宋" w:eastAsia="仿宋"/>
          <w:sz w:val="30"/>
          <w:szCs w:val="30"/>
        </w:rPr>
        <w:t>签订地点：彭州市</w:t>
      </w:r>
    </w:p>
    <w:p>
      <w:pPr>
        <w:spacing w:line="360" w:lineRule="auto"/>
        <w:ind w:firstLine="600" w:firstLineChars="200"/>
        <w:rPr>
          <w:rFonts w:ascii="仿宋" w:hAnsi="仿宋" w:eastAsia="仿宋"/>
          <w:sz w:val="30"/>
          <w:szCs w:val="30"/>
        </w:rPr>
      </w:pPr>
      <w:r>
        <w:rPr>
          <w:rFonts w:hint="eastAsia" w:ascii="仿宋" w:hAnsi="仿宋" w:eastAsia="仿宋"/>
          <w:sz w:val="30"/>
          <w:szCs w:val="30"/>
        </w:rPr>
        <w:t>签订时间：</w:t>
      </w:r>
      <w:r>
        <w:rPr>
          <w:rFonts w:hint="eastAsia" w:ascii="仿宋" w:hAnsi="仿宋" w:eastAsia="仿宋"/>
          <w:sz w:val="30"/>
          <w:szCs w:val="30"/>
          <w:lang w:val="en-US" w:eastAsia="zh-CN"/>
        </w:rPr>
        <w:t xml:space="preserve"> </w:t>
      </w:r>
      <w:r>
        <w:rPr>
          <w:rFonts w:hint="eastAsia" w:ascii="仿宋" w:hAnsi="仿宋" w:eastAsia="仿宋"/>
          <w:sz w:val="30"/>
          <w:szCs w:val="30"/>
        </w:rPr>
        <w:t>年</w:t>
      </w:r>
      <w:r>
        <w:rPr>
          <w:rFonts w:hint="eastAsia" w:ascii="仿宋" w:hAnsi="仿宋" w:eastAsia="仿宋"/>
          <w:sz w:val="30"/>
          <w:szCs w:val="30"/>
          <w:lang w:val="en-US" w:eastAsia="zh-CN"/>
        </w:rPr>
        <w:t xml:space="preserve"> </w:t>
      </w:r>
      <w:r>
        <w:rPr>
          <w:rFonts w:hint="eastAsia" w:ascii="仿宋" w:hAnsi="仿宋" w:eastAsia="仿宋"/>
          <w:sz w:val="30"/>
          <w:szCs w:val="30"/>
        </w:rPr>
        <w:t>月</w:t>
      </w:r>
      <w:r>
        <w:rPr>
          <w:rFonts w:hint="eastAsia" w:ascii="仿宋" w:hAnsi="仿宋" w:eastAsia="仿宋"/>
          <w:sz w:val="30"/>
          <w:szCs w:val="30"/>
          <w:lang w:val="en-US" w:eastAsia="zh-CN"/>
        </w:rPr>
        <w:t xml:space="preserve"> </w:t>
      </w:r>
      <w:r>
        <w:rPr>
          <w:rFonts w:hint="eastAsia" w:ascii="仿宋" w:hAnsi="仿宋" w:eastAsia="仿宋"/>
          <w:sz w:val="30"/>
          <w:szCs w:val="30"/>
        </w:rPr>
        <w:t>日</w:t>
      </w:r>
    </w:p>
    <w:p>
      <w:pPr>
        <w:spacing w:line="360" w:lineRule="auto"/>
        <w:ind w:firstLine="600" w:firstLineChars="200"/>
        <w:rPr>
          <w:rFonts w:ascii="仿宋" w:hAnsi="仿宋" w:eastAsia="仿宋"/>
          <w:sz w:val="30"/>
          <w:szCs w:val="30"/>
        </w:rPr>
      </w:pPr>
      <w:r>
        <w:rPr>
          <w:rFonts w:hint="eastAsia" w:ascii="仿宋" w:hAnsi="仿宋" w:eastAsia="仿宋"/>
          <w:sz w:val="30"/>
          <w:szCs w:val="30"/>
        </w:rPr>
        <w:t>采购人（甲方）：彭州市教育局电化教育馆</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供应商（乙</w:t>
      </w:r>
      <w:r>
        <w:rPr>
          <w:rFonts w:ascii="仿宋" w:hAnsi="仿宋" w:eastAsia="仿宋"/>
          <w:sz w:val="30"/>
          <w:szCs w:val="30"/>
        </w:rPr>
        <w:t>方</w:t>
      </w:r>
      <w:r>
        <w:rPr>
          <w:rFonts w:hint="eastAsia" w:ascii="仿宋" w:hAnsi="仿宋" w:eastAsia="仿宋"/>
          <w:sz w:val="30"/>
          <w:szCs w:val="30"/>
        </w:rPr>
        <w:t>）</w:t>
      </w:r>
      <w:r>
        <w:rPr>
          <w:rFonts w:ascii="仿宋" w:hAnsi="仿宋" w:eastAsia="仿宋"/>
          <w:sz w:val="30"/>
          <w:szCs w:val="30"/>
        </w:rPr>
        <w:t>：</w:t>
      </w:r>
    </w:p>
    <w:p>
      <w:pPr>
        <w:spacing w:line="360" w:lineRule="auto"/>
        <w:ind w:firstLine="600" w:firstLineChars="200"/>
        <w:jc w:val="left"/>
        <w:rPr>
          <w:rFonts w:ascii="仿宋" w:hAnsi="仿宋" w:eastAsia="仿宋"/>
          <w:sz w:val="30"/>
          <w:szCs w:val="30"/>
        </w:rPr>
      </w:pPr>
    </w:p>
    <w:p>
      <w:pPr>
        <w:spacing w:line="360" w:lineRule="auto"/>
        <w:ind w:firstLine="600" w:firstLineChars="200"/>
        <w:jc w:val="left"/>
        <w:rPr>
          <w:rFonts w:ascii="仿宋" w:hAnsi="仿宋" w:eastAsia="仿宋"/>
          <w:sz w:val="30"/>
          <w:szCs w:val="30"/>
        </w:rPr>
      </w:pPr>
      <w:r>
        <w:rPr>
          <w:rFonts w:hint="eastAsia" w:ascii="仿宋" w:hAnsi="仿宋" w:eastAsia="仿宋"/>
          <w:sz w:val="30"/>
          <w:szCs w:val="30"/>
        </w:rPr>
        <w:t>根据《中华人民共和国政府采购法》、《中华人民共和国</w:t>
      </w:r>
      <w:r>
        <w:rPr>
          <w:rFonts w:hint="eastAsia" w:ascii="仿宋" w:hAnsi="仿宋" w:eastAsia="仿宋"/>
          <w:sz w:val="30"/>
          <w:szCs w:val="30"/>
          <w:lang w:val="en-US" w:eastAsia="zh-CN"/>
        </w:rPr>
        <w:t>民法典</w:t>
      </w:r>
      <w:r>
        <w:rPr>
          <w:rFonts w:hint="eastAsia" w:ascii="仿宋" w:hAnsi="仿宋" w:eastAsia="仿宋"/>
          <w:sz w:val="30"/>
          <w:szCs w:val="30"/>
        </w:rPr>
        <w:t>》及</w:t>
      </w:r>
      <w:r>
        <w:rPr>
          <w:rFonts w:hint="eastAsia" w:ascii="仿宋" w:hAnsi="仿宋" w:eastAsia="仿宋"/>
          <w:sz w:val="30"/>
          <w:szCs w:val="30"/>
          <w:lang w:val="en-US" w:eastAsia="zh-CN"/>
        </w:rPr>
        <w:t>彭州市教育局电化教育馆创义教优质均衡县等项目（第一批），</w:t>
      </w:r>
      <w:r>
        <w:rPr>
          <w:rFonts w:hint="eastAsia" w:ascii="仿宋" w:hAnsi="仿宋" w:eastAsia="仿宋"/>
          <w:sz w:val="30"/>
          <w:szCs w:val="30"/>
        </w:rPr>
        <w:t>项目编号：</w:t>
      </w:r>
      <w:r>
        <w:rPr>
          <w:rFonts w:hint="eastAsia" w:eastAsia="仿宋"/>
          <w:sz w:val="30"/>
          <w:szCs w:val="30"/>
          <w:u w:val="single"/>
        </w:rPr>
        <w:t> </w:t>
      </w:r>
      <w:r>
        <w:rPr>
          <w:rFonts w:hint="eastAsia" w:eastAsia="仿宋"/>
          <w:sz w:val="30"/>
          <w:szCs w:val="30"/>
          <w:u w:val="single"/>
          <w:lang w:val="en-US" w:eastAsia="zh-CN"/>
        </w:rPr>
        <w:t xml:space="preserve">  </w:t>
      </w:r>
      <w:r>
        <w:rPr>
          <w:rFonts w:hint="eastAsia" w:ascii="仿宋" w:hAnsi="仿宋" w:eastAsia="仿宋"/>
          <w:sz w:val="30"/>
          <w:szCs w:val="30"/>
        </w:rPr>
        <w:t>的《</w:t>
      </w:r>
      <w:r>
        <w:rPr>
          <w:rFonts w:hint="eastAsia" w:ascii="仿宋" w:hAnsi="仿宋" w:eastAsia="仿宋"/>
          <w:sz w:val="30"/>
          <w:szCs w:val="30"/>
          <w:lang w:val="en-US" w:eastAsia="zh-CN"/>
        </w:rPr>
        <w:t>招标文件</w:t>
      </w:r>
      <w:r>
        <w:rPr>
          <w:rFonts w:hint="eastAsia" w:ascii="仿宋" w:hAnsi="仿宋" w:eastAsia="仿宋"/>
          <w:sz w:val="30"/>
          <w:szCs w:val="30"/>
        </w:rPr>
        <w:t>》、乙方的《</w:t>
      </w:r>
      <w:r>
        <w:rPr>
          <w:rFonts w:hint="eastAsia" w:ascii="仿宋" w:hAnsi="仿宋" w:eastAsia="仿宋"/>
          <w:sz w:val="30"/>
          <w:szCs w:val="30"/>
          <w:lang w:val="en-US" w:eastAsia="zh-CN"/>
        </w:rPr>
        <w:t>响应文件</w:t>
      </w:r>
      <w:r>
        <w:rPr>
          <w:rFonts w:hint="eastAsia" w:ascii="仿宋" w:hAnsi="仿宋" w:eastAsia="仿宋"/>
          <w:sz w:val="30"/>
          <w:szCs w:val="30"/>
        </w:rPr>
        <w:t>》及《中标</w:t>
      </w:r>
      <w:r>
        <w:rPr>
          <w:rFonts w:hint="eastAsia" w:ascii="仿宋" w:hAnsi="仿宋" w:eastAsia="仿宋"/>
          <w:sz w:val="30"/>
          <w:szCs w:val="30"/>
          <w:lang w:eastAsia="zh-CN"/>
        </w:rPr>
        <w:t>（</w:t>
      </w:r>
      <w:r>
        <w:rPr>
          <w:rFonts w:hint="eastAsia" w:ascii="仿宋" w:hAnsi="仿宋" w:eastAsia="仿宋"/>
          <w:sz w:val="30"/>
          <w:szCs w:val="30"/>
          <w:lang w:val="en-US" w:eastAsia="zh-CN"/>
        </w:rPr>
        <w:t>成交）</w:t>
      </w:r>
      <w:r>
        <w:rPr>
          <w:rFonts w:hint="eastAsia" w:ascii="仿宋" w:hAnsi="仿宋" w:eastAsia="仿宋"/>
          <w:sz w:val="30"/>
          <w:szCs w:val="30"/>
        </w:rPr>
        <w:t>通知书》，甲、乙双方同意签订本合同。详细技术说明及其他有关合同项目的特定信息由合同附件予以说明，合同附件及本项目的</w:t>
      </w:r>
      <w:r>
        <w:rPr>
          <w:rFonts w:hint="eastAsia" w:ascii="仿宋" w:hAnsi="仿宋" w:eastAsia="仿宋"/>
          <w:sz w:val="30"/>
          <w:szCs w:val="30"/>
          <w:lang w:val="en-US" w:eastAsia="zh-CN"/>
        </w:rPr>
        <w:t>竞争性磋商文件</w:t>
      </w:r>
      <w:r>
        <w:rPr>
          <w:rFonts w:hint="eastAsia" w:ascii="仿宋" w:hAnsi="仿宋" w:eastAsia="仿宋"/>
          <w:sz w:val="30"/>
          <w:szCs w:val="30"/>
        </w:rPr>
        <w:t>文件、</w:t>
      </w:r>
      <w:r>
        <w:rPr>
          <w:rFonts w:hint="eastAsia" w:ascii="仿宋" w:hAnsi="仿宋" w:eastAsia="仿宋"/>
          <w:sz w:val="30"/>
          <w:szCs w:val="30"/>
          <w:lang w:val="en-US" w:eastAsia="zh-CN"/>
        </w:rPr>
        <w:t>响应</w:t>
      </w:r>
      <w:r>
        <w:rPr>
          <w:rFonts w:hint="eastAsia" w:ascii="仿宋" w:hAnsi="仿宋" w:eastAsia="仿宋"/>
          <w:sz w:val="30"/>
          <w:szCs w:val="30"/>
        </w:rPr>
        <w:t>文件、《中标</w:t>
      </w:r>
      <w:r>
        <w:rPr>
          <w:rFonts w:hint="eastAsia" w:ascii="仿宋" w:hAnsi="仿宋" w:eastAsia="仿宋"/>
          <w:sz w:val="30"/>
          <w:szCs w:val="30"/>
          <w:lang w:eastAsia="zh-CN"/>
        </w:rPr>
        <w:t>（</w:t>
      </w:r>
      <w:r>
        <w:rPr>
          <w:rFonts w:hint="eastAsia" w:ascii="仿宋" w:hAnsi="仿宋" w:eastAsia="仿宋"/>
          <w:sz w:val="30"/>
          <w:szCs w:val="30"/>
          <w:lang w:val="en-US" w:eastAsia="zh-CN"/>
        </w:rPr>
        <w:t>成交）</w:t>
      </w:r>
      <w:r>
        <w:rPr>
          <w:rFonts w:hint="eastAsia" w:ascii="仿宋" w:hAnsi="仿宋" w:eastAsia="仿宋"/>
          <w:sz w:val="30"/>
          <w:szCs w:val="30"/>
        </w:rPr>
        <w:t>通知书》等均为本合同不可分割的部分。双方同意共同遵守如下条款：</w:t>
      </w:r>
    </w:p>
    <w:p>
      <w:pPr>
        <w:pStyle w:val="4"/>
        <w:spacing w:line="400" w:lineRule="exact"/>
        <w:ind w:firstLine="482" w:firstLineChars="200"/>
        <w:rPr>
          <w:rFonts w:ascii="仿宋" w:hAnsi="仿宋" w:eastAsia="仿宋"/>
          <w:sz w:val="24"/>
          <w:szCs w:val="24"/>
        </w:rPr>
      </w:pPr>
      <w:bookmarkStart w:id="171" w:name="_Toc217446107"/>
      <w:r>
        <w:rPr>
          <w:rFonts w:hint="eastAsia" w:ascii="仿宋" w:hAnsi="仿宋" w:eastAsia="仿宋"/>
          <w:sz w:val="24"/>
          <w:szCs w:val="24"/>
        </w:rPr>
        <w:t>一、合同货物</w:t>
      </w:r>
      <w:bookmarkEnd w:id="171"/>
    </w:p>
    <w:tbl>
      <w:tblPr>
        <w:tblStyle w:val="45"/>
        <w:tblW w:w="882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1050"/>
        <w:gridCol w:w="720"/>
        <w:gridCol w:w="900"/>
        <w:gridCol w:w="1080"/>
        <w:gridCol w:w="1185"/>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240" w:firstLineChars="100"/>
              <w:rPr>
                <w:rFonts w:ascii="仿宋" w:hAnsi="仿宋" w:eastAsia="仿宋"/>
                <w:sz w:val="24"/>
                <w:szCs w:val="24"/>
              </w:rPr>
            </w:pPr>
            <w:r>
              <w:rPr>
                <w:rFonts w:hint="eastAsia" w:ascii="仿宋" w:hAnsi="仿宋" w:eastAsia="仿宋" w:cs="Arial"/>
                <w:sz w:val="24"/>
                <w:szCs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hint="eastAsia" w:ascii="仿宋" w:hAnsi="仿宋" w:eastAsia="仿宋" w:cs="Arial"/>
                <w:sz w:val="24"/>
                <w:szCs w:val="24"/>
                <w:lang w:val="en-US" w:eastAsia="zh-CN"/>
              </w:rPr>
            </w:pPr>
            <w:r>
              <w:rPr>
                <w:rFonts w:hint="eastAsia" w:ascii="仿宋" w:hAnsi="仿宋" w:eastAsia="仿宋" w:cs="Arial"/>
                <w:sz w:val="24"/>
                <w:szCs w:val="24"/>
                <w:lang w:val="en-US" w:eastAsia="zh-CN"/>
              </w:rPr>
              <w:t>品牌</w:t>
            </w: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Arial"/>
                <w:sz w:val="24"/>
                <w:szCs w:val="24"/>
              </w:rPr>
            </w:pPr>
            <w:r>
              <w:rPr>
                <w:rFonts w:hint="eastAsia" w:ascii="仿宋" w:hAnsi="仿宋" w:eastAsia="仿宋" w:cs="Arial"/>
                <w:sz w:val="24"/>
                <w:szCs w:val="24"/>
              </w:rPr>
              <w:t>规格</w:t>
            </w:r>
          </w:p>
          <w:p>
            <w:pPr>
              <w:spacing w:after="0" w:line="0" w:lineRule="atLeast"/>
              <w:jc w:val="center"/>
              <w:rPr>
                <w:rFonts w:ascii="仿宋" w:hAnsi="仿宋" w:eastAsia="仿宋"/>
                <w:sz w:val="24"/>
                <w:szCs w:val="24"/>
              </w:rPr>
            </w:pPr>
            <w:r>
              <w:rPr>
                <w:rFonts w:hint="eastAsia" w:ascii="仿宋" w:hAnsi="仿宋" w:eastAsia="仿宋" w:cs="Arial"/>
                <w:sz w:val="24"/>
                <w:szCs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rPr>
                <w:rFonts w:ascii="仿宋" w:hAnsi="仿宋" w:eastAsia="仿宋"/>
                <w:sz w:val="24"/>
                <w:szCs w:val="24"/>
              </w:rPr>
            </w:pPr>
            <w:r>
              <w:rPr>
                <w:rFonts w:hint="eastAsia" w:ascii="仿宋" w:hAnsi="仿宋" w:eastAsia="仿宋" w:cs="Arial"/>
                <w:sz w:val="24"/>
                <w:szCs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rPr>
                <w:rFonts w:ascii="仿宋" w:hAnsi="仿宋" w:eastAsia="仿宋"/>
                <w:sz w:val="24"/>
                <w:szCs w:val="24"/>
              </w:rPr>
            </w:pPr>
            <w:r>
              <w:rPr>
                <w:rFonts w:hint="eastAsia" w:ascii="仿宋" w:hAnsi="仿宋" w:eastAsia="仿宋" w:cs="Arial"/>
                <w:sz w:val="24"/>
                <w:szCs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jc w:val="center"/>
              <w:rPr>
                <w:rFonts w:ascii="仿宋" w:hAnsi="仿宋" w:eastAsia="仿宋" w:cs="Arial"/>
                <w:sz w:val="24"/>
                <w:szCs w:val="24"/>
              </w:rPr>
            </w:pPr>
            <w:r>
              <w:rPr>
                <w:rFonts w:hint="eastAsia" w:ascii="仿宋" w:hAnsi="仿宋" w:eastAsia="仿宋" w:cs="Arial"/>
                <w:sz w:val="24"/>
                <w:szCs w:val="24"/>
              </w:rPr>
              <w:t>单价</w:t>
            </w:r>
          </w:p>
          <w:p>
            <w:pPr>
              <w:spacing w:after="0" w:line="0" w:lineRule="atLeast"/>
              <w:jc w:val="center"/>
              <w:rPr>
                <w:rFonts w:ascii="仿宋" w:hAnsi="仿宋" w:eastAsia="仿宋" w:cs="Arial"/>
                <w:sz w:val="24"/>
                <w:szCs w:val="24"/>
              </w:rPr>
            </w:pPr>
            <w:r>
              <w:rPr>
                <w:rFonts w:hint="eastAsia" w:ascii="仿宋" w:hAnsi="仿宋" w:eastAsia="仿宋" w:cs="Arial"/>
                <w:sz w:val="24"/>
                <w:szCs w:val="24"/>
              </w:rPr>
              <w:t>（元）</w:t>
            </w: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240" w:firstLineChars="100"/>
              <w:rPr>
                <w:rFonts w:ascii="仿宋" w:hAnsi="仿宋" w:eastAsia="仿宋" w:cs="Arial"/>
                <w:sz w:val="24"/>
                <w:szCs w:val="24"/>
              </w:rPr>
            </w:pPr>
            <w:r>
              <w:rPr>
                <w:rFonts w:hint="eastAsia" w:ascii="仿宋" w:hAnsi="仿宋" w:eastAsia="仿宋" w:cs="Arial"/>
                <w:sz w:val="24"/>
                <w:szCs w:val="24"/>
              </w:rPr>
              <w:t>总价</w:t>
            </w:r>
          </w:p>
          <w:p>
            <w:pPr>
              <w:spacing w:after="0" w:line="0" w:lineRule="atLeast"/>
              <w:rPr>
                <w:rFonts w:ascii="仿宋" w:hAnsi="仿宋" w:eastAsia="仿宋"/>
                <w:sz w:val="24"/>
                <w:szCs w:val="24"/>
              </w:rPr>
            </w:pPr>
            <w:r>
              <w:rPr>
                <w:rFonts w:hint="eastAsia" w:ascii="仿宋" w:hAnsi="仿宋" w:eastAsia="仿宋" w:cs="Arial"/>
                <w:sz w:val="24"/>
                <w:szCs w:val="24"/>
              </w:rPr>
              <w:t>（元）</w:t>
            </w: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ind w:firstLine="120" w:firstLineChars="50"/>
              <w:rPr>
                <w:rFonts w:ascii="仿宋" w:hAnsi="仿宋" w:eastAsia="仿宋"/>
                <w:sz w:val="24"/>
                <w:szCs w:val="24"/>
              </w:rPr>
            </w:pPr>
            <w:r>
              <w:rPr>
                <w:rFonts w:hint="eastAsia" w:ascii="仿宋" w:hAnsi="仿宋" w:eastAsia="仿宋" w:cs="Arial"/>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left"/>
              <w:rPr>
                <w:rFonts w:asciiTheme="minorEastAsia" w:hAnsiTheme="minorEastAsia"/>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cs="宋体"/>
                <w:color w:val="00000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8820" w:type="dxa"/>
            <w:gridSpan w:val="8"/>
            <w:tcBorders>
              <w:top w:val="single" w:color="auto" w:sz="4" w:space="0"/>
              <w:left w:val="single" w:color="auto" w:sz="4" w:space="0"/>
              <w:bottom w:val="single" w:color="auto" w:sz="4" w:space="0"/>
              <w:right w:val="single" w:color="auto" w:sz="4" w:space="0"/>
            </w:tcBorders>
            <w:vAlign w:val="center"/>
          </w:tcPr>
          <w:p>
            <w:pPr>
              <w:spacing w:after="0" w:line="0" w:lineRule="atLeast"/>
              <w:jc w:val="center"/>
              <w:rPr>
                <w:rFonts w:hint="default" w:ascii="仿宋" w:hAnsi="仿宋" w:eastAsia="仿宋"/>
                <w:sz w:val="24"/>
                <w:szCs w:val="24"/>
                <w:lang w:val="en-US" w:eastAsia="zh-CN"/>
              </w:rPr>
            </w:pPr>
            <w:r>
              <w:rPr>
                <w:rFonts w:hint="eastAsia" w:ascii="仿宋" w:hAnsi="仿宋" w:eastAsia="仿宋"/>
                <w:sz w:val="24"/>
                <w:szCs w:val="24"/>
                <w:lang w:val="en-US" w:eastAsia="zh-CN"/>
              </w:rPr>
              <w:t>合计（元）￥</w:t>
            </w:r>
            <w:r>
              <w:rPr>
                <w:rFonts w:hint="eastAsia" w:ascii="仿宋" w:hAnsi="仿宋" w:eastAsia="仿宋"/>
                <w:sz w:val="24"/>
                <w:szCs w:val="24"/>
                <w:u w:val="single"/>
                <w:lang w:val="en-US" w:eastAsia="zh-CN"/>
              </w:rPr>
              <w:t xml:space="preserve">              </w:t>
            </w:r>
            <w:r>
              <w:rPr>
                <w:rFonts w:hint="eastAsia" w:ascii="仿宋" w:hAnsi="仿宋" w:eastAsia="仿宋"/>
                <w:sz w:val="24"/>
                <w:szCs w:val="24"/>
                <w:lang w:val="en-US" w:eastAsia="zh-CN"/>
              </w:rPr>
              <w:t>大写：</w:t>
            </w:r>
            <w:r>
              <w:rPr>
                <w:rFonts w:hint="eastAsia" w:ascii="仿宋" w:hAnsi="仿宋" w:eastAsia="仿宋"/>
                <w:sz w:val="24"/>
                <w:szCs w:val="24"/>
                <w:u w:val="single"/>
                <w:lang w:val="en-US" w:eastAsia="zh-CN"/>
              </w:rPr>
              <w:t xml:space="preserve">            </w:t>
            </w:r>
          </w:p>
        </w:tc>
      </w:tr>
    </w:tbl>
    <w:p>
      <w:pPr>
        <w:pStyle w:val="4"/>
        <w:spacing w:line="400" w:lineRule="exact"/>
        <w:ind w:firstLine="602" w:firstLineChars="200"/>
        <w:rPr>
          <w:rFonts w:ascii="仿宋" w:hAnsi="仿宋" w:eastAsia="仿宋"/>
          <w:sz w:val="30"/>
          <w:szCs w:val="30"/>
        </w:rPr>
      </w:pPr>
      <w:bookmarkStart w:id="172" w:name="_Toc217446108"/>
      <w:r>
        <w:rPr>
          <w:rFonts w:hint="eastAsia" w:ascii="仿宋" w:hAnsi="仿宋" w:eastAsia="仿宋"/>
          <w:sz w:val="30"/>
          <w:szCs w:val="30"/>
        </w:rPr>
        <w:t>二、合同总价</w:t>
      </w:r>
      <w:bookmarkEnd w:id="172"/>
    </w:p>
    <w:p>
      <w:pPr>
        <w:pStyle w:val="13"/>
        <w:spacing w:line="400" w:lineRule="exact"/>
        <w:ind w:firstLine="525" w:firstLineChars="175"/>
        <w:rPr>
          <w:rFonts w:ascii="仿宋" w:hAnsi="仿宋" w:eastAsia="仿宋"/>
          <w:sz w:val="30"/>
          <w:szCs w:val="30"/>
        </w:rPr>
      </w:pPr>
      <w:r>
        <w:rPr>
          <w:rFonts w:hint="eastAsia" w:ascii="仿宋" w:hAnsi="仿宋" w:eastAsia="仿宋"/>
          <w:sz w:val="30"/>
          <w:szCs w:val="30"/>
        </w:rPr>
        <w:t>合同总价为人民币大写：</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602" w:firstLineChars="200"/>
        <w:rPr>
          <w:rFonts w:ascii="仿宋" w:hAnsi="仿宋" w:eastAsia="仿宋"/>
          <w:sz w:val="30"/>
          <w:szCs w:val="30"/>
        </w:rPr>
      </w:pPr>
      <w:bookmarkStart w:id="173" w:name="_Toc217446109"/>
      <w:r>
        <w:rPr>
          <w:rFonts w:hint="eastAsia" w:ascii="仿宋" w:hAnsi="仿宋" w:eastAsia="仿宋"/>
          <w:sz w:val="30"/>
          <w:szCs w:val="30"/>
        </w:rPr>
        <w:t>三、质量要求</w:t>
      </w:r>
      <w:bookmarkEnd w:id="173"/>
    </w:p>
    <w:p>
      <w:pPr>
        <w:pStyle w:val="156"/>
        <w:ind w:firstLine="480"/>
        <w:rPr>
          <w:rFonts w:ascii="仿宋" w:hAnsi="仿宋" w:eastAsia="仿宋"/>
          <w:sz w:val="30"/>
          <w:szCs w:val="30"/>
        </w:rPr>
      </w:pPr>
      <w:r>
        <w:rPr>
          <w:rFonts w:hint="eastAsia" w:ascii="仿宋" w:hAnsi="仿宋" w:eastAsia="仿宋"/>
          <w:sz w:val="30"/>
          <w:szCs w:val="30"/>
        </w:rPr>
        <w:t>1、乙方须提供全新的货物（含零部件、配件等），表面无划伤、无碰撞痕迹，且权属清楚，不得侵害他人的知识产权。</w:t>
      </w:r>
    </w:p>
    <w:p>
      <w:pPr>
        <w:pStyle w:val="156"/>
        <w:ind w:firstLine="480"/>
        <w:rPr>
          <w:rFonts w:ascii="仿宋" w:hAnsi="仿宋" w:eastAsia="仿宋"/>
          <w:sz w:val="30"/>
          <w:szCs w:val="30"/>
        </w:rPr>
      </w:pPr>
      <w:r>
        <w:rPr>
          <w:rFonts w:hint="eastAsia" w:ascii="仿宋" w:hAnsi="仿宋" w:eastAsia="仿宋"/>
          <w:sz w:val="30"/>
          <w:szCs w:val="30"/>
        </w:rPr>
        <w:t>2、货物必须符合或优于国家（行业）标准，以及本项目招标文件的质量要求和技术指标与出厂标准。</w:t>
      </w:r>
    </w:p>
    <w:p>
      <w:pPr>
        <w:pStyle w:val="156"/>
        <w:ind w:firstLine="480"/>
        <w:rPr>
          <w:rFonts w:ascii="仿宋" w:hAnsi="仿宋" w:eastAsia="仿宋"/>
          <w:sz w:val="30"/>
          <w:szCs w:val="30"/>
        </w:rPr>
      </w:pPr>
      <w:r>
        <w:rPr>
          <w:rFonts w:hint="eastAsia" w:ascii="仿宋" w:hAnsi="仿宋" w:eastAsia="仿宋"/>
          <w:sz w:val="30"/>
          <w:szCs w:val="30"/>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156"/>
        <w:ind w:firstLine="480"/>
        <w:rPr>
          <w:rFonts w:ascii="仿宋" w:hAnsi="仿宋" w:eastAsia="仿宋"/>
          <w:sz w:val="30"/>
          <w:szCs w:val="30"/>
        </w:rPr>
      </w:pPr>
      <w:r>
        <w:rPr>
          <w:rFonts w:hint="eastAsia" w:ascii="仿宋" w:hAnsi="仿宋" w:eastAsia="仿宋"/>
          <w:sz w:val="30"/>
          <w:szCs w:val="30"/>
        </w:rPr>
        <w:t>4、货物制造质量出现问题，乙方应负责三包（包修、包换、包退），费用由乙方负担，甲方有权到乙方生产场地检查货物质量和生产进度。</w:t>
      </w:r>
    </w:p>
    <w:p>
      <w:pPr>
        <w:pStyle w:val="156"/>
        <w:ind w:firstLine="480"/>
        <w:rPr>
          <w:rFonts w:ascii="仿宋" w:hAnsi="仿宋" w:eastAsia="仿宋"/>
          <w:sz w:val="30"/>
          <w:szCs w:val="30"/>
        </w:rPr>
      </w:pPr>
      <w:r>
        <w:rPr>
          <w:rFonts w:hint="eastAsia" w:ascii="仿宋" w:hAnsi="仿宋" w:eastAsia="仿宋"/>
          <w:sz w:val="30"/>
          <w:szCs w:val="30"/>
        </w:rPr>
        <w:t>5、货到现场后由于甲方保管不当造成的质量问题，乙方亦应负责修理，但费用由甲方负担。</w:t>
      </w:r>
    </w:p>
    <w:p>
      <w:pPr>
        <w:pStyle w:val="4"/>
        <w:spacing w:line="400" w:lineRule="exact"/>
        <w:ind w:firstLine="602" w:firstLineChars="200"/>
        <w:rPr>
          <w:rFonts w:ascii="仿宋" w:hAnsi="仿宋" w:eastAsia="仿宋"/>
          <w:sz w:val="30"/>
          <w:szCs w:val="30"/>
        </w:rPr>
      </w:pPr>
      <w:bookmarkStart w:id="174" w:name="_Toc217446110"/>
      <w:r>
        <w:rPr>
          <w:rFonts w:hint="eastAsia" w:ascii="仿宋" w:hAnsi="仿宋" w:eastAsia="仿宋"/>
          <w:sz w:val="30"/>
          <w:szCs w:val="30"/>
        </w:rPr>
        <w:t>四、交货及验收</w:t>
      </w:r>
      <w:bookmarkEnd w:id="174"/>
    </w:p>
    <w:p>
      <w:pPr>
        <w:pStyle w:val="156"/>
        <w:ind w:firstLine="480"/>
        <w:rPr>
          <w:rFonts w:ascii="仿宋" w:hAnsi="仿宋" w:eastAsia="仿宋"/>
          <w:sz w:val="30"/>
          <w:szCs w:val="30"/>
        </w:rPr>
      </w:pPr>
      <w:r>
        <w:rPr>
          <w:rFonts w:hint="eastAsia" w:ascii="仿宋" w:hAnsi="仿宋" w:eastAsia="仿宋"/>
          <w:sz w:val="30"/>
          <w:szCs w:val="30"/>
        </w:rPr>
        <w:t>1、乙方交货期限为合同签订生效后30天内交货到甲方指定地点，随即在</w:t>
      </w:r>
      <w:r>
        <w:rPr>
          <w:rFonts w:hint="eastAsia" w:ascii="仿宋" w:hAnsi="仿宋" w:eastAsia="仿宋"/>
          <w:sz w:val="30"/>
          <w:szCs w:val="30"/>
          <w:u w:val="single"/>
          <w:lang w:val="en-US" w:eastAsia="zh-CN"/>
        </w:rPr>
        <w:t>30</w:t>
      </w:r>
      <w:r>
        <w:rPr>
          <w:rFonts w:hint="eastAsia" w:ascii="仿宋" w:hAnsi="仿宋" w:eastAsia="仿宋"/>
          <w:sz w:val="30"/>
          <w:szCs w:val="30"/>
        </w:rPr>
        <w:t>日内全部完成安装调试验收合格交付使用，并且最迟应在</w:t>
      </w:r>
      <w:r>
        <w:rPr>
          <w:rFonts w:hint="eastAsia" w:ascii="仿宋" w:hAnsi="仿宋" w:eastAsia="仿宋"/>
          <w:sz w:val="30"/>
          <w:szCs w:val="30"/>
          <w:lang w:val="en-US" w:eastAsia="zh-CN"/>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年</w:t>
      </w:r>
      <w:r>
        <w:rPr>
          <w:rFonts w:hint="eastAsia" w:ascii="仿宋" w:hAnsi="仿宋" w:eastAsia="仿宋"/>
          <w:sz w:val="30"/>
          <w:szCs w:val="30"/>
          <w:u w:val="single"/>
          <w:lang w:val="en-US" w:eastAsia="zh-CN"/>
        </w:rPr>
        <w:t xml:space="preserve">  </w:t>
      </w:r>
      <w:r>
        <w:rPr>
          <w:rFonts w:hint="eastAsia" w:ascii="仿宋" w:hAnsi="仿宋" w:eastAsia="仿宋"/>
          <w:sz w:val="30"/>
          <w:szCs w:val="30"/>
        </w:rPr>
        <w:t>月</w:t>
      </w:r>
      <w:r>
        <w:rPr>
          <w:rFonts w:hint="eastAsia" w:ascii="仿宋" w:hAnsi="仿宋" w:eastAsia="仿宋"/>
          <w:sz w:val="30"/>
          <w:szCs w:val="30"/>
          <w:u w:val="single"/>
          <w:lang w:val="en-US" w:eastAsia="zh-CN"/>
        </w:rPr>
        <w:t xml:space="preserve">   </w:t>
      </w:r>
      <w:r>
        <w:rPr>
          <w:rFonts w:hint="eastAsia" w:ascii="仿宋" w:hAnsi="仿宋" w:eastAsia="仿宋"/>
          <w:sz w:val="30"/>
          <w:szCs w:val="30"/>
        </w:rPr>
        <w:t>日前全部完成安装调试</w:t>
      </w:r>
      <w:r>
        <w:rPr>
          <w:rFonts w:hint="eastAsia" w:ascii="仿宋" w:hAnsi="仿宋" w:eastAsia="仿宋"/>
          <w:sz w:val="30"/>
          <w:szCs w:val="30"/>
          <w:lang w:eastAsia="zh-CN"/>
        </w:rPr>
        <w:t>，</w:t>
      </w:r>
      <w:r>
        <w:rPr>
          <w:rFonts w:hint="eastAsia" w:ascii="仿宋" w:hAnsi="仿宋" w:eastAsia="仿宋"/>
          <w:sz w:val="30"/>
          <w:szCs w:val="30"/>
        </w:rPr>
        <w:t>交付使用(如由于采购人的原因造成合同延迟签订或验收的，时间顺延)。交货验收时须提供产品质检部门从同类产品中抽样检查合格的检测报告。</w:t>
      </w:r>
    </w:p>
    <w:p>
      <w:pPr>
        <w:pStyle w:val="156"/>
        <w:ind w:firstLine="480"/>
        <w:rPr>
          <w:rFonts w:ascii="仿宋" w:hAnsi="仿宋" w:eastAsia="仿宋"/>
          <w:sz w:val="30"/>
          <w:szCs w:val="30"/>
        </w:rPr>
      </w:pPr>
      <w:r>
        <w:rPr>
          <w:rFonts w:hint="eastAsia" w:ascii="仿宋" w:hAnsi="仿宋" w:eastAsia="仿宋"/>
          <w:sz w:val="30"/>
          <w:szCs w:val="30"/>
        </w:rPr>
        <w:t>2、验收由甲方组织，乙方配合进行：</w:t>
      </w:r>
    </w:p>
    <w:p>
      <w:pPr>
        <w:pStyle w:val="156"/>
        <w:ind w:firstLine="480"/>
        <w:rPr>
          <w:rFonts w:ascii="仿宋" w:hAnsi="仿宋" w:eastAsia="仿宋"/>
          <w:sz w:val="30"/>
          <w:szCs w:val="30"/>
        </w:rPr>
      </w:pPr>
      <w:r>
        <w:rPr>
          <w:rFonts w:hint="eastAsia" w:ascii="仿宋" w:hAnsi="仿宋" w:eastAsia="仿宋"/>
          <w:sz w:val="30"/>
          <w:szCs w:val="30"/>
        </w:rPr>
        <w:t>(1) 货物在乙方通知</w:t>
      </w:r>
      <w:r>
        <w:rPr>
          <w:rFonts w:hint="eastAsia" w:ascii="仿宋" w:hAnsi="仿宋" w:eastAsia="仿宋"/>
          <w:sz w:val="30"/>
          <w:szCs w:val="30"/>
          <w:lang w:val="en-US" w:eastAsia="zh-CN"/>
        </w:rPr>
        <w:t>完成</w:t>
      </w:r>
      <w:r>
        <w:rPr>
          <w:rFonts w:hint="eastAsia" w:ascii="仿宋" w:hAnsi="仿宋" w:eastAsia="仿宋"/>
          <w:sz w:val="30"/>
          <w:szCs w:val="30"/>
        </w:rPr>
        <w:t>安装调试完毕后</w:t>
      </w:r>
      <w:r>
        <w:rPr>
          <w:rFonts w:hint="eastAsia" w:ascii="仿宋" w:hAnsi="仿宋" w:eastAsia="仿宋"/>
          <w:sz w:val="30"/>
          <w:szCs w:val="30"/>
          <w:u w:val="single"/>
          <w:lang w:val="en-US" w:eastAsia="zh-CN"/>
        </w:rPr>
        <w:t>10</w:t>
      </w:r>
      <w:r>
        <w:rPr>
          <w:rFonts w:hint="eastAsia" w:ascii="仿宋" w:hAnsi="仿宋" w:eastAsia="仿宋"/>
          <w:sz w:val="30"/>
          <w:szCs w:val="30"/>
        </w:rPr>
        <w:t>日内</w:t>
      </w:r>
      <w:r>
        <w:rPr>
          <w:rFonts w:hint="eastAsia" w:ascii="仿宋" w:hAnsi="仿宋" w:eastAsia="仿宋"/>
          <w:sz w:val="30"/>
          <w:szCs w:val="30"/>
          <w:lang w:val="en-US" w:eastAsia="zh-CN"/>
        </w:rPr>
        <w:t>进行校级</w:t>
      </w:r>
      <w:r>
        <w:rPr>
          <w:rFonts w:hint="eastAsia" w:ascii="仿宋" w:hAnsi="仿宋" w:eastAsia="仿宋"/>
          <w:sz w:val="30"/>
          <w:szCs w:val="30"/>
        </w:rPr>
        <w:t>验收。</w:t>
      </w:r>
      <w:r>
        <w:rPr>
          <w:rFonts w:hint="eastAsia" w:ascii="仿宋" w:hAnsi="仿宋" w:eastAsia="仿宋"/>
          <w:sz w:val="30"/>
          <w:szCs w:val="30"/>
          <w:lang w:val="en-US" w:eastAsia="zh-CN"/>
        </w:rPr>
        <w:t>校级</w:t>
      </w:r>
      <w:r>
        <w:rPr>
          <w:rFonts w:hint="eastAsia" w:ascii="仿宋" w:hAnsi="仿宋" w:eastAsia="仿宋"/>
          <w:sz w:val="30"/>
          <w:szCs w:val="30"/>
        </w:rPr>
        <w:t>验收合格后，进入</w:t>
      </w:r>
      <w:r>
        <w:rPr>
          <w:rFonts w:hint="eastAsia" w:ascii="仿宋" w:hAnsi="仿宋" w:eastAsia="仿宋"/>
          <w:sz w:val="30"/>
          <w:szCs w:val="30"/>
          <w:u w:val="single"/>
          <w:lang w:val="en-US" w:eastAsia="zh-CN"/>
        </w:rPr>
        <w:t>30</w:t>
      </w:r>
      <w:r>
        <w:rPr>
          <w:rFonts w:hint="eastAsia" w:ascii="仿宋" w:hAnsi="仿宋" w:eastAsia="仿宋"/>
          <w:sz w:val="30"/>
          <w:szCs w:val="30"/>
          <w:lang w:val="en-US" w:eastAsia="zh-CN"/>
        </w:rPr>
        <w:t>天</w:t>
      </w:r>
      <w:r>
        <w:rPr>
          <w:rFonts w:hint="eastAsia" w:ascii="仿宋" w:hAnsi="仿宋" w:eastAsia="仿宋"/>
          <w:sz w:val="30"/>
          <w:szCs w:val="30"/>
        </w:rPr>
        <w:t>试用期；试用期间发生重大质量问题，修复后试用相应顺延；试用期结束后</w:t>
      </w:r>
      <w:r>
        <w:rPr>
          <w:rFonts w:hint="eastAsia" w:ascii="仿宋" w:hAnsi="仿宋" w:eastAsia="仿宋"/>
          <w:sz w:val="30"/>
          <w:szCs w:val="30"/>
          <w:u w:val="single"/>
          <w:lang w:val="en-US" w:eastAsia="zh-CN"/>
        </w:rPr>
        <w:t>30</w:t>
      </w:r>
      <w:r>
        <w:rPr>
          <w:rFonts w:hint="eastAsia" w:ascii="仿宋" w:hAnsi="仿宋" w:eastAsia="仿宋"/>
          <w:sz w:val="30"/>
          <w:szCs w:val="30"/>
        </w:rPr>
        <w:t>日内</w:t>
      </w:r>
      <w:r>
        <w:rPr>
          <w:rFonts w:hint="eastAsia" w:ascii="仿宋" w:hAnsi="仿宋" w:eastAsia="仿宋"/>
          <w:sz w:val="30"/>
          <w:szCs w:val="30"/>
          <w:lang w:eastAsia="zh-CN"/>
        </w:rPr>
        <w:t>，</w:t>
      </w:r>
      <w:r>
        <w:rPr>
          <w:rFonts w:hint="eastAsia" w:ascii="仿宋" w:hAnsi="仿宋" w:eastAsia="仿宋"/>
          <w:sz w:val="30"/>
          <w:szCs w:val="30"/>
          <w:lang w:val="en-US" w:eastAsia="zh-CN"/>
        </w:rPr>
        <w:t>乙方</w:t>
      </w:r>
      <w:r>
        <w:rPr>
          <w:rFonts w:hint="eastAsia" w:ascii="仿宋" w:hAnsi="仿宋" w:eastAsia="仿宋"/>
          <w:sz w:val="30"/>
          <w:szCs w:val="30"/>
        </w:rPr>
        <w:t>完成最终验收；</w:t>
      </w:r>
    </w:p>
    <w:p>
      <w:pPr>
        <w:pStyle w:val="156"/>
        <w:ind w:firstLine="480"/>
        <w:rPr>
          <w:rFonts w:ascii="仿宋" w:hAnsi="仿宋" w:eastAsia="仿宋"/>
          <w:sz w:val="30"/>
          <w:szCs w:val="30"/>
        </w:rPr>
      </w:pPr>
      <w:r>
        <w:rPr>
          <w:rFonts w:hint="eastAsia" w:ascii="仿宋" w:hAnsi="仿宋" w:eastAsia="仿宋"/>
          <w:sz w:val="30"/>
          <w:szCs w:val="30"/>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56"/>
        <w:ind w:firstLine="480"/>
        <w:rPr>
          <w:rFonts w:ascii="仿宋" w:hAnsi="仿宋" w:eastAsia="仿宋"/>
          <w:sz w:val="30"/>
          <w:szCs w:val="30"/>
        </w:rPr>
      </w:pPr>
      <w:r>
        <w:rPr>
          <w:rFonts w:hint="eastAsia" w:ascii="仿宋" w:hAnsi="仿宋" w:eastAsia="仿宋"/>
          <w:sz w:val="30"/>
          <w:szCs w:val="30"/>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56"/>
        <w:ind w:firstLine="480"/>
        <w:rPr>
          <w:rFonts w:ascii="仿宋" w:hAnsi="仿宋" w:eastAsia="仿宋"/>
          <w:sz w:val="30"/>
          <w:szCs w:val="30"/>
        </w:rPr>
      </w:pPr>
      <w:r>
        <w:rPr>
          <w:rFonts w:hint="eastAsia" w:ascii="仿宋" w:hAnsi="仿宋" w:eastAsia="仿宋"/>
          <w:sz w:val="30"/>
          <w:szCs w:val="30"/>
        </w:rPr>
        <w:t>(4) 如质量验收合格，双方签署质量验收报告。</w:t>
      </w:r>
    </w:p>
    <w:p>
      <w:pPr>
        <w:pStyle w:val="156"/>
        <w:ind w:firstLine="480"/>
        <w:rPr>
          <w:rFonts w:ascii="仿宋" w:hAnsi="仿宋" w:eastAsia="仿宋"/>
          <w:sz w:val="30"/>
          <w:szCs w:val="30"/>
        </w:rPr>
      </w:pPr>
      <w:r>
        <w:rPr>
          <w:rFonts w:hint="eastAsia" w:ascii="仿宋" w:hAnsi="仿宋" w:eastAsia="仿宋"/>
          <w:sz w:val="30"/>
          <w:szCs w:val="30"/>
        </w:rPr>
        <w:t>3、货物安装完成</w:t>
      </w:r>
      <w:r>
        <w:rPr>
          <w:rFonts w:hint="eastAsia" w:ascii="仿宋" w:hAnsi="仿宋" w:eastAsia="仿宋"/>
          <w:sz w:val="30"/>
          <w:szCs w:val="30"/>
          <w:lang w:val="en-US" w:eastAsia="zh-CN"/>
        </w:rPr>
        <w:t>并完成校级验收</w:t>
      </w:r>
      <w:r>
        <w:rPr>
          <w:rFonts w:hint="eastAsia" w:ascii="仿宋" w:hAnsi="仿宋" w:eastAsia="仿宋"/>
          <w:sz w:val="30"/>
          <w:szCs w:val="30"/>
        </w:rPr>
        <w:t>后</w:t>
      </w:r>
      <w:r>
        <w:rPr>
          <w:rFonts w:hint="eastAsia" w:ascii="仿宋" w:hAnsi="仿宋" w:eastAsia="仿宋"/>
          <w:sz w:val="30"/>
          <w:szCs w:val="30"/>
          <w:u w:val="single"/>
          <w:lang w:val="en-US" w:eastAsia="zh-CN"/>
        </w:rPr>
        <w:t xml:space="preserve"> 60 </w:t>
      </w:r>
      <w:r>
        <w:rPr>
          <w:rFonts w:hint="eastAsia" w:ascii="仿宋" w:hAnsi="仿宋" w:eastAsia="仿宋"/>
          <w:sz w:val="30"/>
          <w:szCs w:val="30"/>
        </w:rPr>
        <w:t>日内，甲方无故不进行验收工作并已使用货物的，视同已安装调试完成并验收合格。</w:t>
      </w:r>
    </w:p>
    <w:p>
      <w:pPr>
        <w:pStyle w:val="156"/>
        <w:ind w:firstLine="480"/>
        <w:rPr>
          <w:rFonts w:ascii="仿宋" w:hAnsi="仿宋" w:eastAsia="仿宋"/>
          <w:sz w:val="30"/>
          <w:szCs w:val="30"/>
        </w:rPr>
      </w:pPr>
      <w:r>
        <w:rPr>
          <w:rFonts w:hint="eastAsia" w:ascii="仿宋" w:hAnsi="仿宋" w:eastAsia="仿宋"/>
          <w:sz w:val="30"/>
          <w:szCs w:val="30"/>
        </w:rPr>
        <w:t>4、乙方应将所提供货物的装箱清单、配件、随机工具、用户使用手册、原厂保修卡等资料交付给甲方；乙方不能完整交付货物及本款规定的单证和工具的，必须负责补齐，否则视为未按合同约定交货。</w:t>
      </w:r>
    </w:p>
    <w:p>
      <w:pPr>
        <w:pStyle w:val="156"/>
        <w:ind w:firstLine="480"/>
        <w:rPr>
          <w:rFonts w:ascii="仿宋" w:hAnsi="仿宋" w:eastAsia="仿宋"/>
          <w:sz w:val="30"/>
          <w:szCs w:val="30"/>
        </w:rPr>
      </w:pPr>
      <w:r>
        <w:rPr>
          <w:rFonts w:hint="eastAsia" w:ascii="仿宋" w:hAnsi="仿宋" w:eastAsia="仿宋"/>
          <w:sz w:val="30"/>
          <w:szCs w:val="30"/>
        </w:rPr>
        <w:t>5、如货物经乙方</w:t>
      </w:r>
      <w:r>
        <w:rPr>
          <w:rFonts w:hint="eastAsia" w:ascii="仿宋" w:hAnsi="仿宋" w:eastAsia="仿宋"/>
          <w:sz w:val="30"/>
          <w:szCs w:val="30"/>
          <w:u w:val="single"/>
          <w:lang w:val="en-US" w:eastAsia="zh-CN"/>
        </w:rPr>
        <w:t>两</w:t>
      </w:r>
      <w:r>
        <w:rPr>
          <w:rFonts w:hint="eastAsia" w:ascii="仿宋" w:hAnsi="仿宋" w:eastAsia="仿宋"/>
          <w:sz w:val="30"/>
          <w:szCs w:val="30"/>
        </w:rPr>
        <w:t>次维修仍不能达到合同约定的质量标准，甲方有权退货，并视作乙方不能交付货物而须支付违约赔偿金给甲方，甲方还可依法追究乙方的违约责任。</w:t>
      </w:r>
      <w:r>
        <w:rPr>
          <w:rFonts w:eastAsia="仿宋" w:cs="Calibri"/>
          <w:sz w:val="30"/>
          <w:szCs w:val="30"/>
        </w:rPr>
        <w:t> </w:t>
      </w:r>
    </w:p>
    <w:p>
      <w:pPr>
        <w:pStyle w:val="156"/>
        <w:ind w:firstLine="480"/>
        <w:rPr>
          <w:rFonts w:ascii="仿宋" w:hAnsi="仿宋" w:eastAsia="仿宋"/>
          <w:sz w:val="30"/>
          <w:szCs w:val="30"/>
        </w:rPr>
      </w:pPr>
      <w:r>
        <w:rPr>
          <w:rFonts w:hint="eastAsia" w:ascii="仿宋" w:hAnsi="仿宋" w:eastAsia="仿宋"/>
          <w:sz w:val="30"/>
          <w:szCs w:val="30"/>
        </w:rPr>
        <w:t>6、其他未尽事宜应</w:t>
      </w:r>
      <w:r>
        <w:rPr>
          <w:rFonts w:hint="eastAsia" w:ascii="仿宋" w:hAnsi="仿宋" w:eastAsia="仿宋"/>
          <w:sz w:val="30"/>
          <w:szCs w:val="30"/>
          <w:lang w:val="en-US" w:eastAsia="zh-CN"/>
        </w:rPr>
        <w:t>按照相关法律法规</w:t>
      </w:r>
      <w:r>
        <w:rPr>
          <w:rFonts w:hint="eastAsia" w:ascii="仿宋" w:hAnsi="仿宋" w:eastAsia="仿宋"/>
          <w:sz w:val="30"/>
          <w:szCs w:val="30"/>
        </w:rPr>
        <w:t>要求进行。</w:t>
      </w:r>
    </w:p>
    <w:p>
      <w:pPr>
        <w:pStyle w:val="4"/>
        <w:spacing w:line="400" w:lineRule="exact"/>
        <w:ind w:firstLine="602" w:firstLineChars="200"/>
        <w:rPr>
          <w:rFonts w:ascii="仿宋" w:hAnsi="仿宋" w:eastAsia="仿宋"/>
          <w:sz w:val="30"/>
          <w:szCs w:val="30"/>
        </w:rPr>
      </w:pPr>
      <w:bookmarkStart w:id="175" w:name="_Toc217446111"/>
      <w:r>
        <w:rPr>
          <w:rFonts w:hint="eastAsia" w:ascii="仿宋" w:hAnsi="仿宋" w:eastAsia="仿宋"/>
          <w:sz w:val="30"/>
          <w:szCs w:val="30"/>
        </w:rPr>
        <w:t>五、付款方式</w:t>
      </w:r>
      <w:bookmarkEnd w:id="175"/>
    </w:p>
    <w:p>
      <w:pPr>
        <w:pStyle w:val="156"/>
        <w:ind w:firstLine="480"/>
        <w:jc w:val="left"/>
        <w:rPr>
          <w:rFonts w:ascii="仿宋" w:hAnsi="仿宋" w:eastAsia="仿宋"/>
          <w:sz w:val="30"/>
          <w:szCs w:val="30"/>
        </w:rPr>
      </w:pPr>
      <w:r>
        <w:rPr>
          <w:rFonts w:hint="eastAsia" w:ascii="仿宋" w:hAnsi="仿宋" w:eastAsia="仿宋"/>
          <w:sz w:val="30"/>
          <w:szCs w:val="30"/>
        </w:rPr>
        <w:t>1、甲</w:t>
      </w:r>
      <w:r>
        <w:rPr>
          <w:rFonts w:hint="eastAsia" w:ascii="仿宋" w:hAnsi="仿宋" w:eastAsia="仿宋"/>
          <w:sz w:val="30"/>
          <w:szCs w:val="30"/>
          <w:lang w:val="en-US" w:eastAsia="zh-CN"/>
        </w:rPr>
        <w:t>乙双</w:t>
      </w:r>
      <w:r>
        <w:rPr>
          <w:rFonts w:hint="eastAsia" w:ascii="仿宋" w:hAnsi="仿宋" w:eastAsia="仿宋"/>
          <w:sz w:val="30"/>
          <w:szCs w:val="30"/>
        </w:rPr>
        <w:t>方在本合同签订生效后，乙方在</w:t>
      </w:r>
      <w:r>
        <w:rPr>
          <w:rFonts w:hint="eastAsia" w:ascii="仿宋" w:hAnsi="仿宋" w:eastAsia="仿宋"/>
          <w:sz w:val="30"/>
          <w:szCs w:val="30"/>
          <w:u w:val="single"/>
          <w:lang w:val="en-US" w:eastAsia="zh-CN"/>
        </w:rPr>
        <w:t>5</w:t>
      </w:r>
      <w:r>
        <w:rPr>
          <w:rFonts w:hint="eastAsia" w:ascii="仿宋" w:hAnsi="仿宋" w:eastAsia="仿宋"/>
          <w:sz w:val="30"/>
          <w:szCs w:val="30"/>
        </w:rPr>
        <w:t>个工作日内提交</w:t>
      </w:r>
      <w:r>
        <w:rPr>
          <w:rFonts w:hint="eastAsia" w:ascii="仿宋" w:hAnsi="仿宋" w:eastAsia="仿宋"/>
          <w:sz w:val="30"/>
          <w:szCs w:val="30"/>
          <w:lang w:val="en-US" w:eastAsia="zh-CN"/>
        </w:rPr>
        <w:t>售后服务</w:t>
      </w:r>
      <w:r>
        <w:rPr>
          <w:rFonts w:hint="eastAsia" w:ascii="仿宋" w:hAnsi="仿宋" w:eastAsia="仿宋"/>
          <w:sz w:val="30"/>
          <w:szCs w:val="30"/>
        </w:rPr>
        <w:t>保证金，</w:t>
      </w:r>
      <w:r>
        <w:rPr>
          <w:rFonts w:hint="eastAsia" w:ascii="仿宋" w:hAnsi="仿宋" w:eastAsia="仿宋"/>
          <w:sz w:val="30"/>
          <w:szCs w:val="30"/>
          <w:lang w:val="en-US" w:eastAsia="zh-CN"/>
        </w:rPr>
        <w:t>售后服务</w:t>
      </w:r>
      <w:r>
        <w:rPr>
          <w:rFonts w:hint="eastAsia" w:ascii="仿宋" w:hAnsi="仿宋" w:eastAsia="仿宋"/>
          <w:sz w:val="30"/>
          <w:szCs w:val="30"/>
        </w:rPr>
        <w:t>保证金</w:t>
      </w:r>
      <w:r>
        <w:rPr>
          <w:rFonts w:hint="eastAsia" w:ascii="仿宋" w:hAnsi="仿宋" w:eastAsia="仿宋"/>
          <w:sz w:val="30"/>
          <w:szCs w:val="30"/>
          <w:lang w:val="en-US" w:eastAsia="zh-CN"/>
        </w:rPr>
        <w:t>为合同金额的3%,即人民币</w:t>
      </w:r>
      <w:r>
        <w:rPr>
          <w:rFonts w:hint="eastAsia" w:ascii="仿宋" w:hAnsi="仿宋" w:eastAsia="仿宋"/>
          <w:sz w:val="30"/>
          <w:szCs w:val="30"/>
          <w:u w:val="single"/>
          <w:lang w:val="en-US" w:eastAsia="zh-CN"/>
        </w:rPr>
        <w:t xml:space="preserve">￥    </w:t>
      </w:r>
      <w:r>
        <w:rPr>
          <w:rFonts w:hint="eastAsia" w:ascii="仿宋" w:hAnsi="仿宋" w:eastAsia="仿宋"/>
          <w:sz w:val="30"/>
          <w:szCs w:val="30"/>
          <w:u w:val="none"/>
          <w:lang w:val="en-US" w:eastAsia="zh-CN"/>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none"/>
          <w:lang w:val="en-US" w:eastAsia="zh-CN"/>
        </w:rPr>
        <w:t>，售后服务保证金</w:t>
      </w:r>
      <w:r>
        <w:rPr>
          <w:rFonts w:hint="eastAsia" w:ascii="仿宋" w:hAnsi="仿宋" w:eastAsia="仿宋"/>
          <w:sz w:val="30"/>
          <w:szCs w:val="30"/>
        </w:rPr>
        <w:t>以支票、汇票、本票或者金融机构、符合具备偿付能力的专业担保机构出具的保函等非现金形式提供，乙方可自愿选择提交</w:t>
      </w:r>
      <w:r>
        <w:rPr>
          <w:rFonts w:hint="eastAsia" w:ascii="仿宋" w:hAnsi="仿宋" w:eastAsia="仿宋"/>
          <w:sz w:val="30"/>
          <w:szCs w:val="30"/>
          <w:lang w:val="en-US" w:eastAsia="zh-CN"/>
        </w:rPr>
        <w:t>售后服务</w:t>
      </w:r>
      <w:r>
        <w:rPr>
          <w:rFonts w:hint="eastAsia" w:ascii="仿宋" w:hAnsi="仿宋" w:eastAsia="仿宋"/>
          <w:sz w:val="30"/>
          <w:szCs w:val="30"/>
        </w:rPr>
        <w:t>保证金的方式</w:t>
      </w:r>
      <w:r>
        <w:rPr>
          <w:rFonts w:hint="eastAsia" w:ascii="仿宋" w:hAnsi="仿宋" w:eastAsia="仿宋"/>
          <w:sz w:val="30"/>
          <w:szCs w:val="30"/>
          <w:lang w:eastAsia="zh-CN"/>
        </w:rPr>
        <w:t>，</w:t>
      </w:r>
      <w:r>
        <w:rPr>
          <w:rFonts w:hint="eastAsia" w:ascii="仿宋" w:hAnsi="仿宋" w:eastAsia="仿宋"/>
          <w:sz w:val="30"/>
          <w:szCs w:val="30"/>
        </w:rPr>
        <w:t>甲方收到乙方</w:t>
      </w:r>
      <w:r>
        <w:rPr>
          <w:rFonts w:hint="eastAsia" w:ascii="仿宋" w:hAnsi="仿宋" w:eastAsia="仿宋"/>
          <w:sz w:val="30"/>
          <w:szCs w:val="30"/>
          <w:lang w:val="en-US" w:eastAsia="zh-CN"/>
        </w:rPr>
        <w:t>预付款支付函及</w:t>
      </w:r>
      <w:r>
        <w:rPr>
          <w:rFonts w:hint="eastAsia" w:ascii="仿宋" w:hAnsi="仿宋" w:eastAsia="仿宋"/>
          <w:sz w:val="30"/>
          <w:szCs w:val="30"/>
        </w:rPr>
        <w:t>票据</w:t>
      </w:r>
      <w:r>
        <w:rPr>
          <w:rFonts w:hint="eastAsia" w:ascii="仿宋" w:hAnsi="仿宋" w:eastAsia="仿宋"/>
          <w:sz w:val="30"/>
          <w:szCs w:val="30"/>
          <w:u w:val="single"/>
          <w:lang w:val="en-US" w:eastAsia="zh-CN"/>
        </w:rPr>
        <w:t xml:space="preserve"> 10 </w:t>
      </w:r>
      <w:r>
        <w:rPr>
          <w:rFonts w:hint="eastAsia" w:ascii="仿宋" w:hAnsi="仿宋" w:eastAsia="仿宋"/>
          <w:sz w:val="30"/>
          <w:szCs w:val="30"/>
        </w:rPr>
        <w:t>日内预付合同总金额30%的预付款，即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w:t>
      </w:r>
    </w:p>
    <w:p>
      <w:pPr>
        <w:pStyle w:val="156"/>
        <w:ind w:firstLine="480"/>
        <w:jc w:val="left"/>
        <w:rPr>
          <w:rFonts w:ascii="仿宋" w:hAnsi="仿宋" w:eastAsia="仿宋"/>
          <w:sz w:val="30"/>
          <w:szCs w:val="30"/>
        </w:rPr>
      </w:pPr>
      <w:r>
        <w:rPr>
          <w:rFonts w:hint="eastAsia" w:ascii="仿宋" w:hAnsi="仿宋" w:eastAsia="仿宋"/>
          <w:sz w:val="30"/>
          <w:szCs w:val="30"/>
        </w:rPr>
        <w:t>2、乙方全部送货到甲方指定地点并完成安装调试时，</w:t>
      </w:r>
      <w:r>
        <w:rPr>
          <w:rFonts w:hint="eastAsia" w:ascii="仿宋" w:hAnsi="仿宋" w:eastAsia="仿宋"/>
          <w:sz w:val="30"/>
          <w:szCs w:val="30"/>
          <w:lang w:val="en-US" w:eastAsia="zh-CN"/>
        </w:rPr>
        <w:t>并完成校级验收后，甲方</w:t>
      </w:r>
      <w:r>
        <w:rPr>
          <w:rFonts w:hint="eastAsia" w:ascii="仿宋" w:hAnsi="仿宋" w:eastAsia="仿宋"/>
          <w:sz w:val="30"/>
          <w:szCs w:val="30"/>
        </w:rPr>
        <w:t>接到乙方</w:t>
      </w:r>
      <w:r>
        <w:rPr>
          <w:rFonts w:hint="eastAsia" w:ascii="仿宋" w:hAnsi="仿宋" w:eastAsia="仿宋"/>
          <w:sz w:val="30"/>
          <w:szCs w:val="30"/>
          <w:lang w:val="en-US" w:eastAsia="zh-CN"/>
        </w:rPr>
        <w:t>书面通知</w:t>
      </w:r>
      <w:r>
        <w:rPr>
          <w:rFonts w:hint="eastAsia" w:ascii="仿宋" w:hAnsi="仿宋" w:eastAsia="仿宋"/>
          <w:sz w:val="30"/>
          <w:szCs w:val="30"/>
        </w:rPr>
        <w:t>和票据凭证</w:t>
      </w:r>
      <w:r>
        <w:rPr>
          <w:rFonts w:hint="eastAsia" w:ascii="仿宋" w:hAnsi="仿宋" w:eastAsia="仿宋"/>
          <w:sz w:val="30"/>
          <w:szCs w:val="30"/>
          <w:lang w:val="en-US" w:eastAsia="zh-CN"/>
        </w:rPr>
        <w:t>及相关</w:t>
      </w:r>
      <w:r>
        <w:rPr>
          <w:rFonts w:hint="eastAsia" w:ascii="仿宋" w:hAnsi="仿宋" w:eastAsia="仿宋"/>
          <w:sz w:val="30"/>
          <w:szCs w:val="30"/>
        </w:rPr>
        <w:t>资料后的</w:t>
      </w:r>
      <w:r>
        <w:rPr>
          <w:rFonts w:hint="eastAsia" w:ascii="仿宋" w:hAnsi="仿宋" w:eastAsia="仿宋"/>
          <w:sz w:val="30"/>
          <w:szCs w:val="30"/>
          <w:u w:val="single"/>
          <w:lang w:val="en-US" w:eastAsia="zh-CN"/>
        </w:rPr>
        <w:t xml:space="preserve"> 20 </w:t>
      </w:r>
      <w:r>
        <w:rPr>
          <w:rFonts w:hint="eastAsia" w:ascii="仿宋" w:hAnsi="仿宋" w:eastAsia="仿宋"/>
          <w:sz w:val="30"/>
          <w:szCs w:val="30"/>
        </w:rPr>
        <w:t>日内支付合同金额</w:t>
      </w:r>
      <w:r>
        <w:rPr>
          <w:rFonts w:hint="eastAsia" w:ascii="仿宋" w:hAnsi="仿宋" w:eastAsia="仿宋"/>
          <w:sz w:val="30"/>
          <w:szCs w:val="30"/>
          <w:lang w:val="en-US" w:eastAsia="zh-CN"/>
        </w:rPr>
        <w:t>3</w:t>
      </w:r>
      <w:r>
        <w:rPr>
          <w:rFonts w:hint="eastAsia" w:ascii="仿宋" w:hAnsi="仿宋" w:eastAsia="仿宋"/>
          <w:sz w:val="30"/>
          <w:szCs w:val="30"/>
        </w:rPr>
        <w:t>0%的价款，即</w:t>
      </w:r>
      <w:r>
        <w:rPr>
          <w:rFonts w:hint="eastAsia" w:ascii="仿宋" w:hAnsi="仿宋" w:eastAsia="仿宋"/>
          <w:sz w:val="30"/>
          <w:szCs w:val="30"/>
          <w:lang w:eastAsia="zh-CN"/>
        </w:rPr>
        <w:t>人民币</w:t>
      </w:r>
      <w:r>
        <w:rPr>
          <w:rFonts w:hint="eastAsia" w:ascii="仿宋" w:hAnsi="仿宋" w:eastAsia="仿宋"/>
          <w:sz w:val="30"/>
          <w:szCs w:val="30"/>
          <w:u w:val="single"/>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w:t>
      </w:r>
    </w:p>
    <w:p>
      <w:pPr>
        <w:pStyle w:val="156"/>
        <w:ind w:firstLine="480"/>
        <w:jc w:val="left"/>
        <w:rPr>
          <w:rFonts w:ascii="仿宋" w:hAnsi="仿宋" w:eastAsia="仿宋"/>
          <w:sz w:val="30"/>
          <w:szCs w:val="30"/>
        </w:rPr>
      </w:pPr>
      <w:r>
        <w:rPr>
          <w:rFonts w:hint="eastAsia" w:ascii="仿宋" w:hAnsi="仿宋" w:eastAsia="仿宋"/>
          <w:sz w:val="30"/>
          <w:szCs w:val="30"/>
        </w:rPr>
        <w:t>3、余款</w:t>
      </w:r>
      <w:r>
        <w:rPr>
          <w:rFonts w:hint="eastAsia" w:ascii="仿宋" w:hAnsi="仿宋" w:eastAsia="仿宋"/>
          <w:sz w:val="30"/>
          <w:szCs w:val="30"/>
          <w:lang w:val="en-US" w:eastAsia="zh-CN"/>
        </w:rPr>
        <w:t>4</w:t>
      </w:r>
      <w:r>
        <w:rPr>
          <w:rFonts w:hint="eastAsia" w:ascii="仿宋" w:hAnsi="仿宋" w:eastAsia="仿宋"/>
          <w:sz w:val="30"/>
          <w:szCs w:val="30"/>
        </w:rPr>
        <w:t>0%，即</w:t>
      </w:r>
      <w:r>
        <w:rPr>
          <w:rFonts w:hint="eastAsia" w:ascii="仿宋" w:hAnsi="仿宋" w:eastAsia="仿宋"/>
          <w:sz w:val="30"/>
          <w:szCs w:val="30"/>
          <w:lang w:eastAsia="zh-CN"/>
        </w:rPr>
        <w:t>人民币</w:t>
      </w:r>
      <w:r>
        <w:rPr>
          <w:rFonts w:hint="eastAsia" w:ascii="仿宋" w:hAnsi="仿宋" w:eastAsia="仿宋"/>
          <w:sz w:val="30"/>
          <w:szCs w:val="30"/>
          <w:u w:val="single"/>
        </w:rPr>
        <w:t>￥</w:t>
      </w:r>
      <w:r>
        <w:rPr>
          <w:rFonts w:hint="eastAsia" w:ascii="仿宋" w:hAnsi="仿宋" w:eastAsia="仿宋"/>
          <w:sz w:val="30"/>
          <w:szCs w:val="30"/>
          <w:u w:val="single"/>
          <w:lang w:val="en-US" w:eastAsia="zh-CN"/>
        </w:rPr>
        <w:t xml:space="preserve">  </w:t>
      </w:r>
      <w:r>
        <w:rPr>
          <w:rFonts w:hint="eastAsia" w:ascii="仿宋" w:hAnsi="仿宋" w:eastAsia="仿宋"/>
          <w:sz w:val="30"/>
          <w:szCs w:val="30"/>
        </w:rPr>
        <w:t>元，大写：</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元整</w:t>
      </w:r>
      <w:r>
        <w:rPr>
          <w:rFonts w:hint="eastAsia" w:ascii="仿宋" w:hAnsi="仿宋" w:eastAsia="仿宋"/>
          <w:sz w:val="30"/>
          <w:szCs w:val="30"/>
        </w:rPr>
        <w:t>。待全部产品设备验收合格，乙方提供完整资料后</w:t>
      </w:r>
      <w:r>
        <w:rPr>
          <w:rFonts w:hint="eastAsia" w:ascii="仿宋" w:hAnsi="仿宋" w:eastAsia="仿宋"/>
          <w:sz w:val="30"/>
          <w:szCs w:val="30"/>
          <w:u w:val="single"/>
        </w:rPr>
        <w:t>30</w:t>
      </w:r>
      <w:r>
        <w:rPr>
          <w:rFonts w:hint="eastAsia" w:ascii="仿宋" w:hAnsi="仿宋" w:eastAsia="仿宋"/>
          <w:sz w:val="30"/>
          <w:szCs w:val="30"/>
        </w:rPr>
        <w:t>日内全部付清。</w:t>
      </w:r>
    </w:p>
    <w:p>
      <w:pPr>
        <w:pStyle w:val="156"/>
        <w:ind w:firstLine="480"/>
        <w:rPr>
          <w:rFonts w:ascii="仿宋" w:hAnsi="仿宋" w:eastAsia="仿宋"/>
          <w:sz w:val="30"/>
          <w:szCs w:val="30"/>
        </w:rPr>
      </w:pPr>
      <w:r>
        <w:rPr>
          <w:rFonts w:hint="eastAsia" w:ascii="仿宋" w:hAnsi="仿宋" w:eastAsia="仿宋"/>
          <w:sz w:val="30"/>
          <w:szCs w:val="30"/>
        </w:rPr>
        <w:t>4、乙方须向甲方出具合法有效完整的完税发票及凭证资料进行支付结算。</w:t>
      </w:r>
    </w:p>
    <w:p>
      <w:pPr>
        <w:pStyle w:val="4"/>
        <w:spacing w:line="400" w:lineRule="exact"/>
        <w:ind w:firstLine="602" w:firstLineChars="200"/>
        <w:rPr>
          <w:rFonts w:ascii="仿宋" w:hAnsi="仿宋" w:eastAsia="仿宋"/>
          <w:sz w:val="30"/>
          <w:szCs w:val="30"/>
        </w:rPr>
      </w:pPr>
      <w:bookmarkStart w:id="176" w:name="_Toc217446112"/>
      <w:r>
        <w:rPr>
          <w:rFonts w:hint="eastAsia" w:ascii="仿宋" w:hAnsi="仿宋" w:eastAsia="仿宋"/>
          <w:sz w:val="30"/>
          <w:szCs w:val="30"/>
        </w:rPr>
        <w:t>六、售后服务</w:t>
      </w:r>
      <w:bookmarkEnd w:id="176"/>
    </w:p>
    <w:p>
      <w:pPr>
        <w:pStyle w:val="156"/>
        <w:ind w:firstLine="480"/>
        <w:rPr>
          <w:rFonts w:ascii="仿宋" w:hAnsi="仿宋" w:eastAsia="仿宋"/>
          <w:sz w:val="30"/>
          <w:szCs w:val="30"/>
        </w:rPr>
      </w:pPr>
      <w:r>
        <w:rPr>
          <w:rFonts w:hint="eastAsia" w:ascii="仿宋" w:hAnsi="仿宋" w:eastAsia="仿宋"/>
          <w:sz w:val="30"/>
          <w:szCs w:val="30"/>
        </w:rPr>
        <w:t>1、质保期为验收合格后</w:t>
      </w:r>
      <w:r>
        <w:rPr>
          <w:rFonts w:hint="eastAsia" w:ascii="仿宋" w:hAnsi="仿宋" w:eastAsia="仿宋"/>
          <w:sz w:val="30"/>
          <w:szCs w:val="30"/>
          <w:u w:val="single"/>
        </w:rPr>
        <w:t>36</w:t>
      </w:r>
      <w:r>
        <w:rPr>
          <w:rFonts w:hint="eastAsia" w:ascii="仿宋" w:hAnsi="仿宋" w:eastAsia="仿宋"/>
          <w:sz w:val="30"/>
          <w:szCs w:val="30"/>
        </w:rPr>
        <w:t>个月，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156"/>
        <w:ind w:firstLine="480"/>
        <w:rPr>
          <w:rFonts w:ascii="仿宋" w:hAnsi="仿宋" w:eastAsia="仿宋"/>
          <w:sz w:val="30"/>
          <w:szCs w:val="30"/>
        </w:rPr>
      </w:pPr>
      <w:r>
        <w:rPr>
          <w:rFonts w:hint="eastAsia" w:ascii="仿宋" w:hAnsi="仿宋" w:eastAsia="仿宋"/>
          <w:sz w:val="30"/>
          <w:szCs w:val="30"/>
        </w:rPr>
        <w:t>2、乙方须指派专人负责与甲方联系售后服务事宜。</w:t>
      </w:r>
      <w:r>
        <w:rPr>
          <w:rFonts w:eastAsia="仿宋" w:cs="Calibri"/>
          <w:sz w:val="30"/>
          <w:szCs w:val="30"/>
        </w:rPr>
        <w:t> </w:t>
      </w:r>
    </w:p>
    <w:p>
      <w:pPr>
        <w:pStyle w:val="4"/>
        <w:spacing w:line="400" w:lineRule="exact"/>
        <w:ind w:firstLine="602" w:firstLineChars="200"/>
        <w:rPr>
          <w:rFonts w:ascii="仿宋" w:hAnsi="仿宋" w:eastAsia="仿宋"/>
          <w:sz w:val="30"/>
          <w:szCs w:val="30"/>
        </w:rPr>
      </w:pPr>
      <w:bookmarkStart w:id="177" w:name="_Toc217446113"/>
      <w:r>
        <w:rPr>
          <w:rFonts w:hint="eastAsia" w:ascii="仿宋" w:hAnsi="仿宋" w:eastAsia="仿宋"/>
          <w:sz w:val="30"/>
          <w:szCs w:val="30"/>
        </w:rPr>
        <w:t>七、违约责任</w:t>
      </w:r>
      <w:bookmarkEnd w:id="177"/>
    </w:p>
    <w:p>
      <w:pPr>
        <w:pStyle w:val="156"/>
        <w:ind w:firstLine="600"/>
        <w:rPr>
          <w:rFonts w:ascii="仿宋" w:hAnsi="仿宋" w:eastAsia="仿宋"/>
          <w:sz w:val="30"/>
          <w:szCs w:val="30"/>
        </w:rPr>
      </w:pPr>
      <w:r>
        <w:rPr>
          <w:rFonts w:hint="eastAsia" w:ascii="仿宋" w:hAnsi="仿宋" w:eastAsia="仿宋"/>
          <w:sz w:val="30"/>
          <w:szCs w:val="30"/>
        </w:rPr>
        <w:t>1、甲方违约责任</w:t>
      </w:r>
    </w:p>
    <w:p>
      <w:pPr>
        <w:pStyle w:val="156"/>
        <w:ind w:firstLine="600"/>
        <w:rPr>
          <w:rFonts w:ascii="仿宋" w:hAnsi="仿宋" w:eastAsia="仿宋"/>
          <w:sz w:val="30"/>
          <w:szCs w:val="30"/>
        </w:rPr>
      </w:pPr>
      <w:r>
        <w:rPr>
          <w:rFonts w:hint="eastAsia" w:ascii="仿宋" w:hAnsi="仿宋" w:eastAsia="仿宋"/>
          <w:sz w:val="30"/>
          <w:szCs w:val="30"/>
        </w:rPr>
        <w:t>（1） 甲方无正当理由拒收货物的，甲方应偿付合同总价</w:t>
      </w:r>
      <w:r>
        <w:rPr>
          <w:rFonts w:hint="eastAsia" w:ascii="仿宋" w:hAnsi="仿宋" w:eastAsia="仿宋"/>
          <w:sz w:val="30"/>
          <w:szCs w:val="30"/>
          <w:lang w:val="en-US" w:eastAsia="zh-CN"/>
        </w:rPr>
        <w:t>3%</w:t>
      </w:r>
      <w:r>
        <w:rPr>
          <w:rFonts w:hint="eastAsia" w:ascii="仿宋" w:hAnsi="仿宋" w:eastAsia="仿宋"/>
          <w:sz w:val="30"/>
          <w:szCs w:val="30"/>
        </w:rPr>
        <w:t>的违约金；</w:t>
      </w:r>
    </w:p>
    <w:p>
      <w:pPr>
        <w:pStyle w:val="156"/>
        <w:ind w:firstLine="600"/>
        <w:rPr>
          <w:rFonts w:ascii="仿宋" w:hAnsi="仿宋" w:eastAsia="仿宋"/>
          <w:sz w:val="30"/>
          <w:szCs w:val="30"/>
        </w:rPr>
      </w:pPr>
      <w:r>
        <w:rPr>
          <w:rFonts w:hint="eastAsia" w:ascii="仿宋" w:hAnsi="仿宋" w:eastAsia="仿宋"/>
          <w:sz w:val="30"/>
          <w:szCs w:val="30"/>
        </w:rPr>
        <w:t>（2） 甲方逾期支付货款的，除应及时付足货款外，应向乙方偿付欠款总额3‱/天的违约金；逾期付款超过</w:t>
      </w:r>
      <w:r>
        <w:rPr>
          <w:rFonts w:hint="eastAsia" w:ascii="仿宋" w:hAnsi="仿宋" w:eastAsia="仿宋"/>
          <w:sz w:val="30"/>
          <w:szCs w:val="30"/>
          <w:u w:val="single"/>
          <w:lang w:val="en-US" w:eastAsia="zh-CN"/>
        </w:rPr>
        <w:t>60</w:t>
      </w:r>
      <w:r>
        <w:rPr>
          <w:rFonts w:hint="eastAsia" w:ascii="仿宋" w:hAnsi="仿宋" w:eastAsia="仿宋"/>
          <w:sz w:val="30"/>
          <w:szCs w:val="30"/>
        </w:rPr>
        <w:t>天的，乙方有权终止合同；</w:t>
      </w:r>
    </w:p>
    <w:p>
      <w:pPr>
        <w:pStyle w:val="156"/>
        <w:ind w:firstLine="600"/>
        <w:rPr>
          <w:rFonts w:ascii="仿宋" w:hAnsi="仿宋" w:eastAsia="仿宋"/>
          <w:sz w:val="30"/>
          <w:szCs w:val="30"/>
        </w:rPr>
      </w:pPr>
      <w:r>
        <w:rPr>
          <w:rFonts w:hint="eastAsia" w:ascii="仿宋" w:hAnsi="仿宋" w:eastAsia="仿宋"/>
          <w:sz w:val="30"/>
          <w:szCs w:val="30"/>
        </w:rPr>
        <w:t>（3） 甲方偿付的违约金不足以弥补乙方损失的，还应按乙方损失尚未弥补的部分，支付赔偿金给乙方。</w:t>
      </w:r>
    </w:p>
    <w:p>
      <w:pPr>
        <w:pStyle w:val="156"/>
        <w:ind w:firstLine="600"/>
        <w:rPr>
          <w:rFonts w:ascii="仿宋" w:hAnsi="仿宋" w:eastAsia="仿宋"/>
          <w:sz w:val="30"/>
          <w:szCs w:val="30"/>
        </w:rPr>
      </w:pPr>
      <w:r>
        <w:rPr>
          <w:rFonts w:hint="eastAsia" w:ascii="仿宋" w:hAnsi="仿宋" w:eastAsia="仿宋"/>
          <w:sz w:val="30"/>
          <w:szCs w:val="30"/>
        </w:rPr>
        <w:t>2、乙方违约责任</w:t>
      </w:r>
    </w:p>
    <w:p>
      <w:pPr>
        <w:pStyle w:val="156"/>
        <w:ind w:firstLine="600"/>
        <w:rPr>
          <w:rFonts w:ascii="仿宋" w:hAnsi="仿宋" w:eastAsia="仿宋"/>
          <w:sz w:val="30"/>
          <w:szCs w:val="30"/>
        </w:rPr>
      </w:pPr>
      <w:r>
        <w:rPr>
          <w:rFonts w:hint="eastAsia" w:ascii="仿宋" w:hAnsi="仿宋" w:eastAsia="仿宋"/>
          <w:sz w:val="30"/>
          <w:szCs w:val="30"/>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156"/>
        <w:ind w:firstLine="600"/>
        <w:rPr>
          <w:rFonts w:ascii="仿宋" w:hAnsi="仿宋" w:eastAsia="仿宋"/>
          <w:sz w:val="30"/>
          <w:szCs w:val="30"/>
        </w:rPr>
      </w:pPr>
      <w:r>
        <w:rPr>
          <w:rFonts w:hint="eastAsia" w:ascii="仿宋" w:hAnsi="仿宋" w:eastAsia="仿宋"/>
          <w:sz w:val="30"/>
          <w:szCs w:val="30"/>
        </w:rPr>
        <w:t>（2）乙方不能交付货物或逾期交付货物而违约的，除应及时交足货物外，应向甲方偿付逾期交货部分货款总额的3‱/天的违约金；逾期交货超过</w:t>
      </w:r>
      <w:r>
        <w:rPr>
          <w:rFonts w:hint="eastAsia" w:ascii="仿宋" w:hAnsi="仿宋" w:eastAsia="仿宋"/>
          <w:sz w:val="30"/>
          <w:szCs w:val="30"/>
          <w:u w:val="single"/>
        </w:rPr>
        <w:t>60</w:t>
      </w:r>
      <w:r>
        <w:rPr>
          <w:rFonts w:hint="eastAsia" w:ascii="仿宋" w:hAnsi="仿宋" w:eastAsia="仿宋"/>
          <w:sz w:val="30"/>
          <w:szCs w:val="30"/>
        </w:rPr>
        <w:t>天，甲方有权终止合同，乙方则应按合同总价的</w:t>
      </w:r>
      <w:r>
        <w:rPr>
          <w:rFonts w:hint="eastAsia" w:ascii="仿宋" w:hAnsi="仿宋" w:eastAsia="仿宋"/>
          <w:sz w:val="30"/>
          <w:szCs w:val="30"/>
          <w:lang w:val="en-US" w:eastAsia="zh-CN"/>
        </w:rPr>
        <w:t>3%</w:t>
      </w:r>
      <w:r>
        <w:rPr>
          <w:rFonts w:hint="eastAsia" w:ascii="仿宋" w:hAnsi="仿宋" w:eastAsia="仿宋"/>
          <w:sz w:val="30"/>
          <w:szCs w:val="30"/>
        </w:rPr>
        <w:t>的款额向甲方偿付赔偿金，并须全额退还甲方已经付给乙方的货款及其利息。</w:t>
      </w:r>
    </w:p>
    <w:p>
      <w:pPr>
        <w:pStyle w:val="156"/>
        <w:ind w:firstLine="600"/>
        <w:rPr>
          <w:rFonts w:ascii="仿宋" w:hAnsi="仿宋" w:eastAsia="仿宋"/>
          <w:sz w:val="30"/>
          <w:szCs w:val="30"/>
        </w:rPr>
      </w:pPr>
      <w:r>
        <w:rPr>
          <w:rFonts w:hint="eastAsia" w:ascii="仿宋" w:hAnsi="仿宋" w:eastAsia="仿宋"/>
          <w:sz w:val="30"/>
          <w:szCs w:val="30"/>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sz w:val="30"/>
          <w:szCs w:val="30"/>
          <w:u w:val="single"/>
        </w:rPr>
        <w:t>10</w:t>
      </w:r>
      <w:r>
        <w:rPr>
          <w:rFonts w:hint="eastAsia" w:ascii="仿宋" w:hAnsi="仿宋" w:eastAsia="仿宋"/>
          <w:sz w:val="30"/>
          <w:szCs w:val="30"/>
        </w:rPr>
        <w:t>天内无条件更换合格的货物，如逾期不能更换合格的货物，甲方有权终止本合同，乙方应另付合同总价的</w:t>
      </w:r>
      <w:r>
        <w:rPr>
          <w:rFonts w:hint="eastAsia" w:ascii="仿宋" w:hAnsi="仿宋" w:eastAsia="仿宋"/>
          <w:sz w:val="30"/>
          <w:szCs w:val="30"/>
          <w:lang w:val="en-US" w:eastAsia="zh-CN"/>
        </w:rPr>
        <w:t>3%</w:t>
      </w:r>
      <w:r>
        <w:rPr>
          <w:rFonts w:hint="eastAsia" w:ascii="仿宋" w:hAnsi="仿宋" w:eastAsia="仿宋"/>
          <w:sz w:val="30"/>
          <w:szCs w:val="30"/>
        </w:rPr>
        <w:t>的赔偿金给甲方。</w:t>
      </w:r>
    </w:p>
    <w:p>
      <w:pPr>
        <w:pStyle w:val="156"/>
        <w:ind w:firstLine="600"/>
        <w:rPr>
          <w:rFonts w:ascii="仿宋" w:hAnsi="仿宋" w:eastAsia="仿宋"/>
          <w:sz w:val="30"/>
          <w:szCs w:val="30"/>
        </w:rPr>
      </w:pPr>
      <w:r>
        <w:rPr>
          <w:rFonts w:hint="eastAsia" w:ascii="仿宋" w:hAnsi="仿宋" w:eastAsia="仿宋"/>
          <w:sz w:val="30"/>
          <w:szCs w:val="3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156"/>
        <w:ind w:firstLine="600"/>
        <w:rPr>
          <w:rFonts w:ascii="仿宋" w:hAnsi="仿宋" w:eastAsia="仿宋"/>
          <w:sz w:val="30"/>
          <w:szCs w:val="30"/>
        </w:rPr>
      </w:pPr>
      <w:r>
        <w:rPr>
          <w:rFonts w:hint="eastAsia" w:ascii="仿宋" w:hAnsi="仿宋" w:eastAsia="仿宋"/>
          <w:sz w:val="30"/>
          <w:szCs w:val="30"/>
        </w:rPr>
        <w:t>（5）乙方偿付的违约金不足以弥补甲方损失的，还应按甲方损失尚未弥补的部分，支付赔偿金给甲方。</w:t>
      </w:r>
    </w:p>
    <w:p>
      <w:pPr>
        <w:pStyle w:val="4"/>
        <w:spacing w:line="400" w:lineRule="exact"/>
        <w:ind w:firstLine="602" w:firstLineChars="200"/>
        <w:rPr>
          <w:rFonts w:ascii="仿宋" w:hAnsi="仿宋" w:eastAsia="仿宋"/>
          <w:sz w:val="30"/>
          <w:szCs w:val="30"/>
        </w:rPr>
      </w:pPr>
      <w:bookmarkStart w:id="178" w:name="_Toc217446114"/>
      <w:r>
        <w:rPr>
          <w:rFonts w:hint="eastAsia" w:ascii="仿宋" w:hAnsi="仿宋" w:eastAsia="仿宋"/>
          <w:sz w:val="30"/>
          <w:szCs w:val="30"/>
        </w:rPr>
        <w:t>八、争议解决办法</w:t>
      </w:r>
      <w:bookmarkEnd w:id="178"/>
    </w:p>
    <w:p>
      <w:pPr>
        <w:pStyle w:val="156"/>
        <w:ind w:firstLine="480"/>
        <w:rPr>
          <w:rFonts w:ascii="仿宋" w:hAnsi="仿宋" w:eastAsia="仿宋"/>
          <w:sz w:val="30"/>
          <w:szCs w:val="30"/>
        </w:rPr>
      </w:pPr>
      <w:r>
        <w:rPr>
          <w:rFonts w:hint="eastAsia" w:ascii="仿宋" w:hAnsi="仿宋" w:eastAsia="仿宋"/>
          <w:sz w:val="30"/>
          <w:szCs w:val="30"/>
        </w:rPr>
        <w:t>1、因货物的质量问题发生争议，由质量技术监督部门或其指定的质量鉴定机构进行质量鉴定。货物符合标准的，鉴定费由甲方承担；货物不符合质量标准的，鉴定费由乙方承担。</w:t>
      </w:r>
    </w:p>
    <w:p>
      <w:pPr>
        <w:pStyle w:val="156"/>
        <w:ind w:firstLine="480"/>
        <w:rPr>
          <w:rFonts w:ascii="仿宋" w:hAnsi="仿宋" w:eastAsia="仿宋"/>
          <w:sz w:val="30"/>
          <w:szCs w:val="30"/>
        </w:rPr>
      </w:pPr>
      <w:r>
        <w:rPr>
          <w:rFonts w:hint="eastAsia" w:ascii="仿宋" w:hAnsi="仿宋" w:eastAsia="仿宋"/>
          <w:sz w:val="30"/>
          <w:szCs w:val="30"/>
        </w:rPr>
        <w:t>2、合同履行期间,若双方发生争议，可协商或由有关部门调解解决，协商或调解不成的，由当事人依法维护其合法权益。</w:t>
      </w:r>
    </w:p>
    <w:p>
      <w:pPr>
        <w:pStyle w:val="4"/>
        <w:spacing w:line="400" w:lineRule="exact"/>
        <w:ind w:firstLine="602" w:firstLineChars="200"/>
        <w:rPr>
          <w:rFonts w:ascii="仿宋" w:hAnsi="仿宋" w:eastAsia="仿宋"/>
          <w:sz w:val="30"/>
          <w:szCs w:val="30"/>
        </w:rPr>
      </w:pPr>
      <w:bookmarkStart w:id="179" w:name="_Toc217446115"/>
      <w:r>
        <w:rPr>
          <w:rFonts w:hint="eastAsia" w:ascii="仿宋" w:hAnsi="仿宋" w:eastAsia="仿宋"/>
          <w:sz w:val="30"/>
          <w:szCs w:val="30"/>
        </w:rPr>
        <w:t>九、其他</w:t>
      </w:r>
      <w:bookmarkEnd w:id="179"/>
    </w:p>
    <w:p>
      <w:pPr>
        <w:pStyle w:val="156"/>
        <w:ind w:firstLine="480"/>
        <w:rPr>
          <w:rFonts w:ascii="仿宋" w:hAnsi="仿宋" w:eastAsia="仿宋"/>
          <w:sz w:val="30"/>
          <w:szCs w:val="30"/>
        </w:rPr>
      </w:pPr>
      <w:r>
        <w:rPr>
          <w:rFonts w:hint="eastAsia" w:ascii="仿宋" w:hAnsi="仿宋" w:eastAsia="仿宋"/>
          <w:sz w:val="30"/>
          <w:szCs w:val="30"/>
        </w:rPr>
        <w:t>1、如有未尽事宜，由双方依法订立补充合同。</w:t>
      </w:r>
    </w:p>
    <w:p>
      <w:pPr>
        <w:pStyle w:val="156"/>
        <w:ind w:firstLine="480"/>
        <w:rPr>
          <w:rFonts w:hint="eastAsia" w:ascii="仿宋" w:hAnsi="仿宋" w:eastAsia="仿宋"/>
          <w:sz w:val="30"/>
          <w:szCs w:val="30"/>
        </w:rPr>
      </w:pPr>
      <w:r>
        <w:rPr>
          <w:rFonts w:hint="eastAsia" w:ascii="仿宋" w:hAnsi="仿宋" w:eastAsia="仿宋"/>
          <w:sz w:val="30"/>
          <w:szCs w:val="30"/>
        </w:rPr>
        <w:t>2、本合同一式六份，自双方签章之日起生效。甲方三份，乙方、政府采购管理部门、采购代理机构各一份。</w:t>
      </w:r>
    </w:p>
    <w:p>
      <w:pPr>
        <w:pStyle w:val="156"/>
        <w:ind w:firstLine="480"/>
        <w:rPr>
          <w:rFonts w:hint="eastAsia" w:ascii="仿宋" w:hAnsi="仿宋" w:eastAsia="仿宋"/>
          <w:sz w:val="30"/>
          <w:szCs w:val="30"/>
        </w:rPr>
      </w:pPr>
    </w:p>
    <w:p>
      <w:pPr>
        <w:pStyle w:val="156"/>
        <w:ind w:firstLine="480"/>
        <w:rPr>
          <w:rFonts w:hint="eastAsia" w:ascii="仿宋" w:hAnsi="仿宋" w:eastAsia="仿宋"/>
          <w:sz w:val="30"/>
          <w:szCs w:val="30"/>
        </w:rPr>
      </w:pPr>
    </w:p>
    <w:p>
      <w:pPr>
        <w:tabs>
          <w:tab w:val="left" w:pos="458"/>
        </w:tabs>
        <w:spacing w:line="400" w:lineRule="exact"/>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乙方：（盖章）</w:t>
      </w:r>
    </w:p>
    <w:p>
      <w:pPr>
        <w:spacing w:line="400" w:lineRule="exact"/>
        <w:rPr>
          <w:rFonts w:ascii="仿宋" w:hAnsi="仿宋" w:eastAsia="仿宋"/>
          <w:sz w:val="24"/>
        </w:rPr>
      </w:pPr>
      <w:r>
        <w:rPr>
          <w:rFonts w:hint="eastAsia" w:ascii="仿宋" w:hAnsi="仿宋" w:eastAsia="仿宋"/>
          <w:szCs w:val="21"/>
        </w:rPr>
        <w:t>法定代表人/单位负责人（授权代表）：           法定代表人/单位负责人（授权代表）：</w:t>
      </w:r>
    </w:p>
    <w:p>
      <w:pPr>
        <w:spacing w:line="400" w:lineRule="exact"/>
        <w:ind w:left="6000" w:hanging="6000" w:hangingChars="2500"/>
        <w:rPr>
          <w:rFonts w:ascii="仿宋" w:hAnsi="仿宋" w:eastAsia="仿宋"/>
          <w:sz w:val="24"/>
        </w:rPr>
      </w:pPr>
      <w:r>
        <w:rPr>
          <w:rFonts w:hint="eastAsia" w:ascii="仿宋" w:hAnsi="仿宋" w:eastAsia="仿宋"/>
          <w:sz w:val="24"/>
        </w:rPr>
        <w:t>地    址：</w:t>
      </w:r>
      <w:r>
        <w:rPr>
          <w:rFonts w:hint="eastAsia" w:ascii="仿宋" w:hAnsi="仿宋" w:eastAsia="仿宋"/>
          <w:szCs w:val="21"/>
        </w:rPr>
        <w:t>彭州市天彭街道龙塔路47号</w:t>
      </w:r>
      <w:r>
        <w:rPr>
          <w:rFonts w:hint="eastAsia" w:ascii="仿宋" w:hAnsi="仿宋" w:eastAsia="仿宋"/>
          <w:sz w:val="24"/>
        </w:rPr>
        <w:t xml:space="preserve">        地    址：</w:t>
      </w:r>
    </w:p>
    <w:p>
      <w:pPr>
        <w:spacing w:line="400" w:lineRule="exact"/>
        <w:ind w:left="6000" w:hanging="6000" w:hangingChars="2500"/>
        <w:rPr>
          <w:rFonts w:ascii="仿宋" w:hAnsi="仿宋" w:eastAsia="仿宋"/>
          <w:sz w:val="24"/>
        </w:rPr>
      </w:pPr>
      <w:r>
        <w:rPr>
          <w:rFonts w:hint="eastAsia" w:ascii="仿宋" w:hAnsi="仿宋" w:eastAsia="仿宋"/>
          <w:sz w:val="24"/>
        </w:rPr>
        <w:t>开户银行：工行彭州支行                  开户银行：</w:t>
      </w:r>
    </w:p>
    <w:p>
      <w:pPr>
        <w:spacing w:line="400" w:lineRule="exact"/>
        <w:rPr>
          <w:rFonts w:hint="eastAsia" w:ascii="仿宋" w:hAnsi="仿宋" w:eastAsia="仿宋"/>
          <w:sz w:val="24"/>
          <w:lang w:eastAsia="zh-CN"/>
        </w:rPr>
      </w:pPr>
      <w:r>
        <w:rPr>
          <w:rFonts w:hint="eastAsia" w:ascii="仿宋" w:hAnsi="仿宋" w:eastAsia="仿宋"/>
          <w:sz w:val="24"/>
        </w:rPr>
        <w:t>账号：4402  2230  0902  6413 966        账号：</w:t>
      </w:r>
      <w:r>
        <w:rPr>
          <w:rFonts w:hint="eastAsia" w:ascii="仿宋" w:hAnsi="仿宋" w:eastAsia="仿宋"/>
          <w:sz w:val="24"/>
          <w:lang w:eastAsia="zh-CN"/>
        </w:rPr>
        <w:t>（</w:t>
      </w:r>
      <w:r>
        <w:rPr>
          <w:rFonts w:hint="eastAsia" w:ascii="仿宋" w:hAnsi="仿宋" w:eastAsia="仿宋"/>
          <w:sz w:val="24"/>
          <w:lang w:val="en-US" w:eastAsia="zh-CN"/>
        </w:rPr>
        <w:t>唯一收款账号</w:t>
      </w:r>
      <w:r>
        <w:rPr>
          <w:rFonts w:hint="eastAsia" w:ascii="仿宋" w:hAnsi="仿宋" w:eastAsia="仿宋"/>
          <w:sz w:val="24"/>
          <w:lang w:eastAsia="zh-CN"/>
        </w:rPr>
        <w:t>）</w:t>
      </w:r>
    </w:p>
    <w:p>
      <w:pPr>
        <w:spacing w:line="400" w:lineRule="exact"/>
        <w:rPr>
          <w:rFonts w:ascii="仿宋" w:hAnsi="仿宋" w:eastAsia="仿宋"/>
          <w:sz w:val="24"/>
        </w:rPr>
      </w:pPr>
      <w:r>
        <w:rPr>
          <w:rFonts w:hint="eastAsia" w:ascii="仿宋" w:hAnsi="仿宋" w:eastAsia="仿宋"/>
          <w:sz w:val="24"/>
        </w:rPr>
        <w:t>电    话：028-83881058                  电    话：</w:t>
      </w:r>
    </w:p>
    <w:p>
      <w:pPr>
        <w:spacing w:line="400" w:lineRule="exact"/>
        <w:rPr>
          <w:rFonts w:ascii="仿宋" w:hAnsi="仿宋" w:eastAsia="仿宋"/>
          <w:sz w:val="24"/>
        </w:rPr>
      </w:pPr>
      <w:r>
        <w:rPr>
          <w:rFonts w:hint="eastAsia" w:ascii="仿宋" w:hAnsi="仿宋" w:eastAsia="仿宋"/>
          <w:sz w:val="24"/>
        </w:rPr>
        <w:t>传    真：                              传    真：</w:t>
      </w:r>
    </w:p>
    <w:p>
      <w:pPr>
        <w:spacing w:line="400" w:lineRule="exact"/>
        <w:rPr>
          <w:rFonts w:ascii="仿宋" w:hAnsi="仿宋" w:eastAsia="仿宋"/>
          <w:szCs w:val="21"/>
        </w:rPr>
      </w:pPr>
      <w:r>
        <w:rPr>
          <w:rFonts w:hint="eastAsia" w:ascii="仿宋" w:hAnsi="仿宋" w:eastAsia="仿宋"/>
        </w:rPr>
        <w:t>签约日期：202</w:t>
      </w:r>
      <w:r>
        <w:rPr>
          <w:rFonts w:hint="eastAsia" w:ascii="仿宋" w:hAnsi="仿宋" w:eastAsia="仿宋"/>
          <w:lang w:val="en-US" w:eastAsia="zh-CN"/>
        </w:rPr>
        <w:t>1</w:t>
      </w:r>
      <w:r>
        <w:rPr>
          <w:rFonts w:hint="eastAsia" w:ascii="仿宋" w:hAnsi="仿宋" w:eastAsia="仿宋"/>
        </w:rPr>
        <w:t>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 xml:space="preserve">          签约日期：202</w:t>
      </w:r>
      <w:r>
        <w:rPr>
          <w:rFonts w:hint="eastAsia" w:ascii="仿宋" w:hAnsi="仿宋" w:eastAsia="仿宋"/>
          <w:lang w:val="en-US" w:eastAsia="zh-CN"/>
        </w:rPr>
        <w:t>1</w:t>
      </w:r>
      <w:r>
        <w:rPr>
          <w:rFonts w:hint="eastAsia" w:ascii="仿宋" w:hAnsi="仿宋" w:eastAsia="仿宋"/>
        </w:rPr>
        <w:t>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日</w:t>
      </w:r>
    </w:p>
    <w:p/>
    <w:p/>
    <w:p>
      <w:pPr>
        <w:rPr>
          <w:rFonts w:ascii="仿宋" w:hAnsi="仿宋" w:eastAsia="仿宋" w:cs="仿宋"/>
          <w:sz w:val="28"/>
          <w:szCs w:val="28"/>
        </w:rPr>
        <w:sectPr>
          <w:pgSz w:w="11906" w:h="16838"/>
          <w:pgMar w:top="1440" w:right="1800" w:bottom="1440" w:left="1800" w:header="851" w:footer="992" w:gutter="0"/>
          <w:cols w:space="425" w:num="1"/>
          <w:docGrid w:type="lines" w:linePitch="312" w:charSpace="0"/>
        </w:sectPr>
      </w:pPr>
    </w:p>
    <w:p>
      <w:pPr>
        <w:pStyle w:val="2"/>
      </w:pPr>
    </w:p>
    <w:p>
      <w:pPr>
        <w:pStyle w:val="2"/>
      </w:pPr>
      <w:r>
        <w:rPr>
          <w:rFonts w:hint="eastAsia"/>
        </w:rPr>
        <w:t>附件</w:t>
      </w:r>
    </w:p>
    <w:bookmarkEnd w:id="85"/>
    <w:bookmarkEnd w:id="86"/>
    <w:bookmarkEnd w:id="87"/>
    <w:bookmarkEnd w:id="88"/>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jc w:val="both"/>
        <w:sectPr>
          <w:footerReference r:id="rId7" w:type="default"/>
          <w:pgSz w:w="11906" w:h="16838"/>
          <w:pgMar w:top="1440" w:right="1800" w:bottom="1440" w:left="1800" w:header="851" w:footer="992" w:gutter="0"/>
          <w:cols w:space="0" w:num="1"/>
          <w:rtlGutter w:val="0"/>
          <w:docGrid w:type="lines" w:linePitch="312" w:charSpace="0"/>
        </w:sectPr>
      </w:pPr>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504020202020204"/>
    <w:charset w:val="00"/>
    <w:family w:val="swiss"/>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88</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5">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8"/>
  </w:num>
  <w:num w:numId="3">
    <w:abstractNumId w:val="42"/>
  </w:num>
  <w:num w:numId="4">
    <w:abstractNumId w:val="34"/>
  </w:num>
  <w:num w:numId="5">
    <w:abstractNumId w:val="7"/>
  </w:num>
  <w:num w:numId="6">
    <w:abstractNumId w:val="23"/>
  </w:num>
  <w:num w:numId="7">
    <w:abstractNumId w:val="43"/>
  </w:num>
  <w:num w:numId="8">
    <w:abstractNumId w:val="3"/>
  </w:num>
  <w:num w:numId="9">
    <w:abstractNumId w:val="15"/>
  </w:num>
  <w:num w:numId="10">
    <w:abstractNumId w:val="16"/>
  </w:num>
  <w:num w:numId="11">
    <w:abstractNumId w:val="20"/>
  </w:num>
  <w:num w:numId="12">
    <w:abstractNumId w:val="37"/>
  </w:num>
  <w:num w:numId="13">
    <w:abstractNumId w:val="21"/>
  </w:num>
  <w:num w:numId="14">
    <w:abstractNumId w:val="36"/>
  </w:num>
  <w:num w:numId="15">
    <w:abstractNumId w:val="9"/>
  </w:num>
  <w:num w:numId="16">
    <w:abstractNumId w:val="41"/>
  </w:num>
  <w:num w:numId="17">
    <w:abstractNumId w:val="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6"/>
  </w:num>
  <w:num w:numId="24">
    <w:abstractNumId w:val="1"/>
  </w:num>
  <w:num w:numId="25">
    <w:abstractNumId w:val="4"/>
  </w:num>
  <w:num w:numId="26">
    <w:abstractNumId w:val="0"/>
  </w:num>
  <w:num w:numId="27">
    <w:abstractNumId w:val="39"/>
  </w:num>
  <w:num w:numId="28">
    <w:abstractNumId w:val="29"/>
  </w:num>
  <w:num w:numId="29">
    <w:abstractNumId w:val="35"/>
  </w:num>
  <w:num w:numId="30">
    <w:abstractNumId w:val="14"/>
  </w:num>
  <w:num w:numId="31">
    <w:abstractNumId w:val="4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33"/>
  </w:num>
  <w:num w:numId="36">
    <w:abstractNumId w:val="17"/>
  </w:num>
  <w:num w:numId="37">
    <w:abstractNumId w:val="28"/>
  </w:num>
  <w:num w:numId="38">
    <w:abstractNumId w:val="44"/>
  </w:num>
  <w:num w:numId="39">
    <w:abstractNumId w:val="3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226347A"/>
    <w:rsid w:val="02960403"/>
    <w:rsid w:val="02B63A09"/>
    <w:rsid w:val="05031124"/>
    <w:rsid w:val="0B432D0E"/>
    <w:rsid w:val="0C58263C"/>
    <w:rsid w:val="0D563A1E"/>
    <w:rsid w:val="11D97F39"/>
    <w:rsid w:val="122F4068"/>
    <w:rsid w:val="144D481B"/>
    <w:rsid w:val="167D6938"/>
    <w:rsid w:val="168963B1"/>
    <w:rsid w:val="172B5CC8"/>
    <w:rsid w:val="21747195"/>
    <w:rsid w:val="224158BB"/>
    <w:rsid w:val="24957DD5"/>
    <w:rsid w:val="24D718E4"/>
    <w:rsid w:val="268366BE"/>
    <w:rsid w:val="27112395"/>
    <w:rsid w:val="275B5D44"/>
    <w:rsid w:val="27DD7857"/>
    <w:rsid w:val="2B1451B9"/>
    <w:rsid w:val="2BEE27FA"/>
    <w:rsid w:val="2D2552A9"/>
    <w:rsid w:val="2F5017B6"/>
    <w:rsid w:val="30527ED2"/>
    <w:rsid w:val="3380526E"/>
    <w:rsid w:val="33D47ADA"/>
    <w:rsid w:val="361C0048"/>
    <w:rsid w:val="38F00EFC"/>
    <w:rsid w:val="3B3911EE"/>
    <w:rsid w:val="3F0E5C47"/>
    <w:rsid w:val="3FE31A45"/>
    <w:rsid w:val="417B410B"/>
    <w:rsid w:val="42332F71"/>
    <w:rsid w:val="42E4214C"/>
    <w:rsid w:val="498112DB"/>
    <w:rsid w:val="4AA65E7D"/>
    <w:rsid w:val="4B5E72D1"/>
    <w:rsid w:val="4CC70C25"/>
    <w:rsid w:val="52160A1E"/>
    <w:rsid w:val="54704696"/>
    <w:rsid w:val="54FB3057"/>
    <w:rsid w:val="55FB5BCF"/>
    <w:rsid w:val="57717C6C"/>
    <w:rsid w:val="57EB589C"/>
    <w:rsid w:val="61255926"/>
    <w:rsid w:val="67C609C4"/>
    <w:rsid w:val="69886EA0"/>
    <w:rsid w:val="6C302C73"/>
    <w:rsid w:val="6D28714D"/>
    <w:rsid w:val="6D2C5804"/>
    <w:rsid w:val="6ECB32FF"/>
    <w:rsid w:val="70216270"/>
    <w:rsid w:val="71477CBB"/>
    <w:rsid w:val="71F12615"/>
    <w:rsid w:val="743E352F"/>
    <w:rsid w:val="76C47FA4"/>
    <w:rsid w:val="792869EC"/>
    <w:rsid w:val="79384B8D"/>
    <w:rsid w:val="79BD768B"/>
    <w:rsid w:val="7F467634"/>
    <w:rsid w:val="7F6E0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basedOn w:val="48"/>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uiPriority w:val="0"/>
  </w:style>
  <w:style w:type="character" w:customStyle="1" w:styleId="75">
    <w:name w:val="标书（正文） Char"/>
    <w:link w:val="76"/>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uiPriority w:val="0"/>
  </w:style>
  <w:style w:type="character" w:customStyle="1" w:styleId="87">
    <w:name w:val="页脚 字符"/>
    <w:link w:val="29"/>
    <w:qFormat/>
    <w:uiPriority w:val="99"/>
    <w:rPr>
      <w:sz w:val="18"/>
      <w:szCs w:val="18"/>
    </w:rPr>
  </w:style>
  <w:style w:type="character" w:customStyle="1" w:styleId="88">
    <w:name w:val="keyword"/>
    <w:basedOn w:val="48"/>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uiPriority w:val="0"/>
    <w:rPr>
      <w:rFonts w:ascii="Wingdings" w:hAnsi="Wingdings"/>
    </w:rPr>
  </w:style>
  <w:style w:type="character" w:customStyle="1" w:styleId="102">
    <w:name w:val="magic-list1"/>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uiPriority w:val="0"/>
    <w:rPr>
      <w:rFonts w:ascii="Arial" w:hAnsi="Arial" w:eastAsia="宋体"/>
      <w:b/>
      <w:kern w:val="2"/>
      <w:sz w:val="28"/>
      <w:lang w:val="en-US" w:eastAsia="zh-CN"/>
    </w:rPr>
  </w:style>
  <w:style w:type="character" w:customStyle="1" w:styleId="111">
    <w:name w:val="正文缩进 Char1"/>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uiPriority w:val="99"/>
    <w:rPr>
      <w:rFonts w:ascii="Times New Roman" w:hAnsi="Times New Roman" w:eastAsia="宋体" w:cs="Times New Roman"/>
      <w:kern w:val="0"/>
      <w:sz w:val="24"/>
      <w:szCs w:val="24"/>
    </w:rPr>
  </w:style>
  <w:style w:type="character" w:customStyle="1" w:styleId="126">
    <w:name w:val="批注文字 Char1"/>
    <w:basedOn w:val="48"/>
    <w:semiHidden/>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uiPriority w:val="99"/>
    <w:rPr>
      <w:rFonts w:ascii="Calibri" w:hAnsi="Calibri" w:eastAsia="宋体" w:cs="Times New Roman"/>
      <w:sz w:val="16"/>
      <w:szCs w:val="16"/>
    </w:rPr>
  </w:style>
  <w:style w:type="character" w:customStyle="1" w:styleId="264">
    <w:name w:val="批注文字 字符1"/>
    <w:basedOn w:val="48"/>
    <w:semiHidden/>
    <w:uiPriority w:val="99"/>
    <w:rPr>
      <w:rFonts w:ascii="Calibri" w:hAnsi="Calibri" w:eastAsia="宋体" w:cs="Times New Roman"/>
    </w:rPr>
  </w:style>
  <w:style w:type="character" w:customStyle="1" w:styleId="265">
    <w:name w:val="正文文本 2 字符1"/>
    <w:basedOn w:val="48"/>
    <w:semiHidden/>
    <w:uiPriority w:val="99"/>
    <w:rPr>
      <w:rFonts w:ascii="Calibri" w:hAnsi="Calibri" w:eastAsia="宋体" w:cs="Times New Roman"/>
    </w:rPr>
  </w:style>
  <w:style w:type="character" w:customStyle="1" w:styleId="266">
    <w:name w:val="正文文本缩进 字符1"/>
    <w:basedOn w:val="48"/>
    <w:semiHidden/>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uiPriority w:val="0"/>
    <w:pPr>
      <w:widowControl w:val="0"/>
      <w:spacing w:line="400" w:lineRule="exact"/>
      <w:ind w:firstLine="200" w:firstLineChars="200"/>
      <w:jc w:val="both"/>
    </w:pPr>
    <w:rPr>
      <w:kern w:val="2"/>
      <w:szCs w:val="20"/>
    </w:rPr>
  </w:style>
  <w:style w:type="paragraph" w:customStyle="1" w:styleId="336">
    <w:name w:val="bf.1"/>
    <w:basedOn w:val="13"/>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uiPriority w:val="99"/>
    <w:pPr>
      <w:spacing w:before="100" w:beforeAutospacing="1" w:after="100" w:afterAutospacing="1"/>
      <w:jc w:val="both"/>
    </w:pPr>
    <w:rPr>
      <w:rFonts w:ascii="宋体" w:hAnsi="宋体"/>
      <w:szCs w:val="20"/>
    </w:rPr>
  </w:style>
  <w:style w:type="paragraph" w:customStyle="1" w:styleId="339">
    <w:name w:val="Char Char1 Char"/>
    <w:basedOn w:val="1"/>
    <w:uiPriority w:val="0"/>
    <w:pPr>
      <w:widowControl w:val="0"/>
      <w:jc w:val="both"/>
    </w:pPr>
    <w:rPr>
      <w:kern w:val="2"/>
      <w:sz w:val="21"/>
      <w:szCs w:val="20"/>
    </w:rPr>
  </w:style>
  <w:style w:type="paragraph" w:customStyle="1" w:styleId="340">
    <w:name w:val="Blockquote"/>
    <w:basedOn w:val="1"/>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uiPriority w:val="0"/>
    <w:rPr>
      <w:rFonts w:ascii="Arial" w:hAnsi="Arial"/>
      <w:b/>
      <w:bCs/>
      <w:sz w:val="24"/>
      <w:szCs w:val="32"/>
    </w:rPr>
  </w:style>
  <w:style w:type="character" w:customStyle="1" w:styleId="345">
    <w:name w:val="标题5 Char Char"/>
    <w:link w:val="346"/>
    <w:uiPriority w:val="0"/>
    <w:rPr>
      <w:rFonts w:ascii="Arial" w:hAnsi="Arial"/>
      <w:b/>
      <w:bCs/>
      <w:sz w:val="24"/>
      <w:szCs w:val="32"/>
    </w:rPr>
  </w:style>
  <w:style w:type="paragraph" w:customStyle="1" w:styleId="346">
    <w:name w:val="标题5"/>
    <w:basedOn w:val="5"/>
    <w:link w:val="345"/>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uiPriority w:val="0"/>
    <w:rPr>
      <w:rFonts w:ascii="宋体" w:hAnsi="Times New Roman" w:eastAsia="宋体" w:cs="Times New Roman"/>
      <w:sz w:val="28"/>
      <w:szCs w:val="20"/>
    </w:rPr>
  </w:style>
  <w:style w:type="character" w:customStyle="1" w:styleId="355">
    <w:name w:val="批注框文本 Char2"/>
    <w:semiHidden/>
    <w:uiPriority w:val="99"/>
    <w:rPr>
      <w:kern w:val="2"/>
      <w:sz w:val="18"/>
      <w:szCs w:val="18"/>
    </w:rPr>
  </w:style>
  <w:style w:type="character" w:customStyle="1" w:styleId="356">
    <w:name w:val="批注主题 Char2"/>
    <w:semiHidden/>
    <w:uiPriority w:val="99"/>
    <w:rPr>
      <w:b/>
      <w:bCs/>
      <w:kern w:val="2"/>
      <w:sz w:val="21"/>
      <w:szCs w:val="22"/>
    </w:rPr>
  </w:style>
  <w:style w:type="character" w:customStyle="1" w:styleId="357">
    <w:name w:val="文档结构图 Char2"/>
    <w:semiHidden/>
    <w:uiPriority w:val="99"/>
    <w:rPr>
      <w:rFonts w:ascii="宋体"/>
      <w:kern w:val="2"/>
      <w:sz w:val="18"/>
      <w:szCs w:val="18"/>
    </w:rPr>
  </w:style>
  <w:style w:type="character" w:customStyle="1" w:styleId="358">
    <w:name w:val="日期 Char2"/>
    <w:semiHidden/>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标书正文"/>
    <w:basedOn w:val="1"/>
    <w:qFormat/>
    <w:uiPriority w:val="0"/>
    <w:pPr>
      <w:spacing w:line="360" w:lineRule="auto"/>
      <w:ind w:firstLine="200" w:firstLineChars="200"/>
    </w:pPr>
    <w:rPr>
      <w:sz w:val="24"/>
    </w:rPr>
  </w:style>
  <w:style w:type="paragraph" w:customStyle="1" w:styleId="371">
    <w:name w:val="Table Paragraph"/>
    <w:basedOn w:val="1"/>
    <w:qFormat/>
    <w:uiPriority w:val="1"/>
    <w:pPr>
      <w:spacing w:after="0" w:line="240" w:lineRule="auto"/>
      <w:jc w:val="left"/>
    </w:pPr>
    <w:rPr>
      <w:rFonts w:cs="Calibri"/>
      <w:kern w:val="0"/>
      <w:sz w:val="22"/>
      <w:lang w:eastAsia="en-US"/>
    </w:rPr>
  </w:style>
  <w:style w:type="paragraph" w:customStyle="1" w:styleId="372">
    <w:name w:val="正文 New"/>
    <w:next w:val="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3">
    <w:name w:val="hour_pm"/>
    <w:basedOn w:val="48"/>
    <w:uiPriority w:val="0"/>
  </w:style>
  <w:style w:type="character" w:customStyle="1" w:styleId="374">
    <w:name w:val="active11"/>
    <w:basedOn w:val="48"/>
    <w:uiPriority w:val="0"/>
    <w:rPr>
      <w:color w:val="FFFFFF"/>
      <w:sz w:val="21"/>
      <w:szCs w:val="21"/>
      <w:shd w:val="clear" w:fill="337AB7"/>
    </w:rPr>
  </w:style>
  <w:style w:type="character" w:customStyle="1" w:styleId="375">
    <w:name w:val="hover11"/>
    <w:basedOn w:val="48"/>
    <w:uiPriority w:val="0"/>
    <w:rPr>
      <w:shd w:val="clear" w:fill="EEEEEE"/>
    </w:rPr>
  </w:style>
  <w:style w:type="character" w:customStyle="1" w:styleId="376">
    <w:name w:val="old"/>
    <w:basedOn w:val="48"/>
    <w:uiPriority w:val="0"/>
    <w:rPr>
      <w:color w:val="999999"/>
    </w:rPr>
  </w:style>
  <w:style w:type="character" w:customStyle="1" w:styleId="377">
    <w:name w:val="hour_am"/>
    <w:basedOn w:val="48"/>
    <w:uiPriority w:val="0"/>
  </w:style>
  <w:style w:type="character" w:customStyle="1" w:styleId="378">
    <w:name w:val="glyphicon2"/>
    <w:basedOn w:val="48"/>
    <w:uiPriority w:val="0"/>
  </w:style>
  <w:style w:type="character" w:customStyle="1" w:styleId="379">
    <w:name w:val="bsharetext"/>
    <w:basedOn w:val="48"/>
    <w:uiPriority w:val="0"/>
  </w:style>
  <w:style w:type="character" w:customStyle="1" w:styleId="380">
    <w:name w:val="glyphicon"/>
    <w:basedOn w:val="48"/>
    <w:uiPriority w:val="0"/>
  </w:style>
  <w:style w:type="character" w:customStyle="1" w:styleId="381">
    <w:name w:val="active1"/>
    <w:basedOn w:val="48"/>
    <w:uiPriority w:val="0"/>
    <w:rPr>
      <w:color w:val="FFFFFF"/>
      <w:sz w:val="21"/>
      <w:szCs w:val="21"/>
      <w:shd w:val="clear" w:fill="337AB7"/>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91</Pages>
  <Words>31447</Words>
  <Characters>32798</Characters>
  <Lines>225</Lines>
  <Paragraphs>63</Paragraphs>
  <TotalTime>2</TotalTime>
  <ScaleCrop>false</ScaleCrop>
  <LinksUpToDate>false</LinksUpToDate>
  <CharactersWithSpaces>33575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LI</cp:lastModifiedBy>
  <cp:lastPrinted>2021-07-29T01:50:00Z</cp:lastPrinted>
  <dcterms:modified xsi:type="dcterms:W3CDTF">2021-09-09T05:33:11Z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685481E0AE2341DFBBF9C7DF934F877F</vt:lpwstr>
  </property>
</Properties>
</file>