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华文中宋" w:hAnsi="华文中宋" w:eastAsia="华文中宋"/>
          <w:color w:val="000000" w:themeColor="text1"/>
          <w:sz w:val="28"/>
          <w:szCs w:val="18"/>
          <w14:textFill>
            <w14:solidFill>
              <w14:schemeClr w14:val="tx1"/>
            </w14:solidFill>
          </w14:textFill>
        </w:rPr>
      </w:pPr>
    </w:p>
    <w:p>
      <w:pPr>
        <w:spacing w:line="360" w:lineRule="auto"/>
        <w:jc w:val="center"/>
        <w:rPr>
          <w:rFonts w:ascii="华文中宋" w:hAnsi="华文中宋" w:eastAsia="华文中宋"/>
          <w:color w:val="000000" w:themeColor="text1"/>
          <w:spacing w:val="42"/>
          <w:sz w:val="130"/>
          <w:szCs w:val="130"/>
          <w14:textFill>
            <w14:solidFill>
              <w14:schemeClr w14:val="tx1"/>
            </w14:solidFill>
          </w14:textFill>
        </w:rPr>
      </w:pPr>
      <w:r>
        <w:rPr>
          <w:rFonts w:hint="eastAsia" w:ascii="华文中宋" w:hAnsi="华文中宋" w:eastAsia="华文中宋"/>
          <w:color w:val="000000" w:themeColor="text1"/>
          <w:spacing w:val="42"/>
          <w:sz w:val="130"/>
          <w:szCs w:val="130"/>
          <w14:textFill>
            <w14:solidFill>
              <w14:schemeClr w14:val="tx1"/>
            </w14:solidFill>
          </w14:textFill>
        </w:rPr>
        <w:t>招 标 文 件</w:t>
      </w:r>
    </w:p>
    <w:p>
      <w:pPr>
        <w:tabs>
          <w:tab w:val="left" w:pos="2552"/>
        </w:tabs>
        <w:spacing w:line="360" w:lineRule="auto"/>
        <w:ind w:left="1733" w:leftChars="269" w:hanging="1168" w:hangingChars="487"/>
        <w:rPr>
          <w:rFonts w:ascii="华文中宋" w:hAnsi="华文中宋" w:eastAsia="华文中宋"/>
          <w:color w:val="000000" w:themeColor="text1"/>
          <w:sz w:val="24"/>
          <w14:textFill>
            <w14:solidFill>
              <w14:schemeClr w14:val="tx1"/>
            </w14:solidFill>
          </w14:textFill>
        </w:rPr>
      </w:pPr>
    </w:p>
    <w:p>
      <w:pPr>
        <w:tabs>
          <w:tab w:val="left" w:pos="2552"/>
        </w:tabs>
        <w:spacing w:line="360" w:lineRule="auto"/>
        <w:ind w:left="1733" w:leftChars="269" w:hanging="1168" w:hangingChars="487"/>
        <w:rPr>
          <w:rFonts w:ascii="华文中宋" w:hAnsi="华文中宋" w:eastAsia="华文中宋"/>
          <w:color w:val="000000" w:themeColor="text1"/>
          <w:sz w:val="24"/>
          <w14:textFill>
            <w14:solidFill>
              <w14:schemeClr w14:val="tx1"/>
            </w14:solidFill>
          </w14:textFill>
        </w:rPr>
      </w:pPr>
    </w:p>
    <w:p>
      <w:pPr>
        <w:tabs>
          <w:tab w:val="left" w:pos="2552"/>
        </w:tabs>
        <w:spacing w:line="360" w:lineRule="auto"/>
        <w:ind w:left="1733" w:leftChars="269" w:hanging="1168" w:hangingChars="487"/>
        <w:rPr>
          <w:rFonts w:ascii="华文中宋" w:hAnsi="华文中宋" w:eastAsia="华文中宋"/>
          <w:color w:val="000000" w:themeColor="text1"/>
          <w:sz w:val="24"/>
          <w14:textFill>
            <w14:solidFill>
              <w14:schemeClr w14:val="tx1"/>
            </w14:solidFill>
          </w14:textFill>
        </w:rPr>
      </w:pPr>
    </w:p>
    <w:p>
      <w:pPr>
        <w:tabs>
          <w:tab w:val="left" w:pos="2552"/>
        </w:tabs>
        <w:spacing w:line="360" w:lineRule="auto"/>
        <w:ind w:left="1733" w:leftChars="269" w:hanging="1168" w:hangingChars="487"/>
        <w:rPr>
          <w:rFonts w:ascii="华文中宋" w:hAnsi="华文中宋" w:eastAsia="华文中宋"/>
          <w:color w:val="000000" w:themeColor="text1"/>
          <w:sz w:val="24"/>
          <w14:textFill>
            <w14:solidFill>
              <w14:schemeClr w14:val="tx1"/>
            </w14:solidFill>
          </w14:textFill>
        </w:rPr>
      </w:pPr>
    </w:p>
    <w:p>
      <w:pPr>
        <w:tabs>
          <w:tab w:val="left" w:pos="2552"/>
        </w:tabs>
        <w:spacing w:line="360" w:lineRule="auto"/>
        <w:ind w:firstLine="1280" w:firstLineChars="400"/>
        <w:jc w:val="both"/>
        <w:rPr>
          <w:rFonts w:hint="default" w:ascii="华文中宋" w:hAnsi="华文中宋" w:eastAsia="华文中宋"/>
          <w:color w:val="000000" w:themeColor="text1"/>
          <w:sz w:val="32"/>
          <w:szCs w:val="32"/>
          <w:lang w:val="en-US" w:eastAsia="zh-CN"/>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项目名称：</w:t>
      </w:r>
      <w:r>
        <w:rPr>
          <w:rFonts w:hint="eastAsia" w:ascii="华文中宋" w:hAnsi="华文中宋" w:eastAsia="华文中宋"/>
          <w:color w:val="000000" w:themeColor="text1"/>
          <w:sz w:val="32"/>
          <w:szCs w:val="32"/>
          <w:lang w:val="en-US" w:eastAsia="zh-CN"/>
          <w14:textFill>
            <w14:solidFill>
              <w14:schemeClr w14:val="tx1"/>
            </w14:solidFill>
          </w14:textFill>
        </w:rPr>
        <w:t>彭州市第二人民医院后勤外包服务项目</w:t>
      </w: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项目编号：</w:t>
      </w:r>
      <w:r>
        <w:rPr>
          <w:rFonts w:hint="eastAsia" w:ascii="华文中宋" w:hAnsi="华文中宋" w:eastAsia="华文中宋"/>
          <w:color w:val="000000" w:themeColor="text1"/>
          <w:sz w:val="32"/>
          <w:szCs w:val="32"/>
          <w:lang w:val="en-US" w:eastAsia="zh-CN"/>
          <w14:textFill>
            <w14:solidFill>
              <w14:schemeClr w14:val="tx1"/>
            </w14:solidFill>
          </w14:textFill>
        </w:rPr>
        <w:t>彭州市政采（2021）A0023号</w:t>
      </w:r>
    </w:p>
    <w:p>
      <w:pPr>
        <w:spacing w:line="360" w:lineRule="auto"/>
        <w:rPr>
          <w:rFonts w:ascii="华文中宋" w:hAnsi="华文中宋" w:eastAsia="华文中宋"/>
          <w:color w:val="000000" w:themeColor="text1"/>
          <w:kern w:val="24"/>
          <w:sz w:val="32"/>
          <w:szCs w:val="32"/>
          <w14:textFill>
            <w14:solidFill>
              <w14:schemeClr w14:val="tx1"/>
            </w14:solidFill>
          </w14:textFill>
        </w:rPr>
      </w:pPr>
    </w:p>
    <w:p>
      <w:pPr>
        <w:pStyle w:val="2"/>
        <w:rPr>
          <w:rFonts w:ascii="华文中宋" w:hAnsi="华文中宋" w:eastAsia="华文中宋"/>
          <w:color w:val="000000" w:themeColor="text1"/>
          <w:kern w:val="24"/>
          <w:sz w:val="32"/>
          <w:szCs w:val="32"/>
          <w14:textFill>
            <w14:solidFill>
              <w14:schemeClr w14:val="tx1"/>
            </w14:solidFill>
          </w14:textFill>
        </w:rPr>
      </w:pPr>
    </w:p>
    <w:p>
      <w:pPr>
        <w:pStyle w:val="2"/>
        <w:rPr>
          <w:rFonts w:ascii="华文中宋" w:hAnsi="华文中宋" w:eastAsia="华文中宋"/>
          <w:color w:val="000000" w:themeColor="text1"/>
          <w:kern w:val="24"/>
          <w:sz w:val="32"/>
          <w:szCs w:val="32"/>
          <w14:textFill>
            <w14:solidFill>
              <w14:schemeClr w14:val="tx1"/>
            </w14:solidFill>
          </w14:textFill>
        </w:rPr>
      </w:pPr>
    </w:p>
    <w:p>
      <w:pPr>
        <w:pStyle w:val="2"/>
        <w:rPr>
          <w:rFonts w:ascii="华文中宋" w:hAnsi="华文中宋" w:eastAsia="华文中宋"/>
          <w:color w:val="000000" w:themeColor="text1"/>
          <w:kern w:val="24"/>
          <w:sz w:val="32"/>
          <w:szCs w:val="32"/>
          <w14:textFill>
            <w14:solidFill>
              <w14:schemeClr w14:val="tx1"/>
            </w14:solidFill>
          </w14:textFill>
        </w:rPr>
      </w:pPr>
    </w:p>
    <w:p>
      <w:pPr>
        <w:pStyle w:val="2"/>
        <w:rPr>
          <w:rFonts w:ascii="华文中宋" w:hAnsi="华文中宋" w:eastAsia="华文中宋"/>
          <w:color w:val="000000" w:themeColor="text1"/>
          <w:kern w:val="24"/>
          <w:sz w:val="32"/>
          <w:szCs w:val="32"/>
          <w14:textFill>
            <w14:solidFill>
              <w14:schemeClr w14:val="tx1"/>
            </w14:solidFill>
          </w14:textFill>
        </w:rPr>
      </w:pP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lang w:val="en-US" w:eastAsia="zh-CN"/>
          <w14:textFill>
            <w14:solidFill>
              <w14:schemeClr w14:val="tx1"/>
            </w14:solidFill>
          </w14:textFill>
        </w:rPr>
        <w:t>彭州市第二人民医院</w:t>
      </w:r>
      <w:r>
        <w:rPr>
          <w:rFonts w:hint="eastAsia" w:ascii="华文中宋" w:hAnsi="华文中宋" w:eastAsia="华文中宋"/>
          <w:color w:val="000000" w:themeColor="text1"/>
          <w:sz w:val="32"/>
          <w:szCs w:val="32"/>
          <w14:textFill>
            <w14:solidFill>
              <w14:schemeClr w14:val="tx1"/>
            </w14:solidFill>
          </w14:textFill>
        </w:rPr>
        <w:t>、</w:t>
      </w: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lang w:val="en-US" w:eastAsia="zh-CN"/>
          <w14:textFill>
            <w14:solidFill>
              <w14:schemeClr w14:val="tx1"/>
            </w14:solidFill>
          </w14:textFill>
        </w:rPr>
        <w:t>彭州</w:t>
      </w:r>
      <w:r>
        <w:rPr>
          <w:rFonts w:hint="eastAsia" w:ascii="华文中宋" w:hAnsi="华文中宋" w:eastAsia="华文中宋"/>
          <w:color w:val="000000" w:themeColor="text1"/>
          <w:sz w:val="32"/>
          <w:szCs w:val="32"/>
          <w14:textFill>
            <w14:solidFill>
              <w14:schemeClr w14:val="tx1"/>
            </w14:solidFill>
          </w14:textFill>
        </w:rPr>
        <w:t>市公共资源交易服务中心共同编制</w:t>
      </w:r>
    </w:p>
    <w:p>
      <w:pPr>
        <w:spacing w:line="360" w:lineRule="auto"/>
        <w:jc w:val="center"/>
        <w:rPr>
          <w:rFonts w:ascii="华文中宋" w:hAnsi="华文中宋" w:eastAsia="华文中宋"/>
          <w:color w:val="000000" w:themeColor="text1"/>
          <w:sz w:val="32"/>
          <w:szCs w:val="32"/>
          <w14:textFill>
            <w14:solidFill>
              <w14:schemeClr w14:val="tx1"/>
            </w14:solidFill>
          </w14:textFill>
        </w:rPr>
      </w:pPr>
      <w:r>
        <w:rPr>
          <w:rFonts w:hint="eastAsia" w:ascii="华文中宋" w:hAnsi="华文中宋" w:eastAsia="华文中宋"/>
          <w:color w:val="000000" w:themeColor="text1"/>
          <w:sz w:val="32"/>
          <w:szCs w:val="32"/>
          <w14:textFill>
            <w14:solidFill>
              <w14:schemeClr w14:val="tx1"/>
            </w14:solidFill>
          </w14:textFill>
        </w:rPr>
        <w:t>二〇二一年</w:t>
      </w:r>
      <w:r>
        <w:rPr>
          <w:rFonts w:hint="eastAsia" w:ascii="华文中宋" w:hAnsi="华文中宋" w:eastAsia="华文中宋"/>
          <w:color w:val="000000" w:themeColor="text1"/>
          <w:sz w:val="32"/>
          <w:szCs w:val="32"/>
          <w:lang w:val="en-US" w:eastAsia="zh-CN"/>
          <w14:textFill>
            <w14:solidFill>
              <w14:schemeClr w14:val="tx1"/>
            </w14:solidFill>
          </w14:textFill>
        </w:rPr>
        <w:t>九</w:t>
      </w:r>
      <w:r>
        <w:rPr>
          <w:rFonts w:hint="eastAsia" w:ascii="华文中宋" w:hAnsi="华文中宋" w:eastAsia="华文中宋"/>
          <w:color w:val="000000" w:themeColor="text1"/>
          <w:sz w:val="32"/>
          <w:szCs w:val="32"/>
          <w14:textFill>
            <w14:solidFill>
              <w14:schemeClr w14:val="tx1"/>
            </w14:solidFill>
          </w14:textFill>
        </w:rPr>
        <w:t>月</w:t>
      </w:r>
    </w:p>
    <w:p>
      <w:pPr>
        <w:spacing w:line="360" w:lineRule="auto"/>
        <w:jc w:val="center"/>
        <w:rPr>
          <w:rFonts w:ascii="宋体" w:hAnsi="宋体"/>
          <w:b/>
          <w:color w:val="000000" w:themeColor="text1"/>
          <w:sz w:val="32"/>
          <w14:textFill>
            <w14:solidFill>
              <w14:schemeClr w14:val="tx1"/>
            </w14:solidFill>
          </w14:textFill>
        </w:rPr>
      </w:pPr>
      <w:r>
        <w:rPr>
          <w:rFonts w:hint="eastAsia" w:ascii="宋体" w:hAnsi="宋体"/>
          <w:color w:val="000000" w:themeColor="text1"/>
          <w:kern w:val="0"/>
          <w14:textFill>
            <w14:solidFill>
              <w14:schemeClr w14:val="tx1"/>
            </w14:solidFill>
          </w14:textFill>
        </w:rPr>
        <w:br w:type="page"/>
      </w:r>
      <w:bookmarkStart w:id="0" w:name="_Toc148505181"/>
      <w:bookmarkStart w:id="1" w:name="_Toc101234248"/>
      <w:bookmarkStart w:id="2" w:name="_Toc101328520"/>
      <w:bookmarkStart w:id="3" w:name="_Toc101247312"/>
      <w:r>
        <w:rPr>
          <w:rFonts w:hint="eastAsia" w:ascii="宋体" w:hAnsi="宋体"/>
          <w:b/>
          <w:color w:val="000000" w:themeColor="text1"/>
          <w:sz w:val="28"/>
          <w:szCs w:val="32"/>
          <w14:textFill>
            <w14:solidFill>
              <w14:schemeClr w14:val="tx1"/>
            </w14:solidFill>
          </w14:textFill>
        </w:rPr>
        <w:t>目 录</w:t>
      </w:r>
    </w:p>
    <w:sdt>
      <w:sdtPr>
        <w:rPr>
          <w:rFonts w:ascii="宋体" w:hAnsi="宋体" w:eastAsia="华文中宋"/>
          <w:smallCaps/>
          <w:color w:val="000000" w:themeColor="text1"/>
          <w:sz w:val="20"/>
          <w:szCs w:val="20"/>
          <w14:textFill>
            <w14:solidFill>
              <w14:schemeClr w14:val="tx1"/>
            </w14:solidFill>
          </w14:textFill>
        </w:rPr>
        <w:id w:val="147456339"/>
        <w:docPartObj>
          <w:docPartGallery w:val="Table of Contents"/>
          <w:docPartUnique/>
        </w:docPartObj>
      </w:sdtPr>
      <w:sdtEndPr>
        <w:rPr>
          <w:rFonts w:ascii="宋体" w:hAnsi="宋体" w:eastAsia="华文中宋"/>
          <w:smallCaps/>
          <w:color w:val="000000" w:themeColor="text1"/>
          <w:sz w:val="20"/>
          <w:szCs w:val="20"/>
          <w14:textFill>
            <w14:solidFill>
              <w14:schemeClr w14:val="tx1"/>
            </w14:solidFill>
          </w14:textFill>
        </w:rPr>
      </w:sdtEndPr>
      <w:sdtContent>
        <w:p>
          <w:pPr>
            <w:rPr>
              <w:color w:val="000000" w:themeColor="text1"/>
              <w14:textFill>
                <w14:solidFill>
                  <w14:schemeClr w14:val="tx1"/>
                </w14:solidFill>
              </w14:textFill>
            </w:rPr>
          </w:pPr>
        </w:p>
        <w:p>
          <w:pPr>
            <w:pStyle w:val="30"/>
            <w:rPr>
              <w:rFonts w:asciiTheme="minorHAnsi" w:hAnsiTheme="minorHAnsi" w:eastAsiaTheme="minorEastAsia" w:cstheme="minorBidi"/>
              <w:bCs w:val="0"/>
              <w:caps w:val="0"/>
              <w:sz w:val="21"/>
              <w:szCs w:val="22"/>
            </w:rPr>
          </w:pPr>
          <w:r>
            <w:rPr>
              <w:rFonts w:hint="eastAsia"/>
              <w:color w:val="000000" w:themeColor="text1"/>
              <w14:textFill>
                <w14:solidFill>
                  <w14:schemeClr w14:val="tx1"/>
                </w14:solidFill>
              </w14:textFill>
            </w:rPr>
            <w:fldChar w:fldCharType="begin"/>
          </w:r>
          <w:r>
            <w:rPr>
              <w:rFonts w:hint="eastAsia"/>
              <w:color w:val="000000" w:themeColor="text1"/>
              <w14:textFill>
                <w14:solidFill>
                  <w14:schemeClr w14:val="tx1"/>
                </w14:solidFill>
              </w14:textFill>
            </w:rPr>
            <w:instrText xml:space="preserve">TOC \o "1-2" \h \u </w:instrText>
          </w:r>
          <w:r>
            <w:rPr>
              <w:rFonts w:hint="eastAsia"/>
              <w:color w:val="000000" w:themeColor="text1"/>
              <w14:textFill>
                <w14:solidFill>
                  <w14:schemeClr w14:val="tx1"/>
                </w14:solidFill>
              </w14:textFill>
            </w:rPr>
            <w:fldChar w:fldCharType="separate"/>
          </w:r>
          <w:r>
            <w:fldChar w:fldCharType="begin"/>
          </w:r>
          <w:r>
            <w:instrText xml:space="preserve"> HYPERLINK \l "_Toc75336286" </w:instrText>
          </w:r>
          <w:r>
            <w:fldChar w:fldCharType="separate"/>
          </w:r>
          <w:r>
            <w:rPr>
              <w:rStyle w:val="47"/>
              <w:rFonts w:ascii="Times New Roman" w:hAnsi="Times New Roman"/>
            </w:rPr>
            <w:t>第1章</w:t>
          </w:r>
          <w:r>
            <w:rPr>
              <w:rFonts w:asciiTheme="minorHAnsi" w:hAnsiTheme="minorHAnsi" w:eastAsiaTheme="minorEastAsia" w:cstheme="minorBidi"/>
              <w:bCs w:val="0"/>
              <w:caps w:val="0"/>
              <w:sz w:val="21"/>
              <w:szCs w:val="22"/>
            </w:rPr>
            <w:tab/>
          </w:r>
          <w:r>
            <w:rPr>
              <w:rStyle w:val="47"/>
            </w:rPr>
            <w:t>投标邀请</w:t>
          </w:r>
          <w:r>
            <w:tab/>
          </w:r>
          <w:r>
            <w:fldChar w:fldCharType="begin"/>
          </w:r>
          <w:r>
            <w:instrText xml:space="preserve"> PAGEREF _Toc75336286 \h </w:instrText>
          </w:r>
          <w:r>
            <w:fldChar w:fldCharType="separate"/>
          </w:r>
          <w:r>
            <w:t>3</w:t>
          </w:r>
          <w:r>
            <w:fldChar w:fldCharType="end"/>
          </w:r>
          <w:r>
            <w:fldChar w:fldCharType="end"/>
          </w:r>
        </w:p>
        <w:p>
          <w:pPr>
            <w:pStyle w:val="30"/>
            <w:rPr>
              <w:rFonts w:asciiTheme="minorHAnsi" w:hAnsiTheme="minorHAnsi" w:eastAsiaTheme="minorEastAsia" w:cstheme="minorBidi"/>
              <w:bCs w:val="0"/>
              <w:caps w:val="0"/>
              <w:sz w:val="21"/>
              <w:szCs w:val="22"/>
            </w:rPr>
          </w:pPr>
          <w:r>
            <w:fldChar w:fldCharType="begin"/>
          </w:r>
          <w:r>
            <w:instrText xml:space="preserve"> HYPERLINK \l "_Toc75336287" </w:instrText>
          </w:r>
          <w:r>
            <w:fldChar w:fldCharType="separate"/>
          </w:r>
          <w:r>
            <w:rPr>
              <w:rStyle w:val="47"/>
              <w:rFonts w:ascii="Times New Roman" w:hAnsi="Times New Roman"/>
            </w:rPr>
            <w:t>第2章</w:t>
          </w:r>
          <w:r>
            <w:rPr>
              <w:rFonts w:asciiTheme="minorHAnsi" w:hAnsiTheme="minorHAnsi" w:eastAsiaTheme="minorEastAsia" w:cstheme="minorBidi"/>
              <w:bCs w:val="0"/>
              <w:caps w:val="0"/>
              <w:sz w:val="21"/>
              <w:szCs w:val="22"/>
            </w:rPr>
            <w:tab/>
          </w:r>
          <w:r>
            <w:rPr>
              <w:rStyle w:val="47"/>
            </w:rPr>
            <w:t>投标人须知</w:t>
          </w:r>
          <w:r>
            <w:tab/>
          </w:r>
          <w:r>
            <w:fldChar w:fldCharType="begin"/>
          </w:r>
          <w:r>
            <w:instrText xml:space="preserve"> PAGEREF _Toc75336287 \h </w:instrText>
          </w:r>
          <w:r>
            <w:fldChar w:fldCharType="separate"/>
          </w:r>
          <w:r>
            <w:t>7</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"_Toc75336288" </w:instrText>
          </w:r>
          <w:r>
            <w:fldChar w:fldCharType="separate"/>
          </w:r>
          <w:r>
            <w:rPr>
              <w:rStyle w:val="47"/>
              <w:rFonts w:ascii="Times New Roman" w:hAnsi="Times New Roman"/>
            </w:rPr>
            <w:t>2.1</w:t>
          </w:r>
          <w:r>
            <w:rPr>
              <w:rStyle w:val="47"/>
            </w:rPr>
            <w:t xml:space="preserve"> 投标人须知前附表</w:t>
          </w:r>
          <w:r>
            <w:tab/>
          </w:r>
          <w:r>
            <w:fldChar w:fldCharType="begin"/>
          </w:r>
          <w:r>
            <w:instrText xml:space="preserve"> PAGEREF _Toc75336288 \h </w:instrText>
          </w:r>
          <w:r>
            <w:fldChar w:fldCharType="separate"/>
          </w:r>
          <w:r>
            <w:t>7</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"_Toc75336289" </w:instrText>
          </w:r>
          <w:r>
            <w:fldChar w:fldCharType="separate"/>
          </w:r>
          <w:r>
            <w:rPr>
              <w:rStyle w:val="47"/>
              <w:rFonts w:ascii="Times New Roman" w:hAnsi="Times New Roman"/>
            </w:rPr>
            <w:t>2.2</w:t>
          </w:r>
          <w:r>
            <w:rPr>
              <w:rStyle w:val="47"/>
            </w:rPr>
            <w:t xml:space="preserve"> 总则</w:t>
          </w:r>
          <w:r>
            <w:tab/>
          </w:r>
          <w:r>
            <w:fldChar w:fldCharType="begin"/>
          </w:r>
          <w:r>
            <w:instrText xml:space="preserve"> PAGEREF _Toc75336289 \h </w:instrText>
          </w:r>
          <w:r>
            <w:fldChar w:fldCharType="separate"/>
          </w:r>
          <w:r>
            <w:t>10</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"_Toc75336290" </w:instrText>
          </w:r>
          <w:r>
            <w:fldChar w:fldCharType="separate"/>
          </w:r>
          <w:r>
            <w:rPr>
              <w:rStyle w:val="47"/>
              <w:rFonts w:ascii="Times New Roman" w:hAnsi="Times New Roman"/>
            </w:rPr>
            <w:t>2.3</w:t>
          </w:r>
          <w:r>
            <w:rPr>
              <w:rStyle w:val="47"/>
            </w:rPr>
            <w:t xml:space="preserve"> 招标文件</w:t>
          </w:r>
          <w:r>
            <w:tab/>
          </w:r>
          <w:r>
            <w:fldChar w:fldCharType="begin"/>
          </w:r>
          <w:r>
            <w:instrText xml:space="preserve"> PAGEREF _Toc75336290 \h </w:instrText>
          </w:r>
          <w:r>
            <w:fldChar w:fldCharType="separate"/>
          </w:r>
          <w:r>
            <w:t>12</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"_Toc75336291" </w:instrText>
          </w:r>
          <w:r>
            <w:fldChar w:fldCharType="separate"/>
          </w:r>
          <w:r>
            <w:rPr>
              <w:rStyle w:val="47"/>
              <w:rFonts w:ascii="Times New Roman" w:hAnsi="Times New Roman"/>
            </w:rPr>
            <w:t>2.4</w:t>
          </w:r>
          <w:r>
            <w:rPr>
              <w:rStyle w:val="47"/>
            </w:rPr>
            <w:t xml:space="preserve"> 投标文件</w:t>
          </w:r>
          <w:r>
            <w:tab/>
          </w:r>
          <w:r>
            <w:fldChar w:fldCharType="begin"/>
          </w:r>
          <w:r>
            <w:instrText xml:space="preserve"> PAGEREF _Toc75336291 \h </w:instrText>
          </w:r>
          <w:r>
            <w:fldChar w:fldCharType="separate"/>
          </w:r>
          <w:r>
            <w:t>14</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"_Toc75336292" </w:instrText>
          </w:r>
          <w:r>
            <w:fldChar w:fldCharType="separate"/>
          </w:r>
          <w:r>
            <w:rPr>
              <w:rStyle w:val="47"/>
              <w:rFonts w:ascii="Times New Roman" w:hAnsi="Times New Roman"/>
            </w:rPr>
            <w:t>2.5</w:t>
          </w:r>
          <w:r>
            <w:rPr>
              <w:rStyle w:val="47"/>
            </w:rPr>
            <w:t xml:space="preserve"> 开标、资格审查、评标和中标</w:t>
          </w:r>
          <w:r>
            <w:tab/>
          </w:r>
          <w:r>
            <w:fldChar w:fldCharType="begin"/>
          </w:r>
          <w:r>
            <w:instrText xml:space="preserve"> PAGEREF _Toc75336292 \h </w:instrText>
          </w:r>
          <w:r>
            <w:fldChar w:fldCharType="separate"/>
          </w:r>
          <w:r>
            <w:t>21</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"_Toc75336293" </w:instrText>
          </w:r>
          <w:r>
            <w:fldChar w:fldCharType="separate"/>
          </w:r>
          <w:r>
            <w:rPr>
              <w:rStyle w:val="47"/>
              <w:rFonts w:ascii="Times New Roman" w:hAnsi="Times New Roman"/>
            </w:rPr>
            <w:t>2.6</w:t>
          </w:r>
          <w:r>
            <w:rPr>
              <w:rStyle w:val="47"/>
            </w:rPr>
            <w:t xml:space="preserve"> 签订及履行合同和验收</w:t>
          </w:r>
          <w:r>
            <w:tab/>
          </w:r>
          <w:r>
            <w:fldChar w:fldCharType="begin"/>
          </w:r>
          <w:r>
            <w:instrText xml:space="preserve"> PAGEREF _Toc75336293 \h </w:instrText>
          </w:r>
          <w:r>
            <w:fldChar w:fldCharType="separate"/>
          </w:r>
          <w:r>
            <w:t>23</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"_Toc75336294" </w:instrText>
          </w:r>
          <w:r>
            <w:fldChar w:fldCharType="separate"/>
          </w:r>
          <w:r>
            <w:rPr>
              <w:rStyle w:val="47"/>
              <w:rFonts w:ascii="Times New Roman" w:hAnsi="Times New Roman"/>
            </w:rPr>
            <w:t>2.7</w:t>
          </w:r>
          <w:r>
            <w:rPr>
              <w:rStyle w:val="47"/>
            </w:rPr>
            <w:t xml:space="preserve"> 投标纪律要求</w:t>
          </w:r>
          <w:r>
            <w:tab/>
          </w:r>
          <w:r>
            <w:fldChar w:fldCharType="begin"/>
          </w:r>
          <w:r>
            <w:instrText xml:space="preserve"> PAGEREF _Toc75336294 \h </w:instrText>
          </w:r>
          <w:r>
            <w:fldChar w:fldCharType="separate"/>
          </w:r>
          <w:r>
            <w:t>26</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"_Toc75336295" </w:instrText>
          </w:r>
          <w:r>
            <w:fldChar w:fldCharType="separate"/>
          </w:r>
          <w:r>
            <w:rPr>
              <w:rStyle w:val="47"/>
              <w:rFonts w:ascii="Times New Roman" w:hAnsi="Times New Roman"/>
            </w:rPr>
            <w:t>2.8</w:t>
          </w:r>
          <w:r>
            <w:rPr>
              <w:rStyle w:val="47"/>
            </w:rPr>
            <w:t xml:space="preserve"> 询问、质疑和投诉</w:t>
          </w:r>
          <w:r>
            <w:tab/>
          </w:r>
          <w:r>
            <w:fldChar w:fldCharType="begin"/>
          </w:r>
          <w:r>
            <w:instrText xml:space="preserve"> PAGEREF _Toc75336295 \h </w:instrText>
          </w:r>
          <w:r>
            <w:fldChar w:fldCharType="separate"/>
          </w:r>
          <w:r>
            <w:t>28</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"_Toc75336296" </w:instrText>
          </w:r>
          <w:r>
            <w:fldChar w:fldCharType="separate"/>
          </w:r>
          <w:r>
            <w:rPr>
              <w:rStyle w:val="47"/>
              <w:rFonts w:ascii="Times New Roman" w:hAnsi="Times New Roman"/>
            </w:rPr>
            <w:t>2.9</w:t>
          </w:r>
          <w:r>
            <w:rPr>
              <w:rStyle w:val="47"/>
            </w:rPr>
            <w:t xml:space="preserve"> 中小企业政府采购信用融资</w:t>
          </w:r>
          <w:r>
            <w:tab/>
          </w:r>
          <w:r>
            <w:fldChar w:fldCharType="begin"/>
          </w:r>
          <w:r>
            <w:instrText xml:space="preserve"> PAGEREF _Toc75336296 \h </w:instrText>
          </w:r>
          <w:r>
            <w:fldChar w:fldCharType="separate"/>
          </w:r>
          <w:r>
            <w:t>30</w:t>
          </w:r>
          <w:r>
            <w:fldChar w:fldCharType="end"/>
          </w:r>
          <w:r>
            <w:fldChar w:fldCharType="end"/>
          </w:r>
        </w:p>
        <w:p>
          <w:pPr>
            <w:pStyle w:val="30"/>
            <w:rPr>
              <w:rFonts w:asciiTheme="minorHAnsi" w:hAnsiTheme="minorHAnsi" w:eastAsiaTheme="minorEastAsia" w:cstheme="minorBidi"/>
              <w:bCs w:val="0"/>
              <w:caps w:val="0"/>
              <w:sz w:val="21"/>
              <w:szCs w:val="22"/>
            </w:rPr>
          </w:pPr>
          <w:r>
            <w:fldChar w:fldCharType="begin"/>
          </w:r>
          <w:r>
            <w:instrText xml:space="preserve"> HYPERLINK \l "_Toc75336297" </w:instrText>
          </w:r>
          <w:r>
            <w:fldChar w:fldCharType="separate"/>
          </w:r>
          <w:r>
            <w:rPr>
              <w:rStyle w:val="47"/>
              <w:rFonts w:ascii="Times New Roman" w:hAnsi="Times New Roman"/>
            </w:rPr>
            <w:t>第3章</w:t>
          </w:r>
          <w:r>
            <w:rPr>
              <w:rFonts w:asciiTheme="minorHAnsi" w:hAnsiTheme="minorHAnsi" w:eastAsiaTheme="minorEastAsia" w:cstheme="minorBidi"/>
              <w:bCs w:val="0"/>
              <w:caps w:val="0"/>
              <w:sz w:val="21"/>
              <w:szCs w:val="22"/>
            </w:rPr>
            <w:tab/>
          </w:r>
          <w:r>
            <w:rPr>
              <w:rStyle w:val="47"/>
            </w:rPr>
            <w:t>投标文件格式</w:t>
          </w:r>
          <w:r>
            <w:tab/>
          </w:r>
          <w:r>
            <w:fldChar w:fldCharType="begin"/>
          </w:r>
          <w:r>
            <w:instrText xml:space="preserve"> PAGEREF _Toc75336297 \h </w:instrText>
          </w:r>
          <w:r>
            <w:fldChar w:fldCharType="separate"/>
          </w:r>
          <w:r>
            <w:t>31</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"_Toc75336298" </w:instrText>
          </w:r>
          <w:r>
            <w:fldChar w:fldCharType="separate"/>
          </w:r>
          <w:r>
            <w:rPr>
              <w:rStyle w:val="47"/>
              <w:rFonts w:ascii="Times New Roman" w:hAnsi="Times New Roman"/>
            </w:rPr>
            <w:t>3.1</w:t>
          </w:r>
          <w:r>
            <w:rPr>
              <w:rStyle w:val="47"/>
            </w:rPr>
            <w:t xml:space="preserve"> 投标文件封面格式</w:t>
          </w:r>
          <w:r>
            <w:tab/>
          </w:r>
          <w:r>
            <w:fldChar w:fldCharType="begin"/>
          </w:r>
          <w:r>
            <w:instrText xml:space="preserve"> PAGEREF _Toc75336298 \h </w:instrText>
          </w:r>
          <w:r>
            <w:fldChar w:fldCharType="separate"/>
          </w:r>
          <w:r>
            <w:t>31</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"_Toc75336299" </w:instrText>
          </w:r>
          <w:r>
            <w:fldChar w:fldCharType="separate"/>
          </w:r>
          <w:r>
            <w:rPr>
              <w:rStyle w:val="47"/>
              <w:rFonts w:ascii="Times New Roman" w:hAnsi="Times New Roman"/>
            </w:rPr>
            <w:t>3.2</w:t>
          </w:r>
          <w:r>
            <w:rPr>
              <w:rStyle w:val="47"/>
            </w:rPr>
            <w:t xml:space="preserve"> 资格性审查部分</w:t>
          </w:r>
          <w:r>
            <w:tab/>
          </w:r>
          <w:r>
            <w:fldChar w:fldCharType="begin"/>
          </w:r>
          <w:r>
            <w:instrText xml:space="preserve"> PAGEREF _Toc75336299 \h </w:instrText>
          </w:r>
          <w:r>
            <w:fldChar w:fldCharType="separate"/>
          </w:r>
          <w:r>
            <w:t>32</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"_Toc75336300" </w:instrText>
          </w:r>
          <w:r>
            <w:fldChar w:fldCharType="separate"/>
          </w:r>
          <w:r>
            <w:rPr>
              <w:rStyle w:val="47"/>
              <w:rFonts w:ascii="Times New Roman" w:hAnsi="Times New Roman"/>
            </w:rPr>
            <w:t>3.3</w:t>
          </w:r>
          <w:r>
            <w:rPr>
              <w:rStyle w:val="47"/>
            </w:rPr>
            <w:t xml:space="preserve"> 服务、商务及其他要求响应部分</w:t>
          </w:r>
          <w:r>
            <w:tab/>
          </w:r>
          <w:r>
            <w:fldChar w:fldCharType="begin"/>
          </w:r>
          <w:r>
            <w:instrText xml:space="preserve"> PAGEREF _Toc75336300 \h </w:instrText>
          </w:r>
          <w:r>
            <w:fldChar w:fldCharType="separate"/>
          </w:r>
          <w:r>
            <w:t>36</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"_Toc75336301" </w:instrText>
          </w:r>
          <w:r>
            <w:fldChar w:fldCharType="separate"/>
          </w:r>
          <w:r>
            <w:rPr>
              <w:rStyle w:val="47"/>
              <w:rFonts w:ascii="Times New Roman" w:hAnsi="Times New Roman"/>
              <w:b/>
            </w:rPr>
            <w:t>3.4</w:t>
          </w:r>
          <w:r>
            <w:rPr>
              <w:rStyle w:val="47"/>
              <w:rFonts w:ascii="宋体" w:hAnsi="宋体"/>
              <w:b/>
            </w:rPr>
            <w:t xml:space="preserve"> 报价</w:t>
          </w:r>
          <w:r>
            <w:rPr>
              <w:rStyle w:val="47"/>
              <w:rFonts w:ascii="宋体" w:hAnsi="宋体"/>
              <w:b/>
              <w:bCs/>
            </w:rPr>
            <w:t>要求</w:t>
          </w:r>
          <w:r>
            <w:rPr>
              <w:rStyle w:val="47"/>
              <w:rFonts w:ascii="宋体" w:hAnsi="宋体"/>
              <w:b/>
            </w:rPr>
            <w:t>响应文件</w:t>
          </w:r>
          <w:r>
            <w:tab/>
          </w:r>
          <w:r>
            <w:fldChar w:fldCharType="begin"/>
          </w:r>
          <w:r>
            <w:instrText xml:space="preserve"> PAGEREF _Toc75336301 \h </w:instrText>
          </w:r>
          <w:r>
            <w:fldChar w:fldCharType="separate"/>
          </w:r>
          <w:r>
            <w:t>42</w:t>
          </w:r>
          <w:r>
            <w:fldChar w:fldCharType="end"/>
          </w:r>
          <w:r>
            <w:fldChar w:fldCharType="end"/>
          </w:r>
        </w:p>
        <w:p>
          <w:pPr>
            <w:pStyle w:val="30"/>
            <w:rPr>
              <w:rFonts w:asciiTheme="minorHAnsi" w:hAnsiTheme="minorHAnsi" w:eastAsiaTheme="minorEastAsia" w:cstheme="minorBidi"/>
              <w:bCs w:val="0"/>
              <w:caps w:val="0"/>
              <w:sz w:val="21"/>
              <w:szCs w:val="22"/>
            </w:rPr>
          </w:pPr>
          <w:r>
            <w:fldChar w:fldCharType="begin"/>
          </w:r>
          <w:r>
            <w:instrText xml:space="preserve"> HYPERLINK \l "_Toc75336302" </w:instrText>
          </w:r>
          <w:r>
            <w:fldChar w:fldCharType="separate"/>
          </w:r>
          <w:r>
            <w:rPr>
              <w:rStyle w:val="47"/>
              <w:rFonts w:ascii="Times New Roman" w:hAnsi="Times New Roman"/>
            </w:rPr>
            <w:t>第4章</w:t>
          </w:r>
          <w:r>
            <w:rPr>
              <w:rFonts w:asciiTheme="minorHAnsi" w:hAnsiTheme="minorHAnsi" w:eastAsiaTheme="minorEastAsia" w:cstheme="minorBidi"/>
              <w:bCs w:val="0"/>
              <w:caps w:val="0"/>
              <w:sz w:val="21"/>
              <w:szCs w:val="22"/>
            </w:rPr>
            <w:tab/>
          </w:r>
          <w:r>
            <w:rPr>
              <w:rStyle w:val="47"/>
            </w:rPr>
            <w:t>招标项目服务、商务及其他要求</w:t>
          </w:r>
          <w:r>
            <w:tab/>
          </w:r>
          <w:r>
            <w:fldChar w:fldCharType="begin"/>
          </w:r>
          <w:r>
            <w:instrText xml:space="preserve"> PAGEREF _Toc75336302 \h </w:instrText>
          </w:r>
          <w:r>
            <w:fldChar w:fldCharType="separate"/>
          </w:r>
          <w:r>
            <w:t>42</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"_Toc75336303" </w:instrText>
          </w:r>
          <w:r>
            <w:fldChar w:fldCharType="separate"/>
          </w:r>
          <w:r>
            <w:rPr>
              <w:rStyle w:val="47"/>
              <w:rFonts w:ascii="Times New Roman" w:hAnsi="Times New Roman"/>
            </w:rPr>
            <w:t>4.1</w:t>
          </w:r>
          <w:r>
            <w:rPr>
              <w:rStyle w:val="47"/>
            </w:rPr>
            <w:t xml:space="preserve"> 项目概况</w:t>
          </w:r>
          <w:r>
            <w:tab/>
          </w:r>
          <w:r>
            <w:fldChar w:fldCharType="begin"/>
          </w:r>
          <w:r>
            <w:instrText xml:space="preserve"> PAGEREF _Toc75336303 \h </w:instrText>
          </w:r>
          <w:r>
            <w:fldChar w:fldCharType="separate"/>
          </w:r>
          <w:r>
            <w:rPr>
              <w:b/>
            </w:rPr>
            <w:t>错误！未定义书签。</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"_Toc75336304" </w:instrText>
          </w:r>
          <w:r>
            <w:fldChar w:fldCharType="separate"/>
          </w:r>
          <w:r>
            <w:rPr>
              <w:rStyle w:val="47"/>
              <w:rFonts w:ascii="Times New Roman" w:hAnsi="Times New Roman"/>
            </w:rPr>
            <w:t>4.2</w:t>
          </w:r>
          <w:r>
            <w:rPr>
              <w:rStyle w:val="47"/>
            </w:rPr>
            <w:t xml:space="preserve"> 服务内容及要求</w:t>
          </w:r>
          <w:r>
            <w:tab/>
          </w:r>
          <w:r>
            <w:fldChar w:fldCharType="begin"/>
          </w:r>
          <w:r>
            <w:instrText xml:space="preserve"> PAGEREF _Toc75336304 \h </w:instrText>
          </w:r>
          <w:r>
            <w:fldChar w:fldCharType="separate"/>
          </w:r>
          <w:r>
            <w:rPr>
              <w:b/>
            </w:rPr>
            <w:t>错误！未定义书签。</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"_Toc75336305" </w:instrText>
          </w:r>
          <w:r>
            <w:fldChar w:fldCharType="separate"/>
          </w:r>
          <w:r>
            <w:rPr>
              <w:rStyle w:val="47"/>
              <w:rFonts w:ascii="Times New Roman" w:hAnsi="Times New Roman"/>
            </w:rPr>
            <w:t>4.3</w:t>
          </w:r>
          <w:r>
            <w:rPr>
              <w:rStyle w:val="47"/>
            </w:rPr>
            <w:t xml:space="preserve"> 商务要求</w:t>
          </w:r>
          <w:r>
            <w:tab/>
          </w:r>
          <w:r>
            <w:fldChar w:fldCharType="begin"/>
          </w:r>
          <w:r>
            <w:instrText xml:space="preserve"> PAGEREF _Toc75336305 \h </w:instrText>
          </w:r>
          <w:r>
            <w:fldChar w:fldCharType="separate"/>
          </w:r>
          <w:r>
            <w:rPr>
              <w:b/>
            </w:rPr>
            <w:t>错误！未定义书签。</w:t>
          </w:r>
          <w:r>
            <w:fldChar w:fldCharType="end"/>
          </w:r>
          <w:r>
            <w:fldChar w:fldCharType="end"/>
          </w:r>
        </w:p>
        <w:p>
          <w:pPr>
            <w:pStyle w:val="30"/>
            <w:rPr>
              <w:rFonts w:asciiTheme="minorHAnsi" w:hAnsiTheme="minorHAnsi" w:eastAsiaTheme="minorEastAsia" w:cstheme="minorBidi"/>
              <w:bCs w:val="0"/>
              <w:caps w:val="0"/>
              <w:sz w:val="21"/>
              <w:szCs w:val="22"/>
            </w:rPr>
          </w:pPr>
          <w:r>
            <w:fldChar w:fldCharType="begin"/>
          </w:r>
          <w:r>
            <w:instrText xml:space="preserve"> HYPERLINK \l "_Toc75336306" </w:instrText>
          </w:r>
          <w:r>
            <w:fldChar w:fldCharType="separate"/>
          </w:r>
          <w:r>
            <w:rPr>
              <w:rStyle w:val="47"/>
              <w:rFonts w:ascii="Times New Roman" w:hAnsi="Times New Roman"/>
            </w:rPr>
            <w:t>第5章</w:t>
          </w:r>
          <w:r>
            <w:rPr>
              <w:rFonts w:asciiTheme="minorHAnsi" w:hAnsiTheme="minorHAnsi" w:eastAsiaTheme="minorEastAsia" w:cstheme="minorBidi"/>
              <w:bCs w:val="0"/>
              <w:caps w:val="0"/>
              <w:sz w:val="21"/>
              <w:szCs w:val="22"/>
            </w:rPr>
            <w:tab/>
          </w:r>
          <w:r>
            <w:rPr>
              <w:rStyle w:val="47"/>
            </w:rPr>
            <w:t>资格性审查</w:t>
          </w:r>
          <w:r>
            <w:tab/>
          </w:r>
          <w:r>
            <w:fldChar w:fldCharType="begin"/>
          </w:r>
          <w:r>
            <w:instrText xml:space="preserve"> PAGEREF _Toc75336306 \h </w:instrText>
          </w:r>
          <w:r>
            <w:fldChar w:fldCharType="separate"/>
          </w:r>
          <w:r>
            <w:t>52</w:t>
          </w:r>
          <w:r>
            <w:fldChar w:fldCharType="end"/>
          </w:r>
          <w:r>
            <w:fldChar w:fldCharType="end"/>
          </w:r>
        </w:p>
        <w:p>
          <w:pPr>
            <w:pStyle w:val="30"/>
            <w:rPr>
              <w:rFonts w:asciiTheme="minorHAnsi" w:hAnsiTheme="minorHAnsi" w:eastAsiaTheme="minorEastAsia" w:cstheme="minorBidi"/>
              <w:bCs w:val="0"/>
              <w:caps w:val="0"/>
              <w:sz w:val="21"/>
              <w:szCs w:val="22"/>
            </w:rPr>
          </w:pPr>
          <w:r>
            <w:fldChar w:fldCharType="begin"/>
          </w:r>
          <w:r>
            <w:instrText xml:space="preserve"> HYPERLINK \l "_Toc75336307" </w:instrText>
          </w:r>
          <w:r>
            <w:fldChar w:fldCharType="separate"/>
          </w:r>
          <w:r>
            <w:rPr>
              <w:rStyle w:val="47"/>
              <w:rFonts w:ascii="Times New Roman" w:hAnsi="Times New Roman"/>
            </w:rPr>
            <w:t>第6章</w:t>
          </w:r>
          <w:r>
            <w:rPr>
              <w:rFonts w:asciiTheme="minorHAnsi" w:hAnsiTheme="minorHAnsi" w:eastAsiaTheme="minorEastAsia" w:cstheme="minorBidi"/>
              <w:bCs w:val="0"/>
              <w:caps w:val="0"/>
              <w:sz w:val="21"/>
              <w:szCs w:val="22"/>
            </w:rPr>
            <w:tab/>
          </w:r>
          <w:r>
            <w:rPr>
              <w:rStyle w:val="47"/>
            </w:rPr>
            <w:t>评标办法</w:t>
          </w:r>
          <w:r>
            <w:tab/>
          </w:r>
          <w:r>
            <w:fldChar w:fldCharType="begin"/>
          </w:r>
          <w:r>
            <w:instrText xml:space="preserve"> PAGEREF _Toc75336307 \h </w:instrText>
          </w:r>
          <w:r>
            <w:fldChar w:fldCharType="separate"/>
          </w:r>
          <w:r>
            <w:t>56</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"_Toc75336308" </w:instrText>
          </w:r>
          <w:r>
            <w:fldChar w:fldCharType="separate"/>
          </w:r>
          <w:r>
            <w:rPr>
              <w:rStyle w:val="47"/>
              <w:rFonts w:ascii="Times New Roman" w:hAnsi="Times New Roman"/>
            </w:rPr>
            <w:t>6.1</w:t>
          </w:r>
          <w:r>
            <w:rPr>
              <w:rStyle w:val="47"/>
            </w:rPr>
            <w:t xml:space="preserve"> 总则</w:t>
          </w:r>
          <w:r>
            <w:tab/>
          </w:r>
          <w:r>
            <w:fldChar w:fldCharType="begin"/>
          </w:r>
          <w:r>
            <w:instrText xml:space="preserve"> PAGEREF _Toc75336308 \h </w:instrText>
          </w:r>
          <w:r>
            <w:fldChar w:fldCharType="separate"/>
          </w:r>
          <w:r>
            <w:t>56</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"_Toc75336309" </w:instrText>
          </w:r>
          <w:r>
            <w:fldChar w:fldCharType="separate"/>
          </w:r>
          <w:r>
            <w:rPr>
              <w:rStyle w:val="47"/>
              <w:rFonts w:ascii="Times New Roman" w:hAnsi="Times New Roman"/>
            </w:rPr>
            <w:t>6.2</w:t>
          </w:r>
          <w:r>
            <w:rPr>
              <w:rStyle w:val="47"/>
            </w:rPr>
            <w:t xml:space="preserve"> 评标方法</w:t>
          </w:r>
          <w:r>
            <w:tab/>
          </w:r>
          <w:r>
            <w:fldChar w:fldCharType="begin"/>
          </w:r>
          <w:r>
            <w:instrText xml:space="preserve"> PAGEREF _Toc75336309 \h </w:instrText>
          </w:r>
          <w:r>
            <w:fldChar w:fldCharType="separate"/>
          </w:r>
          <w:r>
            <w:t>57</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"_Toc75336310" </w:instrText>
          </w:r>
          <w:r>
            <w:fldChar w:fldCharType="separate"/>
          </w:r>
          <w:r>
            <w:rPr>
              <w:rStyle w:val="47"/>
              <w:rFonts w:ascii="Times New Roman" w:hAnsi="Times New Roman"/>
            </w:rPr>
            <w:t>6.3</w:t>
          </w:r>
          <w:r>
            <w:rPr>
              <w:rStyle w:val="47"/>
            </w:rPr>
            <w:t xml:space="preserve"> 评标程序</w:t>
          </w:r>
          <w:r>
            <w:tab/>
          </w:r>
          <w:r>
            <w:fldChar w:fldCharType="begin"/>
          </w:r>
          <w:r>
            <w:instrText xml:space="preserve"> PAGEREF _Toc75336310 \h </w:instrText>
          </w:r>
          <w:r>
            <w:fldChar w:fldCharType="separate"/>
          </w:r>
          <w:r>
            <w:t>58</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"_Toc75336311" </w:instrText>
          </w:r>
          <w:r>
            <w:fldChar w:fldCharType="separate"/>
          </w:r>
          <w:r>
            <w:rPr>
              <w:rStyle w:val="47"/>
              <w:rFonts w:ascii="Times New Roman" w:hAnsi="Times New Roman"/>
            </w:rPr>
            <w:t>6.4</w:t>
          </w:r>
          <w:r>
            <w:rPr>
              <w:rStyle w:val="47"/>
            </w:rPr>
            <w:t xml:space="preserve"> 评标争议处理规则</w:t>
          </w:r>
          <w:r>
            <w:tab/>
          </w:r>
          <w:r>
            <w:fldChar w:fldCharType="begin"/>
          </w:r>
          <w:r>
            <w:instrText xml:space="preserve"> PAGEREF _Toc75336311 \h </w:instrText>
          </w:r>
          <w:r>
            <w:fldChar w:fldCharType="separate"/>
          </w:r>
          <w:r>
            <w:t>65</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"_Toc75336312" </w:instrText>
          </w:r>
          <w:r>
            <w:fldChar w:fldCharType="separate"/>
          </w:r>
          <w:r>
            <w:rPr>
              <w:rStyle w:val="47"/>
              <w:rFonts w:ascii="Times New Roman" w:hAnsi="Times New Roman"/>
            </w:rPr>
            <w:t>6.5</w:t>
          </w:r>
          <w:r>
            <w:rPr>
              <w:rStyle w:val="47"/>
            </w:rPr>
            <w:t xml:space="preserve"> 评标细则及标准</w:t>
          </w:r>
          <w:r>
            <w:tab/>
          </w:r>
          <w:r>
            <w:fldChar w:fldCharType="begin"/>
          </w:r>
          <w:r>
            <w:instrText xml:space="preserve"> PAGEREF _Toc75336312 \h </w:instrText>
          </w:r>
          <w:r>
            <w:fldChar w:fldCharType="separate"/>
          </w:r>
          <w:r>
            <w:t>65</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"_Toc75336313" </w:instrText>
          </w:r>
          <w:r>
            <w:fldChar w:fldCharType="separate"/>
          </w:r>
          <w:r>
            <w:rPr>
              <w:rStyle w:val="47"/>
              <w:rFonts w:ascii="Times New Roman" w:hAnsi="Times New Roman"/>
            </w:rPr>
            <w:t>6.6</w:t>
          </w:r>
          <w:r>
            <w:rPr>
              <w:rStyle w:val="47"/>
            </w:rPr>
            <w:t xml:space="preserve"> 废标</w:t>
          </w:r>
          <w:r>
            <w:tab/>
          </w:r>
          <w:r>
            <w:fldChar w:fldCharType="begin"/>
          </w:r>
          <w:r>
            <w:instrText xml:space="preserve"> PAGEREF _Toc75336313 \h </w:instrText>
          </w:r>
          <w:r>
            <w:fldChar w:fldCharType="separate"/>
          </w:r>
          <w:r>
            <w:t>70</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"_Toc75336314" </w:instrText>
          </w:r>
          <w:r>
            <w:fldChar w:fldCharType="separate"/>
          </w:r>
          <w:r>
            <w:rPr>
              <w:rStyle w:val="47"/>
              <w:rFonts w:ascii="Times New Roman" w:hAnsi="Times New Roman"/>
            </w:rPr>
            <w:t>6.7</w:t>
          </w:r>
          <w:r>
            <w:rPr>
              <w:rStyle w:val="47"/>
            </w:rPr>
            <w:t xml:space="preserve"> 定标</w:t>
          </w:r>
          <w:r>
            <w:tab/>
          </w:r>
          <w:r>
            <w:fldChar w:fldCharType="begin"/>
          </w:r>
          <w:r>
            <w:instrText xml:space="preserve"> PAGEREF _Toc75336314 \h </w:instrText>
          </w:r>
          <w:r>
            <w:fldChar w:fldCharType="separate"/>
          </w:r>
          <w:r>
            <w:t>71</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"_Toc75336315" </w:instrText>
          </w:r>
          <w:r>
            <w:fldChar w:fldCharType="separate"/>
          </w:r>
          <w:r>
            <w:rPr>
              <w:rStyle w:val="47"/>
              <w:rFonts w:ascii="Times New Roman" w:hAnsi="Times New Roman"/>
            </w:rPr>
            <w:t>6.8</w:t>
          </w:r>
          <w:r>
            <w:rPr>
              <w:rStyle w:val="47"/>
            </w:rPr>
            <w:t xml:space="preserve"> 评标专家在政府采购活动中承担以下义务</w:t>
          </w:r>
          <w:r>
            <w:tab/>
          </w:r>
          <w:r>
            <w:fldChar w:fldCharType="begin"/>
          </w:r>
          <w:r>
            <w:instrText xml:space="preserve"> PAGEREF _Toc75336315 \h </w:instrText>
          </w:r>
          <w:r>
            <w:fldChar w:fldCharType="separate"/>
          </w:r>
          <w:r>
            <w:t>72</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"_Toc75336316" </w:instrText>
          </w:r>
          <w:r>
            <w:fldChar w:fldCharType="separate"/>
          </w:r>
          <w:r>
            <w:rPr>
              <w:rStyle w:val="47"/>
              <w:rFonts w:ascii="Times New Roman" w:hAnsi="Times New Roman"/>
            </w:rPr>
            <w:t>6.9</w:t>
          </w:r>
          <w:r>
            <w:rPr>
              <w:rStyle w:val="47"/>
            </w:rPr>
            <w:t xml:space="preserve"> 评标委员会及其成员不得有下列行为：</w:t>
          </w:r>
          <w:r>
            <w:tab/>
          </w:r>
          <w:r>
            <w:fldChar w:fldCharType="begin"/>
          </w:r>
          <w:r>
            <w:instrText xml:space="preserve"> PAGEREF _Toc75336316 \h </w:instrText>
          </w:r>
          <w:r>
            <w:fldChar w:fldCharType="separate"/>
          </w:r>
          <w:r>
            <w:t>73</w:t>
          </w:r>
          <w:r>
            <w:fldChar w:fldCharType="end"/>
          </w:r>
          <w:r>
            <w:fldChar w:fldCharType="end"/>
          </w:r>
        </w:p>
        <w:p>
          <w:pPr>
            <w:pStyle w:val="36"/>
            <w:rPr>
              <w:rFonts w:asciiTheme="minorHAnsi" w:hAnsiTheme="minorHAnsi" w:eastAsiaTheme="minorEastAsia" w:cstheme="minorBidi"/>
              <w:smallCaps w:val="0"/>
              <w:sz w:val="21"/>
              <w:szCs w:val="22"/>
            </w:rPr>
          </w:pPr>
          <w:r>
            <w:fldChar w:fldCharType="begin"/>
          </w:r>
          <w:r>
            <w:instrText xml:space="preserve"> HYPERLINK \l "_Toc75336317" </w:instrText>
          </w:r>
          <w:r>
            <w:fldChar w:fldCharType="separate"/>
          </w:r>
          <w:r>
            <w:rPr>
              <w:rStyle w:val="47"/>
              <w:rFonts w:ascii="Times New Roman" w:hAnsi="Times New Roman"/>
            </w:rPr>
            <w:t>6.10</w:t>
          </w:r>
          <w:r>
            <w:rPr>
              <w:rStyle w:val="47"/>
            </w:rPr>
            <w:t xml:space="preserve"> 评审专家在政府采购活动中应当遵守以下工作纪律</w:t>
          </w:r>
          <w:r>
            <w:tab/>
          </w:r>
          <w:r>
            <w:fldChar w:fldCharType="begin"/>
          </w:r>
          <w:r>
            <w:instrText xml:space="preserve"> PAGEREF _Toc75336317 \h </w:instrText>
          </w:r>
          <w:r>
            <w:fldChar w:fldCharType="separate"/>
          </w:r>
          <w:r>
            <w:t>73</w:t>
          </w:r>
          <w:r>
            <w:fldChar w:fldCharType="end"/>
          </w:r>
          <w:r>
            <w:fldChar w:fldCharType="end"/>
          </w:r>
        </w:p>
        <w:p>
          <w:pPr>
            <w:pStyle w:val="30"/>
            <w:rPr>
              <w:rFonts w:asciiTheme="minorHAnsi" w:hAnsiTheme="minorHAnsi" w:eastAsiaTheme="minorEastAsia" w:cstheme="minorBidi"/>
              <w:bCs w:val="0"/>
              <w:caps w:val="0"/>
              <w:sz w:val="21"/>
              <w:szCs w:val="22"/>
            </w:rPr>
          </w:pPr>
          <w:r>
            <w:fldChar w:fldCharType="begin"/>
          </w:r>
          <w:r>
            <w:instrText xml:space="preserve"> HYPERLINK \l "_Toc75336318" </w:instrText>
          </w:r>
          <w:r>
            <w:fldChar w:fldCharType="separate"/>
          </w:r>
          <w:r>
            <w:rPr>
              <w:rStyle w:val="47"/>
              <w:rFonts w:ascii="Times New Roman" w:hAnsi="Times New Roman"/>
            </w:rPr>
            <w:t>第7章</w:t>
          </w:r>
          <w:r>
            <w:rPr>
              <w:rFonts w:asciiTheme="minorHAnsi" w:hAnsiTheme="minorHAnsi" w:eastAsiaTheme="minorEastAsia" w:cstheme="minorBidi"/>
              <w:bCs w:val="0"/>
              <w:caps w:val="0"/>
              <w:sz w:val="21"/>
              <w:szCs w:val="22"/>
            </w:rPr>
            <w:tab/>
          </w:r>
          <w:r>
            <w:rPr>
              <w:rStyle w:val="47"/>
            </w:rPr>
            <w:t>拟签订合同文本</w:t>
          </w:r>
          <w:r>
            <w:tab/>
          </w:r>
          <w:r>
            <w:fldChar w:fldCharType="begin"/>
          </w:r>
          <w:r>
            <w:instrText xml:space="preserve"> PAGEREF _Toc75336318 \h </w:instrText>
          </w:r>
          <w:r>
            <w:fldChar w:fldCharType="separate"/>
          </w:r>
          <w:r>
            <w:t>75</w:t>
          </w:r>
          <w:r>
            <w:fldChar w:fldCharType="end"/>
          </w:r>
          <w:r>
            <w:fldChar w:fldCharType="end"/>
          </w:r>
        </w:p>
        <w:p>
          <w:pPr>
            <w:pStyle w:val="36"/>
            <w:tabs>
              <w:tab w:val="right" w:leader="dot" w:pos="8647"/>
              <w:tab w:val="clear" w:pos="8364"/>
            </w:tabs>
            <w:ind w:left="0"/>
            <w:rPr>
              <w:color w:val="000000" w:themeColor="text1"/>
              <w14:textFill>
                <w14:solidFill>
                  <w14:schemeClr w14:val="tx1"/>
                </w14:solidFill>
              </w14:textFill>
            </w:rPr>
          </w:pPr>
          <w:r>
            <w:rPr>
              <w:rFonts w:hint="eastAsia"/>
              <w:color w:val="000000" w:themeColor="text1"/>
              <w14:textFill>
                <w14:solidFill>
                  <w14:schemeClr w14:val="tx1"/>
                </w14:solidFill>
              </w14:textFill>
            </w:rPr>
            <w:fldChar w:fldCharType="end"/>
          </w:r>
        </w:p>
      </w:sdtContent>
    </w:sdt>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4"/>
        <w:numPr>
          <w:ilvl w:val="0"/>
          <w:numId w:val="3"/>
        </w:numPr>
        <w:spacing w:before="0" w:after="0" w:line="560" w:lineRule="exact"/>
        <w:ind w:left="0" w:firstLine="0"/>
        <w:rPr>
          <w:color w:val="000000" w:themeColor="text1"/>
          <w14:textFill>
            <w14:solidFill>
              <w14:schemeClr w14:val="tx1"/>
            </w14:solidFill>
          </w14:textFill>
        </w:rPr>
      </w:pPr>
      <w:bookmarkStart w:id="4" w:name="_Toc22017"/>
      <w:bookmarkStart w:id="5" w:name="_Toc26321"/>
      <w:bookmarkStart w:id="6" w:name="_Toc75336286"/>
      <w:bookmarkStart w:id="7" w:name="_Toc25954"/>
      <w:bookmarkStart w:id="8" w:name="_Toc20241"/>
      <w:bookmarkStart w:id="9" w:name="_Toc204575871"/>
      <w:bookmarkStart w:id="10" w:name="_Toc181591102"/>
      <w:bookmarkStart w:id="11" w:name="_Toc181610856"/>
      <w:r>
        <w:rPr>
          <w:rFonts w:hint="eastAsia"/>
          <w:color w:val="000000" w:themeColor="text1"/>
          <w14:textFill>
            <w14:solidFill>
              <w14:schemeClr w14:val="tx1"/>
            </w14:solidFill>
          </w14:textFill>
        </w:rPr>
        <w:t>投标邀请</w:t>
      </w:r>
      <w:bookmarkEnd w:id="4"/>
      <w:bookmarkEnd w:id="5"/>
      <w:bookmarkEnd w:id="6"/>
      <w:bookmarkEnd w:id="7"/>
      <w:bookmarkEnd w:id="8"/>
      <w:bookmarkEnd w:id="9"/>
      <w:bookmarkEnd w:id="10"/>
      <w:bookmarkEnd w:id="11"/>
    </w:p>
    <w:p>
      <w:pPr>
        <w:tabs>
          <w:tab w:val="left" w:pos="2552"/>
        </w:tabs>
        <w:spacing w:line="560" w:lineRule="exact"/>
        <w:ind w:left="1" w:firstLine="562" w:firstLineChars="201"/>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lang w:val="en-US" w:eastAsia="zh-CN"/>
          <w14:textFill>
            <w14:solidFill>
              <w14:schemeClr w14:val="tx1"/>
            </w14:solidFill>
          </w14:textFill>
        </w:rPr>
        <w:t>彭州</w:t>
      </w:r>
      <w:r>
        <w:rPr>
          <w:rFonts w:hint="eastAsia" w:ascii="宋体" w:hAnsi="宋体"/>
          <w:color w:val="000000" w:themeColor="text1"/>
          <w:sz w:val="28"/>
          <w:szCs w:val="28"/>
          <w14:textFill>
            <w14:solidFill>
              <w14:schemeClr w14:val="tx1"/>
            </w14:solidFill>
          </w14:textFill>
        </w:rPr>
        <w:t>市公共资源交易服务中心(以下简称“市公资交易中心”)</w:t>
      </w:r>
      <w:r>
        <w:rPr>
          <w:rFonts w:hint="eastAsia" w:asciiTheme="minorEastAsia" w:hAnsiTheme="minorEastAsia" w:eastAsiaTheme="minorEastAsia"/>
          <w:color w:val="000000" w:themeColor="text1"/>
          <w:sz w:val="28"/>
          <w:szCs w:val="28"/>
          <w14:textFill>
            <w14:solidFill>
              <w14:schemeClr w14:val="tx1"/>
            </w14:solidFill>
          </w14:textFill>
        </w:rPr>
        <w:t>受</w:t>
      </w:r>
      <w:r>
        <w:rPr>
          <w:rFonts w:hint="eastAsia" w:asciiTheme="minorEastAsia" w:hAnsiTheme="minorEastAsia" w:eastAsiaTheme="minorEastAsia"/>
          <w:color w:val="000000" w:themeColor="text1"/>
          <w:sz w:val="28"/>
          <w:szCs w:val="28"/>
          <w:u w:val="single"/>
          <w:lang w:val="en-US" w:eastAsia="zh-CN"/>
          <w14:textFill>
            <w14:solidFill>
              <w14:schemeClr w14:val="tx1"/>
            </w14:solidFill>
          </w14:textFill>
        </w:rPr>
        <w:t>彭州市第二人民医院</w:t>
      </w:r>
      <w:r>
        <w:rPr>
          <w:rFonts w:hint="eastAsia" w:asciiTheme="minorEastAsia" w:hAnsiTheme="minorEastAsia" w:eastAsiaTheme="minorEastAsia"/>
          <w:color w:val="000000" w:themeColor="text1"/>
          <w:sz w:val="28"/>
          <w:szCs w:val="28"/>
          <w14:textFill>
            <w14:solidFill>
              <w14:schemeClr w14:val="tx1"/>
            </w14:solidFill>
          </w14:textFill>
        </w:rPr>
        <w:t>委托</w:t>
      </w:r>
      <w:r>
        <w:rPr>
          <w:rFonts w:hint="eastAsia" w:ascii="宋体" w:hAnsi="宋体"/>
          <w:color w:val="000000" w:themeColor="text1"/>
          <w:sz w:val="28"/>
          <w:szCs w:val="28"/>
          <w14:textFill>
            <w14:solidFill>
              <w14:schemeClr w14:val="tx1"/>
            </w14:solidFill>
          </w14:textFill>
        </w:rPr>
        <w:t>拟对</w:t>
      </w:r>
      <w:r>
        <w:rPr>
          <w:rFonts w:hint="eastAsia" w:ascii="宋体" w:hAnsi="宋体"/>
          <w:color w:val="000000" w:themeColor="text1"/>
          <w:sz w:val="28"/>
          <w:szCs w:val="28"/>
          <w:u w:val="single"/>
          <w:lang w:val="en-US" w:eastAsia="zh-CN"/>
          <w14:textFill>
            <w14:solidFill>
              <w14:schemeClr w14:val="tx1"/>
            </w14:solidFill>
          </w14:textFill>
        </w:rPr>
        <w:t>彭州市第二人民医院后勤外包服务项目</w:t>
      </w:r>
      <w:r>
        <w:rPr>
          <w:rFonts w:hint="eastAsia" w:ascii="宋体" w:hAnsi="宋体"/>
          <w:color w:val="000000" w:themeColor="text1"/>
          <w:sz w:val="28"/>
          <w:szCs w:val="28"/>
          <w14:textFill>
            <w14:solidFill>
              <w14:schemeClr w14:val="tx1"/>
            </w14:solidFill>
          </w14:textFill>
        </w:rPr>
        <w:t>进行国内公开招标，兹邀请符合本次招标要求的供应商参加投标。</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项目编号：</w:t>
      </w:r>
      <w:r>
        <w:rPr>
          <w:rFonts w:hint="eastAsia" w:ascii="宋体" w:hAnsi="宋体"/>
          <w:b/>
          <w:color w:val="000000" w:themeColor="text1"/>
          <w:sz w:val="28"/>
          <w:szCs w:val="28"/>
          <w:lang w:val="en-US" w:eastAsia="zh-CN"/>
          <w14:textFill>
            <w14:solidFill>
              <w14:schemeClr w14:val="tx1"/>
            </w14:solidFill>
          </w14:textFill>
        </w:rPr>
        <w:t>彭州</w:t>
      </w:r>
      <w:r>
        <w:rPr>
          <w:rFonts w:hint="eastAsia" w:ascii="宋体" w:hAnsi="宋体"/>
          <w:b/>
          <w:color w:val="000000" w:themeColor="text1"/>
          <w:sz w:val="28"/>
          <w:szCs w:val="28"/>
          <w14:textFill>
            <w14:solidFill>
              <w14:schemeClr w14:val="tx1"/>
            </w14:solidFill>
          </w14:textFill>
        </w:rPr>
        <w:t>市政采（2021）</w:t>
      </w:r>
      <w:r>
        <w:rPr>
          <w:rFonts w:hint="eastAsia" w:ascii="宋体" w:hAnsi="宋体"/>
          <w:b/>
          <w:color w:val="000000" w:themeColor="text1"/>
          <w:sz w:val="28"/>
          <w:szCs w:val="28"/>
          <w:lang w:val="en-US" w:eastAsia="zh-CN"/>
          <w14:textFill>
            <w14:solidFill>
              <w14:schemeClr w14:val="tx1"/>
            </w14:solidFill>
          </w14:textFill>
        </w:rPr>
        <w:t>A0023</w:t>
      </w:r>
      <w:r>
        <w:rPr>
          <w:rFonts w:hint="eastAsia" w:ascii="宋体" w:hAnsi="宋体"/>
          <w:b/>
          <w:color w:val="000000" w:themeColor="text1"/>
          <w:sz w:val="28"/>
          <w:szCs w:val="28"/>
          <w14:textFill>
            <w14:solidFill>
              <w14:schemeClr w14:val="tx1"/>
            </w14:solidFill>
          </w14:textFill>
        </w:rPr>
        <w:t>号</w:t>
      </w:r>
    </w:p>
    <w:p>
      <w:pPr>
        <w:pStyle w:val="2"/>
        <w:ind w:firstLine="413" w:firstLineChars="147"/>
        <w:rPr>
          <w:color w:val="000000" w:themeColor="text1"/>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（采购项目编号：510182202100198）</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项目名称：</w:t>
      </w:r>
      <w:r>
        <w:rPr>
          <w:rFonts w:hint="eastAsia" w:ascii="宋体" w:hAnsi="宋体"/>
          <w:b/>
          <w:color w:val="000000" w:themeColor="text1"/>
          <w:sz w:val="28"/>
          <w:szCs w:val="28"/>
          <w:lang w:val="en-US" w:eastAsia="zh-CN"/>
          <w14:textFill>
            <w14:solidFill>
              <w14:schemeClr w14:val="tx1"/>
            </w14:solidFill>
          </w14:textFill>
        </w:rPr>
        <w:t>彭州市第二人民医院后勤外包服务项目</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资金来源、预算金额及最高限价：</w:t>
      </w:r>
      <w:r>
        <w:rPr>
          <w:rFonts w:hint="eastAsia" w:ascii="宋体" w:hAnsi="宋体"/>
          <w:color w:val="000000" w:themeColor="text1"/>
          <w:sz w:val="28"/>
          <w:szCs w:val="28"/>
          <w14:textFill>
            <w14:solidFill>
              <w14:schemeClr w14:val="tx1"/>
            </w14:solidFill>
          </w14:textFill>
        </w:rPr>
        <w:t>财政性资金，政府采购实施计划备案表号：</w:t>
      </w:r>
      <w:r>
        <w:rPr>
          <w:rFonts w:hint="eastAsia" w:ascii="宋体" w:hAnsi="宋体"/>
          <w:color w:val="000000" w:themeColor="text1"/>
          <w:sz w:val="28"/>
          <w:szCs w:val="28"/>
          <w14:textFill>
            <w14:solidFill>
              <w14:schemeClr w14:val="tx1"/>
            </w14:solidFill>
          </w14:textFill>
        </w:rPr>
        <w:fldChar w:fldCharType="begin"/>
      </w:r>
      <w:r>
        <w:rPr>
          <w:rFonts w:hint="eastAsia" w:ascii="宋体" w:hAnsi="宋体"/>
          <w:color w:val="000000" w:themeColor="text1"/>
          <w:sz w:val="28"/>
          <w:szCs w:val="28"/>
          <w14:textFill>
            <w14:solidFill>
              <w14:schemeClr w14:val="tx1"/>
            </w14:solidFill>
          </w14:textFill>
        </w:rPr>
        <w:instrText xml:space="preserve"> HYPERLINK "https://pay.zcygov.cn/purchaseplan_front/" \l "/plan/list/detail?id=1000000000005935707&amp;encrypt=de1d4496c197244893439c45192a406e" \t "https://www.zcygov.cn/project-center/purchasePlans/_blank" </w:instrText>
      </w:r>
      <w:r>
        <w:rPr>
          <w:rFonts w:hint="eastAsia" w:ascii="宋体" w:hAnsi="宋体"/>
          <w:color w:val="000000" w:themeColor="text1"/>
          <w:sz w:val="28"/>
          <w:szCs w:val="28"/>
          <w14:textFill>
            <w14:solidFill>
              <w14:schemeClr w14:val="tx1"/>
            </w14:solidFill>
          </w14:textFill>
        </w:rPr>
        <w:fldChar w:fldCharType="separate"/>
      </w:r>
      <w:r>
        <w:rPr>
          <w:rFonts w:hint="eastAsia" w:ascii="宋体" w:hAnsi="宋体"/>
          <w:color w:val="000000" w:themeColor="text1"/>
          <w:sz w:val="28"/>
          <w:szCs w:val="28"/>
          <w14:textFill>
            <w14:solidFill>
              <w14:schemeClr w14:val="tx1"/>
            </w14:solidFill>
          </w14:textFill>
        </w:rPr>
        <w:t>(2021)0538号</w:t>
      </w:r>
      <w:r>
        <w:rPr>
          <w:rFonts w:hint="eastAsia" w:ascii="宋体" w:hAnsi="宋体"/>
          <w:color w:val="000000" w:themeColor="text1"/>
          <w:sz w:val="28"/>
          <w:szCs w:val="28"/>
          <w14:textFill>
            <w14:solidFill>
              <w14:schemeClr w14:val="tx1"/>
            </w14:solidFill>
          </w14:textFill>
        </w:rPr>
        <w:fldChar w:fldCharType="end"/>
      </w:r>
      <w:r>
        <w:rPr>
          <w:rFonts w:hint="eastAsia" w:ascii="宋体" w:hAnsi="宋体"/>
          <w:color w:val="000000" w:themeColor="text1"/>
          <w:sz w:val="28"/>
          <w:szCs w:val="28"/>
          <w14:textFill>
            <w14:solidFill>
              <w14:schemeClr w14:val="tx1"/>
            </w14:solidFill>
          </w14:textFill>
        </w:rPr>
        <w:t>。预算品目：</w:t>
      </w:r>
      <w:r>
        <w:rPr>
          <w:rFonts w:hint="eastAsia" w:ascii="宋体" w:hAnsi="宋体"/>
          <w:b/>
          <w:color w:val="000000" w:themeColor="text1"/>
          <w:sz w:val="28"/>
          <w:szCs w:val="28"/>
          <w14:textFill>
            <w14:solidFill>
              <w14:schemeClr w14:val="tx1"/>
            </w14:solidFill>
          </w14:textFill>
        </w:rPr>
        <w:t>C</w:t>
      </w:r>
      <w:r>
        <w:rPr>
          <w:rFonts w:ascii="宋体" w:hAnsi="宋体"/>
          <w:b/>
          <w:color w:val="000000" w:themeColor="text1"/>
          <w:sz w:val="28"/>
          <w:szCs w:val="28"/>
          <w14:textFill>
            <w14:solidFill>
              <w14:schemeClr w14:val="tx1"/>
            </w14:solidFill>
          </w14:textFill>
        </w:rPr>
        <w:t>1204</w:t>
      </w:r>
      <w:r>
        <w:rPr>
          <w:rFonts w:hint="eastAsia" w:ascii="宋体" w:hAnsi="宋体"/>
          <w:b/>
          <w:color w:val="000000" w:themeColor="text1"/>
          <w:sz w:val="28"/>
          <w:szCs w:val="28"/>
          <w14:textFill>
            <w14:solidFill>
              <w14:schemeClr w14:val="tx1"/>
            </w14:solidFill>
          </w14:textFill>
        </w:rPr>
        <w:t>物业</w:t>
      </w:r>
      <w:r>
        <w:rPr>
          <w:rFonts w:ascii="宋体" w:hAnsi="宋体"/>
          <w:b/>
          <w:color w:val="000000" w:themeColor="text1"/>
          <w:sz w:val="28"/>
          <w:szCs w:val="28"/>
          <w14:textFill>
            <w14:solidFill>
              <w14:schemeClr w14:val="tx1"/>
            </w14:solidFill>
          </w14:textFill>
        </w:rPr>
        <w:t>管理</w:t>
      </w:r>
      <w:r>
        <w:rPr>
          <w:rFonts w:hint="eastAsia" w:ascii="宋体" w:hAnsi="宋体"/>
          <w:b/>
          <w:color w:val="000000" w:themeColor="text1"/>
          <w:sz w:val="28"/>
          <w:szCs w:val="28"/>
          <w14:textFill>
            <w14:solidFill>
              <w14:schemeClr w14:val="tx1"/>
            </w14:solidFill>
          </w14:textFill>
        </w:rPr>
        <w:t>服务</w:t>
      </w:r>
      <w:r>
        <w:rPr>
          <w:rFonts w:hint="eastAsia" w:ascii="宋体" w:hAnsi="宋体"/>
          <w:color w:val="000000" w:themeColor="text1"/>
          <w:sz w:val="28"/>
          <w:szCs w:val="28"/>
          <w14:textFill>
            <w14:solidFill>
              <w14:schemeClr w14:val="tx1"/>
            </w14:solidFill>
          </w14:textFill>
        </w:rPr>
        <w:t>；预算金额：</w:t>
      </w:r>
      <w:r>
        <w:rPr>
          <w:rFonts w:hint="eastAsia" w:ascii="宋体" w:hAnsi="宋体"/>
          <w:b/>
          <w:color w:val="000000" w:themeColor="text1"/>
          <w:sz w:val="28"/>
          <w:szCs w:val="28"/>
          <w:lang w:val="en-US" w:eastAsia="zh-CN"/>
          <w14:textFill>
            <w14:solidFill>
              <w14:schemeClr w14:val="tx1"/>
            </w14:solidFill>
          </w14:textFill>
        </w:rPr>
        <w:t>398万/年</w:t>
      </w:r>
      <w:r>
        <w:rPr>
          <w:rFonts w:hint="eastAsia"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lang w:val="en-US" w:eastAsia="zh-CN"/>
          <w14:textFill>
            <w14:solidFill>
              <w14:schemeClr w14:val="tx1"/>
            </w14:solidFill>
          </w14:textFill>
        </w:rPr>
        <w:t>服务期限为三年；</w:t>
      </w:r>
      <w:r>
        <w:rPr>
          <w:rFonts w:hint="eastAsia" w:ascii="宋体" w:hAnsi="宋体"/>
          <w:color w:val="000000" w:themeColor="text1"/>
          <w:sz w:val="28"/>
          <w:szCs w:val="28"/>
          <w14:textFill>
            <w14:solidFill>
              <w14:schemeClr w14:val="tx1"/>
            </w14:solidFill>
          </w14:textFill>
        </w:rPr>
        <w:t>最高限价：</w:t>
      </w:r>
      <w:r>
        <w:rPr>
          <w:rFonts w:hint="eastAsia" w:ascii="宋体" w:hAnsi="宋体"/>
          <w:b/>
          <w:color w:val="000000" w:themeColor="text1"/>
          <w:sz w:val="28"/>
          <w:szCs w:val="28"/>
          <w:lang w:val="en-US" w:eastAsia="zh-CN"/>
          <w14:textFill>
            <w14:solidFill>
              <w14:schemeClr w14:val="tx1"/>
            </w14:solidFill>
          </w14:textFill>
        </w:rPr>
        <w:t>398万/年</w:t>
      </w:r>
      <w:r>
        <w:rPr>
          <w:rFonts w:hint="eastAsia" w:ascii="宋体" w:hAnsi="宋体"/>
          <w:color w:val="000000" w:themeColor="text1"/>
          <w:sz w:val="28"/>
          <w:szCs w:val="28"/>
          <w14:textFill>
            <w14:solidFill>
              <w14:schemeClr w14:val="tx1"/>
            </w14:solidFill>
          </w14:textFill>
        </w:rPr>
        <w:t>；采购标的：</w:t>
      </w:r>
      <w:r>
        <w:rPr>
          <w:rFonts w:hint="eastAsia" w:ascii="宋体" w:hAnsi="宋体"/>
          <w:b/>
          <w:color w:val="000000" w:themeColor="text1"/>
          <w:sz w:val="28"/>
          <w:szCs w:val="28"/>
          <w14:textFill>
            <w14:solidFill>
              <w14:schemeClr w14:val="tx1"/>
            </w14:solidFill>
          </w14:textFill>
        </w:rPr>
        <w:t>物业</w:t>
      </w:r>
      <w:r>
        <w:rPr>
          <w:rFonts w:ascii="宋体" w:hAnsi="宋体"/>
          <w:b/>
          <w:color w:val="000000" w:themeColor="text1"/>
          <w:sz w:val="28"/>
          <w:szCs w:val="28"/>
          <w14:textFill>
            <w14:solidFill>
              <w14:schemeClr w14:val="tx1"/>
            </w14:solidFill>
          </w14:textFill>
        </w:rPr>
        <w:t>管理</w:t>
      </w:r>
      <w:r>
        <w:rPr>
          <w:rFonts w:hint="eastAsia" w:ascii="宋体" w:hAnsi="宋体"/>
          <w:b/>
          <w:color w:val="000000" w:themeColor="text1"/>
          <w:sz w:val="28"/>
          <w:szCs w:val="28"/>
          <w14:textFill>
            <w14:solidFill>
              <w14:schemeClr w14:val="tx1"/>
            </w14:solidFill>
          </w14:textFill>
        </w:rPr>
        <w:t>服务</w:t>
      </w:r>
      <w:r>
        <w:rPr>
          <w:rFonts w:hint="eastAsia" w:ascii="宋体" w:hAnsi="宋体"/>
          <w:color w:val="000000" w:themeColor="text1"/>
          <w:sz w:val="28"/>
          <w:szCs w:val="28"/>
          <w14:textFill>
            <w14:solidFill>
              <w14:schemeClr w14:val="tx1"/>
            </w14:solidFill>
          </w14:textFill>
        </w:rPr>
        <w:t>；所属行业：</w:t>
      </w:r>
      <w:r>
        <w:rPr>
          <w:rFonts w:hint="eastAsia" w:ascii="宋体" w:hAnsi="宋体"/>
          <w:b/>
          <w:color w:val="000000" w:themeColor="text1"/>
          <w:sz w:val="28"/>
          <w:szCs w:val="28"/>
          <w14:textFill>
            <w14:solidFill>
              <w14:schemeClr w14:val="tx1"/>
            </w14:solidFill>
          </w14:textFill>
        </w:rPr>
        <w:t>物业</w:t>
      </w:r>
      <w:r>
        <w:rPr>
          <w:rFonts w:ascii="宋体" w:hAnsi="宋体"/>
          <w:b/>
          <w:color w:val="000000" w:themeColor="text1"/>
          <w:sz w:val="28"/>
          <w:szCs w:val="28"/>
          <w14:textFill>
            <w14:solidFill>
              <w14:schemeClr w14:val="tx1"/>
            </w14:solidFill>
          </w14:textFill>
        </w:rPr>
        <w:t>管理</w:t>
      </w:r>
      <w:r>
        <w:rPr>
          <w:rFonts w:hint="eastAsia" w:ascii="宋体" w:hAnsi="宋体"/>
          <w:color w:val="000000" w:themeColor="text1"/>
          <w:sz w:val="28"/>
          <w:szCs w:val="28"/>
          <w14:textFill>
            <w14:solidFill>
              <w14:schemeClr w14:val="tx1"/>
            </w14:solidFill>
          </w14:textFill>
        </w:rPr>
        <w:t>。</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招标项目简介</w:t>
      </w:r>
    </w:p>
    <w:p>
      <w:pPr>
        <w:spacing w:line="6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本次采购服务内容为院区内秩序维护及消防管理、保洁、后勤服务人员等服务。</w:t>
      </w:r>
    </w:p>
    <w:p>
      <w:pPr>
        <w:pStyle w:val="2"/>
        <w:ind w:firstLine="560" w:firstLineChars="200"/>
        <w:rPr>
          <w:b/>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详细的服务、商务及其他要求见招标文件第4章。</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供应商参加本次政府采购活动应具备的条件</w:t>
      </w:r>
    </w:p>
    <w:p>
      <w:pPr>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（一）符合《中华人民共和国政府采购法》第二十二条第一款规定的条件；</w:t>
      </w:r>
    </w:p>
    <w:p>
      <w:pPr>
        <w:tabs>
          <w:tab w:val="left" w:pos="1134"/>
        </w:tabs>
        <w:spacing w:line="560" w:lineRule="exact"/>
        <w:ind w:left="7" w:firstLine="560" w:firstLineChars="200"/>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（二）在中华人民共和国境内依法登记注册，并有效存续具有独立法人资格的供应商；</w:t>
      </w:r>
    </w:p>
    <w:p>
      <w:pPr>
        <w:tabs>
          <w:tab w:val="left" w:pos="1134"/>
        </w:tabs>
        <w:spacing w:line="560" w:lineRule="exact"/>
        <w:ind w:left="7"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（三）未被列入失信被执行人、重大税收违法案件当事人名单、政府采购严重违法失信行为记录名单； </w:t>
      </w:r>
    </w:p>
    <w:p>
      <w:pPr>
        <w:tabs>
          <w:tab w:val="left" w:pos="1134"/>
        </w:tabs>
        <w:spacing w:line="560" w:lineRule="exact"/>
        <w:ind w:left="7"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（四）在行贿犯罪信息查询期限内，投标人及其现任法定代表人、主要负责人没有行贿犯罪记录；</w:t>
      </w:r>
    </w:p>
    <w:p>
      <w:pPr>
        <w:pStyle w:val="2"/>
        <w:ind w:firstLine="560" w:firstLineChars="200"/>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（五）未处于被行政部门禁止参与政府采购活动的期限内；</w:t>
      </w:r>
    </w:p>
    <w:p>
      <w:pPr>
        <w:tabs>
          <w:tab w:val="left" w:pos="1134"/>
        </w:tabs>
        <w:spacing w:line="560" w:lineRule="exact"/>
        <w:ind w:left="7"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（六）不属于其他国家相关法律法规规定的禁止参加投标的供应商；</w:t>
      </w:r>
    </w:p>
    <w:p>
      <w:pPr>
        <w:pStyle w:val="152"/>
        <w:tabs>
          <w:tab w:val="left" w:pos="0"/>
          <w:tab w:val="left" w:pos="993"/>
          <w:tab w:val="left" w:pos="1418"/>
          <w:tab w:val="left" w:pos="1560"/>
        </w:tabs>
        <w:spacing w:line="560" w:lineRule="exact"/>
        <w:ind w:left="7" w:firstLine="560"/>
        <w:rPr>
          <w:rFonts w:ascii="宋体" w:hAnsi="宋体"/>
          <w:b/>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（七）本项目</w:t>
      </w:r>
      <w:r>
        <w:rPr>
          <w:rFonts w:hint="eastAsia" w:ascii="宋体" w:hAnsi="宋体"/>
          <w:b/>
          <w:bCs/>
          <w:color w:val="000000" w:themeColor="text1"/>
          <w:sz w:val="28"/>
          <w:szCs w:val="28"/>
          <w14:textFill>
            <w14:solidFill>
              <w14:schemeClr w14:val="tx1"/>
            </w14:solidFill>
          </w14:textFill>
        </w:rPr>
        <w:t>不接受</w:t>
      </w:r>
      <w:r>
        <w:rPr>
          <w:rFonts w:hint="eastAsia" w:ascii="宋体" w:hAnsi="宋体"/>
          <w:color w:val="000000" w:themeColor="text1"/>
          <w:sz w:val="28"/>
          <w:szCs w:val="28"/>
          <w14:textFill>
            <w14:solidFill>
              <w14:schemeClr w14:val="tx1"/>
            </w14:solidFill>
          </w14:textFill>
        </w:rPr>
        <w:t>联合体投标。</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招标文件获取时间</w:t>
      </w:r>
    </w:p>
    <w:p>
      <w:pPr>
        <w:numPr>
          <w:ilvl w:val="0"/>
          <w:numId w:val="5"/>
        </w:numPr>
        <w:spacing w:line="360" w:lineRule="auto"/>
        <w:ind w:left="0" w:firstLine="567"/>
        <w:rPr>
          <w:rFonts w:ascii="宋体" w:hAnsi="宋体"/>
          <w:b/>
          <w:sz w:val="28"/>
        </w:rPr>
      </w:pPr>
      <w:r>
        <w:rPr>
          <w:rFonts w:hint="eastAsia" w:ascii="宋体" w:hAnsi="宋体"/>
          <w:color w:val="000000" w:themeColor="text1"/>
          <w:sz w:val="28"/>
          <w:szCs w:val="28"/>
          <w14:textFill>
            <w14:solidFill>
              <w14:schemeClr w14:val="tx1"/>
            </w14:solidFill>
          </w14:textFill>
        </w:rPr>
        <w:t>招标文件获取时间：</w:t>
      </w:r>
      <w:r>
        <w:rPr>
          <w:rFonts w:hint="eastAsia" w:ascii="宋体" w:hAnsi="宋体"/>
          <w:b/>
          <w:sz w:val="28"/>
          <w:szCs w:val="28"/>
        </w:rPr>
        <w:t>2021年</w:t>
      </w:r>
      <w:r>
        <w:rPr>
          <w:rFonts w:hint="eastAsia" w:ascii="宋体" w:hAnsi="宋体"/>
          <w:b/>
          <w:sz w:val="28"/>
          <w:szCs w:val="28"/>
          <w:lang w:val="en-US" w:eastAsia="zh-CN"/>
        </w:rPr>
        <w:t>9</w:t>
      </w:r>
      <w:r>
        <w:rPr>
          <w:rFonts w:hint="eastAsia" w:ascii="宋体" w:hAnsi="宋体"/>
          <w:b/>
          <w:sz w:val="28"/>
          <w:szCs w:val="28"/>
        </w:rPr>
        <w:t>月</w:t>
      </w:r>
      <w:r>
        <w:rPr>
          <w:rFonts w:hint="eastAsia" w:ascii="宋体" w:hAnsi="宋体"/>
          <w:b/>
          <w:sz w:val="28"/>
          <w:szCs w:val="28"/>
          <w:lang w:val="en-US" w:eastAsia="zh-CN"/>
        </w:rPr>
        <w:t>23</w:t>
      </w:r>
      <w:r>
        <w:rPr>
          <w:rFonts w:hint="eastAsia" w:ascii="宋体" w:hAnsi="宋体"/>
          <w:b/>
          <w:sz w:val="28"/>
          <w:szCs w:val="28"/>
        </w:rPr>
        <w:t>日至</w:t>
      </w:r>
      <w:r>
        <w:rPr>
          <w:rFonts w:hint="eastAsia" w:ascii="宋体" w:hAnsi="宋体"/>
          <w:b/>
          <w:sz w:val="28"/>
          <w:szCs w:val="28"/>
          <w:lang w:val="en-US" w:eastAsia="zh-CN"/>
        </w:rPr>
        <w:t>10</w:t>
      </w:r>
      <w:r>
        <w:rPr>
          <w:rFonts w:hint="eastAsia" w:ascii="宋体" w:hAnsi="宋体"/>
          <w:b/>
          <w:sz w:val="28"/>
          <w:szCs w:val="28"/>
        </w:rPr>
        <w:t>月</w:t>
      </w:r>
      <w:r>
        <w:rPr>
          <w:rFonts w:hint="eastAsia" w:ascii="宋体" w:hAnsi="宋体"/>
          <w:b/>
          <w:sz w:val="28"/>
          <w:szCs w:val="28"/>
          <w:lang w:val="en-US" w:eastAsia="zh-CN"/>
        </w:rPr>
        <w:t>12</w:t>
      </w:r>
      <w:r>
        <w:rPr>
          <w:rFonts w:hint="eastAsia" w:ascii="宋体" w:hAnsi="宋体"/>
          <w:b/>
          <w:sz w:val="28"/>
          <w:szCs w:val="28"/>
        </w:rPr>
        <w:t>日。</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招标文件获取方式</w:t>
      </w:r>
    </w:p>
    <w:p>
      <w:pPr>
        <w:spacing w:line="360" w:lineRule="auto"/>
        <w:ind w:firstLine="565" w:firstLineChars="202"/>
        <w:rPr>
          <w:rFonts w:ascii="宋体" w:hAnsi="宋体"/>
          <w:color w:val="000000" w:themeColor="text1"/>
          <w:sz w:val="28"/>
          <w:szCs w:val="28"/>
          <w:highlight w:val="yellow"/>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提示：</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（1）本项目采购文件免费获取。</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（3）首次登录成都市公共资源交易服务中心门户网站的新用户应先点击“注册新用户”，注册成功后再登录。</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（4）本项目为电子招标投标项目，投标人参与本项目全过程中凡涉及系统操作请详见《成都市全流程电子化采购系统操作指南——供应商版》。</w:t>
      </w:r>
      <w:bookmarkStart w:id="12" w:name="_Toc184023104"/>
      <w:bookmarkStart w:id="13" w:name="_Toc174185149"/>
      <w:bookmarkStart w:id="14" w:name="_Toc184013605"/>
      <w:bookmarkStart w:id="15" w:name="_Toc186274101"/>
      <w:bookmarkStart w:id="16" w:name="_Toc180051012"/>
      <w:r>
        <w:rPr>
          <w:rFonts w:hint="eastAsia" w:ascii="宋体" w:hAnsi="宋体"/>
          <w:color w:val="000000" w:themeColor="text1"/>
          <w:sz w:val="28"/>
          <w:szCs w:val="28"/>
          <w14:textFill>
            <w14:solidFill>
              <w14:schemeClr w14:val="tx1"/>
            </w14:solidFill>
          </w14:textFill>
        </w:rPr>
        <w:t>（操作指南请登录政府采购云平台后，点击“前台大厅—操作指南—供应商”处下载查看）。</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招标文件获取地点</w:t>
      </w:r>
    </w:p>
    <w:p>
      <w:pPr>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登录成都市公共资源交易服务中心门户网站（https://www.cdggzy.com/）—用户中心—政府采购云平台获取</w:t>
      </w:r>
      <w:r>
        <w:rPr>
          <w:rFonts w:hint="eastAsia" w:ascii="宋体" w:hAnsi="宋体"/>
          <w:color w:val="000000" w:themeColor="text1"/>
          <w:sz w:val="28"/>
          <w14:textFill>
            <w14:solidFill>
              <w14:schemeClr w14:val="tx1"/>
            </w14:solidFill>
          </w14:textFill>
        </w:rPr>
        <w:t>。</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投标文件递交截止时间及开标时间</w:t>
      </w:r>
      <w:bookmarkEnd w:id="12"/>
      <w:bookmarkEnd w:id="13"/>
      <w:bookmarkEnd w:id="14"/>
      <w:bookmarkEnd w:id="15"/>
      <w:bookmarkEnd w:id="16"/>
      <w:r>
        <w:rPr>
          <w:rFonts w:hint="eastAsia" w:ascii="宋体" w:hAnsi="宋体"/>
          <w:b/>
          <w:color w:val="000000" w:themeColor="text1"/>
          <w:sz w:val="28"/>
          <w:szCs w:val="28"/>
          <w14:textFill>
            <w14:solidFill>
              <w14:schemeClr w14:val="tx1"/>
            </w14:solidFill>
          </w14:textFill>
        </w:rPr>
        <w:t>(北京时间)、地点、方式</w:t>
      </w:r>
    </w:p>
    <w:p>
      <w:pPr>
        <w:spacing w:line="560" w:lineRule="exact"/>
        <w:ind w:firstLine="560" w:firstLineChars="200"/>
        <w:rPr>
          <w:rFonts w:ascii="宋体" w:hAnsi="宋体"/>
          <w:b/>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（一）投标文件递交截止时间及开标时间：</w:t>
      </w:r>
      <w:r>
        <w:rPr>
          <w:rFonts w:hint="eastAsia" w:ascii="宋体" w:hAnsi="宋体"/>
          <w:b/>
          <w:color w:val="000000" w:themeColor="text1"/>
          <w:sz w:val="28"/>
          <w:szCs w:val="28"/>
          <w14:textFill>
            <w14:solidFill>
              <w14:schemeClr w14:val="tx1"/>
            </w14:solidFill>
          </w14:textFill>
        </w:rPr>
        <w:t>202</w:t>
      </w:r>
      <w:r>
        <w:rPr>
          <w:rFonts w:ascii="宋体" w:hAnsi="宋体"/>
          <w:b/>
          <w:color w:val="000000" w:themeColor="text1"/>
          <w:sz w:val="28"/>
          <w:szCs w:val="28"/>
          <w14:textFill>
            <w14:solidFill>
              <w14:schemeClr w14:val="tx1"/>
            </w14:solidFill>
          </w14:textFill>
        </w:rPr>
        <w:t>1</w:t>
      </w:r>
      <w:r>
        <w:rPr>
          <w:rFonts w:hint="eastAsia" w:ascii="宋体" w:hAnsi="宋体"/>
          <w:b/>
          <w:color w:val="000000" w:themeColor="text1"/>
          <w:sz w:val="28"/>
          <w:szCs w:val="28"/>
          <w14:textFill>
            <w14:solidFill>
              <w14:schemeClr w14:val="tx1"/>
            </w14:solidFill>
          </w14:textFill>
        </w:rPr>
        <w:t>年</w:t>
      </w:r>
      <w:r>
        <w:rPr>
          <w:rFonts w:hint="eastAsia" w:ascii="宋体" w:hAnsi="宋体"/>
          <w:b/>
          <w:color w:val="000000" w:themeColor="text1"/>
          <w:sz w:val="28"/>
          <w:szCs w:val="28"/>
          <w:lang w:val="en-US" w:eastAsia="zh-CN"/>
          <w14:textFill>
            <w14:solidFill>
              <w14:schemeClr w14:val="tx1"/>
            </w14:solidFill>
          </w14:textFill>
        </w:rPr>
        <w:t>10</w:t>
      </w:r>
      <w:r>
        <w:rPr>
          <w:rFonts w:hint="eastAsia" w:ascii="宋体" w:hAnsi="宋体"/>
          <w:b/>
          <w:color w:val="000000" w:themeColor="text1"/>
          <w:sz w:val="28"/>
          <w:szCs w:val="28"/>
          <w14:textFill>
            <w14:solidFill>
              <w14:schemeClr w14:val="tx1"/>
            </w14:solidFill>
          </w14:textFill>
        </w:rPr>
        <w:t>月</w:t>
      </w:r>
      <w:r>
        <w:rPr>
          <w:rFonts w:hint="eastAsia" w:ascii="宋体" w:hAnsi="宋体"/>
          <w:b/>
          <w:color w:val="000000" w:themeColor="text1"/>
          <w:sz w:val="28"/>
          <w:szCs w:val="28"/>
          <w:lang w:val="en-US" w:eastAsia="zh-CN"/>
          <w14:textFill>
            <w14:solidFill>
              <w14:schemeClr w14:val="tx1"/>
            </w14:solidFill>
          </w14:textFill>
        </w:rPr>
        <w:t>13</w:t>
      </w:r>
      <w:r>
        <w:rPr>
          <w:rFonts w:hint="eastAsia" w:ascii="宋体" w:hAnsi="宋体"/>
          <w:b/>
          <w:color w:val="000000" w:themeColor="text1"/>
          <w:sz w:val="28"/>
          <w:szCs w:val="28"/>
          <w14:textFill>
            <w14:solidFill>
              <w14:schemeClr w14:val="tx1"/>
            </w14:solidFill>
          </w14:textFill>
        </w:rPr>
        <w:t>日上午09:30。</w:t>
      </w:r>
    </w:p>
    <w:p>
      <w:pPr>
        <w:spacing w:line="560" w:lineRule="exact"/>
        <w:ind w:firstLine="560" w:firstLineChars="200"/>
        <w:rPr>
          <w:rFonts w:ascii="宋体" w:hAnsi="宋体"/>
          <w:b/>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（二）投标文件递交方式、地点：投标截止时间前，投标人应将加密的电子投标文件递交至“政府采购云平台”对应项目（包件）。</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开标地点</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本项目为不见面开标项目。</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本项目只接受投标人加密并递交至“政府采购云平台”的投标文件。</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政采中小企业政府采购信用担保融资</w:t>
      </w:r>
    </w:p>
    <w:p>
      <w:pPr>
        <w:pStyle w:val="2"/>
        <w:keepNext w:val="0"/>
        <w:keepLines w:val="0"/>
        <w:pageBreakBefore w:val="0"/>
        <w:widowControl w:val="0"/>
        <w:kinsoku/>
        <w:wordWrap/>
        <w:overflowPunct/>
        <w:topLinePunct w:val="0"/>
        <w:autoSpaceDE/>
        <w:autoSpaceDN/>
        <w:bidi w:val="0"/>
        <w:adjustRightInd/>
        <w:snapToGrid/>
        <w:spacing w:after="0" w:line="560" w:lineRule="exact"/>
        <w:ind w:firstLine="560" w:firstLineChars="200"/>
        <w:textAlignment w:val="auto"/>
        <w:rPr>
          <w:rFonts w:ascii="宋体" w:hAnsi="宋体"/>
          <w:sz w:val="28"/>
          <w:szCs w:val="28"/>
        </w:rPr>
      </w:pPr>
      <w:r>
        <w:rPr>
          <w:rFonts w:hint="eastAsia" w:ascii="宋体" w:hAnsi="宋体"/>
          <w:sz w:val="28"/>
          <w:szCs w:val="28"/>
        </w:rPr>
        <w:t>（一）本项目接受中标的中小微企业以信用融资方式履约。</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ascii="宋体" w:hAnsi="宋体"/>
          <w:sz w:val="28"/>
          <w:szCs w:val="28"/>
        </w:rPr>
      </w:pPr>
      <w:r>
        <w:rPr>
          <w:rFonts w:hint="eastAsia" w:ascii="宋体" w:hAnsi="宋体"/>
          <w:sz w:val="28"/>
          <w:szCs w:val="28"/>
        </w:rPr>
        <w:t>（二）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keepNext w:val="0"/>
        <w:keepLines w:val="0"/>
        <w:pageBreakBefore w:val="0"/>
        <w:widowControl w:val="0"/>
        <w:kinsoku/>
        <w:wordWrap/>
        <w:overflowPunct/>
        <w:topLinePunct w:val="0"/>
        <w:autoSpaceDE/>
        <w:autoSpaceDN/>
        <w:bidi w:val="0"/>
        <w:adjustRightInd/>
        <w:snapToGrid/>
        <w:spacing w:line="560" w:lineRule="exact"/>
        <w:ind w:firstLine="565" w:firstLineChars="202"/>
        <w:textAlignment w:val="auto"/>
        <w:rPr>
          <w:rFonts w:ascii="宋体" w:hAnsi="宋体"/>
          <w:sz w:val="28"/>
          <w:szCs w:val="28"/>
        </w:rPr>
      </w:pPr>
      <w:r>
        <w:rPr>
          <w:rFonts w:hint="eastAsia" w:ascii="宋体" w:hAnsi="宋体"/>
          <w:sz w:val="28"/>
          <w:szCs w:val="28"/>
        </w:rPr>
        <w:t>（三）本地财政部门电话：028-83888323。</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本投标邀请在“四川政府采购网”和“成都市公共资源交易服务中心”网站上以公告形式发布</w:t>
      </w:r>
    </w:p>
    <w:p>
      <w:pPr>
        <w:numPr>
          <w:ilvl w:val="0"/>
          <w:numId w:val="4"/>
        </w:numPr>
        <w:spacing w:after="200" w:line="56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联系方式</w:t>
      </w:r>
    </w:p>
    <w:p>
      <w:pPr>
        <w:pStyle w:val="152"/>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ascii="宋体" w:hAnsi="宋体"/>
          <w:kern w:val="0"/>
          <w:sz w:val="28"/>
          <w:szCs w:val="22"/>
        </w:rPr>
      </w:pPr>
      <w:r>
        <w:rPr>
          <w:rFonts w:hint="eastAsia" w:ascii="宋体" w:hAnsi="宋体"/>
          <w:b/>
          <w:kern w:val="0"/>
          <w:sz w:val="28"/>
          <w:szCs w:val="22"/>
        </w:rPr>
        <w:t>采购人：彭州市第二人民医院</w:t>
      </w:r>
      <w:r>
        <w:rPr>
          <w:rFonts w:hint="eastAsia" w:ascii="宋体" w:hAnsi="宋体"/>
          <w:kern w:val="0"/>
          <w:sz w:val="28"/>
          <w:szCs w:val="22"/>
        </w:rPr>
        <w:t>；</w:t>
      </w:r>
    </w:p>
    <w:p>
      <w:pPr>
        <w:pStyle w:val="152"/>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宋体" w:hAnsi="宋体"/>
          <w:kern w:val="0"/>
          <w:sz w:val="28"/>
          <w:szCs w:val="22"/>
        </w:rPr>
      </w:pPr>
      <w:r>
        <w:rPr>
          <w:rFonts w:hint="eastAsia" w:ascii="宋体" w:hAnsi="宋体"/>
          <w:kern w:val="0"/>
          <w:sz w:val="28"/>
          <w:szCs w:val="22"/>
        </w:rPr>
        <w:t>地  址：彭州市濛阳街道濛三北路696号；</w:t>
      </w:r>
    </w:p>
    <w:p>
      <w:pPr>
        <w:pStyle w:val="152"/>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宋体" w:hAnsi="宋体" w:eastAsia="宋体"/>
          <w:kern w:val="0"/>
          <w:sz w:val="28"/>
          <w:szCs w:val="22"/>
          <w:lang w:val="en-US" w:eastAsia="zh-CN"/>
        </w:rPr>
      </w:pPr>
      <w:r>
        <w:rPr>
          <w:rFonts w:hint="eastAsia" w:ascii="宋体" w:hAnsi="宋体"/>
          <w:kern w:val="0"/>
          <w:sz w:val="28"/>
          <w:szCs w:val="22"/>
        </w:rPr>
        <w:t>联系人：黄秋婷</w:t>
      </w:r>
    </w:p>
    <w:p>
      <w:pPr>
        <w:pStyle w:val="152"/>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eastAsia" w:ascii="宋体" w:hAnsi="宋体"/>
          <w:b/>
          <w:sz w:val="28"/>
          <w:szCs w:val="28"/>
        </w:rPr>
      </w:pPr>
      <w:r>
        <w:rPr>
          <w:rFonts w:hint="eastAsia" w:ascii="宋体" w:hAnsi="宋体"/>
          <w:kern w:val="0"/>
          <w:sz w:val="28"/>
          <w:szCs w:val="22"/>
        </w:rPr>
        <w:t>联系电话：13683475718</w:t>
      </w:r>
    </w:p>
    <w:p>
      <w:pPr>
        <w:pStyle w:val="152"/>
        <w:keepNext w:val="0"/>
        <w:keepLines w:val="0"/>
        <w:pageBreakBefore w:val="0"/>
        <w:widowControl w:val="0"/>
        <w:kinsoku/>
        <w:wordWrap/>
        <w:overflowPunct/>
        <w:topLinePunct w:val="0"/>
        <w:autoSpaceDE/>
        <w:autoSpaceDN/>
        <w:bidi w:val="0"/>
        <w:adjustRightInd/>
        <w:snapToGrid/>
        <w:spacing w:line="560" w:lineRule="exact"/>
        <w:ind w:firstLine="562"/>
        <w:textAlignment w:val="auto"/>
        <w:rPr>
          <w:rFonts w:ascii="宋体" w:hAnsi="宋体"/>
          <w:b/>
          <w:kern w:val="0"/>
          <w:sz w:val="28"/>
          <w:szCs w:val="22"/>
        </w:rPr>
      </w:pPr>
      <w:r>
        <w:rPr>
          <w:rFonts w:hint="eastAsia" w:ascii="宋体" w:hAnsi="宋体"/>
          <w:b/>
          <w:sz w:val="28"/>
          <w:szCs w:val="28"/>
        </w:rPr>
        <w:t>集中采购代理机构：彭州市公共资源交易服务中心</w:t>
      </w:r>
    </w:p>
    <w:p>
      <w:pPr>
        <w:pStyle w:val="152"/>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ascii="宋体" w:hAnsi="宋体"/>
          <w:kern w:val="0"/>
          <w:sz w:val="28"/>
          <w:szCs w:val="22"/>
        </w:rPr>
      </w:pPr>
      <w:r>
        <w:rPr>
          <w:rFonts w:hint="eastAsia" w:ascii="宋体" w:hAnsi="宋体"/>
          <w:kern w:val="0"/>
          <w:sz w:val="28"/>
          <w:szCs w:val="22"/>
        </w:rPr>
        <w:t>地</w:t>
      </w:r>
      <w:r>
        <w:rPr>
          <w:rFonts w:ascii="宋体" w:hAnsi="宋体"/>
          <w:kern w:val="0"/>
          <w:sz w:val="28"/>
          <w:szCs w:val="22"/>
        </w:rPr>
        <w:t xml:space="preserve">  </w:t>
      </w:r>
      <w:r>
        <w:rPr>
          <w:rFonts w:hint="eastAsia" w:ascii="宋体" w:hAnsi="宋体"/>
          <w:kern w:val="0"/>
          <w:sz w:val="28"/>
          <w:szCs w:val="22"/>
        </w:rPr>
        <w:t>址：彭州市牡丹大道南段</w:t>
      </w:r>
      <w:r>
        <w:rPr>
          <w:rFonts w:hint="eastAsia" w:ascii="宋体" w:hAnsi="宋体"/>
          <w:kern w:val="0"/>
          <w:sz w:val="28"/>
          <w:szCs w:val="22"/>
          <w:lang w:val="en-US" w:eastAsia="zh-CN"/>
        </w:rPr>
        <w:t>48</w:t>
      </w:r>
      <w:r>
        <w:rPr>
          <w:rFonts w:hint="eastAsia" w:ascii="宋体" w:hAnsi="宋体"/>
          <w:kern w:val="0"/>
          <w:sz w:val="28"/>
          <w:szCs w:val="22"/>
        </w:rPr>
        <w:t>8号</w:t>
      </w:r>
    </w:p>
    <w:p>
      <w:pPr>
        <w:pStyle w:val="152"/>
        <w:keepNext w:val="0"/>
        <w:keepLines w:val="0"/>
        <w:pageBreakBefore w:val="0"/>
        <w:widowControl w:val="0"/>
        <w:kinsoku/>
        <w:wordWrap/>
        <w:overflowPunct/>
        <w:topLinePunct w:val="0"/>
        <w:autoSpaceDE/>
        <w:autoSpaceDN/>
        <w:bidi w:val="0"/>
        <w:adjustRightInd/>
        <w:snapToGrid/>
        <w:spacing w:line="560" w:lineRule="exact"/>
        <w:ind w:firstLine="560"/>
        <w:textAlignment w:val="auto"/>
        <w:rPr>
          <w:rFonts w:hint="default" w:ascii="宋体" w:hAnsi="宋体" w:eastAsia="宋体"/>
          <w:kern w:val="0"/>
          <w:sz w:val="28"/>
          <w:szCs w:val="22"/>
          <w:lang w:val="en-US" w:eastAsia="zh-CN"/>
        </w:rPr>
      </w:pPr>
      <w:r>
        <w:rPr>
          <w:rFonts w:hint="eastAsia" w:ascii="宋体" w:hAnsi="宋体"/>
          <w:kern w:val="0"/>
          <w:sz w:val="28"/>
          <w:szCs w:val="22"/>
        </w:rPr>
        <w:t>联系人：</w:t>
      </w:r>
      <w:r>
        <w:rPr>
          <w:rFonts w:hint="eastAsia" w:ascii="宋体" w:hAnsi="宋体"/>
          <w:kern w:val="0"/>
          <w:sz w:val="28"/>
          <w:szCs w:val="22"/>
          <w:lang w:val="en-US" w:eastAsia="zh-CN"/>
        </w:rPr>
        <w:t>李仕静秋</w:t>
      </w:r>
    </w:p>
    <w:p>
      <w:pPr>
        <w:keepNext w:val="0"/>
        <w:keepLines w:val="0"/>
        <w:pageBreakBefore w:val="0"/>
        <w:widowControl w:val="0"/>
        <w:kinsoku/>
        <w:wordWrap/>
        <w:overflowPunct/>
        <w:topLinePunct w:val="0"/>
        <w:autoSpaceDE/>
        <w:autoSpaceDN/>
        <w:bidi w:val="0"/>
        <w:adjustRightInd/>
        <w:snapToGrid/>
        <w:spacing w:line="560" w:lineRule="exact"/>
        <w:ind w:firstLine="565" w:firstLineChars="202"/>
        <w:textAlignment w:val="auto"/>
        <w:rPr>
          <w:rFonts w:hint="eastAsia" w:ascii="宋体" w:hAnsi="宋体"/>
          <w:kern w:val="0"/>
          <w:sz w:val="28"/>
        </w:rPr>
      </w:pPr>
      <w:r>
        <w:rPr>
          <w:rFonts w:hint="eastAsia" w:ascii="宋体" w:hAnsi="宋体"/>
          <w:kern w:val="0"/>
          <w:sz w:val="28"/>
          <w:szCs w:val="22"/>
        </w:rPr>
        <w:t>联系电话：</w:t>
      </w:r>
      <w:r>
        <w:rPr>
          <w:rFonts w:hint="eastAsia" w:ascii="宋体" w:hAnsi="宋体"/>
          <w:kern w:val="0"/>
          <w:sz w:val="28"/>
        </w:rPr>
        <w:t>028-60432627</w:t>
      </w:r>
    </w:p>
    <w:p>
      <w:pPr>
        <w:keepNext w:val="0"/>
        <w:keepLines w:val="0"/>
        <w:pageBreakBefore w:val="0"/>
        <w:widowControl w:val="0"/>
        <w:kinsoku/>
        <w:wordWrap/>
        <w:overflowPunct/>
        <w:topLinePunct w:val="0"/>
        <w:autoSpaceDE/>
        <w:autoSpaceDN/>
        <w:bidi w:val="0"/>
        <w:adjustRightInd/>
        <w:snapToGrid/>
        <w:spacing w:line="560" w:lineRule="exact"/>
        <w:ind w:firstLine="568" w:firstLineChars="202"/>
        <w:textAlignment w:val="auto"/>
        <w:rPr>
          <w:rFonts w:ascii="宋体" w:hAnsi="宋体"/>
          <w:sz w:val="28"/>
          <w:szCs w:val="28"/>
        </w:rPr>
      </w:pPr>
      <w:r>
        <w:rPr>
          <w:rFonts w:hint="eastAsia" w:ascii="宋体" w:hAnsi="宋体" w:cstheme="minorBidi"/>
          <w:b/>
          <w:sz w:val="28"/>
          <w:szCs w:val="28"/>
        </w:rPr>
        <w:t>技术支持电话：4008817190</w:t>
      </w:r>
    </w:p>
    <w:p>
      <w:pPr>
        <w:pStyle w:val="129"/>
        <w:keepNext w:val="0"/>
        <w:keepLines w:val="0"/>
        <w:pageBreakBefore w:val="0"/>
        <w:widowControl w:val="0"/>
        <w:tabs>
          <w:tab w:val="left" w:pos="900"/>
        </w:tabs>
        <w:kinsoku/>
        <w:wordWrap/>
        <w:overflowPunct/>
        <w:topLinePunct w:val="0"/>
        <w:autoSpaceDE/>
        <w:autoSpaceDN/>
        <w:bidi w:val="0"/>
        <w:adjustRightInd/>
        <w:snapToGrid/>
        <w:spacing w:line="560" w:lineRule="exact"/>
        <w:ind w:firstLine="562"/>
        <w:jc w:val="left"/>
        <w:textAlignment w:val="auto"/>
        <w:rPr>
          <w:rFonts w:ascii="宋体" w:hAnsi="宋体" w:eastAsia="宋体" w:cs="Times New Roman"/>
          <w:b/>
          <w:kern w:val="0"/>
          <w:sz w:val="28"/>
        </w:rPr>
      </w:pPr>
      <w:r>
        <w:rPr>
          <w:rFonts w:hint="eastAsia" w:ascii="宋体" w:hAnsi="宋体" w:eastAsia="宋体" w:cs="Times New Roman"/>
          <w:b/>
          <w:kern w:val="0"/>
          <w:sz w:val="28"/>
        </w:rPr>
        <w:t>集中采购监督机构：彭州市财政局</w:t>
      </w:r>
    </w:p>
    <w:p>
      <w:pPr>
        <w:pStyle w:val="129"/>
        <w:keepNext w:val="0"/>
        <w:keepLines w:val="0"/>
        <w:pageBreakBefore w:val="0"/>
        <w:widowControl w:val="0"/>
        <w:tabs>
          <w:tab w:val="left" w:pos="900"/>
        </w:tabs>
        <w:kinsoku/>
        <w:wordWrap/>
        <w:overflowPunct/>
        <w:topLinePunct w:val="0"/>
        <w:autoSpaceDE/>
        <w:autoSpaceDN/>
        <w:bidi w:val="0"/>
        <w:adjustRightInd/>
        <w:snapToGrid/>
        <w:spacing w:line="560" w:lineRule="exact"/>
        <w:ind w:firstLine="560"/>
        <w:jc w:val="left"/>
        <w:textAlignment w:val="auto"/>
        <w:rPr>
          <w:rFonts w:ascii="宋体" w:hAnsi="宋体" w:eastAsia="宋体" w:cs="Times New Roman"/>
          <w:kern w:val="0"/>
          <w:sz w:val="28"/>
        </w:rPr>
      </w:pPr>
      <w:r>
        <w:rPr>
          <w:rFonts w:hint="eastAsia" w:ascii="宋体" w:hAnsi="宋体" w:eastAsia="宋体" w:cs="Times New Roman"/>
          <w:kern w:val="0"/>
          <w:sz w:val="28"/>
        </w:rPr>
        <w:t>地 址：彭州市牡丹大道北二段486号</w:t>
      </w:r>
    </w:p>
    <w:p>
      <w:pPr>
        <w:keepNext w:val="0"/>
        <w:keepLines w:val="0"/>
        <w:pageBreakBefore w:val="0"/>
        <w:widowControl w:val="0"/>
        <w:tabs>
          <w:tab w:val="left" w:pos="900"/>
        </w:tabs>
        <w:kinsoku/>
        <w:wordWrap/>
        <w:overflowPunct/>
        <w:topLinePunct w:val="0"/>
        <w:autoSpaceDE/>
        <w:autoSpaceDN/>
        <w:bidi w:val="0"/>
        <w:adjustRightInd/>
        <w:snapToGrid/>
        <w:spacing w:line="560" w:lineRule="exact"/>
        <w:ind w:firstLine="560" w:firstLineChars="200"/>
        <w:textAlignment w:val="auto"/>
        <w:rPr>
          <w:rFonts w:ascii="宋体" w:hAnsi="宋体" w:cstheme="minorBidi"/>
          <w:b/>
          <w:sz w:val="28"/>
          <w:szCs w:val="28"/>
        </w:rPr>
      </w:pPr>
      <w:r>
        <w:rPr>
          <w:rFonts w:hint="eastAsia" w:ascii="宋体" w:hAnsi="宋体" w:eastAsia="宋体" w:cs="Times New Roman"/>
          <w:kern w:val="0"/>
          <w:sz w:val="28"/>
        </w:rPr>
        <w:t>联系电话：</w:t>
      </w:r>
      <w:r>
        <w:rPr>
          <w:rFonts w:hint="eastAsia" w:ascii="宋体" w:hAnsi="宋体" w:eastAsia="宋体" w:cs="Times New Roman"/>
          <w:sz w:val="28"/>
          <w:szCs w:val="28"/>
        </w:rPr>
        <w:t>028-83888323</w:t>
      </w:r>
    </w:p>
    <w:p>
      <w:pPr>
        <w:pStyle w:val="129"/>
        <w:tabs>
          <w:tab w:val="left" w:pos="900"/>
        </w:tabs>
        <w:spacing w:line="560" w:lineRule="exact"/>
        <w:ind w:firstLine="560"/>
        <w:jc w:val="left"/>
        <w:rPr>
          <w:rFonts w:ascii="宋体" w:hAnsi="宋体"/>
          <w:color w:val="000000" w:themeColor="text1"/>
          <w:sz w:val="28"/>
          <w:szCs w:val="28"/>
          <w14:textFill>
            <w14:solidFill>
              <w14:schemeClr w14:val="tx1"/>
            </w14:solidFill>
          </w14:textFill>
        </w:rPr>
      </w:pPr>
    </w:p>
    <w:p>
      <w:pPr>
        <w:pStyle w:val="129"/>
        <w:tabs>
          <w:tab w:val="left" w:pos="900"/>
        </w:tabs>
        <w:ind w:firstLine="560"/>
        <w:jc w:val="left"/>
        <w:rPr>
          <w:rFonts w:ascii="宋体" w:hAnsi="宋体"/>
          <w:color w:val="000000" w:themeColor="text1"/>
          <w:sz w:val="28"/>
          <w:szCs w:val="28"/>
          <w14:textFill>
            <w14:solidFill>
              <w14:schemeClr w14:val="tx1"/>
            </w14:solidFill>
          </w14:textFill>
        </w:rPr>
      </w:pPr>
    </w:p>
    <w:p>
      <w:pPr>
        <w:pStyle w:val="4"/>
        <w:numPr>
          <w:ilvl w:val="0"/>
          <w:numId w:val="3"/>
        </w:numPr>
        <w:spacing w:before="0" w:after="0" w:line="240" w:lineRule="auto"/>
        <w:ind w:left="0" w:firstLine="0"/>
        <w:rPr>
          <w:color w:val="000000" w:themeColor="text1"/>
          <w14:textFill>
            <w14:solidFill>
              <w14:schemeClr w14:val="tx1"/>
            </w14:solidFill>
          </w14:textFill>
        </w:rPr>
      </w:pPr>
      <w:bookmarkStart w:id="17" w:name="_Toc75336287"/>
      <w:bookmarkStart w:id="18" w:name="_Toc11280"/>
      <w:bookmarkStart w:id="19" w:name="_Toc22501"/>
      <w:bookmarkStart w:id="20" w:name="_Toc23978"/>
      <w:bookmarkStart w:id="21" w:name="_Toc16071"/>
      <w:r>
        <w:rPr>
          <w:rFonts w:hint="eastAsia"/>
          <w:color w:val="000000" w:themeColor="text1"/>
          <w14:textFill>
            <w14:solidFill>
              <w14:schemeClr w14:val="tx1"/>
            </w14:solidFill>
          </w14:textFill>
        </w:rPr>
        <w:t>投标人须知</w:t>
      </w:r>
      <w:bookmarkEnd w:id="17"/>
      <w:bookmarkEnd w:id="18"/>
      <w:bookmarkEnd w:id="19"/>
      <w:bookmarkEnd w:id="20"/>
      <w:bookmarkEnd w:id="21"/>
    </w:p>
    <w:p>
      <w:pPr>
        <w:pStyle w:val="5"/>
        <w:numPr>
          <w:ilvl w:val="1"/>
          <w:numId w:val="3"/>
        </w:numPr>
        <w:spacing w:before="0" w:after="0" w:line="240" w:lineRule="auto"/>
        <w:ind w:left="2269" w:hanging="2127"/>
        <w:rPr>
          <w:color w:val="000000" w:themeColor="text1"/>
          <w14:textFill>
            <w14:solidFill>
              <w14:schemeClr w14:val="tx1"/>
            </w14:solidFill>
          </w14:textFill>
        </w:rPr>
      </w:pPr>
      <w:bookmarkStart w:id="22" w:name="_Toc14528"/>
      <w:bookmarkStart w:id="23" w:name="_Toc15505"/>
      <w:bookmarkStart w:id="24" w:name="_Toc316462344"/>
      <w:bookmarkStart w:id="25" w:name="_Toc189727030"/>
      <w:bookmarkStart w:id="26" w:name="_Toc75336288"/>
      <w:bookmarkStart w:id="27" w:name="_Toc217446032"/>
      <w:bookmarkStart w:id="28" w:name="_Toc1773"/>
      <w:bookmarkStart w:id="29" w:name="_Toc32366"/>
      <w:bookmarkStart w:id="30" w:name="_Toc213396760"/>
      <w:bookmarkStart w:id="31" w:name="_Toc213496268"/>
      <w:bookmarkStart w:id="32" w:name="_Toc213397010"/>
      <w:bookmarkStart w:id="33" w:name="_Toc213396946"/>
      <w:r>
        <w:rPr>
          <w:rFonts w:hint="eastAsia"/>
          <w:color w:val="000000" w:themeColor="text1"/>
          <w14:textFill>
            <w14:solidFill>
              <w14:schemeClr w14:val="tx1"/>
            </w14:solidFill>
          </w14:textFill>
        </w:rPr>
        <w:t>投标人须知前附表</w:t>
      </w:r>
      <w:bookmarkEnd w:id="22"/>
      <w:bookmarkEnd w:id="23"/>
      <w:bookmarkEnd w:id="24"/>
      <w:bookmarkEnd w:id="25"/>
      <w:bookmarkEnd w:id="26"/>
      <w:bookmarkEnd w:id="27"/>
      <w:bookmarkEnd w:id="28"/>
      <w:bookmarkEnd w:id="29"/>
      <w:bookmarkEnd w:id="30"/>
      <w:bookmarkEnd w:id="31"/>
      <w:bookmarkEnd w:id="32"/>
      <w:bookmarkEnd w:id="33"/>
    </w:p>
    <w:tbl>
      <w:tblPr>
        <w:tblStyle w:val="43"/>
        <w:tblW w:w="9312"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89"/>
        <w:gridCol w:w="1942"/>
        <w:gridCol w:w="668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689"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lang w:val="zh-CN"/>
                <w14:textFill>
                  <w14:solidFill>
                    <w14:schemeClr w14:val="tx1"/>
                  </w14:solidFill>
                </w14:textFill>
              </w:rPr>
              <w:t>序号</w:t>
            </w:r>
          </w:p>
        </w:tc>
        <w:tc>
          <w:tcPr>
            <w:tcW w:w="1942" w:type="dxa"/>
            <w:tcBorders>
              <w:top w:val="single" w:color="auto" w:sz="18" w:space="0"/>
              <w:left w:val="single" w:color="auto" w:sz="8" w:space="0"/>
              <w:bottom w:val="single" w:color="auto" w:sz="8" w:space="0"/>
              <w:right w:val="single" w:color="auto" w:sz="8" w:space="0"/>
            </w:tcBorders>
            <w:vAlign w:val="center"/>
          </w:tcPr>
          <w:p>
            <w:pPr>
              <w:pStyle w:val="121"/>
              <w:ind w:left="38"/>
              <w:jc w:val="center"/>
              <w:rPr>
                <w:b/>
                <w:color w:val="000000" w:themeColor="text1"/>
                <w:kern w:val="2"/>
                <w:sz w:val="28"/>
                <w:szCs w:val="28"/>
                <w:lang w:val="zh-CN"/>
                <w14:textFill>
                  <w14:solidFill>
                    <w14:schemeClr w14:val="tx1"/>
                  </w14:solidFill>
                </w14:textFill>
              </w:rPr>
            </w:pPr>
            <w:r>
              <w:rPr>
                <w:rFonts w:hint="eastAsia"/>
                <w:b/>
                <w:color w:val="000000" w:themeColor="text1"/>
                <w:kern w:val="2"/>
                <w:sz w:val="28"/>
                <w:szCs w:val="28"/>
                <w:lang w:val="zh-CN"/>
                <w14:textFill>
                  <w14:solidFill>
                    <w14:schemeClr w14:val="tx1"/>
                  </w14:solidFill>
                </w14:textFill>
              </w:rPr>
              <w:t>应知事项</w:t>
            </w:r>
          </w:p>
        </w:tc>
        <w:tc>
          <w:tcPr>
            <w:tcW w:w="6681" w:type="dxa"/>
            <w:tcBorders>
              <w:top w:val="single" w:color="auto" w:sz="18" w:space="0"/>
              <w:left w:val="single" w:color="auto" w:sz="8" w:space="0"/>
              <w:bottom w:val="single" w:color="auto" w:sz="8" w:space="0"/>
              <w:right w:val="single" w:color="auto" w:sz="18" w:space="0"/>
            </w:tcBorders>
            <w:vAlign w:val="center"/>
          </w:tcPr>
          <w:p>
            <w:pPr>
              <w:pStyle w:val="121"/>
              <w:jc w:val="center"/>
              <w:rPr>
                <w:b/>
                <w:color w:val="000000" w:themeColor="text1"/>
                <w:kern w:val="2"/>
                <w:sz w:val="28"/>
                <w:szCs w:val="28"/>
                <w:lang w:val="zh-CN"/>
                <w14:textFill>
                  <w14:solidFill>
                    <w14:schemeClr w14:val="tx1"/>
                  </w14:solidFill>
                </w14:textFill>
              </w:rPr>
            </w:pPr>
            <w:r>
              <w:rPr>
                <w:rFonts w:hint="eastAsia"/>
                <w:b/>
                <w:color w:val="000000" w:themeColor="text1"/>
                <w:kern w:val="2"/>
                <w:sz w:val="28"/>
                <w:szCs w:val="28"/>
                <w:lang w:val="zh-CN"/>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b/>
                <w:color w:val="000000" w:themeColor="text1"/>
                <w:sz w:val="28"/>
                <w:szCs w:val="28"/>
                <w:lang w:val="zh-CN"/>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38"/>
              <w:rPr>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采购预算</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1"/>
              <w:rPr>
                <w:b/>
                <w:color w:val="000000" w:themeColor="text1"/>
                <w:kern w:val="2"/>
                <w:sz w:val="28"/>
                <w:szCs w:val="28"/>
                <w:lang w:val="zh-CN"/>
                <w14:textFill>
                  <w14:solidFill>
                    <w14:schemeClr w14:val="tx1"/>
                  </w14:solidFill>
                </w14:textFill>
              </w:rPr>
            </w:pPr>
            <w:r>
              <w:rPr>
                <w:rFonts w:hint="eastAsia"/>
                <w:b/>
                <w:color w:val="000000" w:themeColor="text1"/>
                <w:kern w:val="2"/>
                <w:sz w:val="28"/>
                <w:szCs w:val="28"/>
                <w:lang w:val="zh-CN"/>
                <w14:textFill>
                  <w14:solidFill>
                    <w14:schemeClr w14:val="tx1"/>
                  </w14:solidFill>
                </w14:textFill>
              </w:rPr>
              <w:t>人民币</w:t>
            </w:r>
            <w:r>
              <w:rPr>
                <w:rFonts w:hint="eastAsia"/>
                <w:b/>
                <w:color w:val="000000" w:themeColor="text1"/>
                <w:sz w:val="28"/>
                <w:szCs w:val="28"/>
                <w:lang w:val="en-US" w:eastAsia="zh-CN"/>
                <w14:textFill>
                  <w14:solidFill>
                    <w14:schemeClr w14:val="tx1"/>
                  </w14:solidFill>
                </w14:textFill>
              </w:rPr>
              <w:t>398万</w:t>
            </w:r>
            <w:r>
              <w:rPr>
                <w:rFonts w:hint="eastAsia"/>
                <w:b/>
                <w:color w:val="000000" w:themeColor="text1"/>
                <w:sz w:val="28"/>
                <w:szCs w:val="28"/>
                <w14:textFill>
                  <w14:solidFill>
                    <w14:schemeClr w14:val="tx1"/>
                  </w14:solidFill>
                </w14:textFill>
              </w:rPr>
              <w:t>/年</w:t>
            </w:r>
            <w:r>
              <w:rPr>
                <w:rFonts w:hint="eastAsia"/>
                <w:b/>
                <w:color w:val="000000" w:themeColor="text1"/>
                <w:sz w:val="28"/>
                <w:szCs w:val="28"/>
                <w:lang w:eastAsia="zh-CN"/>
                <w14:textFill>
                  <w14:solidFill>
                    <w14:schemeClr w14:val="tx1"/>
                  </w14:solidFill>
                </w14:textFill>
              </w:rPr>
              <w:t>；</w:t>
            </w:r>
            <w:r>
              <w:rPr>
                <w:rFonts w:hint="eastAsia"/>
                <w:b/>
                <w:color w:val="000000" w:themeColor="text1"/>
                <w:sz w:val="28"/>
                <w:szCs w:val="28"/>
                <w:lang w:val="en-US" w:eastAsia="zh-CN"/>
                <w14:textFill>
                  <w14:solidFill>
                    <w14:schemeClr w14:val="tx1"/>
                  </w14:solidFill>
                </w14:textFill>
              </w:rPr>
              <w:t>服务期限三年</w:t>
            </w:r>
            <w:r>
              <w:rPr>
                <w:rFonts w:hint="eastAsia"/>
                <w:b/>
                <w:color w:val="000000" w:themeColor="text1"/>
                <w:kern w:val="2"/>
                <w:sz w:val="28"/>
                <w:szCs w:val="28"/>
                <w:lang w:val="zh-CN"/>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20"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b/>
                <w:color w:val="000000" w:themeColor="text1"/>
                <w:sz w:val="28"/>
                <w:szCs w:val="28"/>
                <w:lang w:val="zh-CN"/>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38"/>
              <w:rPr>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最高限价</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1"/>
              <w:ind w:left="38"/>
              <w:rPr>
                <w:b/>
                <w:color w:val="000000" w:themeColor="text1"/>
                <w:kern w:val="2"/>
                <w:sz w:val="28"/>
                <w:szCs w:val="28"/>
                <w:lang w:val="zh-CN"/>
                <w14:textFill>
                  <w14:solidFill>
                    <w14:schemeClr w14:val="tx1"/>
                  </w14:solidFill>
                </w14:textFill>
              </w:rPr>
            </w:pPr>
            <w:r>
              <w:rPr>
                <w:rFonts w:hint="eastAsia"/>
                <w:b/>
                <w:color w:val="000000" w:themeColor="text1"/>
                <w:kern w:val="2"/>
                <w:sz w:val="28"/>
                <w:szCs w:val="28"/>
                <w:lang w:val="zh-CN"/>
                <w14:textFill>
                  <w14:solidFill>
                    <w14:schemeClr w14:val="tx1"/>
                  </w14:solidFill>
                </w14:textFill>
              </w:rPr>
              <w:t>本项目最高限价为人民币</w:t>
            </w:r>
            <w:r>
              <w:rPr>
                <w:rFonts w:hint="eastAsia"/>
                <w:b/>
                <w:color w:val="000000" w:themeColor="text1"/>
                <w:sz w:val="28"/>
                <w:szCs w:val="28"/>
                <w:lang w:val="en-US" w:eastAsia="zh-CN"/>
                <w14:textFill>
                  <w14:solidFill>
                    <w14:schemeClr w14:val="tx1"/>
                  </w14:solidFill>
                </w14:textFill>
              </w:rPr>
              <w:t>398万</w:t>
            </w:r>
            <w:r>
              <w:rPr>
                <w:rFonts w:hint="eastAsia"/>
                <w:b/>
                <w:color w:val="000000" w:themeColor="text1"/>
                <w:sz w:val="28"/>
                <w:szCs w:val="28"/>
                <w14:textFill>
                  <w14:solidFill>
                    <w14:schemeClr w14:val="tx1"/>
                  </w14:solidFill>
                </w14:textFill>
              </w:rPr>
              <w:t>/年</w:t>
            </w:r>
            <w:r>
              <w:rPr>
                <w:rFonts w:hint="eastAsia"/>
                <w:b/>
                <w:color w:val="000000" w:themeColor="text1"/>
                <w:kern w:val="2"/>
                <w:sz w:val="28"/>
                <w:szCs w:val="28"/>
                <w:lang w:val="zh-CN"/>
                <w14:textFill>
                  <w14:solidFill>
                    <w14:schemeClr w14:val="tx1"/>
                  </w14:solidFill>
                </w14:textFill>
              </w:rPr>
              <w:t>。投标人投标报价高于最高限价的则其投标文件将按无效投标文件处理。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38"/>
              <w:rPr>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采购方式</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1"/>
              <w:jc w:val="both"/>
              <w:rPr>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96"/>
              <w:rPr>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评标方法</w:t>
            </w:r>
          </w:p>
        </w:tc>
        <w:tc>
          <w:tcPr>
            <w:tcW w:w="6681" w:type="dxa"/>
            <w:tcBorders>
              <w:top w:val="single" w:color="auto" w:sz="8" w:space="0"/>
              <w:left w:val="single" w:color="auto" w:sz="8" w:space="0"/>
              <w:bottom w:val="single" w:color="auto" w:sz="8" w:space="0"/>
              <w:right w:val="single" w:color="auto" w:sz="18" w:space="0"/>
            </w:tcBorders>
            <w:vAlign w:val="center"/>
          </w:tcPr>
          <w:p>
            <w:pPr>
              <w:pStyle w:val="121"/>
              <w:rPr>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96"/>
              <w:rPr>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低于成本价不正当竞争预防措施</w:t>
            </w:r>
          </w:p>
        </w:tc>
        <w:tc>
          <w:tcPr>
            <w:tcW w:w="6681" w:type="dxa"/>
            <w:tcBorders>
              <w:top w:val="single" w:color="auto" w:sz="8" w:space="0"/>
              <w:left w:val="single" w:color="auto" w:sz="8" w:space="0"/>
              <w:bottom w:val="single" w:color="auto" w:sz="8" w:space="0"/>
              <w:right w:val="single" w:color="auto" w:sz="18" w:space="0"/>
            </w:tcBorders>
            <w:vAlign w:val="center"/>
          </w:tcPr>
          <w:p>
            <w:pPr>
              <w:keepNext w:val="0"/>
              <w:keepLines w:val="0"/>
              <w:pageBreakBefore w:val="0"/>
              <w:widowControl w:val="0"/>
              <w:kinsoku/>
              <w:wordWrap/>
              <w:overflowPunct/>
              <w:topLinePunct w:val="0"/>
              <w:autoSpaceDE/>
              <w:autoSpaceDN/>
              <w:bidi w:val="0"/>
              <w:adjustRightInd/>
              <w:snapToGrid/>
              <w:spacing w:line="560" w:lineRule="exact"/>
              <w:ind w:right="94" w:rightChars="45"/>
              <w:textAlignment w:val="auto"/>
              <w:rPr>
                <w:rFonts w:ascii="宋体" w:hAnsi="宋体"/>
                <w:b/>
                <w:color w:val="000000" w:themeColor="text1"/>
                <w:sz w:val="28"/>
                <w:szCs w:val="28"/>
                <w14:textFill>
                  <w14:solidFill>
                    <w14:schemeClr w14:val="tx1"/>
                  </w14:solidFill>
                </w14:textFill>
              </w:rPr>
            </w:pPr>
            <w:r>
              <w:rPr>
                <w:rFonts w:hint="eastAsia" w:ascii="宋体" w:hAnsi="宋体" w:cs="宋体"/>
                <w:color w:val="000000" w:themeColor="text1"/>
                <w:sz w:val="28"/>
                <w:szCs w:val="28"/>
                <w:lang w:val="zh-CN"/>
                <w14:textFill>
                  <w14:solidFill>
                    <w14:schemeClr w14:val="tx1"/>
                  </w14:solidFill>
                </w14:textFill>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96" w:leftChars="0"/>
              <w:rPr>
                <w:rFonts w:hint="eastAsia"/>
                <w:color w:val="000000" w:themeColor="text1"/>
                <w:kern w:val="2"/>
                <w:sz w:val="28"/>
                <w:szCs w:val="28"/>
                <w:lang w:val="zh-CN"/>
                <w14:textFill>
                  <w14:solidFill>
                    <w14:schemeClr w14:val="tx1"/>
                  </w14:solidFill>
                </w14:textFill>
              </w:rPr>
            </w:pPr>
            <w:r>
              <w:rPr>
                <w:rFonts w:hint="eastAsia"/>
                <w:color w:val="000000" w:themeColor="text1"/>
                <w:kern w:val="2"/>
                <w:lang w:val="zh-CN"/>
                <w14:textFill>
                  <w14:solidFill>
                    <w14:schemeClr w14:val="tx1"/>
                  </w14:solidFill>
                </w14:textFill>
              </w:rPr>
              <w:t>小微企业价格扣除</w:t>
            </w:r>
          </w:p>
        </w:tc>
        <w:tc>
          <w:tcPr>
            <w:tcW w:w="6681" w:type="dxa"/>
            <w:tcBorders>
              <w:top w:val="single" w:color="auto" w:sz="8" w:space="0"/>
              <w:left w:val="single" w:color="auto" w:sz="8" w:space="0"/>
              <w:bottom w:val="single" w:color="auto" w:sz="8" w:space="0"/>
              <w:right w:val="single" w:color="auto" w:sz="18" w:space="0"/>
            </w:tcBorders>
            <w:vAlign w:val="center"/>
          </w:tcPr>
          <w:p>
            <w:pPr>
              <w:ind w:right="94" w:rightChars="45"/>
              <w:rPr>
                <w:rFonts w:ascii="宋体" w:hAnsi="宋体" w:cs="宋体"/>
                <w:color w:val="000000" w:themeColor="text1"/>
                <w:kern w:val="0"/>
                <w:sz w:val="24"/>
                <w:szCs w:val="24"/>
                <w:lang w:val="zh-CN"/>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1.根据《政府采购促进中小企业发展管理办法》（财库〔</w:t>
            </w:r>
            <w:r>
              <w:rPr>
                <w:rFonts w:ascii="宋体" w:hAnsi="宋体" w:cs="宋体"/>
                <w:color w:val="000000" w:themeColor="text1"/>
                <w:kern w:val="0"/>
                <w:sz w:val="24"/>
                <w:szCs w:val="24"/>
                <w:lang w:val="zh-CN"/>
                <w14:textFill>
                  <w14:solidFill>
                    <w14:schemeClr w14:val="tx1"/>
                  </w14:solidFill>
                </w14:textFill>
              </w:rPr>
              <w:t>2020〕46号）的规定</w:t>
            </w:r>
            <w:r>
              <w:rPr>
                <w:rFonts w:hint="eastAsia" w:ascii="宋体" w:hAnsi="宋体" w:cs="宋体"/>
                <w:color w:val="000000" w:themeColor="text1"/>
                <w:kern w:val="0"/>
                <w:sz w:val="24"/>
                <w:szCs w:val="24"/>
                <w:lang w:val="zh-CN"/>
                <w14:textFill>
                  <w14:solidFill>
                    <w14:schemeClr w14:val="tx1"/>
                  </w14:solidFill>
                </w14:textFill>
              </w:rPr>
              <w:t>，对小型和微型企业提供的服务价格给予10%的价格扣除，用扣除后的价格参与评标。</w:t>
            </w:r>
          </w:p>
          <w:p>
            <w:pPr>
              <w:ind w:right="94" w:rightChars="45"/>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2</w:t>
            </w:r>
            <w:r>
              <w:rPr>
                <w:rFonts w:hint="eastAsia" w:ascii="宋体" w:hAnsi="宋体" w:cs="宋体"/>
                <w:color w:val="000000" w:themeColor="text1"/>
                <w:kern w:val="0"/>
                <w:sz w:val="24"/>
                <w:szCs w:val="24"/>
                <w:lang w:val="zh-CN"/>
                <w14:textFill>
                  <w14:solidFill>
                    <w14:schemeClr w14:val="tx1"/>
                  </w14:solidFill>
                </w14:textFill>
              </w:rPr>
              <w:t>.投标人应提供《中小企业声明函》。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96" w:leftChars="0"/>
              <w:rPr>
                <w:rFonts w:hint="eastAsia"/>
                <w:color w:val="000000" w:themeColor="text1"/>
                <w:kern w:val="2"/>
                <w:sz w:val="28"/>
                <w:szCs w:val="28"/>
                <w:lang w:val="zh-CN"/>
                <w14:textFill>
                  <w14:solidFill>
                    <w14:schemeClr w14:val="tx1"/>
                  </w14:solidFill>
                </w14:textFill>
              </w:rPr>
            </w:pPr>
            <w:r>
              <w:rPr>
                <w:rFonts w:hint="eastAsia"/>
                <w:color w:val="000000" w:themeColor="text1"/>
                <w:kern w:val="2"/>
                <w:lang w:val="zh-CN"/>
                <w14:textFill>
                  <w14:solidFill>
                    <w14:schemeClr w14:val="tx1"/>
                  </w14:solidFill>
                </w14:textFill>
              </w:rPr>
              <w:t>监狱企业价格扣除</w:t>
            </w:r>
          </w:p>
        </w:tc>
        <w:tc>
          <w:tcPr>
            <w:tcW w:w="6681" w:type="dxa"/>
            <w:tcBorders>
              <w:top w:val="single" w:color="auto" w:sz="8" w:space="0"/>
              <w:left w:val="single" w:color="auto" w:sz="8" w:space="0"/>
              <w:bottom w:val="single" w:color="auto" w:sz="8" w:space="0"/>
              <w:right w:val="single" w:color="auto" w:sz="18" w:space="0"/>
            </w:tcBorders>
            <w:vAlign w:val="center"/>
          </w:tcPr>
          <w:p>
            <w:pPr>
              <w:widowControl/>
              <w:jc w:val="left"/>
              <w:rPr>
                <w:rFonts w:ascii="宋体" w:hAnsi="宋体" w:cs="宋体"/>
                <w:color w:val="000000" w:themeColor="text1"/>
                <w:kern w:val="0"/>
                <w:sz w:val="24"/>
                <w:szCs w:val="24"/>
                <w:lang w:val="zh-CN"/>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１.根据《关于政府采购支持监狱企业发展有关问题的通知》（财库〔</w:t>
            </w:r>
            <w:r>
              <w:rPr>
                <w:rFonts w:ascii="宋体" w:hAnsi="宋体" w:cs="宋体"/>
                <w:color w:val="000000" w:themeColor="text1"/>
                <w:kern w:val="0"/>
                <w:sz w:val="24"/>
                <w:szCs w:val="24"/>
                <w:lang w:val="zh-CN"/>
                <w14:textFill>
                  <w14:solidFill>
                    <w14:schemeClr w14:val="tx1"/>
                  </w14:solidFill>
                </w14:textFill>
              </w:rPr>
              <w:t>20</w:t>
            </w:r>
            <w:r>
              <w:rPr>
                <w:rFonts w:hint="eastAsia" w:ascii="宋体" w:hAnsi="宋体" w:cs="宋体"/>
                <w:color w:val="000000" w:themeColor="text1"/>
                <w:kern w:val="0"/>
                <w:sz w:val="24"/>
                <w:szCs w:val="24"/>
                <w:lang w:val="zh-CN"/>
                <w14:textFill>
                  <w14:solidFill>
                    <w14:schemeClr w14:val="tx1"/>
                  </w14:solidFill>
                </w14:textFill>
              </w:rPr>
              <w:t>14</w:t>
            </w:r>
            <w:r>
              <w:rPr>
                <w:rFonts w:ascii="宋体" w:hAnsi="宋体" w:cs="宋体"/>
                <w:color w:val="000000" w:themeColor="text1"/>
                <w:kern w:val="0"/>
                <w:sz w:val="24"/>
                <w:szCs w:val="24"/>
                <w:lang w:val="zh-CN"/>
                <w14:textFill>
                  <w14:solidFill>
                    <w14:schemeClr w14:val="tx1"/>
                  </w14:solidFill>
                </w14:textFill>
              </w:rPr>
              <w:t>〕</w:t>
            </w:r>
            <w:r>
              <w:rPr>
                <w:rFonts w:hint="eastAsia" w:ascii="宋体" w:hAnsi="宋体" w:cs="宋体"/>
                <w:color w:val="000000" w:themeColor="text1"/>
                <w:kern w:val="0"/>
                <w:sz w:val="24"/>
                <w:szCs w:val="24"/>
                <w:lang w:val="zh-CN"/>
                <w14:textFill>
                  <w14:solidFill>
                    <w14:schemeClr w14:val="tx1"/>
                  </w14:solidFill>
                </w14:textFill>
              </w:rPr>
              <w:t>68号）的规定，监狱企业视同小型、微型企业，对监狱企业提供的服务价格给予10%的价格扣除，用扣除后的价格参与评标。</w:t>
            </w:r>
          </w:p>
          <w:p>
            <w:pPr>
              <w:ind w:right="94" w:rightChars="45"/>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２.投标人为监狱企业的,应提供由省级以上监狱管理局、戒毒管理局（含新疆生产建设兵团）出具的投标人属于监狱企业的证明文件复印件。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96" w:leftChars="0"/>
              <w:rPr>
                <w:rFonts w:hint="eastAsia"/>
                <w:color w:val="000000" w:themeColor="text1"/>
                <w:kern w:val="2"/>
                <w:sz w:val="28"/>
                <w:szCs w:val="28"/>
                <w:lang w:val="zh-CN"/>
                <w14:textFill>
                  <w14:solidFill>
                    <w14:schemeClr w14:val="tx1"/>
                  </w14:solidFill>
                </w14:textFill>
              </w:rPr>
            </w:pPr>
            <w:r>
              <w:rPr>
                <w:rFonts w:hint="eastAsia"/>
                <w:color w:val="000000" w:themeColor="text1"/>
                <w:kern w:val="2"/>
                <w14:textFill>
                  <w14:solidFill>
                    <w14:schemeClr w14:val="tx1"/>
                  </w14:solidFill>
                </w14:textFill>
              </w:rPr>
              <w:t>残疾人福利性单位</w:t>
            </w:r>
            <w:r>
              <w:rPr>
                <w:rFonts w:hint="eastAsia"/>
                <w:color w:val="000000" w:themeColor="text1"/>
                <w:kern w:val="2"/>
                <w:lang w:val="zh-CN"/>
                <w14:textFill>
                  <w14:solidFill>
                    <w14:schemeClr w14:val="tx1"/>
                  </w14:solidFill>
                </w14:textFill>
              </w:rPr>
              <w:t>价格扣除</w:t>
            </w:r>
          </w:p>
        </w:tc>
        <w:tc>
          <w:tcPr>
            <w:tcW w:w="6681" w:type="dxa"/>
            <w:tcBorders>
              <w:top w:val="single" w:color="auto" w:sz="8" w:space="0"/>
              <w:left w:val="single" w:color="auto" w:sz="8" w:space="0"/>
              <w:bottom w:val="single" w:color="auto" w:sz="8" w:space="0"/>
              <w:right w:val="single" w:color="auto" w:sz="18" w:space="0"/>
            </w:tcBorders>
            <w:vAlign w:val="center"/>
          </w:tcPr>
          <w:p>
            <w:pPr>
              <w:widowControl/>
              <w:jc w:val="left"/>
              <w:rPr>
                <w:rFonts w:ascii="宋体" w:hAnsi="宋体" w:cs="宋体"/>
                <w:color w:val="000000" w:themeColor="text1"/>
                <w:kern w:val="0"/>
                <w:sz w:val="24"/>
                <w:szCs w:val="24"/>
                <w:lang w:val="zh-CN"/>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1.根据《三部门联合发布关于促进残疾人就业政府采购政策的通知》（财库[2017]141号）的规定，残疾人福利性单位视同小型、微型企业，对残疾人福利性单位提供的服务价格给予10%的价格扣除，用扣除后的价格参与评标。</w:t>
            </w:r>
          </w:p>
          <w:p>
            <w:pPr>
              <w:widowControl/>
              <w:jc w:val="left"/>
              <w:rPr>
                <w:rFonts w:hint="eastAsia" w:ascii="宋体" w:hAnsi="宋体" w:cs="宋体"/>
                <w:color w:val="000000" w:themeColor="text1"/>
                <w:sz w:val="28"/>
                <w:szCs w:val="28"/>
                <w:lang w:val="zh-CN"/>
                <w14:textFill>
                  <w14:solidFill>
                    <w14:schemeClr w14:val="tx1"/>
                  </w14:solidFill>
                </w14:textFill>
              </w:rPr>
            </w:pPr>
            <w:r>
              <w:rPr>
                <w:rFonts w:hint="eastAsia" w:ascii="宋体" w:hAnsi="宋体" w:cs="宋体"/>
                <w:color w:val="000000" w:themeColor="text1"/>
                <w:kern w:val="0"/>
                <w:sz w:val="24"/>
                <w:szCs w:val="24"/>
                <w:lang w:val="zh-CN"/>
                <w14:textFill>
                  <w14:solidFill>
                    <w14:schemeClr w14:val="tx1"/>
                  </w14:solidFill>
                </w14:textFill>
              </w:rPr>
              <w:t>2.投标文件中应提供《残疾人福利性单位声明函》。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96"/>
              <w:rPr>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投标保证金</w:t>
            </w:r>
          </w:p>
        </w:tc>
        <w:tc>
          <w:tcPr>
            <w:tcW w:w="6681" w:type="dxa"/>
            <w:tcBorders>
              <w:top w:val="single" w:color="auto" w:sz="8" w:space="0"/>
              <w:left w:val="single" w:color="auto" w:sz="8" w:space="0"/>
              <w:bottom w:val="single" w:color="auto" w:sz="8" w:space="0"/>
              <w:right w:val="single" w:color="auto" w:sz="18" w:space="0"/>
            </w:tcBorders>
            <w:vAlign w:val="center"/>
          </w:tcPr>
          <w:p>
            <w:pPr>
              <w:ind w:right="94" w:rightChars="45"/>
              <w:rPr>
                <w:rFonts w:ascii="宋体" w:hAnsi="宋体"/>
                <w:b/>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lang w:val="zh-CN"/>
                <w14:textFill>
                  <w14:solidFill>
                    <w14:schemeClr w14:val="tx1"/>
                  </w14:solidFill>
                </w14:textFill>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96"/>
              <w:rPr>
                <w:color w:val="000000" w:themeColor="text1"/>
                <w:kern w:val="2"/>
                <w:sz w:val="28"/>
                <w:szCs w:val="28"/>
                <w:lang w:val="zh-CN"/>
                <w14:textFill>
                  <w14:solidFill>
                    <w14:schemeClr w14:val="tx1"/>
                  </w14:solidFill>
                </w14:textFill>
              </w:rPr>
            </w:pPr>
            <w:r>
              <w:rPr>
                <w:rFonts w:hint="eastAsia"/>
                <w:color w:val="000000" w:themeColor="text1"/>
                <w:kern w:val="2"/>
                <w:sz w:val="28"/>
                <w:szCs w:val="28"/>
                <w:lang w:val="zh-CN"/>
                <w14:textFill>
                  <w14:solidFill>
                    <w14:schemeClr w14:val="tx1"/>
                  </w14:solidFill>
                </w14:textFill>
              </w:rPr>
              <w:t>履约保证金</w:t>
            </w:r>
          </w:p>
        </w:tc>
        <w:tc>
          <w:tcPr>
            <w:tcW w:w="6681" w:type="dxa"/>
            <w:tcBorders>
              <w:top w:val="single" w:color="auto" w:sz="8" w:space="0"/>
              <w:left w:val="single" w:color="auto" w:sz="8" w:space="0"/>
              <w:bottom w:val="single" w:color="auto" w:sz="8" w:space="0"/>
              <w:right w:val="single" w:color="auto" w:sz="18" w:space="0"/>
            </w:tcBorders>
            <w:vAlign w:val="center"/>
          </w:tcPr>
          <w:p>
            <w:pPr>
              <w:ind w:right="94" w:rightChars="45"/>
              <w:rPr>
                <w:rFonts w:ascii="宋体" w:hAnsi="宋体"/>
                <w:b/>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lang w:val="zh-CN"/>
                <w14:textFill>
                  <w14:solidFill>
                    <w14:schemeClr w14:val="tx1"/>
                  </w14:solidFill>
                </w14:textFill>
              </w:rPr>
              <w:t>本项目不收取</w:t>
            </w:r>
            <w:r>
              <w:rPr>
                <w:rFonts w:hint="eastAsia" w:ascii="宋体" w:hAnsi="宋体" w:cs="宋体"/>
                <w:color w:val="000000" w:themeColor="text1"/>
                <w:kern w:val="0"/>
                <w:sz w:val="28"/>
                <w:szCs w:val="28"/>
                <w:lang w:val="en-US" w:eastAsia="zh-CN"/>
                <w14:textFill>
                  <w14:solidFill>
                    <w14:schemeClr w14:val="tx1"/>
                  </w14:solidFill>
                </w14:textFill>
              </w:rPr>
              <w:t>履约</w:t>
            </w:r>
            <w:r>
              <w:rPr>
                <w:rFonts w:hint="eastAsia" w:ascii="宋体" w:hAnsi="宋体" w:cs="宋体"/>
                <w:color w:val="000000" w:themeColor="text1"/>
                <w:kern w:val="0"/>
                <w:sz w:val="28"/>
                <w:szCs w:val="28"/>
                <w:lang w:val="zh-CN"/>
                <w14:textFill>
                  <w14:solidFill>
                    <w14:schemeClr w14:val="tx1"/>
                  </w14:solidFill>
                </w14:textFill>
              </w:rPr>
              <w:t>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pStyle w:val="121"/>
              <w:ind w:left="96"/>
              <w:rPr>
                <w:color w:val="000000" w:themeColor="text1"/>
                <w:kern w:val="2"/>
                <w:sz w:val="28"/>
                <w:szCs w:val="28"/>
                <w:lang w:val="zh-CN"/>
                <w14:textFill>
                  <w14:solidFill>
                    <w14:schemeClr w14:val="tx1"/>
                  </w14:solidFill>
                </w14:textFill>
              </w:rPr>
            </w:pPr>
            <w:r>
              <w:rPr>
                <w:rFonts w:hint="eastAsia"/>
                <w:color w:val="000000" w:themeColor="text1"/>
                <w:kern w:val="2"/>
                <w:sz w:val="28"/>
                <w:szCs w:val="28"/>
                <w14:textFill>
                  <w14:solidFill>
                    <w14:schemeClr w14:val="tx1"/>
                  </w14:solidFill>
                </w14:textFill>
              </w:rPr>
              <w:t>投标有效期</w:t>
            </w:r>
          </w:p>
        </w:tc>
        <w:tc>
          <w:tcPr>
            <w:tcW w:w="6681" w:type="dxa"/>
            <w:tcBorders>
              <w:top w:val="single" w:color="auto" w:sz="8" w:space="0"/>
              <w:left w:val="single" w:color="auto" w:sz="8" w:space="0"/>
              <w:bottom w:val="single" w:color="auto" w:sz="8" w:space="0"/>
              <w:right w:val="single" w:color="auto" w:sz="18" w:space="0"/>
            </w:tcBorders>
            <w:vAlign w:val="center"/>
          </w:tcPr>
          <w:p>
            <w:pPr>
              <w:widowControl/>
              <w:jc w:val="left"/>
              <w:rPr>
                <w:rFonts w:ascii="宋体" w:hAnsi="宋体" w:cs="宋体"/>
                <w:color w:val="000000" w:themeColor="text1"/>
                <w:kern w:val="0"/>
                <w:sz w:val="28"/>
                <w:szCs w:val="28"/>
                <w:lang w:val="zh-CN"/>
                <w14:textFill>
                  <w14:solidFill>
                    <w14:schemeClr w14:val="tx1"/>
                  </w14:solidFill>
                </w14:textFill>
              </w:rPr>
            </w:pPr>
            <w:r>
              <w:rPr>
                <w:rFonts w:hint="eastAsia" w:ascii="宋体" w:hAnsi="宋体" w:cs="宋体"/>
                <w:color w:val="000000" w:themeColor="text1"/>
                <w:kern w:val="0"/>
                <w:sz w:val="28"/>
                <w:szCs w:val="28"/>
                <w:lang w:val="zh-CN"/>
                <w14:textFill>
                  <w14:solidFill>
                    <w14:schemeClr w14:val="tx1"/>
                  </w14:solidFill>
                </w14:textFill>
              </w:rPr>
              <w:t>提交投标文件的截止之日起120天。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9"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投标文件的制作和签章、加密</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20"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6"/>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投标文件的递交</w:t>
            </w:r>
          </w:p>
        </w:tc>
        <w:tc>
          <w:tcPr>
            <w:tcW w:w="6681"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详见投标人须知2.4.12</w:t>
            </w:r>
          </w:p>
          <w:p>
            <w:pPr>
              <w:tabs>
                <w:tab w:val="left" w:pos="7665"/>
              </w:tabs>
              <w:snapToGrid w:val="0"/>
              <w:jc w:val="left"/>
              <w:rPr>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注：投标人使用CA证书在投标截止时间前，将电子投标文件上传至政府采购云平台，上传前须对电子投标文件是否有电子签章等进行核对。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6"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投标文件的补充、修改</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80" w:hRule="atLeast"/>
          <w:jc w:val="center"/>
        </w:trPr>
        <w:tc>
          <w:tcPr>
            <w:tcW w:w="689" w:type="dxa"/>
            <w:tcBorders>
              <w:top w:val="single" w:color="auto" w:sz="4"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4"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投标文件的撤回</w:t>
            </w:r>
          </w:p>
        </w:tc>
        <w:tc>
          <w:tcPr>
            <w:tcW w:w="6681"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80" w:hRule="atLeast"/>
          <w:jc w:val="center"/>
        </w:trPr>
        <w:tc>
          <w:tcPr>
            <w:tcW w:w="689" w:type="dxa"/>
            <w:tcBorders>
              <w:top w:val="single" w:color="auto" w:sz="4"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4"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开标及开标程序</w:t>
            </w:r>
          </w:p>
        </w:tc>
        <w:tc>
          <w:tcPr>
            <w:tcW w:w="6681" w:type="dxa"/>
            <w:tcBorders>
              <w:top w:val="single" w:color="auto" w:sz="4" w:space="0"/>
              <w:left w:val="single" w:color="auto" w:sz="8" w:space="0"/>
              <w:bottom w:val="single" w:color="auto" w:sz="8" w:space="0"/>
              <w:right w:val="single" w:color="auto" w:sz="18" w:space="0"/>
            </w:tcBorders>
            <w:vAlign w:val="center"/>
          </w:tcPr>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详见投标人须知2.5.1。</w:t>
            </w:r>
          </w:p>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投标文件解密：开启解密后，投标人应在系统提示的解密开始时间后</w:t>
            </w:r>
            <w:r>
              <w:rPr>
                <w:rFonts w:ascii="宋体" w:hAnsi="宋体"/>
                <w:b/>
                <w:color w:val="000000" w:themeColor="text1"/>
                <w:sz w:val="28"/>
                <w:szCs w:val="28"/>
                <w14:textFill>
                  <w14:solidFill>
                    <w14:schemeClr w14:val="tx1"/>
                  </w14:solidFill>
                </w14:textFill>
              </w:rPr>
              <w:t>60</w:t>
            </w:r>
            <w:r>
              <w:rPr>
                <w:rFonts w:hint="eastAsia" w:ascii="宋体" w:hAnsi="宋体"/>
                <w:b/>
                <w:color w:val="000000" w:themeColor="text1"/>
                <w:sz w:val="28"/>
                <w:szCs w:val="28"/>
                <w14:textFill>
                  <w14:solidFill>
                    <w14:schemeClr w14:val="tx1"/>
                  </w14:solidFill>
                </w14:textFill>
              </w:rPr>
              <w:t>分钟内 ，使用对投标文件进行加密的CA证书在线完成对投标人递交至政府采购云平台的投标文件的解密。</w:t>
            </w:r>
          </w:p>
          <w:p>
            <w:pPr>
              <w:snapToGrid w:val="0"/>
              <w:spacing w:line="360" w:lineRule="auto"/>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对招标文件中供应商参加本次政府采购活动应当具备的条件，招标项目服务、商务及其他要求，评标细则及标准，以及关于资格审查的询问、质疑</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ind w:right="210"/>
              <w:rPr>
                <w:rFonts w:ascii="宋体" w:hAnsi="宋体" w:eastAsia="仿宋_GB2312" w:cs="宋体"/>
                <w:color w:val="000000" w:themeColor="text1"/>
                <w:kern w:val="0"/>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向采购人提出，并由</w:t>
            </w:r>
            <w:r>
              <w:rPr>
                <w:rFonts w:hint="eastAsia" w:ascii="宋体" w:hAnsi="宋体"/>
                <w:color w:val="000000" w:themeColor="text1"/>
                <w:kern w:val="0"/>
                <w:sz w:val="28"/>
                <w:szCs w:val="28"/>
                <w14:textFill>
                  <w14:solidFill>
                    <w14:schemeClr w14:val="tx1"/>
                  </w14:solidFill>
                </w14:textFill>
              </w:rPr>
              <w:t>采购人</w:t>
            </w:r>
            <w:r>
              <w:rPr>
                <w:rFonts w:hint="eastAsia" w:ascii="宋体" w:hAnsi="宋体"/>
                <w:color w:val="000000" w:themeColor="text1"/>
                <w:sz w:val="28"/>
                <w:szCs w:val="28"/>
                <w14:textFill>
                  <w14:solidFill>
                    <w14:schemeClr w14:val="tx1"/>
                  </w14:solidFill>
                </w14:textFill>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对招标文件中的其他内容、采购过程及中标结果（除资格审查）的询问、质疑</w:t>
            </w:r>
          </w:p>
        </w:tc>
        <w:tc>
          <w:tcPr>
            <w:tcW w:w="6681"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ind w:right="210"/>
              <w:rPr>
                <w:rFonts w:ascii="宋体" w:hAnsi="宋体" w:eastAsia="仿宋_GB2312" w:cs="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向市公资交易中心提出，</w:t>
            </w:r>
            <w:r>
              <w:rPr>
                <w:rFonts w:hint="eastAsia" w:ascii="宋体" w:hAnsi="宋体"/>
                <w:color w:val="000000" w:themeColor="text1"/>
                <w:sz w:val="28"/>
                <w:szCs w:val="28"/>
                <w14:textFill>
                  <w14:solidFill>
                    <w14:schemeClr w14:val="tx1"/>
                  </w14:solidFill>
                </w14:textFill>
              </w:rPr>
              <w:t>并由</w:t>
            </w:r>
            <w:r>
              <w:rPr>
                <w:rFonts w:hint="eastAsia" w:ascii="宋体" w:hAnsi="宋体"/>
                <w:color w:val="000000" w:themeColor="text1"/>
                <w:kern w:val="0"/>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按相关规定作出答复（详见投标人须知2.8）</w:t>
            </w:r>
            <w:r>
              <w:rPr>
                <w:rFonts w:hint="eastAsia" w:ascii="宋体" w:hAnsi="宋体" w:eastAsia="宋体" w:cs="Times New Roman"/>
                <w:color w:val="000000" w:themeColor="text1"/>
                <w:sz w:val="28"/>
                <w:szCs w:val="28"/>
                <w14:textFill>
                  <w14:solidFill>
                    <w14:schemeClr w14:val="tx1"/>
                  </w14:solidFill>
                </w14:textFill>
              </w:rPr>
              <w:t>。</w:t>
            </w:r>
            <w:r>
              <w:rPr>
                <w:rFonts w:hint="eastAsia" w:ascii="宋体" w:hAnsi="宋体" w:eastAsia="宋体" w:cs="Times New Roman"/>
                <w:color w:val="000000" w:themeColor="text1"/>
                <w:sz w:val="28"/>
                <w:szCs w:val="28"/>
                <w:lang w:val="en-US" w:eastAsia="zh-CN"/>
                <w14:textFill>
                  <w14:solidFill>
                    <w14:schemeClr w14:val="tx1"/>
                  </w14:solidFill>
                </w14:textFill>
              </w:rPr>
              <w:t>联系电话：028-60432620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37" w:hRule="atLeast"/>
          <w:jc w:val="center"/>
        </w:trPr>
        <w:tc>
          <w:tcPr>
            <w:tcW w:w="689" w:type="dxa"/>
            <w:tcBorders>
              <w:top w:val="single" w:color="auto" w:sz="8" w:space="0"/>
              <w:left w:val="single" w:color="auto" w:sz="18" w:space="0"/>
              <w:bottom w:val="single" w:color="auto" w:sz="8" w:space="0"/>
              <w:right w:val="single" w:color="auto" w:sz="8" w:space="0"/>
            </w:tcBorders>
            <w:vAlign w:val="center"/>
          </w:tcPr>
          <w:p>
            <w:pPr>
              <w:numPr>
                <w:ilvl w:val="0"/>
                <w:numId w:val="6"/>
              </w:numPr>
              <w:snapToGrid w:val="0"/>
              <w:spacing w:after="20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投标人投诉</w:t>
            </w:r>
          </w:p>
        </w:tc>
        <w:tc>
          <w:tcPr>
            <w:tcW w:w="6681" w:type="dxa"/>
            <w:tcBorders>
              <w:top w:val="single" w:color="auto" w:sz="8" w:space="0"/>
              <w:left w:val="single" w:color="auto" w:sz="8" w:space="0"/>
              <w:bottom w:val="single" w:color="auto" w:sz="8" w:space="0"/>
              <w:right w:val="single" w:color="auto" w:sz="18" w:space="0"/>
            </w:tcBorders>
            <w:vAlign w:val="center"/>
          </w:tcPr>
          <w:p>
            <w:pPr>
              <w:widowControl/>
              <w:tabs>
                <w:tab w:val="left" w:pos="7665"/>
              </w:tabs>
              <w:jc w:val="left"/>
              <w:rPr>
                <w:rFonts w:hint="eastAsia" w:ascii="宋体" w:hAnsi="宋体" w:eastAsia="宋体" w:cs="宋体"/>
                <w:color w:val="000000" w:themeColor="text1"/>
                <w:kern w:val="0"/>
                <w:sz w:val="28"/>
                <w:szCs w:val="28"/>
                <w:lang w:val="zh-CN"/>
                <w14:textFill>
                  <w14:solidFill>
                    <w14:schemeClr w14:val="tx1"/>
                  </w14:solidFill>
                </w14:textFill>
              </w:rPr>
            </w:pPr>
            <w:r>
              <w:rPr>
                <w:rFonts w:hint="eastAsia" w:ascii="宋体" w:hAnsi="宋体" w:eastAsia="宋体" w:cs="宋体"/>
                <w:color w:val="000000" w:themeColor="text1"/>
                <w:kern w:val="0"/>
                <w:sz w:val="28"/>
                <w:szCs w:val="28"/>
                <w:lang w:val="zh-CN"/>
                <w14:textFill>
                  <w14:solidFill>
                    <w14:schemeClr w14:val="tx1"/>
                  </w14:solidFill>
                </w14:textFill>
              </w:rPr>
              <w:t>投诉受理单位：彭州市财政局。</w:t>
            </w:r>
          </w:p>
          <w:p>
            <w:pPr>
              <w:widowControl/>
              <w:tabs>
                <w:tab w:val="left" w:pos="7665"/>
              </w:tabs>
              <w:jc w:val="left"/>
              <w:rPr>
                <w:rFonts w:hint="eastAsia" w:ascii="宋体" w:hAnsi="宋体" w:eastAsia="宋体" w:cs="宋体"/>
                <w:color w:val="000000" w:themeColor="text1"/>
                <w:kern w:val="0"/>
                <w:sz w:val="28"/>
                <w:szCs w:val="28"/>
                <w:lang w:val="zh-CN"/>
                <w14:textFill>
                  <w14:solidFill>
                    <w14:schemeClr w14:val="tx1"/>
                  </w14:solidFill>
                </w14:textFill>
              </w:rPr>
            </w:pPr>
            <w:r>
              <w:rPr>
                <w:rFonts w:hint="eastAsia" w:ascii="宋体" w:hAnsi="宋体" w:eastAsia="宋体" w:cs="宋体"/>
                <w:color w:val="000000" w:themeColor="text1"/>
                <w:kern w:val="0"/>
                <w:sz w:val="28"/>
                <w:szCs w:val="28"/>
                <w:lang w:val="zh-CN"/>
                <w14:textFill>
                  <w14:solidFill>
                    <w14:schemeClr w14:val="tx1"/>
                  </w14:solidFill>
                </w14:textFill>
              </w:rPr>
              <w:t>联系电话：028-83888323。</w:t>
            </w:r>
          </w:p>
          <w:p>
            <w:pPr>
              <w:widowControl/>
              <w:tabs>
                <w:tab w:val="left" w:pos="7665"/>
              </w:tabs>
              <w:jc w:val="left"/>
              <w:rPr>
                <w:rFonts w:ascii="宋体" w:hAnsi="宋体"/>
                <w:color w:val="000000" w:themeColor="text1"/>
                <w:sz w:val="28"/>
                <w:szCs w:val="28"/>
                <w14:textFill>
                  <w14:solidFill>
                    <w14:schemeClr w14:val="tx1"/>
                  </w14:solidFill>
                </w14:textFill>
              </w:rPr>
            </w:pPr>
            <w:r>
              <w:rPr>
                <w:rFonts w:hint="eastAsia" w:ascii="宋体" w:hAnsi="宋体" w:eastAsia="宋体" w:cs="宋体"/>
                <w:color w:val="000000" w:themeColor="text1"/>
                <w:kern w:val="0"/>
                <w:sz w:val="28"/>
                <w:szCs w:val="28"/>
                <w:lang w:val="zh-CN"/>
                <w14:textFill>
                  <w14:solidFill>
                    <w14:schemeClr w14:val="tx1"/>
                  </w14:solidFill>
                </w14:textFill>
              </w:rPr>
              <w:t>地址：彭州市牡丹大道北二段486号。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jc w:val="left"/>
              <w:rPr>
                <w:rFonts w:ascii="宋体" w:hAnsi="宋体" w:cs="宋体"/>
                <w:color w:val="000000" w:themeColor="text1"/>
                <w:kern w:val="0"/>
                <w:sz w:val="28"/>
                <w:szCs w:val="28"/>
                <w:lang w:val="zh-CN"/>
                <w14:textFill>
                  <w14:solidFill>
                    <w14:schemeClr w14:val="tx1"/>
                  </w14:solidFill>
                </w14:textFill>
              </w:rPr>
            </w:pPr>
            <w:r>
              <w:rPr>
                <w:rFonts w:hint="eastAsia" w:ascii="宋体" w:hAnsi="宋体" w:cs="宋体"/>
                <w:color w:val="000000" w:themeColor="text1"/>
                <w:kern w:val="0"/>
                <w:sz w:val="28"/>
                <w:szCs w:val="28"/>
                <w:lang w:val="zh-CN"/>
                <w14:textFill>
                  <w14:solidFill>
                    <w14:schemeClr w14:val="tx1"/>
                  </w14:solidFill>
                </w14:textFill>
              </w:rPr>
              <w:t>评标情况公告</w:t>
            </w:r>
          </w:p>
        </w:tc>
        <w:tc>
          <w:tcPr>
            <w:tcW w:w="6681" w:type="dxa"/>
            <w:tcBorders>
              <w:top w:val="single" w:color="auto" w:sz="8" w:space="0"/>
              <w:left w:val="single" w:color="auto" w:sz="8" w:space="0"/>
              <w:bottom w:val="single" w:color="auto" w:sz="4" w:space="0"/>
              <w:right w:val="single" w:color="auto" w:sz="18" w:space="0"/>
            </w:tcBorders>
            <w:vAlign w:val="center"/>
          </w:tcPr>
          <w:p>
            <w:pPr>
              <w:widowControl/>
              <w:tabs>
                <w:tab w:val="left" w:pos="7665"/>
              </w:tabs>
              <w:jc w:val="left"/>
              <w:rPr>
                <w:rFonts w:ascii="宋体" w:hAnsi="宋体" w:cs="宋体"/>
                <w:color w:val="000000" w:themeColor="text1"/>
                <w:kern w:val="0"/>
                <w:sz w:val="28"/>
                <w:szCs w:val="28"/>
                <w:lang w:val="zh-CN"/>
                <w14:textFill>
                  <w14:solidFill>
                    <w14:schemeClr w14:val="tx1"/>
                  </w14:solidFill>
                </w14:textFill>
              </w:rPr>
            </w:pPr>
            <w:r>
              <w:rPr>
                <w:rFonts w:hint="eastAsia" w:ascii="宋体" w:hAnsi="宋体" w:cs="宋体"/>
                <w:color w:val="000000" w:themeColor="text1"/>
                <w:kern w:val="0"/>
                <w:sz w:val="28"/>
                <w:szCs w:val="28"/>
                <w:lang w:val="zh-CN"/>
                <w14:textFill>
                  <w14:solidFill>
                    <w14:schemeClr w14:val="tx1"/>
                  </w14:solidFill>
                </w14:textFill>
              </w:rPr>
              <w:t>所有</w:t>
            </w:r>
            <w:r>
              <w:rPr>
                <w:rFonts w:hint="eastAsia" w:ascii="宋体" w:hAnsi="宋体"/>
                <w:color w:val="000000" w:themeColor="text1"/>
                <w:sz w:val="28"/>
                <w:szCs w:val="28"/>
                <w14:textFill>
                  <w14:solidFill>
                    <w14:schemeClr w14:val="tx1"/>
                  </w14:solidFill>
                </w14:textFill>
              </w:rPr>
              <w:t>投标人</w:t>
            </w:r>
            <w:r>
              <w:rPr>
                <w:rFonts w:hint="eastAsia" w:ascii="宋体" w:hAnsi="宋体" w:cs="宋体"/>
                <w:color w:val="000000" w:themeColor="text1"/>
                <w:kern w:val="0"/>
                <w:sz w:val="28"/>
                <w:szCs w:val="28"/>
                <w:lang w:val="zh-CN"/>
                <w14:textFill>
                  <w14:solidFill>
                    <w14:schemeClr w14:val="tx1"/>
                  </w14:solidFill>
                </w14:textFill>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jc w:val="left"/>
              <w:rPr>
                <w:rFonts w:ascii="宋体" w:hAnsi="宋体"/>
                <w:color w:val="000000" w:themeColor="text1"/>
                <w:sz w:val="28"/>
                <w:szCs w:val="28"/>
                <w14:textFill>
                  <w14:solidFill>
                    <w14:schemeClr w14:val="tx1"/>
                  </w14:solidFill>
                </w14:textFill>
              </w:rPr>
            </w:pPr>
            <w:r>
              <w:rPr>
                <w:rFonts w:hint="eastAsia" w:ascii="宋体" w:hAnsi="宋体" w:cs="宋体"/>
                <w:color w:val="000000" w:themeColor="text1"/>
                <w:kern w:val="0"/>
                <w:sz w:val="28"/>
                <w:szCs w:val="28"/>
                <w:lang w:val="zh-CN"/>
                <w14:textFill>
                  <w14:solidFill>
                    <w14:schemeClr w14:val="tx1"/>
                  </w14:solidFill>
                </w14:textFill>
              </w:rPr>
              <w:t>中标通知书</w:t>
            </w:r>
          </w:p>
        </w:tc>
        <w:tc>
          <w:tcPr>
            <w:tcW w:w="6681"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中标公告在四川政府采购网上公告后，中标供应商自行登录政府采购云平台下载中标通知书。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689" w:type="dxa"/>
            <w:tcBorders>
              <w:top w:val="single" w:color="auto" w:sz="8" w:space="0"/>
              <w:left w:val="single" w:color="auto" w:sz="18" w:space="0"/>
              <w:bottom w:val="single" w:color="auto" w:sz="4"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8"/>
                <w:szCs w:val="28"/>
                <w14:textFill>
                  <w14:solidFill>
                    <w14:schemeClr w14:val="tx1"/>
                  </w14:solidFill>
                </w14:textFill>
              </w:rPr>
            </w:pPr>
          </w:p>
        </w:tc>
        <w:tc>
          <w:tcPr>
            <w:tcW w:w="1942" w:type="dxa"/>
            <w:tcBorders>
              <w:top w:val="single" w:color="auto" w:sz="8" w:space="0"/>
              <w:left w:val="single" w:color="auto" w:sz="8" w:space="0"/>
              <w:bottom w:val="single" w:color="auto" w:sz="4" w:space="0"/>
              <w:right w:val="single" w:color="auto" w:sz="8" w:space="0"/>
            </w:tcBorders>
            <w:vAlign w:val="center"/>
          </w:tcPr>
          <w:p>
            <w:pPr>
              <w:snapToGrid w:val="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合同签订地点</w:t>
            </w:r>
          </w:p>
        </w:tc>
        <w:tc>
          <w:tcPr>
            <w:tcW w:w="6681"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rPr>
                <w:rFonts w:ascii="宋体" w:hAnsi="宋体"/>
                <w:color w:val="000000" w:themeColor="text1"/>
                <w:kern w:val="0"/>
                <w:sz w:val="28"/>
                <w:szCs w:val="28"/>
                <w14:textFill>
                  <w14:solidFill>
                    <w14:schemeClr w14:val="tx1"/>
                  </w14:solidFill>
                </w14:textFill>
              </w:rPr>
            </w:pPr>
            <w:r>
              <w:rPr>
                <w:rFonts w:hint="eastAsia" w:ascii="宋体" w:hAnsi="宋体" w:eastAsia="宋体" w:cs="Times New Roman"/>
                <w:color w:val="000000" w:themeColor="text1"/>
                <w:kern w:val="0"/>
                <w:sz w:val="28"/>
                <w:szCs w:val="28"/>
                <w:lang w:val="zh-CN"/>
                <w14:textFill>
                  <w14:solidFill>
                    <w14:schemeClr w14:val="tx1"/>
                  </w14:solidFill>
                </w14:textFill>
              </w:rPr>
              <w:t>政府采购合同签订由采购人自行组织签订。</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16"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8"/>
                <w:szCs w:val="28"/>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snapToGrid w:val="0"/>
              <w:ind w:right="210" w:rightChars="1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政府采购合同公告、备案</w:t>
            </w:r>
          </w:p>
        </w:tc>
        <w:tc>
          <w:tcPr>
            <w:tcW w:w="6681"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ind w:left="-4" w:leftChars="-2" w:right="210"/>
              <w:rPr>
                <w:rFonts w:ascii="宋体" w:hAnsi="宋体"/>
                <w:color w:val="000000" w:themeColor="text1"/>
                <w:sz w:val="28"/>
                <w:szCs w:val="28"/>
                <w14:textFill>
                  <w14:solidFill>
                    <w14:schemeClr w14:val="tx1"/>
                  </w14:solidFill>
                </w14:textFill>
              </w:rPr>
            </w:pPr>
            <w:r>
              <w:rPr>
                <w:rFonts w:hint="eastAsia" w:ascii="宋体" w:hAnsi="宋体" w:eastAsia="宋体" w:cs="宋体"/>
                <w:color w:val="000000" w:themeColor="text1"/>
                <w:kern w:val="0"/>
                <w:sz w:val="28"/>
                <w:szCs w:val="28"/>
                <w:lang w:val="zh-CN"/>
                <w14:textFill>
                  <w14:solidFill>
                    <w14:schemeClr w14:val="tx1"/>
                  </w14:solidFill>
                </w14:textFill>
              </w:rPr>
              <w:t>政府采购合同签订之日起2个工作日内，采购人将在四川政府采购网公告政府采购合同；疫情防控期间，采购人原则上在5个工作日内与供应商签订政府采购合同及向</w:t>
            </w:r>
            <w:r>
              <w:rPr>
                <w:rFonts w:hint="eastAsia" w:ascii="宋体" w:hAnsi="宋体" w:eastAsia="宋体" w:cs="宋体"/>
                <w:color w:val="000000" w:themeColor="text1"/>
                <w:kern w:val="0"/>
                <w:sz w:val="28"/>
                <w:szCs w:val="28"/>
                <w:lang w:val="en-US" w:eastAsia="zh-CN"/>
                <w14:textFill>
                  <w14:solidFill>
                    <w14:schemeClr w14:val="tx1"/>
                  </w14:solidFill>
                </w14:textFill>
              </w:rPr>
              <w:t>彭州</w:t>
            </w:r>
            <w:r>
              <w:rPr>
                <w:rFonts w:hint="eastAsia" w:ascii="宋体" w:hAnsi="宋体" w:eastAsia="宋体" w:cs="宋体"/>
                <w:color w:val="000000" w:themeColor="text1"/>
                <w:kern w:val="0"/>
                <w:sz w:val="28"/>
                <w:szCs w:val="28"/>
                <w:lang w:val="zh-CN"/>
                <w14:textFill>
                  <w14:solidFill>
                    <w14:schemeClr w14:val="tx1"/>
                  </w14:solidFill>
                </w14:textFill>
              </w:rPr>
              <w:t>市财政局备案政府采购合同。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8"/>
                <w:szCs w:val="28"/>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tabs>
                <w:tab w:val="left" w:pos="7665"/>
              </w:tabs>
              <w:snapToGrid w:val="0"/>
              <w:ind w:left="-4" w:leftChars="-2" w:right="210"/>
              <w:rPr>
                <w:rFonts w:ascii="宋体" w:hAnsi="宋体" w:cs="宋体"/>
                <w:color w:val="000000" w:themeColor="text1"/>
                <w:kern w:val="0"/>
                <w:sz w:val="28"/>
                <w:szCs w:val="28"/>
                <w:lang w:val="zh-CN"/>
                <w14:textFill>
                  <w14:solidFill>
                    <w14:schemeClr w14:val="tx1"/>
                  </w14:solidFill>
                </w14:textFill>
              </w:rPr>
            </w:pPr>
            <w:r>
              <w:rPr>
                <w:rFonts w:hint="eastAsia" w:ascii="宋体" w:hAnsi="宋体" w:cs="宋体"/>
                <w:color w:val="000000" w:themeColor="text1"/>
                <w:kern w:val="0"/>
                <w:sz w:val="28"/>
                <w:szCs w:val="28"/>
                <w:lang w:val="zh-CN"/>
                <w14:textFill>
                  <w14:solidFill>
                    <w14:schemeClr w14:val="tx1"/>
                  </w14:solidFill>
                </w14:textFill>
              </w:rPr>
              <w:t>中小企业政府采购信用融资</w:t>
            </w:r>
          </w:p>
        </w:tc>
        <w:tc>
          <w:tcPr>
            <w:tcW w:w="6681" w:type="dxa"/>
            <w:tcBorders>
              <w:top w:val="single" w:color="auto" w:sz="4" w:space="0"/>
              <w:left w:val="single" w:color="auto" w:sz="8" w:space="0"/>
              <w:bottom w:val="single" w:color="auto" w:sz="4" w:space="0"/>
              <w:right w:val="single" w:color="auto" w:sz="18" w:space="0"/>
            </w:tcBorders>
            <w:vAlign w:val="center"/>
          </w:tcPr>
          <w:p>
            <w:pPr>
              <w:pStyle w:val="2"/>
              <w:keepNext w:val="0"/>
              <w:keepLines w:val="0"/>
              <w:pageBreakBefore w:val="0"/>
              <w:widowControl w:val="0"/>
              <w:kinsoku/>
              <w:wordWrap/>
              <w:overflowPunct/>
              <w:topLinePunct w:val="0"/>
              <w:autoSpaceDE/>
              <w:autoSpaceDN/>
              <w:bidi w:val="0"/>
              <w:adjustRightInd/>
              <w:spacing w:after="0" w:line="560" w:lineRule="exact"/>
              <w:ind w:firstLine="560" w:firstLineChars="200"/>
              <w:textAlignment w:val="auto"/>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1.本项目接受中标的中小微企业以信用融资方式履约。</w:t>
            </w:r>
          </w:p>
          <w:p>
            <w:pPr>
              <w:keepNext w:val="0"/>
              <w:keepLines w:val="0"/>
              <w:pageBreakBefore w:val="0"/>
              <w:widowControl w:val="0"/>
              <w:kinsoku/>
              <w:wordWrap/>
              <w:overflowPunct/>
              <w:topLinePunct w:val="0"/>
              <w:autoSpaceDE/>
              <w:autoSpaceDN/>
              <w:bidi w:val="0"/>
              <w:adjustRightInd/>
              <w:spacing w:line="560" w:lineRule="exact"/>
              <w:ind w:firstLine="560" w:firstLineChars="200"/>
              <w:textAlignment w:val="auto"/>
              <w:rPr>
                <w:rFonts w:hint="eastAsia" w:ascii="宋体" w:hAnsi="宋体" w:eastAsia="宋体" w:cs="宋体"/>
                <w:color w:val="000000" w:themeColor="text1"/>
                <w:kern w:val="0"/>
                <w:sz w:val="28"/>
                <w:szCs w:val="28"/>
                <w:lang w:val="en-US" w:eastAsia="zh-CN" w:bidi="ar-SA"/>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2.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keepNext w:val="0"/>
              <w:keepLines w:val="0"/>
              <w:pageBreakBefore w:val="0"/>
              <w:widowControl w:val="0"/>
              <w:tabs>
                <w:tab w:val="left" w:pos="7665"/>
              </w:tabs>
              <w:kinsoku/>
              <w:wordWrap/>
              <w:overflowPunct/>
              <w:topLinePunct w:val="0"/>
              <w:autoSpaceDE/>
              <w:autoSpaceDN/>
              <w:bidi w:val="0"/>
              <w:adjustRightInd/>
              <w:snapToGrid w:val="0"/>
              <w:spacing w:line="560" w:lineRule="exact"/>
              <w:ind w:left="-4" w:leftChars="-2" w:right="210" w:firstLine="560" w:firstLineChars="200"/>
              <w:textAlignment w:val="auto"/>
              <w:rPr>
                <w:rFonts w:ascii="宋体" w:hAnsi="宋体" w:cs="宋体"/>
                <w:color w:val="000000" w:themeColor="text1"/>
                <w:kern w:val="0"/>
                <w:sz w:val="28"/>
                <w:szCs w:val="28"/>
                <w:lang w:val="zh-CN"/>
                <w14:textFill>
                  <w14:solidFill>
                    <w14:schemeClr w14:val="tx1"/>
                  </w14:solidFill>
                </w14:textFill>
              </w:rPr>
            </w:pPr>
            <w:r>
              <w:rPr>
                <w:rFonts w:hint="eastAsia" w:ascii="宋体" w:hAnsi="宋体" w:eastAsia="宋体" w:cs="宋体"/>
                <w:color w:val="000000" w:themeColor="text1"/>
                <w:kern w:val="0"/>
                <w:sz w:val="28"/>
                <w:szCs w:val="28"/>
                <w:lang w:val="en-US" w:eastAsia="zh-CN" w:bidi="ar-SA"/>
                <w14:textFill>
                  <w14:solidFill>
                    <w14:schemeClr w14:val="tx1"/>
                  </w14:solidFill>
                </w14:textFill>
              </w:rPr>
              <w:t>3.本地财政部门电话：028-83888323。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keepNext w:val="0"/>
              <w:keepLines w:val="0"/>
              <w:pageBreakBefore w:val="0"/>
              <w:widowControl w:val="0"/>
              <w:numPr>
                <w:ilvl w:val="0"/>
                <w:numId w:val="6"/>
              </w:numPr>
              <w:kinsoku/>
              <w:wordWrap/>
              <w:overflowPunct/>
              <w:topLinePunct w:val="0"/>
              <w:autoSpaceDE/>
              <w:autoSpaceDN/>
              <w:bidi w:val="0"/>
              <w:adjustRightInd/>
              <w:snapToGrid w:val="0"/>
              <w:spacing w:after="200" w:line="400" w:lineRule="exact"/>
              <w:ind w:left="0" w:firstLine="0"/>
              <w:jc w:val="center"/>
              <w:textAlignment w:val="auto"/>
              <w:rPr>
                <w:rFonts w:ascii="宋体" w:hAnsi="宋体"/>
                <w:color w:val="000000" w:themeColor="text1"/>
                <w:sz w:val="28"/>
                <w:szCs w:val="28"/>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pacing w:line="400" w:lineRule="exact"/>
              <w:jc w:val="center"/>
              <w:textAlignment w:val="auto"/>
              <w:rPr>
                <w:rFonts w:hint="eastAsia" w:ascii="宋体" w:hAnsi="Times New Roman" w:eastAsia="宋体" w:cs="Times New Roman"/>
                <w:kern w:val="0"/>
                <w:sz w:val="24"/>
                <w:szCs w:val="22"/>
                <w:lang w:val="en-US" w:eastAsia="zh-CN" w:bidi="ar-SA"/>
              </w:rPr>
            </w:pPr>
            <w:r>
              <w:rPr>
                <w:rFonts w:hint="eastAsia" w:ascii="宋体" w:hAnsi="Times New Roman" w:eastAsia="宋体" w:cs="Times New Roman"/>
                <w:kern w:val="0"/>
                <w:sz w:val="24"/>
                <w:szCs w:val="22"/>
                <w:lang w:val="en-US" w:eastAsia="zh-CN" w:bidi="ar-SA"/>
              </w:rPr>
              <w:t>扶持不发达地区和</w:t>
            </w:r>
          </w:p>
          <w:p>
            <w:pPr>
              <w:keepNext w:val="0"/>
              <w:keepLines w:val="0"/>
              <w:pageBreakBefore w:val="0"/>
              <w:widowControl w:val="0"/>
              <w:tabs>
                <w:tab w:val="left" w:pos="7665"/>
              </w:tabs>
              <w:kinsoku/>
              <w:wordWrap/>
              <w:overflowPunct/>
              <w:topLinePunct w:val="0"/>
              <w:autoSpaceDE/>
              <w:autoSpaceDN/>
              <w:bidi w:val="0"/>
              <w:adjustRightInd/>
              <w:snapToGrid w:val="0"/>
              <w:spacing w:line="400" w:lineRule="exact"/>
              <w:ind w:left="-4" w:leftChars="-2" w:right="210"/>
              <w:textAlignment w:val="auto"/>
              <w:rPr>
                <w:rFonts w:hint="eastAsia" w:ascii="宋体" w:hAnsi="Times New Roman" w:eastAsia="宋体" w:cs="Times New Roman"/>
                <w:kern w:val="0"/>
                <w:sz w:val="24"/>
                <w:szCs w:val="22"/>
                <w:lang w:val="zh-CN" w:eastAsia="zh-CN" w:bidi="ar-SA"/>
              </w:rPr>
            </w:pPr>
            <w:r>
              <w:rPr>
                <w:rFonts w:hint="eastAsia" w:ascii="宋体" w:hAnsi="Times New Roman" w:eastAsia="宋体" w:cs="Times New Roman"/>
                <w:kern w:val="0"/>
                <w:sz w:val="24"/>
                <w:szCs w:val="22"/>
                <w:lang w:val="en-US" w:eastAsia="zh-CN" w:bidi="ar-SA"/>
              </w:rPr>
              <w:t>少数民族地区</w:t>
            </w:r>
          </w:p>
        </w:tc>
        <w:tc>
          <w:tcPr>
            <w:tcW w:w="6681" w:type="dxa"/>
            <w:tcBorders>
              <w:top w:val="single" w:color="auto" w:sz="4" w:space="0"/>
              <w:left w:val="single" w:color="auto" w:sz="8" w:space="0"/>
              <w:bottom w:val="single" w:color="auto" w:sz="4" w:space="0"/>
              <w:right w:val="single" w:color="auto" w:sz="18" w:space="0"/>
            </w:tcBorders>
            <w:vAlign w:val="center"/>
          </w:tcPr>
          <w:p>
            <w:pPr>
              <w:keepNext w:val="0"/>
              <w:keepLines w:val="0"/>
              <w:pageBreakBefore w:val="0"/>
              <w:widowControl w:val="0"/>
              <w:tabs>
                <w:tab w:val="left" w:pos="7665"/>
              </w:tabs>
              <w:kinsoku/>
              <w:wordWrap/>
              <w:overflowPunct/>
              <w:topLinePunct w:val="0"/>
              <w:autoSpaceDE/>
              <w:autoSpaceDN/>
              <w:bidi w:val="0"/>
              <w:adjustRightInd/>
              <w:snapToGrid w:val="0"/>
              <w:spacing w:line="400" w:lineRule="exact"/>
              <w:ind w:left="-4" w:leftChars="-2" w:right="210"/>
              <w:textAlignment w:val="auto"/>
              <w:rPr>
                <w:rFonts w:hint="eastAsia" w:ascii="宋体" w:hAnsi="Times New Roman" w:eastAsia="宋体" w:cs="Times New Roman"/>
                <w:kern w:val="0"/>
                <w:sz w:val="24"/>
                <w:szCs w:val="22"/>
                <w:lang w:val="en-US" w:eastAsia="zh-CN" w:bidi="ar-SA"/>
              </w:rPr>
            </w:pPr>
            <w:r>
              <w:rPr>
                <w:rFonts w:hint="eastAsia" w:ascii="宋体" w:hAnsi="Times New Roman" w:eastAsia="宋体" w:cs="Times New Roman"/>
                <w:kern w:val="0"/>
                <w:sz w:val="24"/>
                <w:szCs w:val="22"/>
                <w:lang w:val="en-US" w:eastAsia="zh-CN" w:bidi="ar-SA"/>
              </w:rPr>
              <w:t>本项目对参与投标的不发达地区或少数民族地区企业给予加分评审，以投标人在投标文件中提供的不发达地区企业或注册地为少数民族地区的相关证明材料为准，否则不予认可。</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0" w:hRule="atLeast"/>
          <w:jc w:val="center"/>
        </w:trPr>
        <w:tc>
          <w:tcPr>
            <w:tcW w:w="689" w:type="dxa"/>
            <w:tcBorders>
              <w:top w:val="single" w:color="auto" w:sz="4" w:space="0"/>
              <w:left w:val="single" w:color="auto" w:sz="18" w:space="0"/>
              <w:bottom w:val="single" w:color="auto" w:sz="4" w:space="0"/>
              <w:right w:val="single" w:color="auto" w:sz="8" w:space="0"/>
            </w:tcBorders>
            <w:vAlign w:val="center"/>
          </w:tcPr>
          <w:p>
            <w:pPr>
              <w:keepNext w:val="0"/>
              <w:keepLines w:val="0"/>
              <w:pageBreakBefore w:val="0"/>
              <w:widowControl w:val="0"/>
              <w:numPr>
                <w:ilvl w:val="0"/>
                <w:numId w:val="6"/>
              </w:numPr>
              <w:kinsoku/>
              <w:wordWrap/>
              <w:overflowPunct/>
              <w:topLinePunct w:val="0"/>
              <w:autoSpaceDE/>
              <w:autoSpaceDN/>
              <w:bidi w:val="0"/>
              <w:adjustRightInd/>
              <w:snapToGrid w:val="0"/>
              <w:spacing w:after="200" w:line="400" w:lineRule="exact"/>
              <w:ind w:left="0" w:firstLine="0"/>
              <w:jc w:val="center"/>
              <w:textAlignment w:val="auto"/>
              <w:rPr>
                <w:rFonts w:ascii="宋体" w:hAnsi="宋体"/>
                <w:color w:val="000000" w:themeColor="text1"/>
                <w:sz w:val="28"/>
                <w:szCs w:val="28"/>
                <w14:textFill>
                  <w14:solidFill>
                    <w14:schemeClr w14:val="tx1"/>
                  </w14:solidFill>
                </w14:textFill>
              </w:rPr>
            </w:pPr>
          </w:p>
        </w:tc>
        <w:tc>
          <w:tcPr>
            <w:tcW w:w="1942" w:type="dxa"/>
            <w:tcBorders>
              <w:top w:val="single" w:color="auto" w:sz="4" w:space="0"/>
              <w:left w:val="single" w:color="auto" w:sz="8" w:space="0"/>
              <w:bottom w:val="single" w:color="auto" w:sz="4"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进口产品 </w:t>
            </w:r>
          </w:p>
        </w:tc>
        <w:tc>
          <w:tcPr>
            <w:tcW w:w="6681" w:type="dxa"/>
            <w:tcBorders>
              <w:top w:val="single" w:color="auto" w:sz="4" w:space="0"/>
              <w:left w:val="single" w:color="auto" w:sz="8" w:space="0"/>
              <w:bottom w:val="single" w:color="auto" w:sz="4" w:space="0"/>
              <w:right w:val="single" w:color="auto" w:sz="18" w:space="0"/>
            </w:tcBorders>
            <w:vAlign w:val="center"/>
          </w:tcPr>
          <w:p>
            <w:pPr>
              <w:keepNext w:val="0"/>
              <w:keepLines w:val="0"/>
              <w:pageBreakBefore w:val="0"/>
              <w:widowControl w:val="0"/>
              <w:tabs>
                <w:tab w:val="left" w:pos="7665"/>
              </w:tabs>
              <w:kinsoku/>
              <w:wordWrap/>
              <w:overflowPunct/>
              <w:topLinePunct w:val="0"/>
              <w:autoSpaceDE/>
              <w:autoSpaceDN/>
              <w:bidi w:val="0"/>
              <w:adjustRightInd/>
              <w:snapToGrid w:val="0"/>
              <w:spacing w:line="400" w:lineRule="exact"/>
              <w:textAlignment w:val="auto"/>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7" w:hRule="atLeast"/>
          <w:jc w:val="center"/>
        </w:trPr>
        <w:tc>
          <w:tcPr>
            <w:tcW w:w="689" w:type="dxa"/>
            <w:tcBorders>
              <w:top w:val="single" w:color="auto" w:sz="4" w:space="0"/>
              <w:left w:val="single" w:color="auto" w:sz="18" w:space="0"/>
              <w:bottom w:val="single" w:color="auto" w:sz="18" w:space="0"/>
              <w:right w:val="single" w:color="auto" w:sz="8" w:space="0"/>
            </w:tcBorders>
            <w:vAlign w:val="center"/>
          </w:tcPr>
          <w:p>
            <w:pPr>
              <w:numPr>
                <w:ilvl w:val="0"/>
                <w:numId w:val="6"/>
              </w:numPr>
              <w:snapToGrid w:val="0"/>
              <w:spacing w:after="200"/>
              <w:ind w:left="0" w:firstLine="0"/>
              <w:jc w:val="center"/>
              <w:rPr>
                <w:rFonts w:ascii="宋体" w:hAnsi="宋体"/>
                <w:color w:val="000000" w:themeColor="text1"/>
                <w:sz w:val="28"/>
                <w:szCs w:val="28"/>
                <w14:textFill>
                  <w14:solidFill>
                    <w14:schemeClr w14:val="tx1"/>
                  </w14:solidFill>
                </w14:textFill>
              </w:rPr>
            </w:pPr>
          </w:p>
        </w:tc>
        <w:tc>
          <w:tcPr>
            <w:tcW w:w="8623" w:type="dxa"/>
            <w:gridSpan w:val="2"/>
            <w:tcBorders>
              <w:top w:val="single" w:color="auto" w:sz="4" w:space="0"/>
              <w:left w:val="single" w:color="auto" w:sz="8" w:space="0"/>
              <w:bottom w:val="single" w:color="auto" w:sz="18" w:space="0"/>
              <w:right w:val="single" w:color="auto" w:sz="18" w:space="0"/>
            </w:tcBorders>
            <w:vAlign w:val="center"/>
          </w:tcPr>
          <w:p>
            <w:pPr>
              <w:tabs>
                <w:tab w:val="left" w:pos="7665"/>
              </w:tabs>
              <w:snapToGrid w:val="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5"/>
        <w:numPr>
          <w:ilvl w:val="1"/>
          <w:numId w:val="3"/>
        </w:numPr>
        <w:spacing w:before="0" w:after="0" w:line="240" w:lineRule="auto"/>
        <w:ind w:left="2269" w:hanging="2127"/>
        <w:rPr>
          <w:color w:val="000000" w:themeColor="text1"/>
          <w14:textFill>
            <w14:solidFill>
              <w14:schemeClr w14:val="tx1"/>
            </w14:solidFill>
          </w14:textFill>
        </w:rPr>
      </w:pPr>
      <w:bookmarkStart w:id="34" w:name="_Toc10565"/>
      <w:bookmarkStart w:id="35" w:name="_Toc22447"/>
      <w:bookmarkStart w:id="36" w:name="_Toc30390"/>
      <w:bookmarkStart w:id="37" w:name="_Toc75336289"/>
      <w:bookmarkStart w:id="38" w:name="_Toc29824"/>
      <w:r>
        <w:rPr>
          <w:rFonts w:hint="eastAsia"/>
          <w:color w:val="000000" w:themeColor="text1"/>
          <w14:textFill>
            <w14:solidFill>
              <w14:schemeClr w14:val="tx1"/>
            </w14:solidFill>
          </w14:textFill>
        </w:rPr>
        <w:t>总则</w:t>
      </w:r>
      <w:bookmarkEnd w:id="34"/>
      <w:bookmarkEnd w:id="35"/>
      <w:bookmarkEnd w:id="36"/>
      <w:bookmarkEnd w:id="37"/>
      <w:bookmarkEnd w:id="38"/>
    </w:p>
    <w:p>
      <w:pPr>
        <w:pStyle w:val="6"/>
        <w:numPr>
          <w:ilvl w:val="2"/>
          <w:numId w:val="3"/>
        </w:numPr>
        <w:spacing w:after="200" w:line="240" w:lineRule="auto"/>
        <w:ind w:left="-141" w:leftChars="-67"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适用范围</w:t>
      </w:r>
    </w:p>
    <w:p>
      <w:pPr>
        <w:numPr>
          <w:ilvl w:val="0"/>
          <w:numId w:val="7"/>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本招标文件仅适用于本次公开招标采购项目。</w:t>
      </w:r>
    </w:p>
    <w:p>
      <w:pPr>
        <w:numPr>
          <w:ilvl w:val="0"/>
          <w:numId w:val="7"/>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的最终解释权由采购人或市公资交易中心享有。对招标文件中供应商参加本次政府采购活动应当具备的条件，招标项目服务、商务及其他要求，评标细则及标准由采购人负责解释。除上述招标文件内容，其他内容由市公资交易中心负责解释。</w:t>
      </w:r>
    </w:p>
    <w:p>
      <w:pPr>
        <w:pStyle w:val="6"/>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有关定义</w:t>
      </w:r>
    </w:p>
    <w:p>
      <w:pPr>
        <w:numPr>
          <w:ilvl w:val="0"/>
          <w:numId w:val="8"/>
        </w:numPr>
        <w:tabs>
          <w:tab w:val="left" w:pos="1134"/>
        </w:tabs>
        <w:spacing w:after="200"/>
        <w:ind w:left="0" w:firstLine="567"/>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“采购人”和“甲方”系指依法进行政府采购的</w:t>
      </w:r>
      <w:r>
        <w:rPr>
          <w:rFonts w:hint="eastAsia" w:ascii="宋体" w:hAnsi="宋体"/>
          <w:color w:val="000000" w:themeColor="text1"/>
          <w:sz w:val="28"/>
          <w:szCs w:val="28"/>
          <w:lang w:val="en-US" w:eastAsia="zh-CN"/>
          <w14:textFill>
            <w14:solidFill>
              <w14:schemeClr w14:val="tx1"/>
            </w14:solidFill>
          </w14:textFill>
        </w:rPr>
        <w:t>彭州</w:t>
      </w:r>
      <w:r>
        <w:rPr>
          <w:rFonts w:hint="eastAsia" w:ascii="宋体" w:hAnsi="宋体"/>
          <w:color w:val="000000" w:themeColor="text1"/>
          <w:sz w:val="28"/>
          <w:szCs w:val="28"/>
          <w14:textFill>
            <w14:solidFill>
              <w14:schemeClr w14:val="tx1"/>
            </w14:solidFill>
          </w14:textFill>
        </w:rPr>
        <w:t>市级机关、事业单位、团体组织。本次招标的采购人是</w:t>
      </w:r>
      <w:r>
        <w:rPr>
          <w:rFonts w:hint="eastAsia" w:ascii="宋体" w:hAnsi="宋体"/>
          <w:b/>
          <w:kern w:val="0"/>
          <w:sz w:val="28"/>
          <w:szCs w:val="22"/>
        </w:rPr>
        <w:t>彭州市第二人民医院</w:t>
      </w:r>
      <w:r>
        <w:rPr>
          <w:rFonts w:hint="eastAsia" w:ascii="宋体" w:hAnsi="宋体"/>
          <w:color w:val="000000" w:themeColor="text1"/>
          <w:sz w:val="28"/>
          <w:szCs w:val="28"/>
          <w14:textFill>
            <w14:solidFill>
              <w14:schemeClr w14:val="tx1"/>
            </w14:solidFill>
          </w14:textFill>
        </w:rPr>
        <w:t>。</w:t>
      </w:r>
    </w:p>
    <w:p>
      <w:pPr>
        <w:numPr>
          <w:ilvl w:val="0"/>
          <w:numId w:val="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“投标人”系指在系统中成功提交《采购文件获取登记表》拟参加投标和向采购人提供货物及服务的供应商。</w:t>
      </w:r>
    </w:p>
    <w:p>
      <w:pPr>
        <w:numPr>
          <w:ilvl w:val="0"/>
          <w:numId w:val="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本招标文件各部分规定的期间以时、日、月、年计算。期间开始的时和日，不计算在期间内，而从次日开始计算。期间届满的最后一天是节假日的，以节假日后的第一日为期间届满的日期。</w:t>
      </w:r>
    </w:p>
    <w:p>
      <w:pPr>
        <w:numPr>
          <w:ilvl w:val="0"/>
          <w:numId w:val="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本招标文件各部分规定的“以上”、“以下”、“内”、“以内”，包括本数；所称的“不足”，不包括本数。</w:t>
      </w:r>
    </w:p>
    <w:p>
      <w:pPr>
        <w:numPr>
          <w:ilvl w:val="0"/>
          <w:numId w:val="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重大违法记录是指供应商因违法经营受到刑事处罚或者责令停产停业、吊销许可证或者执照、较大数额罚款等行政处罚。</w:t>
      </w:r>
    </w:p>
    <w:p>
      <w:pPr>
        <w:numPr>
          <w:ilvl w:val="0"/>
          <w:numId w:val="8"/>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不见面开标是指，市公资交易中心依托政府采购云平台组织开标活动，供应商在线参与开标的一种组织形式。</w:t>
      </w:r>
    </w:p>
    <w:p>
      <w:pPr>
        <w:pStyle w:val="6"/>
        <w:numPr>
          <w:ilvl w:val="2"/>
          <w:numId w:val="3"/>
        </w:numPr>
        <w:spacing w:after="200" w:line="240" w:lineRule="auto"/>
        <w:ind w:left="851"/>
        <w:rPr>
          <w:color w:val="000000" w:themeColor="text1"/>
          <w14:textFill>
            <w14:solidFill>
              <w14:schemeClr w14:val="tx1"/>
            </w14:solidFill>
          </w14:textFill>
        </w:rPr>
      </w:pPr>
      <w:bookmarkStart w:id="39" w:name="_Toc183582207"/>
      <w:bookmarkStart w:id="40" w:name="_Toc217446036"/>
      <w:bookmarkStart w:id="41" w:name="_Toc183682344"/>
      <w:bookmarkStart w:id="42" w:name="_Toc217390843"/>
      <w:r>
        <w:rPr>
          <w:rFonts w:hint="eastAsia"/>
          <w:color w:val="000000" w:themeColor="text1"/>
          <w14:textFill>
            <w14:solidFill>
              <w14:schemeClr w14:val="tx1"/>
            </w14:solidFill>
          </w14:textFill>
        </w:rPr>
        <w:t>合格的投标人</w:t>
      </w:r>
      <w:bookmarkEnd w:id="39"/>
      <w:bookmarkEnd w:id="40"/>
      <w:bookmarkEnd w:id="41"/>
      <w:bookmarkEnd w:id="42"/>
    </w:p>
    <w:p>
      <w:pPr>
        <w:tabs>
          <w:tab w:val="left" w:pos="7665"/>
        </w:tabs>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合格的投标人应具备以下条件：</w:t>
      </w:r>
    </w:p>
    <w:p>
      <w:pPr>
        <w:numPr>
          <w:ilvl w:val="0"/>
          <w:numId w:val="9"/>
        </w:numPr>
        <w:tabs>
          <w:tab w:val="left" w:pos="1134"/>
        </w:tabs>
        <w:spacing w:after="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本招标文件“投标邀请”第五条规定的条件；</w:t>
      </w:r>
    </w:p>
    <w:p>
      <w:pPr>
        <w:numPr>
          <w:ilvl w:val="0"/>
          <w:numId w:val="9"/>
        </w:numPr>
        <w:tabs>
          <w:tab w:val="left" w:pos="1134"/>
        </w:tabs>
        <w:spacing w:after="200"/>
        <w:ind w:left="0" w:firstLine="568"/>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按照招标文件“投标邀请”中第六、七、八条规定获取了招标文件。</w:t>
      </w:r>
    </w:p>
    <w:p>
      <w:pPr>
        <w:pStyle w:val="6"/>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投标费用</w:t>
      </w:r>
    </w:p>
    <w:p>
      <w:pPr>
        <w:ind w:firstLine="660" w:firstLineChars="23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投标人应自行承担参加投标的全部费用。</w:t>
      </w:r>
    </w:p>
    <w:p>
      <w:pPr>
        <w:pStyle w:val="6"/>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充分、公平竞争保障措施</w:t>
      </w:r>
    </w:p>
    <w:p>
      <w:pPr>
        <w:pStyle w:val="114"/>
        <w:tabs>
          <w:tab w:val="left" w:pos="851"/>
        </w:tabs>
        <w:spacing w:before="156" w:line="240" w:lineRule="auto"/>
        <w:ind w:firstLine="560" w:firstLineChars="200"/>
        <w:rPr>
          <w:rFonts w:hAnsi="宋体"/>
          <w:color w:val="000000" w:themeColor="text1"/>
          <w:sz w:val="28"/>
          <w:szCs w:val="28"/>
          <w14:textFill>
            <w14:solidFill>
              <w14:schemeClr w14:val="tx1"/>
            </w14:solidFill>
          </w14:textFill>
        </w:rPr>
      </w:pPr>
      <w:r>
        <w:rPr>
          <w:rFonts w:hint="eastAsia" w:hAnsi="宋体"/>
          <w:color w:val="000000" w:themeColor="text1"/>
          <w:sz w:val="28"/>
          <w:szCs w:val="28"/>
          <w14:textFill>
            <w14:solidFill>
              <w14:schemeClr w14:val="tx1"/>
            </w14:solidFill>
          </w14:textFill>
        </w:rPr>
        <w:t>一、单位负责人为同一人或者存在直接控股、管理关系的不同供应商，不得参加同一项目的投标。</w:t>
      </w:r>
    </w:p>
    <w:p>
      <w:pPr>
        <w:pStyle w:val="114"/>
        <w:tabs>
          <w:tab w:val="left" w:pos="851"/>
        </w:tabs>
        <w:spacing w:before="156" w:line="240" w:lineRule="auto"/>
        <w:ind w:left="-143" w:leftChars="-68" w:firstLine="700" w:firstLineChars="250"/>
        <w:rPr>
          <w:rFonts w:hAnsi="宋体"/>
          <w:b/>
          <w:color w:val="000000" w:themeColor="text1"/>
          <w:sz w:val="28"/>
          <w:szCs w:val="28"/>
          <w14:textFill>
            <w14:solidFill>
              <w14:schemeClr w14:val="tx1"/>
            </w14:solidFill>
          </w14:textFill>
        </w:rPr>
      </w:pPr>
      <w:r>
        <w:rPr>
          <w:rFonts w:hint="eastAsia" w:hAnsi="宋体"/>
          <w:color w:val="000000" w:themeColor="text1"/>
          <w:sz w:val="28"/>
          <w:szCs w:val="28"/>
          <w14:textFill>
            <w14:solidFill>
              <w14:schemeClr w14:val="tx1"/>
            </w14:solidFill>
          </w14:textFill>
        </w:rPr>
        <w:t>二、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p>
    <w:p>
      <w:pPr>
        <w:pStyle w:val="5"/>
        <w:numPr>
          <w:ilvl w:val="1"/>
          <w:numId w:val="3"/>
        </w:numPr>
        <w:spacing w:before="0" w:after="0" w:line="240" w:lineRule="auto"/>
        <w:ind w:left="2269" w:hanging="2127"/>
        <w:rPr>
          <w:color w:val="000000" w:themeColor="text1"/>
          <w14:textFill>
            <w14:solidFill>
              <w14:schemeClr w14:val="tx1"/>
            </w14:solidFill>
          </w14:textFill>
        </w:rPr>
      </w:pPr>
      <w:bookmarkStart w:id="43" w:name="_Toc12455"/>
      <w:bookmarkStart w:id="44" w:name="_Toc14139"/>
      <w:bookmarkStart w:id="45" w:name="_Toc32420"/>
      <w:bookmarkStart w:id="46" w:name="_Toc2675"/>
      <w:bookmarkStart w:id="47" w:name="_Toc75336290"/>
      <w:r>
        <w:rPr>
          <w:rFonts w:hint="eastAsia"/>
          <w:color w:val="000000" w:themeColor="text1"/>
          <w14:textFill>
            <w14:solidFill>
              <w14:schemeClr w14:val="tx1"/>
            </w14:solidFill>
          </w14:textFill>
        </w:rPr>
        <w:t>招标文件</w:t>
      </w:r>
      <w:bookmarkEnd w:id="43"/>
      <w:bookmarkEnd w:id="44"/>
      <w:bookmarkEnd w:id="45"/>
      <w:bookmarkEnd w:id="46"/>
      <w:bookmarkEnd w:id="47"/>
    </w:p>
    <w:p>
      <w:pPr>
        <w:pStyle w:val="6"/>
        <w:numPr>
          <w:ilvl w:val="2"/>
          <w:numId w:val="3"/>
        </w:numPr>
        <w:spacing w:after="200" w:line="240" w:lineRule="auto"/>
        <w:ind w:left="0" w:firstLine="0"/>
        <w:rPr>
          <w:color w:val="000000" w:themeColor="text1"/>
          <w14:textFill>
            <w14:solidFill>
              <w14:schemeClr w14:val="tx1"/>
            </w14:solidFill>
          </w14:textFill>
        </w:rPr>
      </w:pPr>
      <w:bookmarkStart w:id="48" w:name="_Toc183582210"/>
      <w:bookmarkStart w:id="49" w:name="_Toc217446039"/>
      <w:bookmarkStart w:id="50" w:name="_Toc183682347"/>
      <w:r>
        <w:rPr>
          <w:rFonts w:hint="eastAsia"/>
          <w:color w:val="000000" w:themeColor="text1"/>
          <w14:textFill>
            <w14:solidFill>
              <w14:schemeClr w14:val="tx1"/>
            </w14:solidFill>
          </w14:textFill>
        </w:rPr>
        <w:t>招标文件的构成</w:t>
      </w:r>
      <w:bookmarkEnd w:id="48"/>
      <w:bookmarkEnd w:id="49"/>
      <w:bookmarkEnd w:id="50"/>
    </w:p>
    <w:p>
      <w:pPr>
        <w:numPr>
          <w:ilvl w:val="0"/>
          <w:numId w:val="1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是供应商准备投标文件和参加投标的依据，同时也是评标的重要依据。招标文件用以阐明招标项目所需的资质、服务及报价等要求、招标投标程序、有关规定和注意事项以及合同主要条款等。本招标文件包括以下内容：</w:t>
      </w:r>
    </w:p>
    <w:p>
      <w:pPr>
        <w:numPr>
          <w:ilvl w:val="1"/>
          <w:numId w:val="11"/>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投标邀请；</w:t>
      </w:r>
    </w:p>
    <w:p>
      <w:pPr>
        <w:numPr>
          <w:ilvl w:val="1"/>
          <w:numId w:val="11"/>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投标人须知；</w:t>
      </w:r>
    </w:p>
    <w:p>
      <w:pPr>
        <w:numPr>
          <w:ilvl w:val="1"/>
          <w:numId w:val="11"/>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投标文件格式；</w:t>
      </w:r>
    </w:p>
    <w:p>
      <w:pPr>
        <w:numPr>
          <w:ilvl w:val="1"/>
          <w:numId w:val="11"/>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招标项目服务、商务及其他要求；</w:t>
      </w:r>
    </w:p>
    <w:p>
      <w:pPr>
        <w:numPr>
          <w:ilvl w:val="1"/>
          <w:numId w:val="11"/>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w:t>
      </w:r>
    </w:p>
    <w:p>
      <w:pPr>
        <w:numPr>
          <w:ilvl w:val="1"/>
          <w:numId w:val="11"/>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评标办法；</w:t>
      </w:r>
    </w:p>
    <w:p>
      <w:pPr>
        <w:numPr>
          <w:ilvl w:val="1"/>
          <w:numId w:val="11"/>
        </w:numPr>
        <w:tabs>
          <w:tab w:val="left" w:pos="1134"/>
        </w:tabs>
        <w:spacing w:after="200"/>
        <w:ind w:left="567" w:firstLine="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拟签订合同文本。</w:t>
      </w:r>
    </w:p>
    <w:p>
      <w:pPr>
        <w:numPr>
          <w:ilvl w:val="0"/>
          <w:numId w:val="10"/>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投标人应认真阅读和充分理解招标文件中所有的事项、格式条款和规范要求。投标人没有对招标文件全面做出实质性响应所产生的风险由投标人承担。</w:t>
      </w:r>
    </w:p>
    <w:p>
      <w:pPr>
        <w:pStyle w:val="6"/>
        <w:numPr>
          <w:ilvl w:val="2"/>
          <w:numId w:val="3"/>
        </w:numPr>
        <w:spacing w:after="200" w:line="240" w:lineRule="auto"/>
        <w:ind w:left="0" w:firstLine="0"/>
        <w:rPr>
          <w:color w:val="000000" w:themeColor="text1"/>
          <w14:textFill>
            <w14:solidFill>
              <w14:schemeClr w14:val="tx1"/>
            </w14:solidFill>
          </w14:textFill>
        </w:rPr>
      </w:pPr>
      <w:bookmarkStart w:id="51" w:name="_Toc183582211"/>
      <w:bookmarkStart w:id="52" w:name="_Toc183682348"/>
      <w:bookmarkStart w:id="53" w:name="_Toc217446040"/>
      <w:r>
        <w:rPr>
          <w:rFonts w:hint="eastAsia"/>
          <w:color w:val="000000" w:themeColor="text1"/>
          <w14:textFill>
            <w14:solidFill>
              <w14:schemeClr w14:val="tx1"/>
            </w14:solidFill>
          </w14:textFill>
        </w:rPr>
        <w:t>招标文件的澄清</w:t>
      </w:r>
      <w:bookmarkEnd w:id="51"/>
      <w:bookmarkEnd w:id="52"/>
      <w:r>
        <w:rPr>
          <w:rFonts w:hint="eastAsia"/>
          <w:color w:val="000000" w:themeColor="text1"/>
          <w14:textFill>
            <w14:solidFill>
              <w14:schemeClr w14:val="tx1"/>
            </w14:solidFill>
          </w14:textFill>
        </w:rPr>
        <w:t>和修改</w:t>
      </w:r>
      <w:bookmarkEnd w:id="53"/>
      <w:bookmarkStart w:id="54" w:name="_Toc31441"/>
      <w:bookmarkStart w:id="55" w:name="_Toc19128"/>
      <w:bookmarkStart w:id="56" w:name="_Toc183582214"/>
      <w:bookmarkStart w:id="57" w:name="_Toc6071"/>
      <w:bookmarkStart w:id="58" w:name="_Toc217446042"/>
      <w:bookmarkStart w:id="59" w:name="_Toc27307"/>
      <w:bookmarkStart w:id="60" w:name="_Toc89075876"/>
      <w:bookmarkStart w:id="61" w:name="_Toc183682351"/>
      <w:bookmarkStart w:id="62" w:name="_Toc77400780"/>
    </w:p>
    <w:p>
      <w:pPr>
        <w:numPr>
          <w:ilvl w:val="0"/>
          <w:numId w:val="12"/>
        </w:numPr>
        <w:tabs>
          <w:tab w:val="left" w:pos="142"/>
          <w:tab w:val="left" w:pos="1134"/>
        </w:tabs>
        <w:spacing w:after="200"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在投标截止时间前，采购人或者</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可以对已发出的招标文件进行必要的澄清或者修改。</w:t>
      </w:r>
    </w:p>
    <w:p>
      <w:pPr>
        <w:numPr>
          <w:ilvl w:val="0"/>
          <w:numId w:val="12"/>
        </w:numPr>
        <w:spacing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或者修改的内容，市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2"/>
        </w:numPr>
        <w:tabs>
          <w:tab w:val="left" w:pos="142"/>
          <w:tab w:val="left" w:pos="1134"/>
        </w:tabs>
        <w:spacing w:after="200"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或者修改的内容可能影响投标文件编制的，市公资交易中心应当在投标截止时间至少15日前，通过政府采购云平台通知所有获取招标文件的潜在投标人；不足15日的，采购人或市公资交易中心应当顺延提交投标文件的截止时间。</w:t>
      </w:r>
    </w:p>
    <w:p>
      <w:pPr>
        <w:pStyle w:val="5"/>
        <w:numPr>
          <w:ilvl w:val="1"/>
          <w:numId w:val="3"/>
        </w:numPr>
        <w:spacing w:before="0" w:after="0" w:line="240" w:lineRule="auto"/>
        <w:ind w:left="2269" w:hanging="2127"/>
        <w:rPr>
          <w:color w:val="000000" w:themeColor="text1"/>
          <w14:textFill>
            <w14:solidFill>
              <w14:schemeClr w14:val="tx1"/>
            </w14:solidFill>
          </w14:textFill>
        </w:rPr>
      </w:pPr>
      <w:bookmarkStart w:id="63" w:name="_Toc75336291"/>
      <w:r>
        <w:rPr>
          <w:rFonts w:hint="eastAsia"/>
          <w:color w:val="000000" w:themeColor="text1"/>
          <w14:textFill>
            <w14:solidFill>
              <w14:schemeClr w14:val="tx1"/>
            </w14:solidFill>
          </w14:textFill>
        </w:rPr>
        <w:t>投标文件</w:t>
      </w:r>
      <w:bookmarkEnd w:id="54"/>
      <w:bookmarkEnd w:id="55"/>
      <w:bookmarkEnd w:id="56"/>
      <w:bookmarkEnd w:id="57"/>
      <w:bookmarkEnd w:id="58"/>
      <w:bookmarkEnd w:id="59"/>
      <w:bookmarkEnd w:id="60"/>
      <w:bookmarkEnd w:id="61"/>
      <w:bookmarkEnd w:id="62"/>
      <w:bookmarkEnd w:id="63"/>
    </w:p>
    <w:p>
      <w:pPr>
        <w:pStyle w:val="6"/>
        <w:numPr>
          <w:ilvl w:val="2"/>
          <w:numId w:val="3"/>
        </w:numPr>
        <w:spacing w:after="200" w:line="240" w:lineRule="auto"/>
        <w:ind w:left="0" w:firstLine="0"/>
        <w:rPr>
          <w:color w:val="000000" w:themeColor="text1"/>
          <w14:textFill>
            <w14:solidFill>
              <w14:schemeClr w14:val="tx1"/>
            </w14:solidFill>
          </w14:textFill>
        </w:rPr>
      </w:pPr>
      <w:bookmarkStart w:id="64" w:name="_Toc183682352"/>
      <w:bookmarkStart w:id="65" w:name="_Toc183582215"/>
      <w:bookmarkStart w:id="66" w:name="_Toc217446043"/>
      <w:r>
        <w:rPr>
          <w:rFonts w:hint="eastAsia"/>
          <w:color w:val="000000" w:themeColor="text1"/>
          <w14:textFill>
            <w14:solidFill>
              <w14:schemeClr w14:val="tx1"/>
            </w14:solidFill>
          </w14:textFill>
        </w:rPr>
        <w:t>投标文件的语言</w:t>
      </w:r>
      <w:bookmarkEnd w:id="64"/>
      <w:bookmarkEnd w:id="65"/>
      <w:bookmarkEnd w:id="66"/>
    </w:p>
    <w:p>
      <w:pPr>
        <w:numPr>
          <w:ilvl w:val="0"/>
          <w:numId w:val="13"/>
        </w:numPr>
        <w:tabs>
          <w:tab w:val="left" w:pos="1134"/>
        </w:tabs>
        <w:spacing w:after="200"/>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提交的投标文件以及投标人与采购人或市公资交易中心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3"/>
        </w:numPr>
        <w:tabs>
          <w:tab w:val="left" w:pos="1134"/>
        </w:tabs>
        <w:spacing w:after="200"/>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对不同文字文本投标文件的解释发生异议的，以中文文本为准。若投标人投标文件中提供的外文资料未翻译成中文，则评标委员会可将其视为无效材料。 </w:t>
      </w:r>
    </w:p>
    <w:p>
      <w:pPr>
        <w:pStyle w:val="6"/>
        <w:numPr>
          <w:ilvl w:val="2"/>
          <w:numId w:val="3"/>
        </w:numPr>
        <w:spacing w:after="200" w:line="240" w:lineRule="auto"/>
        <w:ind w:left="0" w:firstLine="0"/>
        <w:rPr>
          <w:color w:val="000000" w:themeColor="text1"/>
          <w14:textFill>
            <w14:solidFill>
              <w14:schemeClr w14:val="tx1"/>
            </w14:solidFill>
          </w14:textFill>
        </w:rPr>
      </w:pPr>
      <w:bookmarkStart w:id="67" w:name="_Toc183682353"/>
      <w:bookmarkStart w:id="68" w:name="_Toc217446044"/>
      <w:bookmarkStart w:id="69" w:name="_Toc183582216"/>
      <w:r>
        <w:rPr>
          <w:rFonts w:hint="eastAsia"/>
          <w:color w:val="000000" w:themeColor="text1"/>
          <w14:textFill>
            <w14:solidFill>
              <w14:schemeClr w14:val="tx1"/>
            </w14:solidFill>
          </w14:textFill>
        </w:rPr>
        <w:t>计量单位</w:t>
      </w:r>
      <w:bookmarkEnd w:id="67"/>
      <w:bookmarkEnd w:id="68"/>
      <w:bookmarkEnd w:id="69"/>
    </w:p>
    <w:p>
      <w:pPr>
        <w:tabs>
          <w:tab w:val="left" w:pos="7665"/>
        </w:tabs>
        <w:ind w:left="13" w:firstLine="554"/>
        <w:rPr>
          <w:rFonts w:ascii="宋体" w:hAnsi="宋体"/>
          <w:color w:val="000000" w:themeColor="text1"/>
          <w:sz w:val="28"/>
          <w:szCs w:val="28"/>
          <w14:textFill>
            <w14:solidFill>
              <w14:schemeClr w14:val="tx1"/>
            </w14:solidFill>
          </w14:textFill>
        </w:rPr>
      </w:pPr>
      <w:bookmarkStart w:id="70" w:name="_Toc217446045"/>
      <w:r>
        <w:rPr>
          <w:rFonts w:hint="eastAsia" w:ascii="宋体" w:hAnsi="宋体"/>
          <w:color w:val="000000" w:themeColor="text1"/>
          <w:sz w:val="28"/>
          <w:szCs w:val="28"/>
          <w14:textFill>
            <w14:solidFill>
              <w14:schemeClr w14:val="tx1"/>
            </w14:solidFill>
          </w14:textFill>
        </w:rPr>
        <w:t>除招标文件中另有规定外，本次采购项目所有合同项下的投标均采用国家法定的计量单位。</w:t>
      </w:r>
    </w:p>
    <w:p>
      <w:pPr>
        <w:pStyle w:val="6"/>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投标货币</w:t>
      </w:r>
      <w:bookmarkEnd w:id="70"/>
    </w:p>
    <w:p>
      <w:pPr>
        <w:tabs>
          <w:tab w:val="left" w:pos="7665"/>
        </w:tabs>
        <w:ind w:left="13" w:firstLine="554"/>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本次招标项目的投标均以人民币报价。</w:t>
      </w:r>
    </w:p>
    <w:p>
      <w:pPr>
        <w:pStyle w:val="6"/>
        <w:numPr>
          <w:ilvl w:val="2"/>
          <w:numId w:val="3"/>
        </w:numPr>
        <w:spacing w:after="200" w:line="240" w:lineRule="auto"/>
        <w:ind w:left="0" w:firstLine="0"/>
        <w:rPr>
          <w:color w:val="000000" w:themeColor="text1"/>
          <w14:textFill>
            <w14:solidFill>
              <w14:schemeClr w14:val="tx1"/>
            </w14:solidFill>
          </w14:textFill>
        </w:rPr>
      </w:pPr>
      <w:bookmarkStart w:id="71" w:name="_Toc217446046"/>
      <w:r>
        <w:rPr>
          <w:rFonts w:hint="eastAsia"/>
          <w:color w:val="000000" w:themeColor="text1"/>
          <w14:textFill>
            <w14:solidFill>
              <w14:schemeClr w14:val="tx1"/>
            </w14:solidFill>
          </w14:textFill>
        </w:rPr>
        <w:t>联合体投标</w:t>
      </w:r>
      <w:bookmarkEnd w:id="71"/>
    </w:p>
    <w:p>
      <w:pPr>
        <w:tabs>
          <w:tab w:val="left" w:pos="1134"/>
        </w:tabs>
        <w:ind w:left="546"/>
        <w:rPr>
          <w:rFonts w:ascii="宋体" w:hAnsi="宋体"/>
          <w:color w:val="000000" w:themeColor="text1"/>
          <w:sz w:val="28"/>
          <w:szCs w:val="28"/>
          <w14:textFill>
            <w14:solidFill>
              <w14:schemeClr w14:val="tx1"/>
            </w14:solidFill>
          </w14:textFill>
        </w:rPr>
      </w:pPr>
      <w:bookmarkStart w:id="72" w:name="_Toc217446047"/>
      <w:r>
        <w:rPr>
          <w:rFonts w:hint="eastAsia" w:ascii="宋体" w:hAnsi="宋体"/>
          <w:color w:val="000000" w:themeColor="text1"/>
          <w:sz w:val="28"/>
          <w:szCs w:val="28"/>
          <w14:textFill>
            <w14:solidFill>
              <w14:schemeClr w14:val="tx1"/>
            </w14:solidFill>
          </w14:textFill>
        </w:rPr>
        <w:t>本次政府采购活动</w:t>
      </w:r>
      <w:r>
        <w:rPr>
          <w:rFonts w:hint="eastAsia" w:ascii="宋体" w:hAnsi="宋体"/>
          <w:b/>
          <w:color w:val="000000" w:themeColor="text1"/>
          <w:sz w:val="28"/>
          <w:szCs w:val="28"/>
          <w14:textFill>
            <w14:solidFill>
              <w14:schemeClr w14:val="tx1"/>
            </w14:solidFill>
          </w14:textFill>
        </w:rPr>
        <w:t>不接受</w:t>
      </w:r>
      <w:r>
        <w:rPr>
          <w:rFonts w:hint="eastAsia" w:ascii="宋体" w:hAnsi="宋体"/>
          <w:color w:val="000000" w:themeColor="text1"/>
          <w:sz w:val="28"/>
          <w:szCs w:val="28"/>
          <w14:textFill>
            <w14:solidFill>
              <w14:schemeClr w14:val="tx1"/>
            </w14:solidFill>
          </w14:textFill>
        </w:rPr>
        <w:t>联合体投标。</w:t>
      </w:r>
    </w:p>
    <w:p>
      <w:pPr>
        <w:pStyle w:val="6"/>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知识产权</w:t>
      </w:r>
      <w:bookmarkEnd w:id="72"/>
    </w:p>
    <w:p>
      <w:pPr>
        <w:pStyle w:val="155"/>
        <w:numPr>
          <w:ilvl w:val="0"/>
          <w:numId w:val="14"/>
        </w:numPr>
        <w:tabs>
          <w:tab w:val="left" w:pos="1134"/>
        </w:tabs>
        <w:spacing w:after="200"/>
        <w:ind w:left="0" w:firstLine="549" w:firstLineChars="0"/>
        <w:rPr>
          <w:rFonts w:ascii="宋体" w:hAnsi="宋体"/>
          <w:color w:val="000000" w:themeColor="text1"/>
          <w:sz w:val="28"/>
          <w:szCs w:val="28"/>
          <w14:textFill>
            <w14:solidFill>
              <w14:schemeClr w14:val="tx1"/>
            </w14:solidFill>
          </w14:textFill>
        </w:rPr>
      </w:pPr>
      <w:bookmarkStart w:id="73" w:name="_Toc183582217"/>
      <w:bookmarkStart w:id="74" w:name="_Toc183682354"/>
      <w:bookmarkStart w:id="75" w:name="_Toc217446048"/>
      <w:r>
        <w:rPr>
          <w:rFonts w:hint="eastAsia" w:ascii="宋体" w:hAnsi="宋体"/>
          <w:color w:val="000000" w:themeColor="text1"/>
          <w:sz w:val="28"/>
          <w:szCs w:val="28"/>
          <w14:textFill>
            <w14:solidFill>
              <w14:schemeClr w14:val="tx1"/>
            </w14:solidFill>
          </w14:textFill>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55"/>
        <w:numPr>
          <w:ilvl w:val="0"/>
          <w:numId w:val="14"/>
        </w:numPr>
        <w:tabs>
          <w:tab w:val="left" w:pos="1134"/>
        </w:tabs>
        <w:spacing w:after="200"/>
        <w:ind w:left="0" w:firstLine="549"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采购人享有本项目实施过程中产生的知识成果及知识产权。</w:t>
      </w:r>
    </w:p>
    <w:p>
      <w:pPr>
        <w:pStyle w:val="155"/>
        <w:numPr>
          <w:ilvl w:val="0"/>
          <w:numId w:val="14"/>
        </w:numPr>
        <w:tabs>
          <w:tab w:val="left" w:pos="1134"/>
        </w:tabs>
        <w:spacing w:after="200"/>
        <w:ind w:left="0" w:firstLine="549"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pStyle w:val="155"/>
        <w:numPr>
          <w:ilvl w:val="0"/>
          <w:numId w:val="14"/>
        </w:numPr>
        <w:tabs>
          <w:tab w:val="left" w:pos="1134"/>
        </w:tabs>
        <w:spacing w:after="200"/>
        <w:ind w:left="0" w:firstLine="549"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如采用投标人所不拥有的知识产权，则在投标报价中必须包括合法获取该知识产权的相关费用。</w:t>
      </w:r>
    </w:p>
    <w:p>
      <w:pPr>
        <w:pStyle w:val="6"/>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投标文件的组成</w:t>
      </w:r>
      <w:bookmarkEnd w:id="73"/>
      <w:bookmarkEnd w:id="74"/>
      <w:bookmarkEnd w:id="75"/>
    </w:p>
    <w:p>
      <w:pPr>
        <w:ind w:firstLine="548" w:firstLineChars="19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投标人应按照招标文件的规定和要求编制投标文件。投标人拟在中标后将中标项目的非主体、非关键性工作交由他人完成的，应当在投标文件中载明。投标人编写的投标文件应包括下列部分。</w:t>
      </w:r>
    </w:p>
    <w:p>
      <w:pPr>
        <w:pStyle w:val="6"/>
        <w:numPr>
          <w:ilvl w:val="3"/>
          <w:numId w:val="3"/>
        </w:numPr>
        <w:spacing w:after="200"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资格响应文件：</w:t>
      </w:r>
    </w:p>
    <w:p>
      <w:pPr>
        <w:pStyle w:val="84"/>
        <w:numPr>
          <w:ilvl w:val="0"/>
          <w:numId w:val="15"/>
        </w:numPr>
        <w:tabs>
          <w:tab w:val="left" w:pos="1134"/>
        </w:tabs>
        <w:spacing w:after="200"/>
        <w:ind w:firstLineChars="0"/>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关于投标人资格申明的函；</w:t>
      </w:r>
    </w:p>
    <w:p>
      <w:pPr>
        <w:pStyle w:val="84"/>
        <w:numPr>
          <w:ilvl w:val="0"/>
          <w:numId w:val="15"/>
        </w:numPr>
        <w:tabs>
          <w:tab w:val="left" w:pos="1134"/>
        </w:tabs>
        <w:spacing w:after="200"/>
        <w:ind w:firstLineChars="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声明；</w:t>
      </w:r>
    </w:p>
    <w:p>
      <w:pPr>
        <w:pStyle w:val="84"/>
        <w:numPr>
          <w:ilvl w:val="0"/>
          <w:numId w:val="15"/>
        </w:numPr>
        <w:tabs>
          <w:tab w:val="left" w:pos="1134"/>
        </w:tabs>
        <w:spacing w:after="200"/>
        <w:ind w:firstLineChars="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投标人应提交的相关资格证明材料：</w:t>
      </w:r>
    </w:p>
    <w:p>
      <w:pPr>
        <w:pStyle w:val="84"/>
        <w:numPr>
          <w:ilvl w:val="0"/>
          <w:numId w:val="16"/>
        </w:numPr>
        <w:spacing w:after="200"/>
        <w:ind w:left="0" w:firstLine="567" w:firstLineChars="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营业执照复印件（正本或副本）或法人证书复印件（正本或副本）；</w:t>
      </w:r>
    </w:p>
    <w:p>
      <w:pPr>
        <w:pStyle w:val="84"/>
        <w:numPr>
          <w:ilvl w:val="0"/>
          <w:numId w:val="16"/>
        </w:numPr>
        <w:spacing w:after="200"/>
        <w:ind w:left="0" w:firstLine="546" w:firstLineChars="0"/>
        <w:rPr>
          <w:rFonts w:ascii="宋体" w:hAnsi="宋体"/>
          <w:b/>
          <w:color w:val="000000" w:themeColor="text1"/>
          <w:sz w:val="28"/>
          <w:szCs w:val="28"/>
          <w14:textFill>
            <w14:solidFill>
              <w14:schemeClr w14:val="tx1"/>
            </w14:solidFill>
          </w14:textFill>
        </w:rPr>
      </w:pPr>
      <w:r>
        <w:rPr>
          <w:rFonts w:ascii="宋体" w:hAnsi="宋体"/>
          <w:b/>
          <w:color w:val="000000" w:themeColor="text1"/>
          <w:sz w:val="28"/>
          <w:szCs w:val="28"/>
          <w14:textFill>
            <w14:solidFill>
              <w14:schemeClr w14:val="tx1"/>
            </w14:solidFill>
          </w14:textFill>
        </w:rPr>
        <w:t>2019</w:t>
      </w:r>
      <w:r>
        <w:rPr>
          <w:rFonts w:hint="eastAsia" w:ascii="宋体" w:hAnsi="宋体"/>
          <w:b/>
          <w:color w:val="000000" w:themeColor="text1"/>
          <w:sz w:val="28"/>
          <w:szCs w:val="28"/>
          <w14:textFill>
            <w14:solidFill>
              <w14:schemeClr w14:val="tx1"/>
            </w14:solidFill>
          </w14:textFill>
        </w:rPr>
        <w:t>或</w:t>
      </w:r>
      <w:r>
        <w:rPr>
          <w:rFonts w:ascii="宋体" w:hAnsi="宋体"/>
          <w:b/>
          <w:color w:val="000000" w:themeColor="text1"/>
          <w:sz w:val="28"/>
          <w:szCs w:val="28"/>
          <w14:textFill>
            <w14:solidFill>
              <w14:schemeClr w14:val="tx1"/>
            </w14:solidFill>
          </w14:textFill>
        </w:rPr>
        <w:t>2020</w:t>
      </w:r>
      <w:r>
        <w:rPr>
          <w:rFonts w:hint="eastAsia" w:ascii="宋体" w:hAnsi="宋体"/>
          <w:b/>
          <w:color w:val="000000" w:themeColor="text1"/>
          <w:sz w:val="28"/>
          <w:szCs w:val="28"/>
          <w14:textFill>
            <w14:solidFill>
              <w14:schemeClr w14:val="tx1"/>
            </w14:solidFill>
          </w14:textFill>
        </w:rPr>
        <w:t>会计年度资产负债表复印件（说明：投标人成立时间至递交投标文件截止时间止不足一年的，提供成立后任意时段的资产负债表复印件）；</w:t>
      </w:r>
    </w:p>
    <w:p>
      <w:pPr>
        <w:pStyle w:val="84"/>
        <w:numPr>
          <w:ilvl w:val="0"/>
          <w:numId w:val="16"/>
        </w:numPr>
        <w:spacing w:after="200"/>
        <w:ind w:left="0" w:firstLine="546" w:firstLineChars="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投标人缴纳</w:t>
      </w:r>
      <w:r>
        <w:rPr>
          <w:rFonts w:ascii="宋体" w:hAnsi="宋体"/>
          <w:b/>
          <w:color w:val="000000" w:themeColor="text1"/>
          <w:sz w:val="28"/>
          <w:szCs w:val="28"/>
          <w14:textFill>
            <w14:solidFill>
              <w14:schemeClr w14:val="tx1"/>
            </w14:solidFill>
          </w14:textFill>
        </w:rPr>
        <w:t>2020</w:t>
      </w:r>
      <w:r>
        <w:rPr>
          <w:rFonts w:hint="eastAsia" w:ascii="宋体" w:hAnsi="宋体"/>
          <w:b/>
          <w:color w:val="000000" w:themeColor="text1"/>
          <w:sz w:val="28"/>
          <w:szCs w:val="28"/>
          <w14:textFill>
            <w14:solidFill>
              <w14:schemeClr w14:val="tx1"/>
            </w14:solidFill>
          </w14:textFill>
        </w:rPr>
        <w:t>年或</w:t>
      </w:r>
      <w:r>
        <w:rPr>
          <w:rFonts w:ascii="宋体" w:hAnsi="宋体"/>
          <w:b/>
          <w:color w:val="000000" w:themeColor="text1"/>
          <w:sz w:val="28"/>
          <w:szCs w:val="28"/>
          <w14:textFill>
            <w14:solidFill>
              <w14:schemeClr w14:val="tx1"/>
            </w14:solidFill>
          </w14:textFill>
        </w:rPr>
        <w:t>2021</w:t>
      </w:r>
      <w:r>
        <w:rPr>
          <w:rFonts w:hint="eastAsia" w:ascii="宋体" w:hAnsi="宋体"/>
          <w:b/>
          <w:color w:val="000000" w:themeColor="text1"/>
          <w:sz w:val="28"/>
          <w:szCs w:val="28"/>
          <w14:textFill>
            <w14:solidFill>
              <w14:schemeClr w14:val="tx1"/>
            </w14:solidFill>
          </w14:textFill>
        </w:rPr>
        <w:t>年任意时段的税收的银行电子回单或者行政部门出具的纳税证明或完税证明复印件；</w:t>
      </w:r>
    </w:p>
    <w:p>
      <w:pPr>
        <w:pStyle w:val="84"/>
        <w:numPr>
          <w:ilvl w:val="0"/>
          <w:numId w:val="16"/>
        </w:numPr>
        <w:spacing w:after="200"/>
        <w:ind w:left="0" w:firstLine="546" w:firstLineChars="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采购人对投标人履行合同所必须的设备和专业技术能力无其他特殊要求，投标人具有有效的营业执照或法人证书即可，可不提供其他证明材料；</w:t>
      </w:r>
    </w:p>
    <w:p>
      <w:pPr>
        <w:pStyle w:val="84"/>
        <w:numPr>
          <w:ilvl w:val="0"/>
          <w:numId w:val="16"/>
        </w:numPr>
        <w:spacing w:after="200"/>
        <w:ind w:left="0" w:firstLine="546" w:firstLineChars="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投标人缴纳</w:t>
      </w:r>
      <w:r>
        <w:rPr>
          <w:rFonts w:ascii="宋体" w:hAnsi="宋体"/>
          <w:b/>
          <w:color w:val="000000" w:themeColor="text1"/>
          <w:sz w:val="28"/>
          <w:szCs w:val="28"/>
          <w14:textFill>
            <w14:solidFill>
              <w14:schemeClr w14:val="tx1"/>
            </w14:solidFill>
          </w14:textFill>
        </w:rPr>
        <w:t>2020</w:t>
      </w:r>
      <w:r>
        <w:rPr>
          <w:rFonts w:hint="eastAsia" w:ascii="宋体" w:hAnsi="宋体"/>
          <w:b/>
          <w:color w:val="000000" w:themeColor="text1"/>
          <w:sz w:val="28"/>
          <w:szCs w:val="28"/>
          <w14:textFill>
            <w14:solidFill>
              <w14:schemeClr w14:val="tx1"/>
            </w14:solidFill>
          </w14:textFill>
        </w:rPr>
        <w:t>年或</w:t>
      </w:r>
      <w:r>
        <w:rPr>
          <w:rFonts w:ascii="宋体" w:hAnsi="宋体"/>
          <w:b/>
          <w:color w:val="000000" w:themeColor="text1"/>
          <w:sz w:val="28"/>
          <w:szCs w:val="28"/>
          <w14:textFill>
            <w14:solidFill>
              <w14:schemeClr w14:val="tx1"/>
            </w14:solidFill>
          </w14:textFill>
        </w:rPr>
        <w:t>2021</w:t>
      </w:r>
      <w:r>
        <w:rPr>
          <w:rFonts w:hint="eastAsia" w:ascii="宋体" w:hAnsi="宋体"/>
          <w:b/>
          <w:color w:val="000000" w:themeColor="text1"/>
          <w:sz w:val="28"/>
          <w:szCs w:val="28"/>
          <w14:textFill>
            <w14:solidFill>
              <w14:schemeClr w14:val="tx1"/>
            </w14:solidFill>
          </w14:textFill>
        </w:rPr>
        <w:t>年任意时段的社保的银行电子回单或行政部门出具的社保缴纳证明材料复印件；</w:t>
      </w:r>
    </w:p>
    <w:p>
      <w:pPr>
        <w:pStyle w:val="84"/>
        <w:numPr>
          <w:ilvl w:val="0"/>
          <w:numId w:val="16"/>
        </w:numPr>
        <w:spacing w:after="200"/>
        <w:ind w:left="0" w:firstLine="546" w:firstLineChars="0"/>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采购人对法律、行政法规规定的其他条件无其他特殊要求，投标人具有有效的营业执照或法人证书即可，可不提供其他证明材料。</w:t>
      </w:r>
    </w:p>
    <w:p>
      <w:pPr>
        <w:pStyle w:val="6"/>
        <w:numPr>
          <w:ilvl w:val="3"/>
          <w:numId w:val="3"/>
        </w:numPr>
        <w:spacing w:after="200"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商务技术响应文件</w:t>
      </w:r>
    </w:p>
    <w:p>
      <w:pPr>
        <w:numPr>
          <w:ilvl w:val="0"/>
          <w:numId w:val="17"/>
        </w:numPr>
        <w:tabs>
          <w:tab w:val="left" w:pos="1134"/>
        </w:tabs>
        <w:spacing w:after="200"/>
        <w:ind w:left="0" w:firstLine="546"/>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投标函；</w:t>
      </w:r>
    </w:p>
    <w:p>
      <w:pPr>
        <w:numPr>
          <w:ilvl w:val="0"/>
          <w:numId w:val="17"/>
        </w:numPr>
        <w:tabs>
          <w:tab w:val="left" w:pos="1134"/>
        </w:tabs>
        <w:spacing w:after="200"/>
        <w:ind w:left="0" w:firstLine="546"/>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法定代表人身份证明书；</w:t>
      </w:r>
    </w:p>
    <w:p>
      <w:pPr>
        <w:numPr>
          <w:ilvl w:val="0"/>
          <w:numId w:val="17"/>
        </w:numPr>
        <w:tabs>
          <w:tab w:val="left" w:pos="1134"/>
        </w:tabs>
        <w:spacing w:after="200"/>
        <w:ind w:left="0" w:firstLine="546"/>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中小企业声明函（如未提供中小企业声明函，则不能享受招标文件规定的价格扣除，但不影响投标人投标文件的有效性）；</w:t>
      </w:r>
    </w:p>
    <w:p>
      <w:pPr>
        <w:numPr>
          <w:ilvl w:val="0"/>
          <w:numId w:val="17"/>
        </w:numPr>
        <w:tabs>
          <w:tab w:val="left" w:pos="1134"/>
        </w:tabs>
        <w:spacing w:after="200"/>
        <w:ind w:left="0" w:firstLine="546"/>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残疾人福利性单位声明函（如未提供残疾人福利性单位声明函，则不能享受招标文件规定的价格扣除，但不影响投标人投标文件的有效性）；</w:t>
      </w:r>
    </w:p>
    <w:p>
      <w:pPr>
        <w:numPr>
          <w:ilvl w:val="0"/>
          <w:numId w:val="17"/>
        </w:numPr>
        <w:tabs>
          <w:tab w:val="left" w:pos="1134"/>
        </w:tabs>
        <w:spacing w:after="200"/>
        <w:ind w:left="0" w:firstLine="546"/>
        <w:rPr>
          <w:rFonts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投标人基本情况表；</w:t>
      </w:r>
    </w:p>
    <w:p>
      <w:pPr>
        <w:numPr>
          <w:ilvl w:val="0"/>
          <w:numId w:val="17"/>
        </w:numPr>
        <w:tabs>
          <w:tab w:val="left" w:pos="1134"/>
        </w:tabs>
        <w:spacing w:after="200"/>
        <w:ind w:left="0" w:firstLine="546"/>
        <w:rPr>
          <w:rFonts w:hint="eastAsia"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服务方案</w:t>
      </w:r>
      <w:r>
        <w:rPr>
          <w:rFonts w:hint="eastAsia" w:ascii="宋体" w:hAnsi="宋体"/>
          <w:b/>
          <w:color w:val="000000" w:themeColor="text1"/>
          <w:kern w:val="0"/>
          <w:sz w:val="28"/>
          <w:szCs w:val="28"/>
          <w:lang w:eastAsia="zh-CN"/>
          <w14:textFill>
            <w14:solidFill>
              <w14:schemeClr w14:val="tx1"/>
            </w14:solidFill>
          </w14:textFill>
        </w:rPr>
        <w:t>（</w:t>
      </w:r>
      <w:r>
        <w:rPr>
          <w:rFonts w:hint="eastAsia" w:ascii="宋体" w:hAnsi="宋体"/>
          <w:b/>
          <w:color w:val="000000" w:themeColor="text1"/>
          <w:kern w:val="0"/>
          <w:sz w:val="28"/>
          <w:szCs w:val="28"/>
          <w:lang w:val="en-US" w:eastAsia="zh-CN"/>
          <w14:textFill>
            <w14:solidFill>
              <w14:schemeClr w14:val="tx1"/>
            </w14:solidFill>
          </w14:textFill>
        </w:rPr>
        <w:t>未提供不影响投标文件的有效性</w:t>
      </w:r>
      <w:r>
        <w:rPr>
          <w:rFonts w:hint="eastAsia" w:ascii="宋体" w:hAnsi="宋体"/>
          <w:b/>
          <w:color w:val="000000" w:themeColor="text1"/>
          <w:kern w:val="0"/>
          <w:sz w:val="28"/>
          <w:szCs w:val="28"/>
          <w:lang w:eastAsia="zh-CN"/>
          <w14:textFill>
            <w14:solidFill>
              <w14:schemeClr w14:val="tx1"/>
            </w14:solidFill>
          </w14:textFill>
        </w:rPr>
        <w:t>）</w:t>
      </w:r>
      <w:r>
        <w:rPr>
          <w:rFonts w:hint="eastAsia" w:ascii="宋体" w:hAnsi="宋体"/>
          <w:b/>
          <w:color w:val="000000" w:themeColor="text1"/>
          <w:kern w:val="0"/>
          <w:sz w:val="28"/>
          <w:szCs w:val="28"/>
          <w14:textFill>
            <w14:solidFill>
              <w14:schemeClr w14:val="tx1"/>
            </w14:solidFill>
          </w14:textFill>
        </w:rPr>
        <w:t>；</w:t>
      </w:r>
    </w:p>
    <w:p>
      <w:pPr>
        <w:numPr>
          <w:ilvl w:val="0"/>
          <w:numId w:val="17"/>
        </w:numPr>
        <w:tabs>
          <w:tab w:val="left" w:pos="1134"/>
        </w:tabs>
        <w:spacing w:after="200"/>
        <w:ind w:left="0" w:firstLine="546"/>
        <w:rPr>
          <w:rFonts w:hint="eastAsia" w:ascii="宋体" w:hAnsi="宋体"/>
          <w:b/>
          <w:color w:val="000000" w:themeColor="text1"/>
          <w:kern w:val="0"/>
          <w:sz w:val="28"/>
          <w:szCs w:val="28"/>
          <w14:textFill>
            <w14:solidFill>
              <w14:schemeClr w14:val="tx1"/>
            </w14:solidFill>
          </w14:textFill>
        </w:rPr>
      </w:pPr>
      <w:r>
        <w:rPr>
          <w:rFonts w:hint="eastAsia" w:ascii="宋体" w:hAnsi="宋体"/>
          <w:b/>
          <w:color w:val="000000" w:themeColor="text1"/>
          <w:kern w:val="0"/>
          <w:sz w:val="28"/>
          <w:szCs w:val="28"/>
          <w14:textFill>
            <w14:solidFill>
              <w14:schemeClr w14:val="tx1"/>
            </w14:solidFill>
          </w14:textFill>
        </w:rPr>
        <w:t>承诺函。</w:t>
      </w:r>
    </w:p>
    <w:p>
      <w:pPr>
        <w:pStyle w:val="6"/>
        <w:numPr>
          <w:ilvl w:val="3"/>
          <w:numId w:val="3"/>
        </w:numPr>
        <w:spacing w:after="200"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报价要求响应文件</w:t>
      </w:r>
    </w:p>
    <w:p>
      <w:pPr>
        <w:numPr>
          <w:ilvl w:val="0"/>
          <w:numId w:val="18"/>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开标一览表；</w:t>
      </w:r>
    </w:p>
    <w:p>
      <w:pPr>
        <w:pStyle w:val="6"/>
        <w:numPr>
          <w:ilvl w:val="2"/>
          <w:numId w:val="3"/>
        </w:numPr>
        <w:spacing w:after="200" w:line="240" w:lineRule="auto"/>
        <w:ind w:left="0" w:firstLine="0"/>
        <w:rPr>
          <w:color w:val="000000" w:themeColor="text1"/>
          <w14:textFill>
            <w14:solidFill>
              <w14:schemeClr w14:val="tx1"/>
            </w14:solidFill>
          </w14:textFill>
        </w:rPr>
      </w:pPr>
      <w:bookmarkStart w:id="76" w:name="_Toc316292020"/>
      <w:bookmarkEnd w:id="76"/>
      <w:bookmarkStart w:id="77" w:name="_Toc316291396"/>
      <w:bookmarkEnd w:id="77"/>
      <w:bookmarkStart w:id="78" w:name="_Toc316291395"/>
      <w:bookmarkEnd w:id="78"/>
      <w:bookmarkStart w:id="79" w:name="_Toc316292019"/>
      <w:bookmarkEnd w:id="79"/>
      <w:bookmarkStart w:id="80" w:name="_Toc217446049"/>
      <w:bookmarkStart w:id="81" w:name="_Toc183682355"/>
      <w:bookmarkStart w:id="82" w:name="_Toc183582218"/>
      <w:r>
        <w:rPr>
          <w:rFonts w:hint="eastAsia"/>
          <w:color w:val="000000" w:themeColor="text1"/>
          <w14:textFill>
            <w14:solidFill>
              <w14:schemeClr w14:val="tx1"/>
            </w14:solidFill>
          </w14:textFill>
        </w:rPr>
        <w:t>投标文件格式</w:t>
      </w:r>
      <w:bookmarkEnd w:id="80"/>
      <w:bookmarkEnd w:id="81"/>
      <w:bookmarkEnd w:id="82"/>
      <w:r>
        <w:rPr>
          <w:rFonts w:hint="eastAsia"/>
          <w:color w:val="000000" w:themeColor="text1"/>
          <w14:textFill>
            <w14:solidFill>
              <w14:schemeClr w14:val="tx1"/>
            </w14:solidFill>
          </w14:textFill>
        </w:rPr>
        <w:tab/>
      </w:r>
    </w:p>
    <w:p>
      <w:pPr>
        <w:numPr>
          <w:ilvl w:val="0"/>
          <w:numId w:val="19"/>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投标人应按照招标文件第3章中提供的“投标文件格式”填写相关内容。</w:t>
      </w:r>
    </w:p>
    <w:p>
      <w:pPr>
        <w:numPr>
          <w:ilvl w:val="0"/>
          <w:numId w:val="19"/>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对于没有格式要求的投标文件由投标人自行编写。</w:t>
      </w:r>
    </w:p>
    <w:p>
      <w:pPr>
        <w:pStyle w:val="6"/>
        <w:numPr>
          <w:ilvl w:val="2"/>
          <w:numId w:val="3"/>
        </w:numPr>
        <w:spacing w:after="200" w:line="240" w:lineRule="auto"/>
        <w:ind w:left="0" w:firstLine="0"/>
        <w:rPr>
          <w:color w:val="000000" w:themeColor="text1"/>
          <w14:textFill>
            <w14:solidFill>
              <w14:schemeClr w14:val="tx1"/>
            </w14:solidFill>
          </w14:textFill>
        </w:rPr>
      </w:pPr>
      <w:bookmarkStart w:id="83" w:name="_Toc183582223"/>
      <w:bookmarkStart w:id="84" w:name="_Toc183682360"/>
      <w:bookmarkStart w:id="85" w:name="_Toc217446050"/>
      <w:r>
        <w:rPr>
          <w:rFonts w:hint="eastAsia"/>
          <w:color w:val="000000" w:themeColor="text1"/>
          <w14:textFill>
            <w14:solidFill>
              <w14:schemeClr w14:val="tx1"/>
            </w14:solidFill>
          </w14:textFill>
        </w:rPr>
        <w:t>投标报价</w:t>
      </w:r>
    </w:p>
    <w:p>
      <w:pPr>
        <w:numPr>
          <w:ilvl w:val="0"/>
          <w:numId w:val="20"/>
        </w:numPr>
        <w:tabs>
          <w:tab w:val="left" w:pos="1134"/>
        </w:tabs>
        <w:spacing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投标人的报价是投标人响应招标项目要求的全部工作内容的价格体现，包括投标人完成本项目所需的一切费用。</w:t>
      </w:r>
    </w:p>
    <w:p>
      <w:pPr>
        <w:numPr>
          <w:ilvl w:val="0"/>
          <w:numId w:val="20"/>
        </w:numPr>
        <w:tabs>
          <w:tab w:val="left" w:pos="1134"/>
        </w:tabs>
        <w:spacing w:line="360" w:lineRule="auto"/>
        <w:ind w:left="0" w:firstLine="56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三、投标文件报价出现前后不一致的，按照下列规定修正：（1）大写金额和小写金额不一致的，以大写金额为准，但大写金额出现文字错误，导致金额无法判断的除外；（</w:t>
      </w:r>
      <w:r>
        <w:rPr>
          <w:rFonts w:ascii="宋体" w:hAnsi="宋体"/>
          <w:color w:val="000000" w:themeColor="text1"/>
          <w:sz w:val="28"/>
          <w:szCs w:val="28"/>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）单价金额小数点或者百分比有明显错位的，应以总价为准，并修改单价；（</w:t>
      </w:r>
      <w:r>
        <w:rPr>
          <w:rFonts w:ascii="宋体" w:hAnsi="宋体"/>
          <w:color w:val="000000" w:themeColor="text1"/>
          <w:sz w:val="28"/>
          <w:szCs w:val="28"/>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）总价金额与按单价汇总金额不一致的，以单价金额计算结果为准。</w:t>
      </w:r>
    </w:p>
    <w:p>
      <w:pPr>
        <w:tabs>
          <w:tab w:val="left" w:pos="1134"/>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cs="Arial"/>
          <w:color w:val="000000" w:themeColor="text1"/>
          <w:sz w:val="28"/>
          <w:szCs w:val="28"/>
          <w14:textFill>
            <w14:solidFill>
              <w14:schemeClr w14:val="tx1"/>
            </w14:solidFill>
          </w14:textFill>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color w:val="000000" w:themeColor="text1"/>
          <w:sz w:val="28"/>
          <w:szCs w:val="28"/>
          <w14:textFill>
            <w14:solidFill>
              <w14:schemeClr w14:val="tx1"/>
            </w14:solidFill>
          </w14:textFill>
        </w:rPr>
        <w:t>如因断电、断网、系统故障或其他不可抗力等因素</w:t>
      </w:r>
      <w:r>
        <w:rPr>
          <w:rFonts w:hint="eastAsia" w:cs="Arial"/>
          <w:color w:val="000000" w:themeColor="text1"/>
          <w:sz w:val="28"/>
          <w:szCs w:val="28"/>
          <w14:textFill>
            <w14:solidFill>
              <w14:schemeClr w14:val="tx1"/>
            </w14:solidFill>
          </w14:textFill>
        </w:rPr>
        <w:t>，导致系统无法使用的，由投标人按评标委员会的要求进行澄清或者说明。</w:t>
      </w:r>
    </w:p>
    <w:p>
      <w:pPr>
        <w:pStyle w:val="6"/>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投标保证金</w:t>
      </w:r>
      <w:bookmarkEnd w:id="83"/>
      <w:bookmarkEnd w:id="84"/>
      <w:bookmarkEnd w:id="85"/>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本项目不收取投标保证金。</w:t>
      </w:r>
    </w:p>
    <w:p>
      <w:pPr>
        <w:pStyle w:val="6"/>
        <w:numPr>
          <w:ilvl w:val="2"/>
          <w:numId w:val="3"/>
        </w:numPr>
        <w:tabs>
          <w:tab w:val="left" w:pos="851"/>
        </w:tabs>
        <w:spacing w:after="200" w:line="240" w:lineRule="auto"/>
        <w:ind w:left="0" w:firstLine="0"/>
        <w:rPr>
          <w:color w:val="000000" w:themeColor="text1"/>
          <w14:textFill>
            <w14:solidFill>
              <w14:schemeClr w14:val="tx1"/>
            </w14:solidFill>
          </w14:textFill>
        </w:rPr>
      </w:pPr>
      <w:bookmarkStart w:id="86" w:name="_Toc316292024"/>
      <w:bookmarkEnd w:id="86"/>
      <w:bookmarkStart w:id="87" w:name="_Toc316291400"/>
      <w:bookmarkEnd w:id="87"/>
      <w:bookmarkStart w:id="88" w:name="_Toc217446051"/>
      <w:bookmarkStart w:id="89" w:name="_Toc183682361"/>
      <w:bookmarkStart w:id="90" w:name="_Toc183582224"/>
      <w:r>
        <w:rPr>
          <w:rFonts w:hint="eastAsia"/>
          <w:color w:val="000000" w:themeColor="text1"/>
          <w14:textFill>
            <w14:solidFill>
              <w14:schemeClr w14:val="tx1"/>
            </w14:solidFill>
          </w14:textFill>
        </w:rPr>
        <w:t>投标有效期</w:t>
      </w:r>
      <w:bookmarkEnd w:id="88"/>
      <w:bookmarkEnd w:id="89"/>
      <w:bookmarkEnd w:id="90"/>
    </w:p>
    <w:p>
      <w:pPr>
        <w:numPr>
          <w:ilvl w:val="0"/>
          <w:numId w:val="21"/>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投标有效期为</w:t>
      </w:r>
      <w:r>
        <w:rPr>
          <w:rFonts w:hint="eastAsia" w:ascii="Helvetica" w:hAnsi="Helvetica" w:cs="Helvetica"/>
          <w:color w:val="000000" w:themeColor="text1"/>
          <w:sz w:val="28"/>
          <w:szCs w:val="28"/>
          <w14:textFill>
            <w14:solidFill>
              <w14:schemeClr w14:val="tx1"/>
            </w14:solidFill>
          </w14:textFill>
        </w:rPr>
        <w:t>提交投标文件的截止之日起</w:t>
      </w:r>
      <w:r>
        <w:rPr>
          <w:rFonts w:hint="eastAsia" w:ascii="宋体" w:hAnsi="宋体"/>
          <w:color w:val="000000" w:themeColor="text1"/>
          <w:sz w:val="28"/>
          <w:szCs w:val="28"/>
          <w:u w:val="single"/>
          <w14:textFill>
            <w14:solidFill>
              <w14:schemeClr w14:val="tx1"/>
            </w14:solidFill>
          </w14:textFill>
        </w:rPr>
        <w:t>120</w:t>
      </w:r>
      <w:r>
        <w:rPr>
          <w:rFonts w:hint="eastAsia" w:ascii="宋体" w:hAnsi="宋体"/>
          <w:color w:val="000000" w:themeColor="text1"/>
          <w:sz w:val="28"/>
          <w:szCs w:val="28"/>
          <w14:textFill>
            <w14:solidFill>
              <w14:schemeClr w14:val="tx1"/>
            </w14:solidFill>
          </w14:textFill>
        </w:rPr>
        <w:t>天。投标有效期短于此规定期限的或不作响应的，则其投标文件将按无效投标文件处理。</w:t>
      </w:r>
    </w:p>
    <w:p>
      <w:pPr>
        <w:numPr>
          <w:ilvl w:val="0"/>
          <w:numId w:val="21"/>
        </w:numPr>
        <w:tabs>
          <w:tab w:val="left" w:pos="1134"/>
        </w:tabs>
        <w:spacing w:after="200"/>
        <w:ind w:left="0" w:firstLine="567"/>
        <w:rPr>
          <w:rFonts w:ascii="宋体" w:hAnsi="宋体"/>
          <w:color w:val="000000" w:themeColor="text1"/>
          <w:sz w:val="28"/>
          <w:szCs w:val="28"/>
          <w14:textFill>
            <w14:solidFill>
              <w14:schemeClr w14:val="tx1"/>
            </w14:solidFill>
          </w14:textFill>
        </w:rPr>
      </w:pPr>
      <w:bookmarkStart w:id="91" w:name="_Toc183682362"/>
      <w:bookmarkStart w:id="92" w:name="_Toc183582225"/>
      <w:bookmarkStart w:id="93" w:name="_Toc217446052"/>
      <w:r>
        <w:rPr>
          <w:rFonts w:hint="eastAsia" w:ascii="宋体" w:hAnsi="宋体"/>
          <w:color w:val="000000" w:themeColor="text1"/>
          <w:sz w:val="28"/>
          <w:szCs w:val="28"/>
          <w14:textFill>
            <w14:solidFill>
              <w14:schemeClr w14:val="tx1"/>
            </w14:solidFill>
          </w14:textFill>
        </w:rPr>
        <w:t>特殊情况下，采购人可于投标有效期满之前要求投标人同意延长有效期，要求与答复均应为书面形式。投标人可以拒绝上述要求，同意延长投标有效期的投标人不能修改其投标文件。</w:t>
      </w:r>
    </w:p>
    <w:p>
      <w:pPr>
        <w:pStyle w:val="6"/>
        <w:numPr>
          <w:ilvl w:val="2"/>
          <w:numId w:val="3"/>
        </w:numPr>
        <w:tabs>
          <w:tab w:val="left" w:pos="851"/>
        </w:tabs>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投标文件的制作和签章、加密</w:t>
      </w:r>
      <w:bookmarkEnd w:id="91"/>
      <w:bookmarkEnd w:id="92"/>
      <w:bookmarkEnd w:id="93"/>
      <w:bookmarkStart w:id="94" w:name="_Toc316475579"/>
      <w:bookmarkEnd w:id="94"/>
      <w:bookmarkStart w:id="95" w:name="_Toc316475582"/>
      <w:bookmarkEnd w:id="95"/>
      <w:bookmarkStart w:id="96" w:name="_Toc316475577"/>
      <w:bookmarkEnd w:id="96"/>
      <w:bookmarkStart w:id="97" w:name="_Toc316475580"/>
      <w:bookmarkEnd w:id="97"/>
      <w:bookmarkStart w:id="98" w:name="_Toc316475581"/>
      <w:bookmarkEnd w:id="98"/>
      <w:bookmarkStart w:id="99" w:name="_Toc316475583"/>
      <w:bookmarkEnd w:id="99"/>
      <w:bookmarkStart w:id="100" w:name="_Toc316475578"/>
      <w:bookmarkEnd w:id="100"/>
      <w:bookmarkStart w:id="101" w:name="_Toc183582227"/>
      <w:bookmarkStart w:id="102" w:name="_Toc183682364"/>
      <w:bookmarkStart w:id="103" w:name="_Toc217446054"/>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二、投标文件制作详情：</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pPr>
        <w:spacing w:line="360" w:lineRule="auto"/>
        <w:ind w:firstLine="562" w:firstLineChars="200"/>
        <w:rPr>
          <w:rFonts w:ascii="宋体" w:hAnsi="宋体"/>
          <w:b/>
          <w:sz w:val="28"/>
          <w:szCs w:val="28"/>
        </w:rPr>
      </w:pPr>
      <w:r>
        <w:rPr>
          <w:rFonts w:hint="eastAsia" w:ascii="宋体" w:hAnsi="宋体"/>
          <w:b/>
          <w:sz w:val="28"/>
          <w:szCs w:val="28"/>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3、投标人应使用本企业CA数字证书对投标文件进行加密。</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pPr>
        <w:pStyle w:val="6"/>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w:t>
      </w:r>
      <w:bookmarkEnd w:id="101"/>
      <w:bookmarkEnd w:id="102"/>
      <w:r>
        <w:rPr>
          <w:rFonts w:hint="eastAsia"/>
          <w:color w:val="000000" w:themeColor="text1"/>
          <w14:textFill>
            <w14:solidFill>
              <w14:schemeClr w14:val="tx1"/>
            </w14:solidFill>
          </w14:textFill>
        </w:rPr>
        <w:t>递交</w:t>
      </w:r>
      <w:bookmarkEnd w:id="103"/>
    </w:p>
    <w:p>
      <w:pPr>
        <w:tabs>
          <w:tab w:val="left" w:pos="0"/>
        </w:tabs>
        <w:spacing w:line="360" w:lineRule="auto"/>
        <w:ind w:firstLine="560" w:firstLineChars="20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一、投标人应当在投标文件递交截止时间前，将生成的已加密的电子投标文件成功递交至“政府采购云平台”。</w:t>
      </w:r>
    </w:p>
    <w:p>
      <w:pPr>
        <w:tabs>
          <w:tab w:val="left" w:pos="0"/>
        </w:tabs>
        <w:spacing w:line="360" w:lineRule="auto"/>
        <w:ind w:firstLine="560" w:firstLineChars="200"/>
        <w:rPr>
          <w:rFonts w:ascii="宋体" w:hAnsi="宋体" w:eastAsiaTheme="minorEastAsia" w:cstheme="minorBidi"/>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二、因招标文件的修改推迟投标截止日期的，投标人按市公资交易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560" w:firstLineChars="200"/>
        <w:rPr>
          <w:rFonts w:ascii="宋体" w:hAnsi="宋体"/>
          <w:bCs/>
          <w:color w:val="000000" w:themeColor="text1"/>
          <w:sz w:val="28"/>
          <w:szCs w:val="28"/>
          <w14:textFill>
            <w14:solidFill>
              <w14:schemeClr w14:val="tx1"/>
            </w14:solidFill>
          </w14:textFill>
        </w:rPr>
      </w:pPr>
      <w:r>
        <w:rPr>
          <w:rFonts w:hint="eastAsia" w:ascii="宋体" w:hAnsi="宋体" w:eastAsiaTheme="minorEastAsia" w:cstheme="minorBidi"/>
          <w:bCs/>
          <w:color w:val="000000" w:themeColor="text1"/>
          <w:sz w:val="28"/>
          <w:szCs w:val="28"/>
          <w14:textFill>
            <w14:solidFill>
              <w14:schemeClr w14:val="tx1"/>
            </w14:solidFill>
          </w14:textFill>
        </w:rPr>
        <w:t>三、投标人应充分考虑递交文件的不可预见因素，未在投标截止时间前完成递交的，在投标截止时间后将无法递交</w:t>
      </w:r>
      <w:r>
        <w:rPr>
          <w:rFonts w:hint="eastAsia" w:ascii="宋体" w:hAnsi="宋体"/>
          <w:bCs/>
          <w:color w:val="000000" w:themeColor="text1"/>
          <w:sz w:val="28"/>
          <w:szCs w:val="28"/>
          <w14:textFill>
            <w14:solidFill>
              <w14:schemeClr w14:val="tx1"/>
            </w14:solidFill>
          </w14:textFill>
        </w:rPr>
        <w:t>。</w:t>
      </w:r>
    </w:p>
    <w:p>
      <w:pPr>
        <w:pStyle w:val="6"/>
        <w:numPr>
          <w:ilvl w:val="2"/>
          <w:numId w:val="3"/>
        </w:numPr>
        <w:spacing w:after="200" w:line="276"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投标文件的补充、修改</w:t>
      </w:r>
    </w:p>
    <w:p>
      <w:pPr>
        <w:numPr>
          <w:ilvl w:val="0"/>
          <w:numId w:val="22"/>
        </w:numPr>
        <w:spacing w:before="120"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2"/>
        </w:numPr>
        <w:spacing w:before="120" w:after="200" w:line="36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在投标截止时间之后，投标人不得对其递交的投标文件做任何补充、修改。</w:t>
      </w:r>
    </w:p>
    <w:p>
      <w:pPr>
        <w:pStyle w:val="6"/>
        <w:numPr>
          <w:ilvl w:val="2"/>
          <w:numId w:val="3"/>
        </w:numPr>
        <w:spacing w:after="200"/>
        <w:ind w:left="851"/>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投标文件的撤回</w:t>
      </w:r>
    </w:p>
    <w:p>
      <w:pPr>
        <w:numPr>
          <w:ilvl w:val="0"/>
          <w:numId w:val="23"/>
        </w:numPr>
        <w:spacing w:before="120" w:after="200" w:line="360" w:lineRule="auto"/>
        <w:ind w:left="0" w:firstLine="567"/>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在投标截止时间之前，投标人可对已递交的投标文件进行撤回。在投标截止时间之后，投标人不得撤回投标文件。</w:t>
      </w:r>
    </w:p>
    <w:p>
      <w:pPr>
        <w:pStyle w:val="6"/>
        <w:numPr>
          <w:ilvl w:val="2"/>
          <w:numId w:val="3"/>
        </w:numPr>
        <w:spacing w:after="200" w:line="240" w:lineRule="auto"/>
        <w:ind w:left="851"/>
        <w:rPr>
          <w:color w:val="000000" w:themeColor="text1"/>
          <w14:textFill>
            <w14:solidFill>
              <w14:schemeClr w14:val="tx1"/>
            </w14:solidFill>
          </w14:textFill>
        </w:rPr>
      </w:pPr>
      <w:r>
        <w:rPr>
          <w:rFonts w:hint="eastAsia"/>
          <w:color w:val="000000" w:themeColor="text1"/>
          <w14:textFill>
            <w14:solidFill>
              <w14:schemeClr w14:val="tx1"/>
            </w14:solidFill>
          </w14:textFill>
        </w:rPr>
        <w:t>投标文件的解密</w:t>
      </w:r>
    </w:p>
    <w:p>
      <w:pPr>
        <w:tabs>
          <w:tab w:val="left" w:pos="1134"/>
        </w:tabs>
        <w:spacing w:before="120" w:line="360" w:lineRule="auto"/>
        <w:ind w:firstLine="565" w:firstLineChars="202"/>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投标人</w:t>
      </w:r>
      <w:r>
        <w:rPr>
          <w:rFonts w:hint="eastAsia" w:ascii="宋体" w:hAnsi="宋体"/>
          <w:color w:val="000000" w:themeColor="text1"/>
          <w:sz w:val="28"/>
          <w:szCs w:val="28"/>
          <w14:textFill>
            <w14:solidFill>
              <w14:schemeClr w14:val="tx1"/>
            </w14:solidFill>
          </w14:textFill>
        </w:rPr>
        <w:t>登录政府采购云平台，点击“项目采购—开标评标”模块，找到对应项目，进入“开标大厅”，等待市公资交易中心开启解密后，进行线上解密。</w:t>
      </w:r>
      <w:r>
        <w:rPr>
          <w:rFonts w:hint="eastAsia" w:ascii="宋体" w:hAnsi="宋体"/>
          <w:bCs/>
          <w:color w:val="000000" w:themeColor="text1"/>
          <w:sz w:val="28"/>
          <w:szCs w:val="28"/>
          <w14:textFill>
            <w14:solidFill>
              <w14:schemeClr w14:val="tx1"/>
            </w14:solidFill>
          </w14:textFill>
        </w:rPr>
        <w:t>除因</w:t>
      </w:r>
      <w:r>
        <w:rPr>
          <w:rFonts w:hint="eastAsia" w:ascii="宋体" w:hAnsi="宋体"/>
          <w:color w:val="000000" w:themeColor="text1"/>
          <w:sz w:val="28"/>
          <w:szCs w:val="28"/>
          <w14:textFill>
            <w14:solidFill>
              <w14:schemeClr w14:val="tx1"/>
            </w14:solidFill>
          </w14:textFill>
        </w:rPr>
        <w:t>市公资交易中心</w:t>
      </w:r>
      <w:r>
        <w:rPr>
          <w:rFonts w:hint="eastAsia" w:ascii="宋体" w:hAnsi="宋体"/>
          <w:bCs/>
          <w:color w:val="000000" w:themeColor="text1"/>
          <w:sz w:val="28"/>
          <w:szCs w:val="28"/>
          <w14:textFill>
            <w14:solidFill>
              <w14:schemeClr w14:val="tx1"/>
            </w14:solidFill>
          </w14:textFill>
        </w:rPr>
        <w:t>断电、断网、系统故障或其他不可抗力等因素，导致系统无法使用外，投标人在规定的解密时间内，未成功解密的投标文件将视为无效投标文件。</w:t>
      </w:r>
    </w:p>
    <w:p>
      <w:pPr>
        <w:pStyle w:val="5"/>
        <w:numPr>
          <w:ilvl w:val="1"/>
          <w:numId w:val="3"/>
        </w:numPr>
        <w:spacing w:before="0" w:after="0" w:line="240" w:lineRule="auto"/>
        <w:ind w:left="2269" w:hanging="2269"/>
        <w:rPr>
          <w:color w:val="000000" w:themeColor="text1"/>
          <w14:textFill>
            <w14:solidFill>
              <w14:schemeClr w14:val="tx1"/>
            </w14:solidFill>
          </w14:textFill>
        </w:rPr>
      </w:pPr>
      <w:bookmarkStart w:id="104" w:name="_Toc316475587"/>
      <w:bookmarkEnd w:id="104"/>
      <w:bookmarkStart w:id="105" w:name="_Toc316475586"/>
      <w:bookmarkEnd w:id="105"/>
      <w:bookmarkStart w:id="106" w:name="_Toc183682368"/>
      <w:bookmarkStart w:id="107" w:name="_Toc183582231"/>
      <w:bookmarkStart w:id="108" w:name="_Toc28766"/>
      <w:bookmarkStart w:id="109" w:name="_Toc89075878"/>
      <w:bookmarkStart w:id="110" w:name="_Toc4457"/>
      <w:bookmarkStart w:id="111" w:name="_Toc77400782"/>
      <w:bookmarkStart w:id="112" w:name="_Toc16979"/>
      <w:bookmarkStart w:id="113" w:name="_Toc75336292"/>
      <w:bookmarkStart w:id="114" w:name="_Toc31524"/>
      <w:bookmarkStart w:id="115" w:name="_Toc217446056"/>
      <w:r>
        <w:rPr>
          <w:rFonts w:hint="eastAsia"/>
          <w:color w:val="000000" w:themeColor="text1"/>
          <w14:textFill>
            <w14:solidFill>
              <w14:schemeClr w14:val="tx1"/>
            </w14:solidFill>
          </w14:textFill>
        </w:rPr>
        <w:t>开标、资格审查、评标和中标</w:t>
      </w:r>
      <w:bookmarkEnd w:id="106"/>
      <w:bookmarkEnd w:id="107"/>
      <w:bookmarkEnd w:id="108"/>
      <w:bookmarkEnd w:id="109"/>
      <w:bookmarkEnd w:id="110"/>
      <w:bookmarkEnd w:id="111"/>
      <w:bookmarkEnd w:id="112"/>
      <w:bookmarkEnd w:id="113"/>
      <w:bookmarkEnd w:id="114"/>
      <w:bookmarkEnd w:id="115"/>
    </w:p>
    <w:p>
      <w:pPr>
        <w:keepNext/>
        <w:keepLines/>
        <w:numPr>
          <w:ilvl w:val="2"/>
          <w:numId w:val="3"/>
        </w:numPr>
        <w:spacing w:line="360" w:lineRule="auto"/>
        <w:ind w:left="0" w:firstLine="0"/>
        <w:outlineLvl w:val="2"/>
        <w:rPr>
          <w:rFonts w:ascii="宋体" w:hAnsi="宋体"/>
          <w:b/>
          <w:bCs/>
          <w:color w:val="000000" w:themeColor="text1"/>
          <w:sz w:val="28"/>
          <w:szCs w:val="28"/>
          <w14:textFill>
            <w14:solidFill>
              <w14:schemeClr w14:val="tx1"/>
            </w14:solidFill>
          </w14:textFill>
        </w:rPr>
      </w:pPr>
      <w:bookmarkStart w:id="116" w:name="_Toc217446057"/>
      <w:bookmarkStart w:id="117" w:name="_Toc183682369"/>
      <w:bookmarkStart w:id="118" w:name="_Toc183582232"/>
      <w:r>
        <w:rPr>
          <w:rFonts w:hint="eastAsia" w:ascii="宋体" w:hAnsi="宋体"/>
          <w:b/>
          <w:bCs/>
          <w:color w:val="000000" w:themeColor="text1"/>
          <w:sz w:val="28"/>
          <w:szCs w:val="28"/>
          <w14:textFill>
            <w14:solidFill>
              <w14:schemeClr w14:val="tx1"/>
            </w14:solidFill>
          </w14:textFill>
        </w:rPr>
        <w:t>开标</w:t>
      </w:r>
      <w:bookmarkEnd w:id="116"/>
      <w:bookmarkEnd w:id="117"/>
      <w:bookmarkEnd w:id="118"/>
      <w:r>
        <w:rPr>
          <w:rFonts w:hint="eastAsia" w:ascii="宋体" w:hAnsi="宋体"/>
          <w:b/>
          <w:bCs/>
          <w:color w:val="000000" w:themeColor="text1"/>
          <w:sz w:val="28"/>
          <w:szCs w:val="28"/>
          <w14:textFill>
            <w14:solidFill>
              <w14:schemeClr w14:val="tx1"/>
            </w14:solidFill>
          </w14:textFill>
        </w:rPr>
        <w:t>及开标程序</w:t>
      </w:r>
    </w:p>
    <w:p>
      <w:pPr>
        <w:pStyle w:val="84"/>
        <w:numPr>
          <w:ilvl w:val="0"/>
          <w:numId w:val="24"/>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本项目为不见面开标项目。递交电子投标文件的投标人不足3家的，不予开标。</w:t>
      </w:r>
    </w:p>
    <w:p>
      <w:pPr>
        <w:pStyle w:val="84"/>
        <w:numPr>
          <w:ilvl w:val="0"/>
          <w:numId w:val="24"/>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pStyle w:val="84"/>
        <w:numPr>
          <w:ilvl w:val="0"/>
          <w:numId w:val="24"/>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解密投标文件。等待市公资交易中心开启解密后，投标人进行线上解密。开启解密后，投标人应在60分钟内，使用加密该投标文件的CA数字证书在线完成投标文件的解密。除因市公资交易中心断电、断网、系统故障或其他不可抗力等因素，导致系统无法使用外，投标人在规定的解密时间内，未成功解密的投标文件将视为无效投标文件。</w:t>
      </w:r>
    </w:p>
    <w:p>
      <w:pPr>
        <w:pStyle w:val="84"/>
        <w:numPr>
          <w:ilvl w:val="0"/>
          <w:numId w:val="24"/>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84"/>
        <w:numPr>
          <w:ilvl w:val="0"/>
          <w:numId w:val="24"/>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对开标过程和开标记录有疑义，以及认为采购人、市公资交易中心相关工作人员有需要回避的情形的，及时向工作人员提出询问或者回避申请。采购人、市公资交易中心对投标人提出的询问或者回避申请应当及时处理。</w:t>
      </w:r>
    </w:p>
    <w:p>
      <w:pPr>
        <w:pStyle w:val="84"/>
        <w:numPr>
          <w:ilvl w:val="0"/>
          <w:numId w:val="24"/>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84"/>
        <w:numPr>
          <w:ilvl w:val="0"/>
          <w:numId w:val="24"/>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因市公资交易中心断电、断网、系统故障或其他不可抗力等因素导致不见面开标系统无法正常运行的，开标活动中止或延迟，待系统恢复正常后继续进行开标活动。</w:t>
      </w:r>
    </w:p>
    <w:p>
      <w:pPr>
        <w:pStyle w:val="84"/>
        <w:numPr>
          <w:ilvl w:val="0"/>
          <w:numId w:val="24"/>
        </w:numPr>
        <w:spacing w:before="120" w:after="200" w:line="360" w:lineRule="auto"/>
        <w:ind w:left="0" w:right="210" w:firstLine="567" w:firstLineChars="0"/>
        <w:rPr>
          <w:rFonts w:ascii="宋体" w:hAnsi="宋体" w:eastAsia="宋体" w:cs="宋体"/>
          <w:b/>
          <w:color w:val="000000" w:themeColor="text1"/>
          <w:sz w:val="28"/>
          <w:szCs w:val="28"/>
          <w14:textFill>
            <w14:solidFill>
              <w14:schemeClr w14:val="tx1"/>
            </w14:solidFill>
          </w14:textFill>
        </w:rPr>
      </w:pPr>
      <w:r>
        <w:rPr>
          <w:rFonts w:hint="eastAsia" w:ascii="宋体" w:hAnsi="宋体" w:eastAsia="宋体" w:cs="宋体"/>
          <w:b/>
          <w:color w:val="000000" w:themeColor="text1"/>
          <w:sz w:val="28"/>
          <w:szCs w:val="28"/>
          <w14:textFill>
            <w14:solidFill>
              <w14:schemeClr w14:val="tx1"/>
            </w14:solidFill>
          </w14:textFill>
        </w:rPr>
        <w:t>不见面开标过程中，各方主体均应遵守互联网有关规定，不得发表与交易活动无关的言论。</w:t>
      </w:r>
    </w:p>
    <w:p>
      <w:pPr>
        <w:pStyle w:val="6"/>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资格审查</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详见招标文件第5章。</w:t>
      </w:r>
    </w:p>
    <w:p>
      <w:pPr>
        <w:pStyle w:val="6"/>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评标</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详见招标文件第6章。</w:t>
      </w:r>
    </w:p>
    <w:p>
      <w:pPr>
        <w:pStyle w:val="6"/>
        <w:numPr>
          <w:ilvl w:val="2"/>
          <w:numId w:val="3"/>
        </w:numPr>
        <w:spacing w:after="200" w:line="240" w:lineRule="auto"/>
        <w:ind w:left="0" w:firstLine="0"/>
        <w:rPr>
          <w:color w:val="000000" w:themeColor="text1"/>
          <w14:textFill>
            <w14:solidFill>
              <w14:schemeClr w14:val="tx1"/>
            </w14:solidFill>
          </w14:textFill>
        </w:rPr>
      </w:pPr>
      <w:bookmarkStart w:id="119" w:name="_Toc183582238"/>
      <w:bookmarkStart w:id="120" w:name="_Toc183682375"/>
      <w:bookmarkStart w:id="121" w:name="_Toc217446063"/>
      <w:r>
        <w:rPr>
          <w:rFonts w:hint="eastAsia"/>
          <w:color w:val="000000" w:themeColor="text1"/>
          <w14:textFill>
            <w14:solidFill>
              <w14:schemeClr w14:val="tx1"/>
            </w14:solidFill>
          </w14:textFill>
        </w:rPr>
        <w:t>中标通知</w:t>
      </w:r>
      <w:bookmarkEnd w:id="119"/>
      <w:bookmarkEnd w:id="120"/>
      <w:r>
        <w:rPr>
          <w:rFonts w:hint="eastAsia"/>
          <w:color w:val="000000" w:themeColor="text1"/>
          <w14:textFill>
            <w14:solidFill>
              <w14:schemeClr w14:val="tx1"/>
            </w14:solidFill>
          </w14:textFill>
        </w:rPr>
        <w:t>书</w:t>
      </w:r>
      <w:bookmarkEnd w:id="121"/>
    </w:p>
    <w:p>
      <w:pPr>
        <w:widowControl/>
        <w:ind w:right="210" w:firstLine="560" w:firstLineChars="200"/>
        <w:jc w:val="left"/>
        <w:rPr>
          <w:rFonts w:ascii="宋体" w:hAnsi="宋体"/>
          <w:color w:val="000000" w:themeColor="text1"/>
          <w:sz w:val="28"/>
          <w:szCs w:val="28"/>
          <w14:textFill>
            <w14:solidFill>
              <w14:schemeClr w14:val="tx1"/>
            </w14:solidFill>
          </w14:textFill>
        </w:rPr>
      </w:pPr>
      <w:bookmarkStart w:id="122" w:name="_Toc217446064"/>
      <w:bookmarkStart w:id="123" w:name="_Toc183582240"/>
      <w:bookmarkStart w:id="124" w:name="_Toc183682377"/>
      <w:r>
        <w:rPr>
          <w:rFonts w:hint="eastAsia" w:ascii="宋体" w:hAnsi="宋体"/>
          <w:color w:val="000000" w:themeColor="text1"/>
          <w:sz w:val="28"/>
          <w:szCs w:val="28"/>
          <w14:textFill>
            <w14:solidFill>
              <w14:schemeClr w14:val="tx1"/>
            </w14:solidFill>
          </w14:textFill>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二、中标通知书对采购人和中标人均具有法律效力。中标通知书发出后，采购人改变中标结果，或者中标人无正当理由放弃中标的，应当承担相应的法律责任。</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三、中标公告在四川政府采购网上公告后，中标供应商自行登录政府采购云平台下载中标通知书。</w:t>
      </w:r>
    </w:p>
    <w:p>
      <w:pPr>
        <w:pStyle w:val="5"/>
        <w:numPr>
          <w:ilvl w:val="1"/>
          <w:numId w:val="3"/>
        </w:numPr>
        <w:spacing w:before="0" w:after="0" w:line="240" w:lineRule="auto"/>
        <w:ind w:left="2269" w:hanging="2269"/>
        <w:rPr>
          <w:color w:val="000000" w:themeColor="text1"/>
          <w14:textFill>
            <w14:solidFill>
              <w14:schemeClr w14:val="tx1"/>
            </w14:solidFill>
          </w14:textFill>
        </w:rPr>
      </w:pPr>
      <w:bookmarkStart w:id="125" w:name="_Toc75336293"/>
      <w:bookmarkStart w:id="126" w:name="_Toc12385"/>
      <w:bookmarkStart w:id="127" w:name="_Toc6010"/>
      <w:bookmarkStart w:id="128" w:name="_Toc19973"/>
      <w:bookmarkStart w:id="129" w:name="_Toc18993"/>
      <w:r>
        <w:rPr>
          <w:rFonts w:hint="eastAsia"/>
          <w:color w:val="000000" w:themeColor="text1"/>
          <w14:textFill>
            <w14:solidFill>
              <w14:schemeClr w14:val="tx1"/>
            </w14:solidFill>
          </w14:textFill>
        </w:rPr>
        <w:t>签订及履行合同</w:t>
      </w:r>
      <w:bookmarkEnd w:id="122"/>
      <w:r>
        <w:rPr>
          <w:rFonts w:hint="eastAsia"/>
          <w:color w:val="000000" w:themeColor="text1"/>
          <w14:textFill>
            <w14:solidFill>
              <w14:schemeClr w14:val="tx1"/>
            </w14:solidFill>
          </w14:textFill>
        </w:rPr>
        <w:t>和验收</w:t>
      </w:r>
      <w:bookmarkEnd w:id="125"/>
      <w:bookmarkEnd w:id="126"/>
      <w:bookmarkEnd w:id="127"/>
      <w:bookmarkEnd w:id="128"/>
      <w:bookmarkEnd w:id="129"/>
    </w:p>
    <w:p>
      <w:pPr>
        <w:pStyle w:val="6"/>
        <w:numPr>
          <w:ilvl w:val="2"/>
          <w:numId w:val="3"/>
        </w:numPr>
        <w:spacing w:after="200" w:line="240" w:lineRule="auto"/>
        <w:ind w:left="0" w:firstLine="0"/>
        <w:rPr>
          <w:color w:val="000000" w:themeColor="text1"/>
          <w14:textFill>
            <w14:solidFill>
              <w14:schemeClr w14:val="tx1"/>
            </w14:solidFill>
          </w14:textFill>
        </w:rPr>
      </w:pPr>
      <w:bookmarkStart w:id="130" w:name="_Toc217446065"/>
      <w:r>
        <w:rPr>
          <w:rFonts w:hint="eastAsia"/>
          <w:color w:val="000000" w:themeColor="text1"/>
          <w14:textFill>
            <w14:solidFill>
              <w14:schemeClr w14:val="tx1"/>
            </w14:solidFill>
          </w14:textFill>
        </w:rPr>
        <w:t>签订合同</w:t>
      </w:r>
      <w:bookmarkEnd w:id="130"/>
    </w:p>
    <w:p>
      <w:pPr>
        <w:numPr>
          <w:ilvl w:val="0"/>
          <w:numId w:val="25"/>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numPr>
          <w:ilvl w:val="0"/>
          <w:numId w:val="25"/>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采购人不得向中标人提出任何不合理的要求，作为签订合同的条件，不得与中标人私下订立背离合同实质性内容的任何协议，所签订的合同不得对招标文件和中标人投标文件作实质性修改。</w:t>
      </w:r>
    </w:p>
    <w:p>
      <w:pPr>
        <w:numPr>
          <w:ilvl w:val="0"/>
          <w:numId w:val="25"/>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招标文件、投标文件、中标通知书等一切与本项目评标结果有关且经责任主体确认的资料均为合同的有效组成部分。</w:t>
      </w:r>
    </w:p>
    <w:p>
      <w:pPr>
        <w:numPr>
          <w:ilvl w:val="0"/>
          <w:numId w:val="25"/>
        </w:numPr>
        <w:tabs>
          <w:tab w:val="left" w:pos="1134"/>
        </w:tabs>
        <w:spacing w:after="200"/>
        <w:ind w:left="0" w:firstLine="565" w:firstLineChars="202"/>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询问或者质疑事项可能影响中标、成交结果的，采购人应当暂停签订合同，已经签订合同的，应当中止履行合同。</w:t>
      </w:r>
    </w:p>
    <w:p>
      <w:pPr>
        <w:pStyle w:val="6"/>
        <w:numPr>
          <w:ilvl w:val="2"/>
          <w:numId w:val="3"/>
        </w:numPr>
        <w:spacing w:after="200" w:line="240" w:lineRule="auto"/>
        <w:ind w:left="0" w:firstLine="0"/>
        <w:rPr>
          <w:color w:val="000000" w:themeColor="text1"/>
          <w14:textFill>
            <w14:solidFill>
              <w14:schemeClr w14:val="tx1"/>
            </w14:solidFill>
          </w14:textFill>
        </w:rPr>
      </w:pPr>
      <w:bookmarkStart w:id="131" w:name="_Toc315871033"/>
      <w:bookmarkEnd w:id="131"/>
      <w:bookmarkStart w:id="132" w:name="_Toc217446066"/>
      <w:bookmarkStart w:id="133" w:name="_Toc217446069"/>
      <w:r>
        <w:rPr>
          <w:rFonts w:hint="eastAsia"/>
          <w:color w:val="000000" w:themeColor="text1"/>
          <w14:textFill>
            <w14:solidFill>
              <w14:schemeClr w14:val="tx1"/>
            </w14:solidFill>
          </w14:textFill>
        </w:rPr>
        <w:t>合同分包</w:t>
      </w:r>
      <w:bookmarkEnd w:id="132"/>
      <w:r>
        <w:rPr>
          <w:rFonts w:hint="eastAsia"/>
          <w:color w:val="000000" w:themeColor="text1"/>
          <w14:textFill>
            <w14:solidFill>
              <w14:schemeClr w14:val="tx1"/>
            </w14:solidFill>
          </w14:textFill>
        </w:rPr>
        <w:t>和转包</w:t>
      </w:r>
    </w:p>
    <w:p>
      <w:pPr>
        <w:pStyle w:val="6"/>
        <w:numPr>
          <w:ilvl w:val="3"/>
          <w:numId w:val="3"/>
        </w:numPr>
        <w:spacing w:after="200" w:line="240" w:lineRule="auto"/>
        <w:rPr>
          <w:color w:val="000000" w:themeColor="text1"/>
          <w14:textFill>
            <w14:solidFill>
              <w14:schemeClr w14:val="tx1"/>
            </w14:solidFill>
          </w14:textFill>
        </w:rPr>
      </w:pPr>
      <w:bookmarkStart w:id="134" w:name="_Toc217446067"/>
      <w:r>
        <w:rPr>
          <w:rFonts w:hint="eastAsia"/>
          <w:color w:val="000000" w:themeColor="text1"/>
          <w14:textFill>
            <w14:solidFill>
              <w14:schemeClr w14:val="tx1"/>
            </w14:solidFill>
          </w14:textFill>
        </w:rPr>
        <w:t>合同分包</w:t>
      </w:r>
    </w:p>
    <w:p>
      <w:pPr>
        <w:pStyle w:val="121"/>
        <w:spacing w:line="360" w:lineRule="auto"/>
        <w:ind w:firstLine="560" w:firstLineChars="200"/>
        <w:rPr>
          <w:rFonts w:cs="Times New Roman"/>
          <w:color w:val="000000" w:themeColor="text1"/>
          <w:sz w:val="28"/>
          <w:szCs w:val="28"/>
          <w:lang w:val="zh-CN"/>
          <w14:textFill>
            <w14:solidFill>
              <w14:schemeClr w14:val="tx1"/>
            </w14:solidFill>
          </w14:textFill>
        </w:rPr>
      </w:pPr>
      <w:r>
        <w:rPr>
          <w:rFonts w:hint="eastAsia" w:cs="Times New Roman"/>
          <w:color w:val="000000" w:themeColor="text1"/>
          <w:sz w:val="28"/>
          <w:szCs w:val="28"/>
          <w:lang w:val="zh-CN"/>
          <w14:textFill>
            <w14:solidFill>
              <w14:schemeClr w14:val="tx1"/>
            </w14:solidFill>
          </w14:textFill>
        </w:rPr>
        <w:t>本</w:t>
      </w:r>
      <w:r>
        <w:rPr>
          <w:rFonts w:cs="Times New Roman"/>
          <w:color w:val="000000" w:themeColor="text1"/>
          <w:sz w:val="28"/>
          <w:szCs w:val="28"/>
          <w:lang w:val="zh-CN"/>
          <w14:textFill>
            <w14:solidFill>
              <w14:schemeClr w14:val="tx1"/>
            </w14:solidFill>
          </w14:textFill>
        </w:rPr>
        <w:t>项目不允许分包</w:t>
      </w:r>
      <w:r>
        <w:rPr>
          <w:rFonts w:hint="eastAsia" w:cs="Times New Roman"/>
          <w:color w:val="000000" w:themeColor="text1"/>
          <w:sz w:val="28"/>
          <w:szCs w:val="28"/>
          <w:lang w:val="zh-CN"/>
          <w14:textFill>
            <w14:solidFill>
              <w14:schemeClr w14:val="tx1"/>
            </w14:solidFill>
          </w14:textFill>
        </w:rPr>
        <w:t xml:space="preserve"> </w:t>
      </w:r>
    </w:p>
    <w:p>
      <w:pPr>
        <w:pStyle w:val="6"/>
        <w:numPr>
          <w:ilvl w:val="3"/>
          <w:numId w:val="3"/>
        </w:numPr>
        <w:spacing w:after="200"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合同转包</w:t>
      </w:r>
    </w:p>
    <w:p>
      <w:pPr>
        <w:ind w:firstLine="560" w:firstLineChars="200"/>
        <w:rPr>
          <w:rFonts w:ascii="宋体" w:hAnsi="宋体" w:cs="宋体"/>
          <w:color w:val="000000" w:themeColor="text1"/>
          <w:kern w:val="0"/>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一、严禁中标供应商将本项目转包。本项目所称转包，是指</w:t>
      </w:r>
      <w:r>
        <w:rPr>
          <w:rFonts w:hint="eastAsia" w:ascii="宋体" w:hAnsi="宋体" w:cs="宋体"/>
          <w:color w:val="000000" w:themeColor="text1"/>
          <w:kern w:val="0"/>
          <w:sz w:val="28"/>
          <w:szCs w:val="28"/>
          <w14:textFill>
            <w14:solidFill>
              <w14:schemeClr w14:val="tx1"/>
            </w14:solidFill>
          </w14:textFill>
        </w:rPr>
        <w:t xml:space="preserve">将本项目转给他人或者将本项目全部肢解以后以分包的名义分别转给他人的行为。 </w:t>
      </w:r>
    </w:p>
    <w:p>
      <w:pPr>
        <w:ind w:firstLine="49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二、中标供应商转包的，视同拒绝履行政府采购合同，将依法追究法律责任。</w:t>
      </w:r>
    </w:p>
    <w:p>
      <w:pPr>
        <w:pStyle w:val="6"/>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采购人增加合同标的的权</w:t>
      </w:r>
      <w:bookmarkEnd w:id="134"/>
      <w:r>
        <w:rPr>
          <w:rFonts w:hint="eastAsia"/>
          <w:color w:val="000000" w:themeColor="text1"/>
          <w14:textFill>
            <w14:solidFill>
              <w14:schemeClr w14:val="tx1"/>
            </w14:solidFill>
          </w14:textFill>
        </w:rPr>
        <w:t>利</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pStyle w:val="6"/>
        <w:numPr>
          <w:ilvl w:val="2"/>
          <w:numId w:val="3"/>
        </w:numPr>
        <w:spacing w:after="200" w:line="240" w:lineRule="auto"/>
        <w:ind w:left="0" w:firstLine="0"/>
        <w:rPr>
          <w:color w:val="000000" w:themeColor="text1"/>
          <w14:textFill>
            <w14:solidFill>
              <w14:schemeClr w14:val="tx1"/>
            </w14:solidFill>
          </w14:textFill>
        </w:rPr>
      </w:pPr>
      <w:bookmarkStart w:id="135" w:name="_Toc217446068"/>
      <w:r>
        <w:rPr>
          <w:rFonts w:hint="eastAsia"/>
          <w:color w:val="000000" w:themeColor="text1"/>
          <w14:textFill>
            <w14:solidFill>
              <w14:schemeClr w14:val="tx1"/>
            </w14:solidFill>
          </w14:textFill>
        </w:rPr>
        <w:t>履约保证金</w:t>
      </w:r>
      <w:bookmarkEnd w:id="135"/>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本项目不</w:t>
      </w:r>
      <w:r>
        <w:rPr>
          <w:rFonts w:ascii="宋体" w:hAnsi="宋体"/>
          <w:color w:val="000000" w:themeColor="text1"/>
          <w:sz w:val="28"/>
          <w:szCs w:val="28"/>
          <w14:textFill>
            <w14:solidFill>
              <w14:schemeClr w14:val="tx1"/>
            </w14:solidFill>
          </w14:textFill>
        </w:rPr>
        <w:t>收取履约保证金</w:t>
      </w:r>
      <w:r>
        <w:rPr>
          <w:rFonts w:hint="eastAsia" w:ascii="宋体" w:hAnsi="宋体"/>
          <w:color w:val="000000" w:themeColor="text1"/>
          <w:sz w:val="28"/>
          <w:szCs w:val="28"/>
          <w14:textFill>
            <w14:solidFill>
              <w14:schemeClr w14:val="tx1"/>
            </w14:solidFill>
          </w14:textFill>
        </w:rPr>
        <w:t>。</w:t>
      </w:r>
    </w:p>
    <w:p>
      <w:pPr>
        <w:pStyle w:val="6"/>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合同公告</w:t>
      </w:r>
    </w:p>
    <w:p>
      <w:pPr>
        <w:pStyle w:val="14"/>
        <w:spacing w:line="24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采购人应当自政府采购合同签订之日起2个工作日内，在四川政府采购网公告，但政府采购合同中涉及国家秘密、商业秘密的内容除外。</w:t>
      </w:r>
    </w:p>
    <w:p>
      <w:pPr>
        <w:pStyle w:val="6"/>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合同备案</w:t>
      </w:r>
    </w:p>
    <w:p>
      <w:pPr>
        <w:pageBreakBefore w:val="0"/>
        <w:tabs>
          <w:tab w:val="left" w:pos="1134"/>
        </w:tabs>
        <w:kinsoku/>
        <w:wordWrap/>
        <w:overflowPunct/>
        <w:topLinePunct w:val="0"/>
        <w:bidi w:val="0"/>
        <w:spacing w:line="560" w:lineRule="exact"/>
        <w:ind w:firstLine="560" w:firstLineChars="200"/>
        <w:textAlignment w:val="auto"/>
        <w:rPr>
          <w:rFonts w:ascii="宋体" w:hAnsi="宋体"/>
          <w:color w:val="000000" w:themeColor="text1"/>
          <w:sz w:val="28"/>
          <w:szCs w:val="28"/>
          <w14:textFill>
            <w14:solidFill>
              <w14:schemeClr w14:val="tx1"/>
            </w14:solidFill>
          </w14:textFill>
        </w:rPr>
      </w:pPr>
      <w:r>
        <w:rPr>
          <w:rFonts w:hint="eastAsia" w:ascii="宋体" w:hAnsi="宋体"/>
          <w:sz w:val="28"/>
          <w:szCs w:val="28"/>
        </w:rPr>
        <w:t>疫情防控期间，采购人原则上在5个工作日内与供应商签订政府采购合同及按</w:t>
      </w:r>
      <w:r>
        <w:rPr>
          <w:rFonts w:hint="eastAsia" w:ascii="宋体" w:hAnsi="宋体"/>
          <w:sz w:val="28"/>
          <w:szCs w:val="28"/>
          <w:lang w:val="en-US" w:eastAsia="zh-CN"/>
        </w:rPr>
        <w:t>彭州</w:t>
      </w:r>
      <w:r>
        <w:rPr>
          <w:rFonts w:hint="eastAsia" w:ascii="宋体" w:hAnsi="宋体"/>
          <w:sz w:val="28"/>
          <w:szCs w:val="28"/>
        </w:rPr>
        <w:t>市财政局的要求完成合同备案工作。</w:t>
      </w:r>
    </w:p>
    <w:p>
      <w:pPr>
        <w:pStyle w:val="6"/>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履行合同</w:t>
      </w:r>
      <w:bookmarkEnd w:id="133"/>
    </w:p>
    <w:p>
      <w:pPr>
        <w:numPr>
          <w:ilvl w:val="0"/>
          <w:numId w:val="26"/>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合同一经签订，双方应严格履行合同规定的义务。</w:t>
      </w:r>
    </w:p>
    <w:p>
      <w:pPr>
        <w:numPr>
          <w:ilvl w:val="0"/>
          <w:numId w:val="26"/>
        </w:numPr>
        <w:tabs>
          <w:tab w:val="left" w:pos="1134"/>
        </w:tabs>
        <w:spacing w:after="200"/>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在合同履行过程中，如发生合同纠纷，合同双方应按照《中华人民共和国民法典》及合同条款的有关规定进行处理。</w:t>
      </w:r>
    </w:p>
    <w:p>
      <w:pPr>
        <w:pStyle w:val="6"/>
        <w:numPr>
          <w:ilvl w:val="2"/>
          <w:numId w:val="3"/>
        </w:numPr>
        <w:spacing w:after="200" w:line="240" w:lineRule="auto"/>
        <w:ind w:left="0" w:firstLine="0"/>
        <w:rPr>
          <w:color w:val="000000" w:themeColor="text1"/>
          <w14:textFill>
            <w14:solidFill>
              <w14:schemeClr w14:val="tx1"/>
            </w14:solidFill>
          </w14:textFill>
        </w:rPr>
      </w:pPr>
      <w:bookmarkStart w:id="136" w:name="_Toc217446070"/>
      <w:r>
        <w:rPr>
          <w:rFonts w:hint="eastAsia"/>
          <w:color w:val="000000" w:themeColor="text1"/>
          <w14:textFill>
            <w14:solidFill>
              <w14:schemeClr w14:val="tx1"/>
            </w14:solidFill>
          </w14:textFill>
        </w:rPr>
        <w:t>验收或考核</w:t>
      </w:r>
    </w:p>
    <w:p>
      <w:pPr>
        <w:pStyle w:val="14"/>
        <w:spacing w:after="0" w:line="240" w:lineRule="auto"/>
        <w:ind w:firstLine="560" w:firstLineChars="200"/>
        <w:rPr>
          <w:rFonts w:ascii="宋体" w:hAnsi="宋体"/>
          <w:b/>
          <w:color w:val="000000" w:themeColor="text1"/>
          <w14:textFill>
            <w14:solidFill>
              <w14:schemeClr w14:val="tx1"/>
            </w14:solidFill>
          </w14:textFill>
        </w:rPr>
      </w:pPr>
      <w:bookmarkStart w:id="137" w:name="_Toc217446071"/>
      <w:r>
        <w:rPr>
          <w:rFonts w:hint="eastAsia" w:ascii="宋体" w:hAnsi="宋体"/>
          <w:color w:val="000000" w:themeColor="text1"/>
          <w:sz w:val="28"/>
          <w:szCs w:val="28"/>
          <w14:textFill>
            <w14:solidFill>
              <w14:schemeClr w14:val="tx1"/>
            </w14:solidFill>
          </w14:textFill>
        </w:rPr>
        <w:t>采购人严格按照国家相关法律法规的要求组织验收或考核。</w:t>
      </w:r>
      <w:bookmarkEnd w:id="137"/>
    </w:p>
    <w:p>
      <w:pPr>
        <w:pStyle w:val="6"/>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资金支付</w:t>
      </w:r>
    </w:p>
    <w:p>
      <w:pPr>
        <w:pStyle w:val="40"/>
        <w:shd w:val="clear" w:color="auto" w:fill="FFFFFF"/>
        <w:spacing w:before="0" w:beforeAutospacing="0" w:after="0" w:afterAutospacing="0"/>
        <w:ind w:firstLine="57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采购人按财政部门的相关规定及采购合同的约定进行支付。</w:t>
      </w:r>
    </w:p>
    <w:bookmarkEnd w:id="123"/>
    <w:bookmarkEnd w:id="124"/>
    <w:bookmarkEnd w:id="136"/>
    <w:p>
      <w:pPr>
        <w:pStyle w:val="5"/>
        <w:numPr>
          <w:ilvl w:val="1"/>
          <w:numId w:val="3"/>
        </w:numPr>
        <w:spacing w:before="0" w:after="0" w:line="240" w:lineRule="auto"/>
        <w:ind w:left="2269" w:hanging="2269"/>
        <w:rPr>
          <w:color w:val="000000" w:themeColor="text1"/>
          <w14:textFill>
            <w14:solidFill>
              <w14:schemeClr w14:val="tx1"/>
            </w14:solidFill>
          </w14:textFill>
        </w:rPr>
      </w:pPr>
      <w:bookmarkStart w:id="138" w:name="_Toc13859"/>
      <w:bookmarkStart w:id="139" w:name="_Toc30945"/>
      <w:bookmarkStart w:id="140" w:name="_Toc75336294"/>
      <w:bookmarkStart w:id="141" w:name="_Toc217446074"/>
      <w:bookmarkStart w:id="142" w:name="_Toc6102"/>
      <w:bookmarkStart w:id="143" w:name="_Toc12434"/>
      <w:bookmarkStart w:id="144" w:name="_Toc183682380"/>
      <w:bookmarkStart w:id="145" w:name="_Toc183582243"/>
      <w:r>
        <w:rPr>
          <w:rFonts w:hint="eastAsia"/>
          <w:color w:val="000000" w:themeColor="text1"/>
          <w14:textFill>
            <w14:solidFill>
              <w14:schemeClr w14:val="tx1"/>
            </w14:solidFill>
          </w14:textFill>
        </w:rPr>
        <w:t>投标纪律要求</w:t>
      </w:r>
      <w:bookmarkEnd w:id="138"/>
      <w:bookmarkEnd w:id="139"/>
      <w:bookmarkEnd w:id="140"/>
      <w:bookmarkEnd w:id="141"/>
      <w:bookmarkEnd w:id="142"/>
      <w:bookmarkEnd w:id="143"/>
    </w:p>
    <w:p>
      <w:pPr>
        <w:pStyle w:val="6"/>
        <w:numPr>
          <w:ilvl w:val="2"/>
          <w:numId w:val="3"/>
        </w:numPr>
        <w:spacing w:after="200" w:line="240" w:lineRule="auto"/>
        <w:ind w:left="0" w:firstLine="0"/>
        <w:rPr>
          <w:color w:val="000000" w:themeColor="text1"/>
          <w14:textFill>
            <w14:solidFill>
              <w14:schemeClr w14:val="tx1"/>
            </w14:solidFill>
          </w14:textFill>
        </w:rPr>
      </w:pPr>
      <w:bookmarkStart w:id="146" w:name="_Toc217446075"/>
      <w:r>
        <w:rPr>
          <w:rFonts w:hint="eastAsia"/>
          <w:color w:val="000000" w:themeColor="text1"/>
          <w14:textFill>
            <w14:solidFill>
              <w14:schemeClr w14:val="tx1"/>
            </w14:solidFill>
          </w14:textFill>
        </w:rPr>
        <w:t>投标人不得具有的情形</w:t>
      </w:r>
      <w:bookmarkEnd w:id="146"/>
    </w:p>
    <w:p>
      <w:pPr>
        <w:pStyle w:val="14"/>
        <w:spacing w:line="240" w:lineRule="auto"/>
        <w:ind w:firstLine="567"/>
        <w:rPr>
          <w:rFonts w:ascii="宋体" w:hAnsi="宋体"/>
          <w:color w:val="000000" w:themeColor="text1"/>
          <w:sz w:val="28"/>
          <w:szCs w:val="28"/>
          <w14:textFill>
            <w14:solidFill>
              <w14:schemeClr w14:val="tx1"/>
            </w14:solidFill>
          </w14:textFill>
        </w:rPr>
      </w:pPr>
      <w:bookmarkStart w:id="147" w:name="_Toc314574786"/>
      <w:r>
        <w:rPr>
          <w:rFonts w:hint="eastAsia" w:ascii="宋体" w:hAnsi="宋体"/>
          <w:color w:val="000000" w:themeColor="text1"/>
          <w:sz w:val="28"/>
          <w:szCs w:val="28"/>
          <w14:textFill>
            <w14:solidFill>
              <w14:schemeClr w14:val="tx1"/>
            </w14:solidFill>
          </w14:textFill>
        </w:rPr>
        <w:t>投标人参加投标不得有下列情形：</w:t>
      </w:r>
    </w:p>
    <w:p>
      <w:pPr>
        <w:numPr>
          <w:ilvl w:val="1"/>
          <w:numId w:val="27"/>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有下列情形之一的，视为投标人串通投标：</w:t>
      </w:r>
    </w:p>
    <w:p>
      <w:pPr>
        <w:tabs>
          <w:tab w:val="left" w:pos="1134"/>
        </w:tabs>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（一）不同投标人的投标文件由同一单位或者个人编制；</w:t>
      </w:r>
    </w:p>
    <w:p>
      <w:pPr>
        <w:tabs>
          <w:tab w:val="left" w:pos="1134"/>
        </w:tabs>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（二）不同投标人委托同一单位或者个人办理投标事宜；</w:t>
      </w:r>
    </w:p>
    <w:p>
      <w:pPr>
        <w:tabs>
          <w:tab w:val="left" w:pos="1134"/>
        </w:tabs>
        <w:ind w:firstLine="425" w:firstLineChars="15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（三）不同投标人的投标文件载明的项目管理成员或者联系人员为同一人；</w:t>
      </w:r>
    </w:p>
    <w:p>
      <w:pPr>
        <w:tabs>
          <w:tab w:val="left" w:pos="1134"/>
        </w:tabs>
        <w:ind w:firstLine="420" w:firstLineChars="1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（四）不同投标人的投标文件异常一致或者投标报价呈规律性差异；</w:t>
      </w:r>
    </w:p>
    <w:p>
      <w:pPr>
        <w:tabs>
          <w:tab w:val="left" w:pos="1134"/>
        </w:tabs>
        <w:ind w:firstLine="420" w:firstLineChars="1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（五）不同投标人的投标文件相互混装；</w:t>
      </w:r>
    </w:p>
    <w:p>
      <w:pPr>
        <w:tabs>
          <w:tab w:val="left" w:pos="1134"/>
        </w:tabs>
        <w:ind w:left="42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（六）不同投标人的投标保证金从同一单位或者个人的账户转出；</w:t>
      </w:r>
    </w:p>
    <w:p>
      <w:pPr>
        <w:numPr>
          <w:ilvl w:val="1"/>
          <w:numId w:val="27"/>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提供虚假材料谋取中标；</w:t>
      </w:r>
    </w:p>
    <w:p>
      <w:pPr>
        <w:numPr>
          <w:ilvl w:val="1"/>
          <w:numId w:val="27"/>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采取不正当手段诋毁、排挤其他投标人；</w:t>
      </w:r>
    </w:p>
    <w:p>
      <w:pPr>
        <w:numPr>
          <w:ilvl w:val="1"/>
          <w:numId w:val="27"/>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与采购人或</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、其他投标人恶意串通；</w:t>
      </w:r>
    </w:p>
    <w:p>
      <w:pPr>
        <w:numPr>
          <w:ilvl w:val="1"/>
          <w:numId w:val="27"/>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向采购人或</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、评标委员会成员行贿或者提供其他不正当利益；</w:t>
      </w:r>
    </w:p>
    <w:p>
      <w:pPr>
        <w:numPr>
          <w:ilvl w:val="1"/>
          <w:numId w:val="27"/>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在招标过程中与采购人或</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进行协商谈判；</w:t>
      </w:r>
    </w:p>
    <w:p>
      <w:pPr>
        <w:numPr>
          <w:ilvl w:val="1"/>
          <w:numId w:val="27"/>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中标后无正当理由拒不与采购人签订政府采购合同；</w:t>
      </w:r>
    </w:p>
    <w:p>
      <w:pPr>
        <w:numPr>
          <w:ilvl w:val="1"/>
          <w:numId w:val="27"/>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未按照采购文件确定的事项签订政府采购合同；</w:t>
      </w:r>
    </w:p>
    <w:p>
      <w:pPr>
        <w:numPr>
          <w:ilvl w:val="1"/>
          <w:numId w:val="27"/>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将政府采购合同转包或者违规分包；</w:t>
      </w:r>
    </w:p>
    <w:p>
      <w:pPr>
        <w:numPr>
          <w:ilvl w:val="1"/>
          <w:numId w:val="27"/>
        </w:numPr>
        <w:tabs>
          <w:tab w:val="left" w:pos="1134"/>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提供假冒伪劣产品；</w:t>
      </w:r>
    </w:p>
    <w:p>
      <w:pPr>
        <w:numPr>
          <w:ilvl w:val="1"/>
          <w:numId w:val="27"/>
        </w:numPr>
        <w:tabs>
          <w:tab w:val="left" w:pos="1134"/>
          <w:tab w:val="left" w:pos="1418"/>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擅自变更、中止或者终止政府采购合同；</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十二、被列入失信被执行人、重大税收违法案件当事人名单、政府采购严重违法失信行为记录名单。参加政府采购活动前三年内，在经营活动中有重大违法记录；</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十三、在行贿犯罪信息查询期限内，根据中国裁判文书网（https://wenshu.court.gov.cn）查询结果供应商及其现任法定代表人、主要负责人有行贿犯罪记录；</w:t>
      </w:r>
    </w:p>
    <w:p>
      <w:pPr>
        <w:tabs>
          <w:tab w:val="left" w:pos="1134"/>
        </w:tabs>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十四、处于被行政部门禁止参与政府采购活动的期限内；</w:t>
      </w:r>
    </w:p>
    <w:p>
      <w:pPr>
        <w:tabs>
          <w:tab w:val="left" w:pos="1134"/>
        </w:tabs>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十五、拒绝有关部门的监督检查或者向监督检查部门提供虚假情况；</w:t>
      </w:r>
    </w:p>
    <w:p>
      <w:pPr>
        <w:pStyle w:val="14"/>
        <w:spacing w:line="24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十六、法律法规规定的其他情形。</w:t>
      </w:r>
    </w:p>
    <w:p>
      <w:pPr>
        <w:tabs>
          <w:tab w:val="left" w:pos="1134"/>
        </w:tabs>
        <w:ind w:firstLine="568" w:firstLineChars="202"/>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投标人有上述情形的，按照规定追究法律责任，具备一至十四条情形之一的，同时将认定投标人投标无效或不确定其为中标人，或者取消中标资格或认定中标无效。</w:t>
      </w:r>
    </w:p>
    <w:p>
      <w:pPr>
        <w:pStyle w:val="6"/>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保密</w:t>
      </w:r>
      <w:bookmarkEnd w:id="147"/>
    </w:p>
    <w:p>
      <w:pPr>
        <w:pStyle w:val="14"/>
        <w:numPr>
          <w:ilvl w:val="0"/>
          <w:numId w:val="28"/>
        </w:numPr>
        <w:tabs>
          <w:tab w:val="left" w:pos="1134"/>
        </w:tabs>
        <w:spacing w:after="0" w:line="24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不得透露有关在系统中成功提交《采购文件获取登记表》的潜在投标人的任何情况。</w:t>
      </w:r>
    </w:p>
    <w:p>
      <w:pPr>
        <w:pStyle w:val="14"/>
        <w:numPr>
          <w:ilvl w:val="0"/>
          <w:numId w:val="28"/>
        </w:numPr>
        <w:tabs>
          <w:tab w:val="left" w:pos="1134"/>
        </w:tabs>
        <w:spacing w:after="0" w:line="240" w:lineRule="auto"/>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有关投标文件的审查、澄清、评估和比较等情况都不得对外透露。</w:t>
      </w:r>
    </w:p>
    <w:p>
      <w:pPr>
        <w:pStyle w:val="6"/>
        <w:numPr>
          <w:ilvl w:val="2"/>
          <w:numId w:val="3"/>
        </w:numPr>
        <w:spacing w:after="200" w:line="240" w:lineRule="auto"/>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回避</w:t>
      </w:r>
    </w:p>
    <w:p>
      <w:pPr>
        <w:pStyle w:val="40"/>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在政府采购活动中，采购人员（如</w:t>
      </w:r>
      <w:r>
        <w:rPr>
          <w:rFonts w:hint="eastAsia"/>
          <w:color w:val="000000" w:themeColor="text1"/>
          <w:sz w:val="28"/>
          <w:szCs w:val="28"/>
          <w14:textFill>
            <w14:solidFill>
              <w14:schemeClr w14:val="tx1"/>
            </w14:solidFill>
          </w14:textFill>
        </w:rPr>
        <w:t>采购人内部负责采购项目的具体经办工作人员或直接分管采购项目的负责人、</w:t>
      </w:r>
      <w:r>
        <w:rPr>
          <w:rFonts w:hint="eastAsia" w:cs="Arial"/>
          <w:color w:val="000000" w:themeColor="text1"/>
          <w:sz w:val="28"/>
          <w:szCs w:val="28"/>
          <w14:textFill>
            <w14:solidFill>
              <w14:schemeClr w14:val="tx1"/>
            </w14:solidFill>
          </w14:textFill>
        </w:rPr>
        <w:t>市公资交易中心</w:t>
      </w:r>
      <w:r>
        <w:rPr>
          <w:rFonts w:hint="eastAsia"/>
          <w:color w:val="000000" w:themeColor="text1"/>
          <w:sz w:val="28"/>
          <w:szCs w:val="28"/>
          <w14:textFill>
            <w14:solidFill>
              <w14:schemeClr w14:val="tx1"/>
            </w14:solidFill>
          </w14:textFill>
        </w:rPr>
        <w:t>负责采购项目的具体经办工作人员或直接分管采购活动的负责人等</w:t>
      </w:r>
      <w:r>
        <w:rPr>
          <w:rFonts w:hint="eastAsia" w:cs="Helvetica"/>
          <w:color w:val="000000" w:themeColor="text1"/>
          <w:sz w:val="28"/>
          <w:szCs w:val="28"/>
          <w14:textFill>
            <w14:solidFill>
              <w14:schemeClr w14:val="tx1"/>
            </w14:solidFill>
          </w14:textFill>
        </w:rPr>
        <w:t>）及相关人员与供应商有下列利害关系之一的，应当回避：</w:t>
      </w:r>
    </w:p>
    <w:p>
      <w:pPr>
        <w:pStyle w:val="40"/>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一</w:t>
      </w:r>
      <w:r>
        <w:rPr>
          <w:rFonts w:cs="Helvetica"/>
          <w:color w:val="000000" w:themeColor="text1"/>
          <w:sz w:val="28"/>
          <w:szCs w:val="28"/>
          <w14:textFill>
            <w14:solidFill>
              <w14:schemeClr w14:val="tx1"/>
            </w14:solidFill>
          </w14:textFill>
        </w:rPr>
        <w:t>、</w:t>
      </w:r>
      <w:r>
        <w:rPr>
          <w:rFonts w:hint="eastAsia" w:cs="Helvetica"/>
          <w:color w:val="000000" w:themeColor="text1"/>
          <w:sz w:val="28"/>
          <w:szCs w:val="28"/>
          <w14:textFill>
            <w14:solidFill>
              <w14:schemeClr w14:val="tx1"/>
            </w14:solidFill>
          </w14:textFill>
        </w:rPr>
        <w:t>参加采购活动前3年内与供应商存在劳动关系；</w:t>
      </w:r>
    </w:p>
    <w:p>
      <w:pPr>
        <w:pStyle w:val="40"/>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二、参加采购活动前3年内担任供应商的董事、监事；</w:t>
      </w:r>
    </w:p>
    <w:p>
      <w:pPr>
        <w:pStyle w:val="40"/>
        <w:shd w:val="clear" w:color="auto" w:fill="FFFFFF"/>
        <w:spacing w:before="0" w:beforeAutospacing="0" w:after="0" w:afterAutospacing="0"/>
        <w:ind w:firstLine="562" w:firstLineChars="201"/>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三、参加采购活动前3年内是供应商的控股股东或者实际控制人；</w:t>
      </w:r>
    </w:p>
    <w:p>
      <w:pPr>
        <w:pStyle w:val="40"/>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四、与供应商的法定代表人或者负责人有夫妻、直系血亲、三代以内旁系血亲或者近姻亲关系；</w:t>
      </w:r>
    </w:p>
    <w:p>
      <w:pPr>
        <w:pStyle w:val="40"/>
        <w:shd w:val="clear" w:color="auto" w:fill="FFFFFF"/>
        <w:spacing w:before="0" w:beforeAutospacing="0" w:after="0" w:afterAutospacing="0"/>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五、与供应商有其他可能影响政府采购活动公平、公正进行的关系。</w:t>
      </w:r>
    </w:p>
    <w:p>
      <w:pPr>
        <w:pStyle w:val="40"/>
        <w:shd w:val="clear" w:color="auto" w:fill="FFFFFF"/>
        <w:spacing w:before="0" w:beforeAutospacing="0" w:after="0" w:afterAutospacing="0"/>
        <w:ind w:firstLine="560" w:firstLineChars="200"/>
        <w:rPr>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bookmarkEnd w:id="144"/>
    <w:bookmarkEnd w:id="145"/>
    <w:p>
      <w:pPr>
        <w:pStyle w:val="5"/>
        <w:numPr>
          <w:ilvl w:val="1"/>
          <w:numId w:val="3"/>
        </w:numPr>
        <w:spacing w:before="0" w:after="0" w:line="240" w:lineRule="auto"/>
        <w:ind w:left="993" w:hanging="993"/>
        <w:rPr>
          <w:color w:val="000000" w:themeColor="text1"/>
          <w14:textFill>
            <w14:solidFill>
              <w14:schemeClr w14:val="tx1"/>
            </w14:solidFill>
          </w14:textFill>
        </w:rPr>
      </w:pPr>
      <w:bookmarkStart w:id="148" w:name="_Toc8315"/>
      <w:bookmarkStart w:id="149" w:name="_Toc15833"/>
      <w:bookmarkStart w:id="150" w:name="_Toc217446078"/>
      <w:bookmarkStart w:id="151" w:name="_Toc75336295"/>
      <w:bookmarkStart w:id="152" w:name="_Toc446402234"/>
      <w:bookmarkStart w:id="153" w:name="_Toc26656"/>
      <w:bookmarkStart w:id="154" w:name="_Toc21164"/>
      <w:bookmarkStart w:id="155" w:name="_Toc374971122"/>
      <w:bookmarkStart w:id="156" w:name="_Toc379536619"/>
      <w:r>
        <w:rPr>
          <w:rFonts w:hint="eastAsia"/>
          <w:color w:val="000000" w:themeColor="text1"/>
          <w14:textFill>
            <w14:solidFill>
              <w14:schemeClr w14:val="tx1"/>
            </w14:solidFill>
          </w14:textFill>
        </w:rPr>
        <w:t>询问、质疑和投诉</w:t>
      </w:r>
      <w:bookmarkEnd w:id="148"/>
      <w:bookmarkEnd w:id="149"/>
      <w:bookmarkEnd w:id="150"/>
      <w:bookmarkEnd w:id="151"/>
      <w:bookmarkEnd w:id="152"/>
      <w:bookmarkEnd w:id="153"/>
      <w:bookmarkEnd w:id="154"/>
      <w:bookmarkStart w:id="157" w:name="_Toc217446079"/>
    </w:p>
    <w:p>
      <w:pPr>
        <w:numPr>
          <w:ilvl w:val="0"/>
          <w:numId w:val="29"/>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询问、质疑、投诉的接收和处理严格按照《中华人民共和国政府采购法》、《中华人民共和国政府采购法实施条例》《中华人民共和国财政部货物和服务招投标管理办法》（财政部第</w:t>
      </w:r>
      <w:r>
        <w:rPr>
          <w:color w:val="000000" w:themeColor="text1"/>
          <w:sz w:val="28"/>
          <w:szCs w:val="28"/>
          <w14:textFill>
            <w14:solidFill>
              <w14:schemeClr w14:val="tx1"/>
            </w14:solidFill>
          </w14:textFill>
        </w:rPr>
        <w:t>87</w:t>
      </w:r>
      <w:r>
        <w:rPr>
          <w:rFonts w:hint="eastAsia"/>
          <w:color w:val="000000" w:themeColor="text1"/>
          <w:sz w:val="28"/>
          <w:szCs w:val="28"/>
          <w14:textFill>
            <w14:solidFill>
              <w14:schemeClr w14:val="tx1"/>
            </w14:solidFill>
          </w14:textFill>
        </w:rPr>
        <w:t>号令）和《政府采购质疑和投诉办法》（财政部</w:t>
      </w:r>
      <w:r>
        <w:rPr>
          <w:color w:val="000000" w:themeColor="text1"/>
          <w:sz w:val="28"/>
          <w:szCs w:val="28"/>
          <w14:textFill>
            <w14:solidFill>
              <w14:schemeClr w14:val="tx1"/>
            </w14:solidFill>
          </w14:textFill>
        </w:rPr>
        <w:t>94</w:t>
      </w:r>
      <w:r>
        <w:rPr>
          <w:rFonts w:hint="eastAsia"/>
          <w:color w:val="000000" w:themeColor="text1"/>
          <w:sz w:val="28"/>
          <w:szCs w:val="28"/>
          <w14:textFill>
            <w14:solidFill>
              <w14:schemeClr w14:val="tx1"/>
            </w14:solidFill>
          </w14:textFill>
        </w:rPr>
        <w:t>号令）的规定办理。</w:t>
      </w:r>
    </w:p>
    <w:p>
      <w:pPr>
        <w:numPr>
          <w:ilvl w:val="0"/>
          <w:numId w:val="29"/>
        </w:numPr>
        <w:spacing w:line="500" w:lineRule="exact"/>
        <w:ind w:left="0" w:firstLine="567"/>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询问、质疑的对象</w:t>
      </w:r>
    </w:p>
    <w:p>
      <w:pPr>
        <w:numPr>
          <w:ilvl w:val="1"/>
          <w:numId w:val="30"/>
        </w:numPr>
        <w:tabs>
          <w:tab w:val="left" w:pos="0"/>
          <w:tab w:val="left" w:pos="1276"/>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对招标文件中</w:t>
      </w:r>
      <w:r>
        <w:rPr>
          <w:rFonts w:hint="eastAsia"/>
          <w:color w:val="000000" w:themeColor="text1"/>
          <w:sz w:val="28"/>
          <w:szCs w:val="28"/>
          <w14:textFill>
            <w14:solidFill>
              <w14:schemeClr w14:val="tx1"/>
            </w14:solidFill>
          </w14:textFill>
        </w:rPr>
        <w:t>供应商</w:t>
      </w:r>
      <w:r>
        <w:rPr>
          <w:rFonts w:hint="eastAsia" w:ascii="宋体" w:hAnsi="宋体"/>
          <w:color w:val="000000" w:themeColor="text1"/>
          <w:sz w:val="28"/>
          <w:szCs w:val="28"/>
          <w14:textFill>
            <w14:solidFill>
              <w14:schemeClr w14:val="tx1"/>
            </w14:solidFill>
          </w14:textFill>
        </w:rPr>
        <w:t>参加本次政府采购活动应当具备的条件，招标项目技术、服务、商务及其他要求，评标细则及标准，和中标结果中关于资格审查提出询问或质疑的，应通过</w:t>
      </w:r>
      <w:r>
        <w:rPr>
          <w:rFonts w:hint="eastAsia"/>
          <w:color w:val="000000" w:themeColor="text1"/>
          <w:sz w:val="28"/>
          <w:szCs w:val="28"/>
          <w14:textFill>
            <w14:solidFill>
              <w14:schemeClr w14:val="tx1"/>
            </w14:solidFill>
          </w14:textFill>
        </w:rPr>
        <w:t>“政府采购云平台”</w:t>
      </w:r>
      <w:r>
        <w:rPr>
          <w:rFonts w:hint="eastAsia" w:ascii="宋体" w:hAnsi="宋体"/>
          <w:color w:val="000000" w:themeColor="text1"/>
          <w:sz w:val="28"/>
          <w:szCs w:val="28"/>
          <w14:textFill>
            <w14:solidFill>
              <w14:schemeClr w14:val="tx1"/>
            </w14:solidFill>
          </w14:textFill>
        </w:rPr>
        <w:t>向采购人提出；</w:t>
      </w:r>
    </w:p>
    <w:p>
      <w:pPr>
        <w:numPr>
          <w:ilvl w:val="1"/>
          <w:numId w:val="30"/>
        </w:numPr>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供应商对除上述招标文件中的其他内容，采购过程及中标结果（除资格审查）提出询问或质疑的，应通过“政府采购云平台”向市公资交易中心提出</w:t>
      </w:r>
      <w:r>
        <w:rPr>
          <w:rFonts w:hint="eastAsia" w:ascii="宋体" w:hAnsi="宋体"/>
          <w:color w:val="000000" w:themeColor="text1"/>
          <w:sz w:val="28"/>
          <w:szCs w:val="28"/>
          <w14:textFill>
            <w14:solidFill>
              <w14:schemeClr w14:val="tx1"/>
            </w14:solidFill>
          </w14:textFill>
        </w:rPr>
        <w:t>。</w:t>
      </w:r>
    </w:p>
    <w:p>
      <w:pPr>
        <w:numPr>
          <w:ilvl w:val="0"/>
          <w:numId w:val="29"/>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供应商提出的询问，应当明确询问事项，如以书面形式提出的，应由供应商签字并加盖公章。</w:t>
      </w:r>
    </w:p>
    <w:p>
      <w:pPr>
        <w:numPr>
          <w:ilvl w:val="0"/>
          <w:numId w:val="29"/>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供应商应在法定质疑期内一次性提出针对同一采购程序环节的质疑。</w:t>
      </w:r>
    </w:p>
    <w:p>
      <w:pPr>
        <w:numPr>
          <w:ilvl w:val="0"/>
          <w:numId w:val="29"/>
        </w:numPr>
        <w:tabs>
          <w:tab w:val="left" w:pos="1134"/>
        </w:tabs>
        <w:spacing w:after="120"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供应商提出质疑时应当准备的资料</w:t>
      </w:r>
    </w:p>
    <w:p>
      <w:pPr>
        <w:pStyle w:val="40"/>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（一）质疑书正本1份；</w:t>
      </w:r>
    </w:p>
    <w:p>
      <w:pPr>
        <w:pStyle w:val="40"/>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（二）法定代表人授权委托书1份（委托代理人办理质疑事宜的需提供）；</w:t>
      </w:r>
    </w:p>
    <w:p>
      <w:pPr>
        <w:pStyle w:val="40"/>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（三）营业执照或法人证书复印件1份（加盖公章）；</w:t>
      </w:r>
    </w:p>
    <w:p>
      <w:pPr>
        <w:pStyle w:val="40"/>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（四）法定代表人身份证复印件1份；</w:t>
      </w:r>
    </w:p>
    <w:p>
      <w:pPr>
        <w:pStyle w:val="40"/>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（五）委托代理人身份证复印件1份（委托代理人办理质疑事宜的需提供）；</w:t>
      </w:r>
    </w:p>
    <w:p>
      <w:pPr>
        <w:pStyle w:val="40"/>
        <w:shd w:val="clear" w:color="auto" w:fill="FFFFFF"/>
        <w:spacing w:before="0" w:beforeAutospacing="0" w:after="0" w:afterAutospacing="0" w:line="276" w:lineRule="auto"/>
        <w:ind w:firstLine="560" w:firstLineChars="200"/>
        <w:rPr>
          <w:rFonts w:cs="Helvetica"/>
          <w:color w:val="000000" w:themeColor="text1"/>
          <w:sz w:val="28"/>
          <w:szCs w:val="28"/>
          <w14:textFill>
            <w14:solidFill>
              <w14:schemeClr w14:val="tx1"/>
            </w14:solidFill>
          </w14:textFill>
        </w:rPr>
      </w:pPr>
      <w:r>
        <w:rPr>
          <w:rFonts w:hint="eastAsia" w:cs="Helvetica"/>
          <w:color w:val="000000" w:themeColor="text1"/>
          <w:sz w:val="28"/>
          <w:szCs w:val="28"/>
          <w14:textFill>
            <w14:solidFill>
              <w14:schemeClr w14:val="tx1"/>
            </w14:solidFill>
          </w14:textFill>
        </w:rPr>
        <w:t>（六）针对质疑事项必要的证明材料。</w:t>
      </w:r>
    </w:p>
    <w:p>
      <w:pPr>
        <w:numPr>
          <w:ilvl w:val="0"/>
          <w:numId w:val="29"/>
        </w:numPr>
        <w:tabs>
          <w:tab w:val="left" w:pos="1134"/>
        </w:tabs>
        <w:spacing w:line="50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供应商对采购人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14:textFill>
            <w14:solidFill>
              <w14:schemeClr w14:val="tx1"/>
            </w14:solidFill>
          </w14:textFill>
        </w:rPr>
        <w:t>市公资交易中心的质疑答复不满意，或者采购人</w:t>
      </w:r>
      <w:r>
        <w:rPr>
          <w:rFonts w:ascii="宋体" w:hAnsi="宋体"/>
          <w:color w:val="000000" w:themeColor="text1"/>
          <w:sz w:val="28"/>
          <w:szCs w:val="28"/>
          <w14:textFill>
            <w14:solidFill>
              <w14:schemeClr w14:val="tx1"/>
            </w14:solidFill>
          </w14:textFill>
        </w:rPr>
        <w:t>或</w:t>
      </w:r>
      <w:r>
        <w:rPr>
          <w:rFonts w:hint="eastAsia" w:ascii="宋体" w:hAnsi="宋体"/>
          <w:color w:val="000000" w:themeColor="text1"/>
          <w:sz w:val="28"/>
          <w:szCs w:val="28"/>
          <w14:textFill>
            <w14:solidFill>
              <w14:schemeClr w14:val="tx1"/>
            </w14:solidFill>
          </w14:textFill>
        </w:rPr>
        <w:t>市公资交易中心未在规定期限内作出答复的，供应商可以在答复期满后15个工作日内向同级财政部门提起投诉。</w:t>
      </w:r>
    </w:p>
    <w:bookmarkEnd w:id="157"/>
    <w:p>
      <w:pPr>
        <w:pStyle w:val="5"/>
        <w:numPr>
          <w:ilvl w:val="1"/>
          <w:numId w:val="3"/>
        </w:numPr>
        <w:spacing w:before="0" w:after="0" w:line="240" w:lineRule="auto"/>
        <w:ind w:left="2269" w:hanging="2269"/>
        <w:rPr>
          <w:color w:val="000000" w:themeColor="text1"/>
          <w:sz w:val="36"/>
          <w:szCs w:val="36"/>
          <w14:textFill>
            <w14:solidFill>
              <w14:schemeClr w14:val="tx1"/>
            </w14:solidFill>
          </w14:textFill>
        </w:rPr>
      </w:pPr>
      <w:bookmarkStart w:id="158" w:name="_Toc8941"/>
      <w:bookmarkStart w:id="159" w:name="_Toc11597"/>
      <w:bookmarkStart w:id="160" w:name="_Toc1212"/>
      <w:bookmarkStart w:id="161" w:name="_Toc10245"/>
      <w:bookmarkStart w:id="162" w:name="_Toc75336296"/>
      <w:r>
        <w:rPr>
          <w:rFonts w:hint="eastAsia"/>
          <w:color w:val="000000" w:themeColor="text1"/>
          <w14:textFill>
            <w14:solidFill>
              <w14:schemeClr w14:val="tx1"/>
            </w14:solidFill>
          </w14:textFill>
        </w:rPr>
        <w:t>中小企业政府采购信用融资</w:t>
      </w:r>
      <w:bookmarkEnd w:id="155"/>
      <w:bookmarkEnd w:id="156"/>
      <w:bookmarkEnd w:id="158"/>
      <w:bookmarkEnd w:id="159"/>
      <w:bookmarkEnd w:id="160"/>
      <w:bookmarkEnd w:id="161"/>
      <w:bookmarkEnd w:id="162"/>
    </w:p>
    <w:p>
      <w:pPr>
        <w:pStyle w:val="2"/>
        <w:spacing w:after="0" w:line="560" w:lineRule="exact"/>
        <w:ind w:firstLine="560" w:firstLineChars="200"/>
        <w:rPr>
          <w:rFonts w:ascii="宋体" w:hAnsi="宋体"/>
          <w:sz w:val="28"/>
          <w:szCs w:val="28"/>
        </w:rPr>
      </w:pPr>
      <w:r>
        <w:rPr>
          <w:rFonts w:hint="eastAsia" w:ascii="宋体" w:hAnsi="宋体"/>
          <w:sz w:val="28"/>
          <w:szCs w:val="28"/>
          <w:lang w:val="en-US" w:eastAsia="zh-CN"/>
        </w:rPr>
        <w:t>一、</w:t>
      </w:r>
      <w:r>
        <w:rPr>
          <w:rFonts w:hint="eastAsia" w:ascii="宋体" w:hAnsi="宋体"/>
          <w:sz w:val="28"/>
          <w:szCs w:val="28"/>
        </w:rPr>
        <w:t>本项目接受中标的中小微企业以信用融资方式履约。</w:t>
      </w:r>
    </w:p>
    <w:p>
      <w:pPr>
        <w:widowControl w:val="0"/>
        <w:spacing w:line="560" w:lineRule="exact"/>
        <w:ind w:firstLine="560" w:firstLineChars="200"/>
        <w:rPr>
          <w:rFonts w:ascii="宋体" w:hAnsi="宋体"/>
          <w:sz w:val="28"/>
          <w:szCs w:val="28"/>
        </w:rPr>
      </w:pPr>
      <w:r>
        <w:rPr>
          <w:rFonts w:hint="eastAsia" w:ascii="宋体" w:hAnsi="宋体"/>
          <w:sz w:val="28"/>
          <w:szCs w:val="28"/>
          <w:lang w:val="en-US" w:eastAsia="zh-CN"/>
        </w:rPr>
        <w:t>二、</w:t>
      </w:r>
      <w:r>
        <w:rPr>
          <w:rFonts w:hint="eastAsia" w:ascii="宋体" w:hAnsi="宋体"/>
          <w:sz w:val="28"/>
          <w:szCs w:val="28"/>
        </w:rPr>
        <w:t>参与政府采购信用融资的中标供应商自主选择信用融资金融合作机构；具体内容详见招标文件附件《彭州市财政局中国人民银行彭州市支行关于印发〈彭州市中小企业政府采购信用融资暂行办法〉和〈彭州市级支持中小企业政府采购信用融资实施方案〉的通知》（彭财发〔2019〕82号）和《彭州市财政局关于公布彭州市首批开展政府采购信用融资业务银行名单的通知》（彭财发〔2019〕128号）。</w:t>
      </w:r>
    </w:p>
    <w:p>
      <w:pPr>
        <w:widowControl w:val="0"/>
        <w:spacing w:line="560" w:lineRule="exact"/>
        <w:ind w:firstLine="565" w:firstLineChars="202"/>
        <w:rPr>
          <w:rFonts w:ascii="宋体" w:hAnsi="宋体"/>
          <w:sz w:val="28"/>
          <w:szCs w:val="28"/>
        </w:rPr>
      </w:pPr>
      <w:r>
        <w:rPr>
          <w:rFonts w:hint="eastAsia" w:ascii="宋体" w:hAnsi="宋体"/>
          <w:sz w:val="28"/>
          <w:szCs w:val="28"/>
          <w:lang w:val="en-US" w:eastAsia="zh-CN"/>
        </w:rPr>
        <w:t>三、</w:t>
      </w:r>
      <w:r>
        <w:rPr>
          <w:rFonts w:hint="eastAsia" w:ascii="宋体" w:hAnsi="宋体"/>
          <w:sz w:val="28"/>
          <w:szCs w:val="28"/>
        </w:rPr>
        <w:t>本地财政部门电话：028-83888323。</w:t>
      </w:r>
    </w:p>
    <w:p>
      <w:pPr>
        <w:tabs>
          <w:tab w:val="left" w:pos="1134"/>
        </w:tabs>
        <w:spacing w:after="200"/>
        <w:ind w:left="567"/>
        <w:rPr>
          <w:rFonts w:ascii="宋体" w:hAnsi="宋体"/>
          <w:color w:val="000000" w:themeColor="text1"/>
          <w:sz w:val="28"/>
          <w:szCs w:val="28"/>
          <w14:textFill>
            <w14:solidFill>
              <w14:schemeClr w14:val="tx1"/>
            </w14:solidFill>
          </w14:textFill>
        </w:rPr>
      </w:pPr>
    </w:p>
    <w:p>
      <w:pPr>
        <w:tabs>
          <w:tab w:val="left" w:pos="1134"/>
        </w:tabs>
        <w:spacing w:after="200"/>
        <w:ind w:left="567"/>
        <w:rPr>
          <w:rFonts w:ascii="宋体" w:hAnsi="宋体"/>
          <w:color w:val="000000" w:themeColor="text1"/>
          <w:sz w:val="28"/>
          <w:szCs w:val="28"/>
          <w14:textFill>
            <w14:solidFill>
              <w14:schemeClr w14:val="tx1"/>
            </w14:solidFill>
          </w14:textFill>
        </w:rPr>
      </w:pPr>
    </w:p>
    <w:p>
      <w:pPr>
        <w:tabs>
          <w:tab w:val="left" w:pos="1134"/>
        </w:tabs>
        <w:spacing w:after="200"/>
        <w:ind w:left="567"/>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
      <w:pPr>
        <w:tabs>
          <w:tab w:val="left" w:pos="1134"/>
        </w:tabs>
        <w:spacing w:after="200"/>
        <w:ind w:left="567"/>
        <w:rPr>
          <w:rFonts w:ascii="宋体" w:hAnsi="宋体"/>
          <w:color w:val="000000" w:themeColor="text1"/>
          <w:sz w:val="28"/>
          <w:szCs w:val="28"/>
          <w14:textFill>
            <w14:solidFill>
              <w14:schemeClr w14:val="tx1"/>
            </w14:solidFill>
          </w14:textFill>
        </w:rPr>
      </w:pPr>
    </w:p>
    <w:p>
      <w:pPr>
        <w:tabs>
          <w:tab w:val="left" w:pos="1134"/>
        </w:tabs>
        <w:spacing w:after="200"/>
        <w:rPr>
          <w:rFonts w:ascii="宋体" w:hAnsi="宋体"/>
          <w:color w:val="000000" w:themeColor="text1"/>
          <w:sz w:val="28"/>
          <w:szCs w:val="28"/>
          <w14:textFill>
            <w14:solidFill>
              <w14:schemeClr w14:val="tx1"/>
            </w14:solidFill>
          </w14:textFill>
        </w:rPr>
      </w:pPr>
    </w:p>
    <w:p>
      <w:pPr>
        <w:pStyle w:val="4"/>
        <w:numPr>
          <w:ilvl w:val="0"/>
          <w:numId w:val="3"/>
        </w:numPr>
        <w:spacing w:line="240" w:lineRule="auto"/>
        <w:rPr>
          <w:color w:val="000000" w:themeColor="text1"/>
          <w14:textFill>
            <w14:solidFill>
              <w14:schemeClr w14:val="tx1"/>
            </w14:solidFill>
          </w14:textFill>
        </w:rPr>
      </w:pPr>
      <w:bookmarkStart w:id="163" w:name="_Toc316292052"/>
      <w:bookmarkEnd w:id="163"/>
      <w:bookmarkStart w:id="164" w:name="_Toc316292048"/>
      <w:bookmarkEnd w:id="164"/>
      <w:bookmarkStart w:id="165" w:name="_Toc316292050"/>
      <w:bookmarkEnd w:id="165"/>
      <w:bookmarkStart w:id="166" w:name="_Toc315871050"/>
      <w:bookmarkEnd w:id="166"/>
      <w:bookmarkStart w:id="167" w:name="_Toc315871045"/>
      <w:bookmarkEnd w:id="167"/>
      <w:bookmarkStart w:id="168" w:name="_Toc315871048"/>
      <w:bookmarkEnd w:id="168"/>
      <w:bookmarkStart w:id="169" w:name="_Toc315871049"/>
      <w:bookmarkEnd w:id="169"/>
      <w:bookmarkStart w:id="170" w:name="_Toc315871046"/>
      <w:bookmarkEnd w:id="170"/>
      <w:bookmarkStart w:id="171" w:name="_Toc315871047"/>
      <w:bookmarkEnd w:id="171"/>
      <w:bookmarkStart w:id="172" w:name="_Toc316292051"/>
      <w:bookmarkEnd w:id="172"/>
      <w:bookmarkStart w:id="173" w:name="_Toc316292049"/>
      <w:bookmarkEnd w:id="173"/>
      <w:bookmarkStart w:id="174" w:name="_Toc8836"/>
      <w:bookmarkStart w:id="175" w:name="_Toc17383"/>
      <w:bookmarkStart w:id="176" w:name="_Toc29131"/>
      <w:bookmarkStart w:id="177" w:name="_Toc75336297"/>
      <w:bookmarkStart w:id="178" w:name="_Toc7565"/>
      <w:r>
        <w:rPr>
          <w:rFonts w:hint="eastAsia"/>
          <w:color w:val="000000" w:themeColor="text1"/>
          <w14:textFill>
            <w14:solidFill>
              <w14:schemeClr w14:val="tx1"/>
            </w14:solidFill>
          </w14:textFill>
        </w:rPr>
        <w:t>投标文件格式</w:t>
      </w:r>
      <w:bookmarkEnd w:id="174"/>
      <w:bookmarkEnd w:id="175"/>
      <w:bookmarkEnd w:id="176"/>
      <w:bookmarkEnd w:id="177"/>
      <w:bookmarkEnd w:id="178"/>
    </w:p>
    <w:p>
      <w:pPr>
        <w:pStyle w:val="5"/>
        <w:numPr>
          <w:ilvl w:val="1"/>
          <w:numId w:val="3"/>
        </w:numPr>
        <w:spacing w:line="240" w:lineRule="auto"/>
        <w:ind w:left="2269" w:hanging="2269"/>
        <w:rPr>
          <w:color w:val="000000" w:themeColor="text1"/>
          <w14:textFill>
            <w14:solidFill>
              <w14:schemeClr w14:val="tx1"/>
            </w14:solidFill>
          </w14:textFill>
        </w:rPr>
      </w:pPr>
      <w:bookmarkStart w:id="179" w:name="_Toc182629023"/>
      <w:bookmarkStart w:id="180" w:name="_Toc211218954"/>
      <w:bookmarkStart w:id="181" w:name="_Toc294701519"/>
      <w:bookmarkStart w:id="182" w:name="_Toc316462354"/>
      <w:bookmarkStart w:id="183" w:name="_Toc187"/>
      <w:bookmarkStart w:id="184" w:name="_Toc295978802"/>
      <w:bookmarkStart w:id="185" w:name="_Toc75336298"/>
      <w:bookmarkStart w:id="186" w:name="_Toc294688711"/>
      <w:bookmarkStart w:id="187" w:name="_Toc287367101"/>
      <w:bookmarkStart w:id="188" w:name="_Toc23011"/>
      <w:bookmarkStart w:id="189" w:name="_Toc15035"/>
      <w:bookmarkStart w:id="190" w:name="_Toc2879"/>
      <w:bookmarkStart w:id="191" w:name="_Toc182759327"/>
      <w:r>
        <w:rPr>
          <w:rFonts w:hint="eastAsia"/>
          <w:color w:val="000000" w:themeColor="text1"/>
          <w14:textFill>
            <w14:solidFill>
              <w14:schemeClr w14:val="tx1"/>
            </w14:solidFill>
          </w14:textFill>
        </w:rPr>
        <w:t>投标文件封面格式</w:t>
      </w:r>
      <w:bookmarkEnd w:id="179"/>
      <w:bookmarkEnd w:id="180"/>
      <w:bookmarkEnd w:id="181"/>
      <w:bookmarkEnd w:id="182"/>
      <w:bookmarkEnd w:id="183"/>
      <w:bookmarkEnd w:id="184"/>
      <w:bookmarkEnd w:id="185"/>
      <w:bookmarkEnd w:id="186"/>
      <w:bookmarkEnd w:id="187"/>
      <w:bookmarkEnd w:id="188"/>
      <w:bookmarkEnd w:id="189"/>
      <w:bookmarkEnd w:id="190"/>
      <w:bookmarkEnd w:id="191"/>
    </w:p>
    <w:p>
      <w:pPr>
        <w:rPr>
          <w:rFonts w:ascii="宋体" w:hAnsi="宋体"/>
          <w:bCs/>
          <w:color w:val="000000" w:themeColor="text1"/>
          <w:szCs w:val="21"/>
          <w14:textFill>
            <w14:solidFill>
              <w14:schemeClr w14:val="tx1"/>
            </w14:solidFill>
          </w14:textFill>
        </w:rPr>
      </w:pPr>
    </w:p>
    <w:p>
      <w:pPr>
        <w:rPr>
          <w:rFonts w:ascii="宋体" w:hAnsi="宋体"/>
          <w:bCs/>
          <w:color w:val="000000" w:themeColor="text1"/>
          <w:szCs w:val="21"/>
          <w14:textFill>
            <w14:solidFill>
              <w14:schemeClr w14:val="tx1"/>
            </w14:solidFill>
          </w14:textFill>
        </w:rPr>
      </w:pPr>
    </w:p>
    <w:p>
      <w:pPr>
        <w:rPr>
          <w:rFonts w:ascii="宋体" w:hAnsi="宋体"/>
          <w:bCs/>
          <w:color w:val="000000" w:themeColor="text1"/>
          <w:szCs w:val="21"/>
          <w14:textFill>
            <w14:solidFill>
              <w14:schemeClr w14:val="tx1"/>
            </w14:solidFill>
          </w14:textFill>
        </w:rPr>
      </w:pPr>
    </w:p>
    <w:p>
      <w:pPr>
        <w:jc w:val="right"/>
        <w:rPr>
          <w:rFonts w:ascii="宋体" w:hAnsi="宋体"/>
          <w:color w:val="000000" w:themeColor="text1"/>
          <w:sz w:val="24"/>
          <w14:textFill>
            <w14:solidFill>
              <w14:schemeClr w14:val="tx1"/>
            </w14:solidFill>
          </w14:textFill>
        </w:rPr>
      </w:pPr>
    </w:p>
    <w:p>
      <w:pPr>
        <w:jc w:val="center"/>
        <w:rPr>
          <w:rFonts w:ascii="宋体" w:hAnsi="宋体"/>
          <w:color w:val="000000" w:themeColor="text1"/>
          <w:spacing w:val="78"/>
          <w:sz w:val="120"/>
          <w:szCs w:val="120"/>
          <w14:textFill>
            <w14:solidFill>
              <w14:schemeClr w14:val="tx1"/>
            </w14:solidFill>
          </w14:textFill>
        </w:rPr>
      </w:pPr>
      <w:r>
        <w:rPr>
          <w:rFonts w:hint="eastAsia" w:ascii="宋体" w:hAnsi="宋体"/>
          <w:color w:val="000000" w:themeColor="text1"/>
          <w:spacing w:val="78"/>
          <w:sz w:val="120"/>
          <w:szCs w:val="120"/>
          <w14:textFill>
            <w14:solidFill>
              <w14:schemeClr w14:val="tx1"/>
            </w14:solidFill>
          </w14:textFill>
        </w:rPr>
        <w:t>投标文件</w:t>
      </w:r>
    </w:p>
    <w:p>
      <w:pPr>
        <w:rPr>
          <w:rFonts w:ascii="宋体" w:hAnsi="宋体"/>
          <w:bCs/>
          <w:color w:val="000000" w:themeColor="text1"/>
          <w:sz w:val="36"/>
          <w14:textFill>
            <w14:solidFill>
              <w14:schemeClr w14:val="tx1"/>
            </w14:solidFill>
          </w14:textFill>
        </w:rPr>
      </w:pPr>
    </w:p>
    <w:p>
      <w:pPr>
        <w:numPr>
          <w:ilvl w:val="0"/>
          <w:numId w:val="0"/>
        </w:numPr>
        <w:spacing w:after="200" w:line="560" w:lineRule="exact"/>
        <w:ind w:left="567" w:leftChars="0"/>
        <w:rPr>
          <w:rFonts w:ascii="宋体" w:hAnsi="宋体"/>
          <w:b/>
          <w:color w:val="000000" w:themeColor="text1"/>
          <w:sz w:val="28"/>
          <w:szCs w:val="28"/>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项目名称：</w:t>
      </w:r>
      <w:r>
        <w:rPr>
          <w:rFonts w:hint="eastAsia" w:ascii="宋体" w:hAnsi="宋体"/>
          <w:b/>
          <w:color w:val="000000" w:themeColor="text1"/>
          <w:sz w:val="28"/>
          <w:szCs w:val="28"/>
          <w:lang w:val="en-US" w:eastAsia="zh-CN"/>
          <w14:textFill>
            <w14:solidFill>
              <w14:schemeClr w14:val="tx1"/>
            </w14:solidFill>
          </w14:textFill>
        </w:rPr>
        <w:t>彭州市第二人民医院后勤外包服务项目</w:t>
      </w:r>
    </w:p>
    <w:p>
      <w:pPr>
        <w:tabs>
          <w:tab w:val="left" w:pos="665"/>
          <w:tab w:val="left" w:pos="3241"/>
          <w:tab w:val="left" w:pos="3525"/>
          <w:tab w:val="left" w:pos="3994"/>
          <w:tab w:val="left" w:pos="4234"/>
        </w:tabs>
        <w:ind w:firstLine="643" w:firstLineChars="200"/>
        <w:jc w:val="left"/>
        <w:rPr>
          <w:rFonts w:hint="default" w:ascii="宋体" w:hAnsi="宋体" w:eastAsia="宋体"/>
          <w:b/>
          <w:bCs/>
          <w:color w:val="000000" w:themeColor="text1"/>
          <w:sz w:val="32"/>
          <w:szCs w:val="32"/>
          <w:lang w:val="en-US" w:eastAsia="zh-CN"/>
          <w14:textFill>
            <w14:solidFill>
              <w14:schemeClr w14:val="tx1"/>
            </w14:solidFill>
          </w14:textFill>
        </w:rPr>
      </w:pPr>
    </w:p>
    <w:p>
      <w:pPr>
        <w:tabs>
          <w:tab w:val="left" w:pos="665"/>
        </w:tabs>
        <w:ind w:firstLine="565" w:firstLineChars="176"/>
        <w:rPr>
          <w:rFonts w:ascii="宋体" w:hAnsi="宋体"/>
          <w:b/>
          <w:bCs/>
          <w:color w:val="000000" w:themeColor="text1"/>
          <w:sz w:val="32"/>
          <w:szCs w:val="32"/>
          <w14:textFill>
            <w14:solidFill>
              <w14:schemeClr w14:val="tx1"/>
            </w14:solidFill>
          </w14:textFill>
        </w:rPr>
      </w:pPr>
      <w:r>
        <w:rPr>
          <w:rFonts w:hint="eastAsia" w:ascii="宋体" w:hAnsi="宋体"/>
          <w:b/>
          <w:bCs/>
          <w:color w:val="000000" w:themeColor="text1"/>
          <w:sz w:val="32"/>
          <w:szCs w:val="32"/>
          <w14:textFill>
            <w14:solidFill>
              <w14:schemeClr w14:val="tx1"/>
            </w14:solidFill>
          </w14:textFill>
        </w:rPr>
        <w:t>项目编号：</w:t>
      </w:r>
      <w:r>
        <w:rPr>
          <w:rFonts w:hint="eastAsia" w:ascii="宋体" w:hAnsi="宋体"/>
          <w:b/>
          <w:bCs/>
          <w:color w:val="000000" w:themeColor="text1"/>
          <w:sz w:val="32"/>
          <w:szCs w:val="32"/>
          <w:lang w:val="en-US" w:eastAsia="zh-CN"/>
          <w14:textFill>
            <w14:solidFill>
              <w14:schemeClr w14:val="tx1"/>
            </w14:solidFill>
          </w14:textFill>
        </w:rPr>
        <w:t>彭州</w:t>
      </w:r>
      <w:r>
        <w:rPr>
          <w:rFonts w:hint="eastAsia" w:ascii="宋体" w:hAnsi="宋体"/>
          <w:b/>
          <w:bCs/>
          <w:color w:val="000000" w:themeColor="text1"/>
          <w:sz w:val="32"/>
          <w:szCs w:val="32"/>
          <w14:textFill>
            <w14:solidFill>
              <w14:schemeClr w14:val="tx1"/>
            </w14:solidFill>
          </w14:textFill>
        </w:rPr>
        <w:t>市政采（2021）A00</w:t>
      </w:r>
      <w:r>
        <w:rPr>
          <w:rFonts w:hint="eastAsia" w:ascii="宋体" w:hAnsi="宋体"/>
          <w:b/>
          <w:bCs/>
          <w:color w:val="000000" w:themeColor="text1"/>
          <w:sz w:val="32"/>
          <w:szCs w:val="32"/>
          <w:lang w:val="en-US" w:eastAsia="zh-CN"/>
          <w14:textFill>
            <w14:solidFill>
              <w14:schemeClr w14:val="tx1"/>
            </w14:solidFill>
          </w14:textFill>
        </w:rPr>
        <w:t>23</w:t>
      </w:r>
      <w:r>
        <w:rPr>
          <w:rFonts w:hint="eastAsia" w:ascii="宋体" w:hAnsi="宋体"/>
          <w:b/>
          <w:bCs/>
          <w:color w:val="000000" w:themeColor="text1"/>
          <w:sz w:val="32"/>
          <w:szCs w:val="32"/>
          <w14:textFill>
            <w14:solidFill>
              <w14:schemeClr w14:val="tx1"/>
            </w14:solidFill>
          </w14:textFill>
        </w:rPr>
        <w:t>号</w:t>
      </w:r>
    </w:p>
    <w:p>
      <w:pPr>
        <w:jc w:val="left"/>
        <w:rPr>
          <w:rFonts w:ascii="宋体" w:hAnsi="宋体"/>
          <w:b/>
          <w:bCs/>
          <w:color w:val="000000" w:themeColor="text1"/>
          <w:sz w:val="36"/>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投标人名称：XXXX</w:t>
      </w:r>
    </w:p>
    <w:p>
      <w:pPr>
        <w:spacing w:line="360" w:lineRule="auto"/>
        <w:ind w:firstLine="569" w:firstLineChars="177"/>
        <w:rPr>
          <w:rFonts w:ascii="宋体" w:hAnsi="宋体"/>
          <w:b/>
          <w:bCs/>
          <w:sz w:val="32"/>
          <w:szCs w:val="32"/>
        </w:rPr>
      </w:pPr>
      <w:r>
        <w:rPr>
          <w:rFonts w:hint="eastAsia" w:ascii="宋体" w:hAnsi="宋体"/>
          <w:b/>
          <w:bCs/>
          <w:sz w:val="32"/>
          <w:szCs w:val="32"/>
        </w:rPr>
        <w:t>日       期：202X年XX月XX日</w:t>
      </w: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5"/>
        <w:numPr>
          <w:ilvl w:val="1"/>
          <w:numId w:val="3"/>
        </w:numPr>
        <w:spacing w:before="0" w:after="0" w:line="240" w:lineRule="auto"/>
        <w:ind w:left="2269" w:hanging="2269"/>
        <w:rPr>
          <w:color w:val="000000" w:themeColor="text1"/>
          <w14:textFill>
            <w14:solidFill>
              <w14:schemeClr w14:val="tx1"/>
            </w14:solidFill>
          </w14:textFill>
        </w:rPr>
      </w:pPr>
      <w:bookmarkStart w:id="192" w:name="_Toc22488"/>
      <w:bookmarkStart w:id="193" w:name="_Toc75336299"/>
      <w:bookmarkStart w:id="194" w:name="_Toc9940"/>
      <w:bookmarkStart w:id="195" w:name="_Toc22607"/>
      <w:bookmarkStart w:id="196" w:name="_Toc729"/>
      <w:bookmarkStart w:id="197" w:name="_Toc217446082"/>
      <w:r>
        <w:rPr>
          <w:rFonts w:hint="eastAsia"/>
          <w:color w:val="000000" w:themeColor="text1"/>
          <w14:textFill>
            <w14:solidFill>
              <w14:schemeClr w14:val="tx1"/>
            </w14:solidFill>
          </w14:textFill>
        </w:rPr>
        <w:t>资格性审查部分</w:t>
      </w:r>
      <w:bookmarkEnd w:id="192"/>
      <w:bookmarkEnd w:id="193"/>
      <w:bookmarkEnd w:id="194"/>
      <w:bookmarkEnd w:id="195"/>
      <w:bookmarkEnd w:id="196"/>
    </w:p>
    <w:p>
      <w:pPr>
        <w:pStyle w:val="6"/>
        <w:numPr>
          <w:ilvl w:val="2"/>
          <w:numId w:val="3"/>
        </w:numPr>
        <w:spacing w:after="200" w:line="240" w:lineRule="auto"/>
        <w:ind w:left="851"/>
        <w:rPr>
          <w:color w:val="000000" w:themeColor="text1"/>
          <w14:textFill>
            <w14:solidFill>
              <w14:schemeClr w14:val="tx1"/>
            </w14:solidFill>
          </w14:textFill>
        </w:rPr>
      </w:pPr>
      <w:r>
        <w:rPr>
          <w:rFonts w:hint="eastAsia"/>
          <w:color w:val="000000" w:themeColor="text1"/>
          <w14:textFill>
            <w14:solidFill>
              <w14:schemeClr w14:val="tx1"/>
            </w14:solidFill>
          </w14:textFill>
        </w:rPr>
        <w:t>关于投标人资格申明的函</w:t>
      </w:r>
    </w:p>
    <w:p>
      <w:pPr>
        <w:rPr>
          <w:rFonts w:ascii="宋体" w:hAnsi="宋体"/>
          <w:color w:val="000000" w:themeColor="text1"/>
          <w:sz w:val="28"/>
          <w:szCs w:val="28"/>
          <w14:textFill>
            <w14:solidFill>
              <w14:schemeClr w14:val="tx1"/>
            </w14:solidFill>
          </w14:textFill>
        </w:rPr>
      </w:pPr>
      <w:bookmarkStart w:id="198" w:name="_Toc238581782"/>
      <w:bookmarkStart w:id="199" w:name="_Toc119295087"/>
      <w:bookmarkStart w:id="200" w:name="_Toc119203988"/>
      <w:bookmarkStart w:id="201" w:name="_Toc119296788"/>
      <w:bookmarkStart w:id="202" w:name="_Toc52184753"/>
      <w:bookmarkStart w:id="203" w:name="_Toc146903609"/>
      <w:r>
        <w:rPr>
          <w:rFonts w:hint="eastAsia" w:ascii="宋体" w:hAnsi="宋体"/>
          <w:color w:val="000000" w:themeColor="text1"/>
          <w:sz w:val="28"/>
          <w:szCs w:val="28"/>
          <w14:textFill>
            <w14:solidFill>
              <w14:schemeClr w14:val="tx1"/>
            </w14:solidFill>
          </w14:textFill>
        </w:rPr>
        <w:t>致：</w:t>
      </w:r>
      <w:r>
        <w:rPr>
          <w:rFonts w:hint="eastAsia" w:ascii="宋体" w:hAnsi="宋体"/>
          <w:color w:val="000000" w:themeColor="text1"/>
          <w:sz w:val="28"/>
          <w:szCs w:val="28"/>
          <w:lang w:val="en-US" w:eastAsia="zh-CN"/>
          <w14:textFill>
            <w14:solidFill>
              <w14:schemeClr w14:val="tx1"/>
            </w14:solidFill>
          </w14:textFill>
        </w:rPr>
        <w:t>彭州</w:t>
      </w:r>
      <w:r>
        <w:rPr>
          <w:rFonts w:hint="eastAsia" w:ascii="宋体" w:hAnsi="宋体"/>
          <w:color w:val="000000" w:themeColor="text1"/>
          <w:sz w:val="28"/>
          <w:szCs w:val="28"/>
          <w14:textFill>
            <w14:solidFill>
              <w14:schemeClr w14:val="tx1"/>
            </w14:solidFill>
          </w14:textFill>
        </w:rPr>
        <w:t>市公共资源交易服务中心</w:t>
      </w:r>
      <w:bookmarkEnd w:id="198"/>
    </w:p>
    <w:p>
      <w:pPr>
        <w:numPr>
          <w:numId w:val="0"/>
        </w:numPr>
        <w:spacing w:after="200" w:line="560" w:lineRule="exact"/>
        <w:ind w:firstLine="560" w:firstLineChars="200"/>
        <w:rPr>
          <w:rFonts w:ascii="宋体" w:hAnsi="宋体"/>
          <w:color w:val="000000" w:themeColor="text1"/>
          <w:sz w:val="28"/>
          <w:szCs w:val="28"/>
          <w14:textFill>
            <w14:solidFill>
              <w14:schemeClr w14:val="tx1"/>
            </w14:solidFill>
          </w14:textFill>
        </w:rPr>
      </w:pPr>
      <w:bookmarkStart w:id="204" w:name="_Toc238581783"/>
      <w:bookmarkStart w:id="445" w:name="_GoBack"/>
      <w:bookmarkEnd w:id="445"/>
      <w:r>
        <w:rPr>
          <w:rFonts w:hint="eastAsia" w:ascii="宋体" w:hAnsi="宋体"/>
          <w:color w:val="000000" w:themeColor="text1"/>
          <w:sz w:val="28"/>
          <w:szCs w:val="28"/>
          <w14:textFill>
            <w14:solidFill>
              <w14:schemeClr w14:val="tx1"/>
            </w14:solidFill>
          </w14:textFill>
        </w:rPr>
        <w:t>关于我方对</w:t>
      </w:r>
      <w:r>
        <w:rPr>
          <w:rFonts w:hint="eastAsia" w:ascii="宋体" w:hAnsi="宋体"/>
          <w:b/>
          <w:color w:val="000000" w:themeColor="text1"/>
          <w:sz w:val="28"/>
          <w:szCs w:val="28"/>
          <w:u w:val="single"/>
          <w:lang w:val="en-US" w:eastAsia="zh-CN"/>
          <w14:textFill>
            <w14:solidFill>
              <w14:schemeClr w14:val="tx1"/>
            </w14:solidFill>
          </w14:textFill>
        </w:rPr>
        <w:t>彭州市第二人民医院后勤外包服务项目</w:t>
      </w:r>
      <w:r>
        <w:rPr>
          <w:rFonts w:hint="eastAsia" w:ascii="宋体" w:hAnsi="宋体"/>
          <w:b/>
          <w:color w:val="000000" w:themeColor="text1"/>
          <w:sz w:val="28"/>
          <w:szCs w:val="28"/>
          <w:u w:val="single"/>
          <w14:textFill>
            <w14:solidFill>
              <w14:schemeClr w14:val="tx1"/>
            </w14:solidFill>
          </w14:textFill>
        </w:rPr>
        <w:t>（项目编号：</w:t>
      </w:r>
      <w:r>
        <w:rPr>
          <w:rFonts w:hint="eastAsia" w:ascii="宋体" w:hAnsi="宋体"/>
          <w:b/>
          <w:color w:val="000000" w:themeColor="text1"/>
          <w:sz w:val="28"/>
          <w:szCs w:val="28"/>
          <w:u w:val="single"/>
          <w:lang w:val="en-US" w:eastAsia="zh-CN"/>
          <w14:textFill>
            <w14:solidFill>
              <w14:schemeClr w14:val="tx1"/>
            </w14:solidFill>
          </w14:textFill>
        </w:rPr>
        <w:t>彭州</w:t>
      </w:r>
      <w:r>
        <w:rPr>
          <w:rFonts w:hint="eastAsia" w:ascii="宋体" w:hAnsi="宋体"/>
          <w:b/>
          <w:color w:val="000000" w:themeColor="text1"/>
          <w:sz w:val="28"/>
          <w:szCs w:val="28"/>
          <w:u w:val="single"/>
          <w14:textFill>
            <w14:solidFill>
              <w14:schemeClr w14:val="tx1"/>
            </w14:solidFill>
          </w14:textFill>
        </w:rPr>
        <w:t>市政采（2021）A00</w:t>
      </w:r>
      <w:r>
        <w:rPr>
          <w:rFonts w:hint="eastAsia" w:ascii="宋体" w:hAnsi="宋体"/>
          <w:b/>
          <w:color w:val="000000" w:themeColor="text1"/>
          <w:sz w:val="28"/>
          <w:szCs w:val="28"/>
          <w:u w:val="single"/>
          <w:lang w:val="en-US" w:eastAsia="zh-CN"/>
          <w14:textFill>
            <w14:solidFill>
              <w14:schemeClr w14:val="tx1"/>
            </w14:solidFill>
          </w14:textFill>
        </w:rPr>
        <w:t>23</w:t>
      </w:r>
      <w:r>
        <w:rPr>
          <w:rFonts w:hint="eastAsia" w:ascii="宋体" w:hAnsi="宋体"/>
          <w:b/>
          <w:color w:val="000000" w:themeColor="text1"/>
          <w:sz w:val="28"/>
          <w:szCs w:val="28"/>
          <w:u w:val="single"/>
          <w14:textFill>
            <w14:solidFill>
              <w14:schemeClr w14:val="tx1"/>
            </w14:solidFill>
          </w14:textFill>
        </w:rPr>
        <w:t>号）</w:t>
      </w:r>
      <w:r>
        <w:rPr>
          <w:rFonts w:hint="eastAsia" w:ascii="宋体" w:hAnsi="宋体"/>
          <w:color w:val="000000" w:themeColor="text1"/>
          <w:sz w:val="28"/>
          <w:szCs w:val="28"/>
          <w14:textFill>
            <w14:solidFill>
              <w14:schemeClr w14:val="tx1"/>
            </w14:solidFill>
          </w14:textFill>
        </w:rPr>
        <w:t>的公开招标，提交的下列文件和说明是准确的和真实的。</w:t>
      </w:r>
      <w:bookmarkEnd w:id="204"/>
    </w:p>
    <w:bookmarkEnd w:id="199"/>
    <w:bookmarkEnd w:id="200"/>
    <w:bookmarkEnd w:id="201"/>
    <w:bookmarkEnd w:id="202"/>
    <w:bookmarkEnd w:id="203"/>
    <w:p>
      <w:pPr>
        <w:widowControl/>
        <w:numPr>
          <w:ilvl w:val="2"/>
          <w:numId w:val="31"/>
        </w:numPr>
        <w:spacing w:after="200"/>
        <w:ind w:left="0" w:firstLine="560" w:firstLineChars="200"/>
        <w:rPr>
          <w:rFonts w:ascii="宋体" w:hAnsi="宋体"/>
          <w:color w:val="000000" w:themeColor="text1"/>
          <w:sz w:val="28"/>
          <w:szCs w:val="28"/>
          <w14:textFill>
            <w14:solidFill>
              <w14:schemeClr w14:val="tx1"/>
            </w14:solidFill>
          </w14:textFill>
        </w:rPr>
      </w:pPr>
      <w:bookmarkStart w:id="205" w:name="_Toc238581784"/>
      <w:r>
        <w:rPr>
          <w:rFonts w:hint="eastAsia" w:ascii="宋体" w:hAnsi="宋体"/>
          <w:color w:val="000000" w:themeColor="text1"/>
          <w:sz w:val="28"/>
          <w:szCs w:val="28"/>
          <w14:textFill>
            <w14:solidFill>
              <w14:schemeClr w14:val="tx1"/>
            </w14:solidFill>
          </w14:textFill>
        </w:rPr>
        <w:t>投标人名称及概况：</w:t>
      </w:r>
      <w:bookmarkEnd w:id="205"/>
    </w:p>
    <w:p>
      <w:pPr>
        <w:widowControl/>
        <w:numPr>
          <w:ilvl w:val="0"/>
          <w:numId w:val="32"/>
        </w:numPr>
        <w:spacing w:after="200"/>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投标人名称：XXXX</w:t>
      </w:r>
    </w:p>
    <w:p>
      <w:pPr>
        <w:widowControl/>
        <w:numPr>
          <w:ilvl w:val="0"/>
          <w:numId w:val="32"/>
        </w:numPr>
        <w:spacing w:after="200"/>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地址：XXXX      邮编：XXXX</w:t>
      </w:r>
    </w:p>
    <w:p>
      <w:pPr>
        <w:widowControl/>
        <w:ind w:left="1261"/>
        <w:jc w:val="left"/>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传真/电话： XXXX</w:t>
      </w:r>
    </w:p>
    <w:p>
      <w:pPr>
        <w:widowControl/>
        <w:numPr>
          <w:ilvl w:val="0"/>
          <w:numId w:val="32"/>
        </w:numPr>
        <w:spacing w:after="200"/>
        <w:ind w:left="0"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成立日期或注册日期：XXXX</w:t>
      </w:r>
    </w:p>
    <w:p>
      <w:pPr>
        <w:widowControl/>
        <w:numPr>
          <w:ilvl w:val="0"/>
          <w:numId w:val="32"/>
        </w:numPr>
        <w:spacing w:after="200"/>
        <w:ind w:left="0" w:firstLine="560" w:firstLineChars="200"/>
        <w:jc w:val="left"/>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法定代表人姓名：XXXX</w:t>
      </w:r>
    </w:p>
    <w:p>
      <w:pPr>
        <w:widowControl/>
        <w:numPr>
          <w:ilvl w:val="2"/>
          <w:numId w:val="31"/>
        </w:numPr>
        <w:tabs>
          <w:tab w:val="left" w:pos="1276"/>
        </w:tabs>
        <w:spacing w:after="200"/>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开户银行名称：XXXX</w:t>
      </w:r>
    </w:p>
    <w:p>
      <w:pPr>
        <w:ind w:firstLine="1260" w:firstLineChars="450"/>
        <w:rPr>
          <w:rFonts w:ascii="宋体" w:hAnsi="宋体"/>
          <w:color w:val="000000" w:themeColor="text1"/>
          <w:sz w:val="28"/>
          <w:szCs w:val="28"/>
          <w:u w:val="single"/>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地址：XXXX</w:t>
      </w:r>
    </w:p>
    <w:p>
      <w:pPr>
        <w:ind w:firstLine="1260" w:firstLineChars="45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账号：XXXX</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投标人名称：XXXX</w:t>
      </w:r>
    </w:p>
    <w:p>
      <w:pPr>
        <w:ind w:left="283" w:leftChars="135" w:firstLine="280" w:firstLineChars="100"/>
        <w:rPr>
          <w:rFonts w:ascii="宋体" w:hAnsi="宋体"/>
          <w:bCs/>
          <w:color w:val="000000" w:themeColor="text1"/>
          <w:sz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日    期：</w:t>
      </w:r>
      <w:r>
        <w:rPr>
          <w:rFonts w:hint="eastAsia" w:ascii="宋体" w:hAnsi="宋体"/>
          <w:bCs/>
          <w:color w:val="000000" w:themeColor="text1"/>
          <w:sz w:val="28"/>
          <w14:textFill>
            <w14:solidFill>
              <w14:schemeClr w14:val="tx1"/>
            </w14:solidFill>
          </w14:textFill>
        </w:rPr>
        <w:t>20XX年XX月XX日</w:t>
      </w:r>
    </w:p>
    <w:p>
      <w:pPr>
        <w:ind w:left="283" w:leftChars="135" w:firstLine="280" w:firstLineChars="100"/>
        <w:rPr>
          <w:rFonts w:ascii="宋体" w:hAnsi="宋体"/>
          <w:bCs/>
          <w:color w:val="000000" w:themeColor="text1"/>
          <w:sz w:val="28"/>
          <w14:textFill>
            <w14:solidFill>
              <w14:schemeClr w14:val="tx1"/>
            </w14:solidFill>
          </w14:textFill>
        </w:rPr>
      </w:pPr>
    </w:p>
    <w:p>
      <w:pPr>
        <w:ind w:left="283" w:leftChars="135" w:firstLine="280" w:firstLineChars="100"/>
        <w:rPr>
          <w:rFonts w:ascii="宋体" w:hAnsi="宋体"/>
          <w:bCs/>
          <w:color w:val="000000" w:themeColor="text1"/>
          <w:sz w:val="28"/>
          <w14:textFill>
            <w14:solidFill>
              <w14:schemeClr w14:val="tx1"/>
            </w14:solidFill>
          </w14:textFill>
        </w:rPr>
      </w:pPr>
    </w:p>
    <w:p>
      <w:pPr>
        <w:ind w:left="283" w:leftChars="135" w:firstLine="280" w:firstLineChars="100"/>
        <w:rPr>
          <w:rFonts w:ascii="宋体" w:hAnsi="宋体"/>
          <w:color w:val="000000" w:themeColor="text1"/>
          <w:sz w:val="28"/>
          <w:szCs w:val="28"/>
          <w14:textFill>
            <w14:solidFill>
              <w14:schemeClr w14:val="tx1"/>
            </w14:solidFill>
          </w14:textFill>
        </w:rPr>
      </w:pPr>
    </w:p>
    <w:p>
      <w:pPr>
        <w:pStyle w:val="6"/>
        <w:numPr>
          <w:ilvl w:val="2"/>
          <w:numId w:val="3"/>
        </w:numPr>
        <w:spacing w:after="200" w:line="240" w:lineRule="auto"/>
        <w:ind w:left="851"/>
        <w:rPr>
          <w:color w:val="000000" w:themeColor="text1"/>
          <w14:textFill>
            <w14:solidFill>
              <w14:schemeClr w14:val="tx1"/>
            </w14:solidFill>
          </w14:textFill>
        </w:rPr>
      </w:pPr>
      <w:r>
        <w:rPr>
          <w:rFonts w:hint="eastAsia"/>
          <w:color w:val="000000" w:themeColor="text1"/>
          <w14:textFill>
            <w14:solidFill>
              <w14:schemeClr w14:val="tx1"/>
            </w14:solidFill>
          </w14:textFill>
        </w:rPr>
        <w:t>声明</w:t>
      </w:r>
    </w:p>
    <w:p>
      <w:pPr>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致：</w:t>
      </w:r>
      <w:r>
        <w:rPr>
          <w:rFonts w:hint="eastAsia" w:ascii="宋体" w:hAnsi="宋体"/>
          <w:color w:val="000000" w:themeColor="text1"/>
          <w:sz w:val="28"/>
          <w:szCs w:val="28"/>
          <w:lang w:val="en-US" w:eastAsia="zh-CN"/>
          <w14:textFill>
            <w14:solidFill>
              <w14:schemeClr w14:val="tx1"/>
            </w14:solidFill>
          </w14:textFill>
        </w:rPr>
        <w:t>彭州</w:t>
      </w:r>
      <w:r>
        <w:rPr>
          <w:rFonts w:hint="eastAsia" w:ascii="宋体" w:hAnsi="宋体"/>
          <w:color w:val="000000" w:themeColor="text1"/>
          <w:sz w:val="28"/>
          <w:szCs w:val="28"/>
          <w14:textFill>
            <w14:solidFill>
              <w14:schemeClr w14:val="tx1"/>
            </w14:solidFill>
          </w14:textFill>
        </w:rPr>
        <w:t>市公共资源交易服务中心</w:t>
      </w:r>
    </w:p>
    <w:p>
      <w:pPr>
        <w:numPr>
          <w:numId w:val="0"/>
        </w:numPr>
        <w:spacing w:after="200" w:line="560" w:lineRule="exact"/>
        <w:ind w:firstLine="560" w:firstLineChars="200"/>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我单位作为</w:t>
      </w:r>
      <w:r>
        <w:rPr>
          <w:rFonts w:hint="eastAsia" w:ascii="宋体" w:hAnsi="宋体"/>
          <w:b/>
          <w:color w:val="000000" w:themeColor="text1"/>
          <w:sz w:val="28"/>
          <w:szCs w:val="28"/>
          <w:u w:val="single"/>
          <w:lang w:val="en-US" w:eastAsia="zh-CN"/>
          <w14:textFill>
            <w14:solidFill>
              <w14:schemeClr w14:val="tx1"/>
            </w14:solidFill>
          </w14:textFill>
        </w:rPr>
        <w:t>彭州市第二人民医院后勤外包服务项目</w:t>
      </w:r>
      <w:r>
        <w:rPr>
          <w:rFonts w:hint="eastAsia" w:ascii="宋体" w:hAnsi="宋体"/>
          <w:b/>
          <w:color w:val="000000" w:themeColor="text1"/>
          <w:sz w:val="28"/>
          <w:szCs w:val="28"/>
          <w:u w:val="single"/>
          <w14:textFill>
            <w14:solidFill>
              <w14:schemeClr w14:val="tx1"/>
            </w14:solidFill>
          </w14:textFill>
        </w:rPr>
        <w:t>（项目编号：</w:t>
      </w:r>
      <w:r>
        <w:rPr>
          <w:rFonts w:hint="eastAsia" w:ascii="宋体" w:hAnsi="宋体"/>
          <w:b/>
          <w:color w:val="000000" w:themeColor="text1"/>
          <w:sz w:val="28"/>
          <w:szCs w:val="28"/>
          <w:u w:val="single"/>
          <w:lang w:val="en-US" w:eastAsia="zh-CN"/>
          <w14:textFill>
            <w14:solidFill>
              <w14:schemeClr w14:val="tx1"/>
            </w14:solidFill>
          </w14:textFill>
        </w:rPr>
        <w:t>彭州</w:t>
      </w:r>
      <w:r>
        <w:rPr>
          <w:rFonts w:hint="eastAsia" w:ascii="宋体" w:hAnsi="宋体"/>
          <w:b/>
          <w:color w:val="000000" w:themeColor="text1"/>
          <w:sz w:val="28"/>
          <w:szCs w:val="28"/>
          <w:u w:val="single"/>
          <w14:textFill>
            <w14:solidFill>
              <w14:schemeClr w14:val="tx1"/>
            </w14:solidFill>
          </w14:textFill>
        </w:rPr>
        <w:t>市政采（2021）A00</w:t>
      </w:r>
      <w:r>
        <w:rPr>
          <w:rFonts w:hint="eastAsia" w:ascii="宋体" w:hAnsi="宋体"/>
          <w:b/>
          <w:color w:val="000000" w:themeColor="text1"/>
          <w:sz w:val="28"/>
          <w:szCs w:val="28"/>
          <w:u w:val="single"/>
          <w:lang w:val="en-US" w:eastAsia="zh-CN"/>
          <w14:textFill>
            <w14:solidFill>
              <w14:schemeClr w14:val="tx1"/>
            </w14:solidFill>
          </w14:textFill>
        </w:rPr>
        <w:t>23</w:t>
      </w:r>
      <w:r>
        <w:rPr>
          <w:rFonts w:hint="eastAsia" w:ascii="宋体" w:hAnsi="宋体"/>
          <w:b/>
          <w:color w:val="000000" w:themeColor="text1"/>
          <w:sz w:val="28"/>
          <w:szCs w:val="28"/>
          <w:u w:val="single"/>
          <w14:textFill>
            <w14:solidFill>
              <w14:schemeClr w14:val="tx1"/>
            </w14:solidFill>
          </w14:textFill>
        </w:rPr>
        <w:t>号）</w:t>
      </w:r>
      <w:r>
        <w:rPr>
          <w:rFonts w:hint="eastAsia" w:ascii="宋体" w:hAnsi="宋体"/>
          <w:color w:val="000000" w:themeColor="text1"/>
          <w:sz w:val="28"/>
          <w:szCs w:val="28"/>
          <w14:textFill>
            <w14:solidFill>
              <w14:schemeClr w14:val="tx1"/>
            </w14:solidFill>
          </w14:textFill>
        </w:rPr>
        <w:t>的投标人，在此郑重声明：</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一、我单位参加政府采购活动前三年内，在经营活动中</w:t>
      </w:r>
      <w:r>
        <w:rPr>
          <w:rFonts w:hint="eastAsia" w:ascii="宋体" w:hAnsi="宋体"/>
          <w:b/>
          <w:color w:val="000000" w:themeColor="text1"/>
          <w:sz w:val="28"/>
          <w:szCs w:val="28"/>
          <w:u w:val="single"/>
          <w14:textFill>
            <w14:solidFill>
              <w14:schemeClr w14:val="tx1"/>
            </w14:solidFill>
          </w14:textFill>
        </w:rPr>
        <w:t>（说明：填写“没有”或“有”）</w:t>
      </w:r>
      <w:r>
        <w:rPr>
          <w:rFonts w:hint="eastAsia" w:ascii="宋体" w:hAnsi="宋体"/>
          <w:color w:val="000000" w:themeColor="text1"/>
          <w:sz w:val="28"/>
          <w:szCs w:val="28"/>
          <w14:textFill>
            <w14:solidFill>
              <w14:schemeClr w14:val="tx1"/>
            </w14:solidFill>
          </w14:textFill>
        </w:rPr>
        <w:t>重大违法记录。</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二、我单位</w:t>
      </w:r>
      <w:r>
        <w:rPr>
          <w:rFonts w:hint="eastAsia" w:ascii="宋体" w:hAnsi="宋体"/>
          <w:b/>
          <w:color w:val="000000" w:themeColor="text1"/>
          <w:sz w:val="28"/>
          <w:szCs w:val="28"/>
          <w:u w:val="single"/>
          <w14:textFill>
            <w14:solidFill>
              <w14:schemeClr w14:val="tx1"/>
            </w14:solidFill>
          </w14:textFill>
        </w:rPr>
        <w:t>（说明：填写“具有”或“不具有”）</w:t>
      </w:r>
      <w:r>
        <w:rPr>
          <w:rFonts w:hint="eastAsia" w:ascii="宋体" w:hAnsi="宋体"/>
          <w:color w:val="000000" w:themeColor="text1"/>
          <w:sz w:val="28"/>
          <w:szCs w:val="28"/>
          <w14:textFill>
            <w14:solidFill>
              <w14:schemeClr w14:val="tx1"/>
            </w14:solidFill>
          </w14:textFill>
        </w:rPr>
        <w:t>良好的商业信誉。</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三、与我单位负责人为同一人或者存在直接控股、管理关系的相关供应商：</w:t>
      </w:r>
      <w:r>
        <w:rPr>
          <w:rFonts w:hint="eastAsia" w:ascii="宋体" w:hAnsi="宋体"/>
          <w:b/>
          <w:color w:val="000000" w:themeColor="text1"/>
          <w:sz w:val="28"/>
          <w:szCs w:val="28"/>
          <w:u w:val="single"/>
          <w14:textFill>
            <w14:solidFill>
              <w14:schemeClr w14:val="tx1"/>
            </w14:solidFill>
          </w14:textFill>
        </w:rPr>
        <w:t>（说明：填写“无”或“（一）供应商名称１；（二）供应商名称２；（三）……”）</w:t>
      </w:r>
      <w:r>
        <w:rPr>
          <w:rFonts w:hint="eastAsia" w:ascii="宋体" w:hAnsi="宋体"/>
          <w:color w:val="000000" w:themeColor="text1"/>
          <w:sz w:val="28"/>
          <w:szCs w:val="28"/>
          <w14:textFill>
            <w14:solidFill>
              <w14:schemeClr w14:val="tx1"/>
            </w14:solidFill>
          </w14:textFill>
        </w:rPr>
        <w:t xml:space="preserve"> 。</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四、在行贿犯罪信息查询期限内，我单位及我单位现任法定代表人、主要负责人</w:t>
      </w:r>
      <w:r>
        <w:rPr>
          <w:rFonts w:hint="eastAsia" w:ascii="宋体" w:hAnsi="宋体"/>
          <w:b/>
          <w:color w:val="000000" w:themeColor="text1"/>
          <w:sz w:val="28"/>
          <w:szCs w:val="28"/>
          <w:u w:val="single"/>
          <w14:textFill>
            <w14:solidFill>
              <w14:schemeClr w14:val="tx1"/>
            </w14:solidFill>
          </w14:textFill>
        </w:rPr>
        <w:t>（说明：填写“没有”或“有”）</w:t>
      </w:r>
      <w:r>
        <w:rPr>
          <w:rFonts w:hint="eastAsia" w:ascii="宋体" w:hAnsi="宋体"/>
          <w:color w:val="000000" w:themeColor="text1"/>
          <w:sz w:val="28"/>
          <w:szCs w:val="28"/>
          <w14:textFill>
            <w14:solidFill>
              <w14:schemeClr w14:val="tx1"/>
            </w14:solidFill>
          </w14:textFill>
        </w:rPr>
        <w:t>行贿犯罪记录。</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五、我单位</w:t>
      </w:r>
      <w:r>
        <w:rPr>
          <w:rFonts w:hint="eastAsia" w:ascii="宋体" w:hAnsi="宋体"/>
          <w:b/>
          <w:color w:val="000000" w:themeColor="text1"/>
          <w:sz w:val="28"/>
          <w:szCs w:val="28"/>
          <w:u w:val="single"/>
          <w14:textFill>
            <w14:solidFill>
              <w14:schemeClr w14:val="tx1"/>
            </w14:solidFill>
          </w14:textFill>
        </w:rPr>
        <w:t>（说明：填写“未列入”或“被列入”）</w:t>
      </w:r>
      <w:r>
        <w:rPr>
          <w:rFonts w:hint="eastAsia" w:ascii="宋体" w:hAnsi="宋体"/>
          <w:color w:val="000000" w:themeColor="text1"/>
          <w:sz w:val="28"/>
          <w:szCs w:val="28"/>
          <w14:textFill>
            <w14:solidFill>
              <w14:schemeClr w14:val="tx1"/>
            </w14:solidFill>
          </w14:textFill>
        </w:rPr>
        <w:t>失信被执行人、重大税收违法案件当事人名单。</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我单位</w:t>
      </w:r>
      <w:r>
        <w:rPr>
          <w:rFonts w:hint="eastAsia" w:ascii="宋体" w:hAnsi="宋体"/>
          <w:b/>
          <w:color w:val="000000" w:themeColor="text1"/>
          <w:sz w:val="28"/>
          <w:szCs w:val="28"/>
          <w:u w:val="single"/>
          <w14:textFill>
            <w14:solidFill>
              <w14:schemeClr w14:val="tx1"/>
            </w14:solidFill>
          </w14:textFill>
        </w:rPr>
        <w:t>（说明：填写“未列入”或“被列入”）</w:t>
      </w:r>
      <w:r>
        <w:rPr>
          <w:rFonts w:hint="eastAsia" w:ascii="宋体" w:hAnsi="宋体"/>
          <w:color w:val="000000" w:themeColor="text1"/>
          <w:sz w:val="28"/>
          <w:szCs w:val="28"/>
          <w14:textFill>
            <w14:solidFill>
              <w14:schemeClr w14:val="tx1"/>
            </w14:solidFill>
          </w14:textFill>
        </w:rPr>
        <w:t>政府采购严重违法失信行为记录名单。</w:t>
      </w:r>
    </w:p>
    <w:p>
      <w:pPr>
        <w:ind w:firstLine="560" w:firstLineChars="200"/>
        <w:rPr>
          <w:bCs/>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六、我单位</w:t>
      </w:r>
      <w:r>
        <w:rPr>
          <w:rFonts w:hint="eastAsia" w:ascii="宋体" w:hAnsi="宋体"/>
          <w:b/>
          <w:color w:val="000000" w:themeColor="text1"/>
          <w:sz w:val="28"/>
          <w:szCs w:val="28"/>
          <w:u w:val="single"/>
          <w14:textFill>
            <w14:solidFill>
              <w14:schemeClr w14:val="tx1"/>
            </w14:solidFill>
          </w14:textFill>
        </w:rPr>
        <w:t>（说明：填写“未处于”或“处于”）</w:t>
      </w:r>
      <w:r>
        <w:rPr>
          <w:rFonts w:hint="eastAsia" w:ascii="宋体" w:hAnsi="宋体"/>
          <w:bCs/>
          <w:color w:val="000000" w:themeColor="text1"/>
          <w:sz w:val="28"/>
          <w:szCs w:val="28"/>
          <w14:textFill>
            <w14:solidFill>
              <w14:schemeClr w14:val="tx1"/>
            </w14:solidFill>
          </w14:textFill>
        </w:rPr>
        <w:t>被行政部门禁止参与政府采购活动的期限内。</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特此声明。</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投标人名称：XXXX</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    期：20XX年XX月XX日</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说明： 1.对声明中第一条的说明：如投标人在参加政府采购活动前三年内，在经营活动中有重大违法记录的，应填写“有”，投标人将被认定投标无效或被取消中标资格；</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2.对声明中第三条的说明：单位负责人为同一人或者存在直接控股、管理关系的不同供应商，不得参加同一合同项下的政府采购活动；</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5.对声明中第六条的说明：如投标人处于被行政部门禁止参加政府采购活动期限内的，该声明填“处于”，投标人将被认定投标无效或被取消中标资格。</w:t>
      </w:r>
    </w:p>
    <w:p>
      <w:pPr>
        <w:ind w:firstLine="560" w:firstLineChars="200"/>
        <w:rPr>
          <w:rFonts w:ascii="宋体" w:hAnsi="宋体"/>
          <w:color w:val="000000" w:themeColor="text1"/>
          <w:sz w:val="28"/>
          <w:szCs w:val="28"/>
          <w14:textFill>
            <w14:solidFill>
              <w14:schemeClr w14:val="tx1"/>
            </w14:solidFill>
          </w14:textFill>
        </w:rPr>
      </w:pPr>
    </w:p>
    <w:p>
      <w:pPr>
        <w:ind w:firstLine="560" w:firstLineChars="200"/>
        <w:rPr>
          <w:rFonts w:ascii="宋体" w:hAnsi="宋体"/>
          <w:color w:val="000000" w:themeColor="text1"/>
          <w:sz w:val="28"/>
          <w:szCs w:val="28"/>
          <w14:textFill>
            <w14:solidFill>
              <w14:schemeClr w14:val="tx1"/>
            </w14:solidFill>
          </w14:textFill>
        </w:rPr>
      </w:pPr>
    </w:p>
    <w:p>
      <w:pPr>
        <w:ind w:firstLine="560" w:firstLineChars="200"/>
        <w:rPr>
          <w:rFonts w:ascii="宋体" w:hAnsi="宋体"/>
          <w:color w:val="000000" w:themeColor="text1"/>
          <w:sz w:val="28"/>
          <w:szCs w:val="28"/>
          <w14:textFill>
            <w14:solidFill>
              <w14:schemeClr w14:val="tx1"/>
            </w14:solidFill>
          </w14:textFill>
        </w:rPr>
      </w:pPr>
    </w:p>
    <w:p>
      <w:pPr>
        <w:ind w:firstLine="560" w:firstLineChars="200"/>
        <w:rPr>
          <w:rFonts w:ascii="宋体" w:hAnsi="宋体"/>
          <w:color w:val="000000" w:themeColor="text1"/>
          <w:sz w:val="28"/>
          <w:szCs w:val="28"/>
          <w14:textFill>
            <w14:solidFill>
              <w14:schemeClr w14:val="tx1"/>
            </w14:solidFill>
          </w14:textFill>
        </w:rPr>
      </w:pPr>
    </w:p>
    <w:p>
      <w:pPr>
        <w:pStyle w:val="6"/>
        <w:numPr>
          <w:ilvl w:val="2"/>
          <w:numId w:val="3"/>
        </w:numPr>
        <w:spacing w:after="200" w:line="240" w:lineRule="auto"/>
        <w:ind w:left="851"/>
        <w:rPr>
          <w:color w:val="000000" w:themeColor="text1"/>
          <w14:textFill>
            <w14:solidFill>
              <w14:schemeClr w14:val="tx1"/>
            </w14:solidFill>
          </w14:textFill>
        </w:rPr>
      </w:pPr>
      <w:r>
        <w:rPr>
          <w:rFonts w:hint="eastAsia"/>
          <w:color w:val="000000" w:themeColor="text1"/>
          <w14:textFill>
            <w14:solidFill>
              <w14:schemeClr w14:val="tx1"/>
            </w14:solidFill>
          </w14:textFill>
        </w:rPr>
        <w:t>投标人应提交的相关资格证明材料</w:t>
      </w:r>
    </w:p>
    <w:p>
      <w:pP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投标人按招标文件要求，应提供以下相关资格证明材料：</w:t>
      </w:r>
    </w:p>
    <w:p>
      <w:pPr>
        <w:numPr>
          <w:ilvl w:val="0"/>
          <w:numId w:val="33"/>
        </w:numPr>
        <w:tabs>
          <w:tab w:val="left" w:pos="709"/>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营业执照复印件（正本或副本）或法人证书复印件（正本或副本）；</w:t>
      </w:r>
    </w:p>
    <w:p>
      <w:pPr>
        <w:numPr>
          <w:ilvl w:val="0"/>
          <w:numId w:val="33"/>
        </w:numPr>
        <w:tabs>
          <w:tab w:val="left" w:pos="709"/>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20</w:t>
      </w:r>
      <w:r>
        <w:rPr>
          <w:rFonts w:ascii="宋体" w:hAnsi="宋体"/>
          <w:color w:val="000000" w:themeColor="text1"/>
          <w:kern w:val="0"/>
          <w:sz w:val="28"/>
          <w:szCs w:val="28"/>
          <w14:textFill>
            <w14:solidFill>
              <w14:schemeClr w14:val="tx1"/>
            </w14:solidFill>
          </w14:textFill>
        </w:rPr>
        <w:t>19</w:t>
      </w:r>
      <w:r>
        <w:rPr>
          <w:rFonts w:hint="eastAsia" w:ascii="宋体" w:hAnsi="宋体"/>
          <w:color w:val="000000" w:themeColor="text1"/>
          <w:kern w:val="0"/>
          <w:sz w:val="28"/>
          <w:szCs w:val="28"/>
          <w14:textFill>
            <w14:solidFill>
              <w14:schemeClr w14:val="tx1"/>
            </w14:solidFill>
          </w14:textFill>
        </w:rPr>
        <w:t>或20</w:t>
      </w:r>
      <w:r>
        <w:rPr>
          <w:rFonts w:ascii="宋体" w:hAnsi="宋体"/>
          <w:color w:val="000000" w:themeColor="text1"/>
          <w:kern w:val="0"/>
          <w:sz w:val="28"/>
          <w:szCs w:val="28"/>
          <w14:textFill>
            <w14:solidFill>
              <w14:schemeClr w14:val="tx1"/>
            </w14:solidFill>
          </w14:textFill>
        </w:rPr>
        <w:t>20</w:t>
      </w:r>
      <w:r>
        <w:rPr>
          <w:rFonts w:hint="eastAsia" w:ascii="宋体" w:hAnsi="宋体"/>
          <w:color w:val="000000" w:themeColor="text1"/>
          <w:kern w:val="0"/>
          <w:sz w:val="28"/>
          <w:szCs w:val="28"/>
          <w14:textFill>
            <w14:solidFill>
              <w14:schemeClr w14:val="tx1"/>
            </w14:solidFill>
          </w14:textFill>
        </w:rPr>
        <w:t>会计年度资产负债表复印件（说明：投标人成立时间至递交投标文件截止时间止不足一年的，提供成立后任意时段的资产负债表复印件）；</w:t>
      </w:r>
    </w:p>
    <w:p>
      <w:pPr>
        <w:numPr>
          <w:ilvl w:val="0"/>
          <w:numId w:val="33"/>
        </w:numPr>
        <w:tabs>
          <w:tab w:val="left" w:pos="1134"/>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投标人缴纳20</w:t>
      </w:r>
      <w:r>
        <w:rPr>
          <w:rFonts w:ascii="宋体" w:hAnsi="宋体"/>
          <w:color w:val="000000" w:themeColor="text1"/>
          <w:kern w:val="0"/>
          <w:sz w:val="28"/>
          <w:szCs w:val="28"/>
          <w14:textFill>
            <w14:solidFill>
              <w14:schemeClr w14:val="tx1"/>
            </w14:solidFill>
          </w14:textFill>
        </w:rPr>
        <w:t>20</w:t>
      </w:r>
      <w:r>
        <w:rPr>
          <w:rFonts w:hint="eastAsia" w:ascii="宋体" w:hAnsi="宋体"/>
          <w:color w:val="000000" w:themeColor="text1"/>
          <w:kern w:val="0"/>
          <w:sz w:val="28"/>
          <w:szCs w:val="28"/>
          <w14:textFill>
            <w14:solidFill>
              <w14:schemeClr w14:val="tx1"/>
            </w14:solidFill>
          </w14:textFill>
        </w:rPr>
        <w:t>年或20</w:t>
      </w:r>
      <w:r>
        <w:rPr>
          <w:rFonts w:ascii="宋体" w:hAnsi="宋体"/>
          <w:color w:val="000000" w:themeColor="text1"/>
          <w:kern w:val="0"/>
          <w:sz w:val="28"/>
          <w:szCs w:val="28"/>
          <w14:textFill>
            <w14:solidFill>
              <w14:schemeClr w14:val="tx1"/>
            </w14:solidFill>
          </w14:textFill>
        </w:rPr>
        <w:t>21</w:t>
      </w:r>
      <w:r>
        <w:rPr>
          <w:rFonts w:hint="eastAsia" w:ascii="宋体" w:hAnsi="宋体"/>
          <w:color w:val="000000" w:themeColor="text1"/>
          <w:kern w:val="0"/>
          <w:sz w:val="28"/>
          <w:szCs w:val="28"/>
          <w14:textFill>
            <w14:solidFill>
              <w14:schemeClr w14:val="tx1"/>
            </w14:solidFill>
          </w14:textFill>
        </w:rPr>
        <w:t>年任意时段的税收的银行电子回单或者行政部门出具的纳税证明或完税证明复印件；</w:t>
      </w:r>
    </w:p>
    <w:p>
      <w:pPr>
        <w:numPr>
          <w:ilvl w:val="0"/>
          <w:numId w:val="33"/>
        </w:numPr>
        <w:tabs>
          <w:tab w:val="left" w:pos="1134"/>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采购人对投标人履行合同所必须的设备和专业技术能力无其他特殊要求，投标人具有有效的营业执照或法人证书即可，可不提供其他证明材料；</w:t>
      </w:r>
    </w:p>
    <w:p>
      <w:pPr>
        <w:numPr>
          <w:ilvl w:val="0"/>
          <w:numId w:val="33"/>
        </w:numPr>
        <w:tabs>
          <w:tab w:val="left" w:pos="1134"/>
        </w:tabs>
        <w:spacing w:after="200"/>
        <w:ind w:left="0" w:firstLine="546"/>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投标人缴纳20</w:t>
      </w:r>
      <w:r>
        <w:rPr>
          <w:rFonts w:ascii="宋体" w:hAnsi="宋体"/>
          <w:color w:val="000000" w:themeColor="text1"/>
          <w:kern w:val="0"/>
          <w:sz w:val="28"/>
          <w:szCs w:val="28"/>
          <w14:textFill>
            <w14:solidFill>
              <w14:schemeClr w14:val="tx1"/>
            </w14:solidFill>
          </w14:textFill>
        </w:rPr>
        <w:t>20</w:t>
      </w:r>
      <w:r>
        <w:rPr>
          <w:rFonts w:hint="eastAsia" w:ascii="宋体" w:hAnsi="宋体"/>
          <w:color w:val="000000" w:themeColor="text1"/>
          <w:kern w:val="0"/>
          <w:sz w:val="28"/>
          <w:szCs w:val="28"/>
          <w14:textFill>
            <w14:solidFill>
              <w14:schemeClr w14:val="tx1"/>
            </w14:solidFill>
          </w14:textFill>
        </w:rPr>
        <w:t>年或20</w:t>
      </w:r>
      <w:r>
        <w:rPr>
          <w:rFonts w:ascii="宋体" w:hAnsi="宋体"/>
          <w:color w:val="000000" w:themeColor="text1"/>
          <w:kern w:val="0"/>
          <w:sz w:val="28"/>
          <w:szCs w:val="28"/>
          <w14:textFill>
            <w14:solidFill>
              <w14:schemeClr w14:val="tx1"/>
            </w14:solidFill>
          </w14:textFill>
        </w:rPr>
        <w:t>21</w:t>
      </w:r>
      <w:r>
        <w:rPr>
          <w:rFonts w:hint="eastAsia" w:ascii="宋体" w:hAnsi="宋体"/>
          <w:color w:val="000000" w:themeColor="text1"/>
          <w:kern w:val="0"/>
          <w:sz w:val="28"/>
          <w:szCs w:val="28"/>
          <w14:textFill>
            <w14:solidFill>
              <w14:schemeClr w14:val="tx1"/>
            </w14:solidFill>
          </w14:textFill>
        </w:rPr>
        <w:t>年任意时段的社保的银行电子回单或行政部门出具的社保缴纳证明材料复印件；</w:t>
      </w:r>
    </w:p>
    <w:p>
      <w:pPr>
        <w:numPr>
          <w:ilvl w:val="0"/>
          <w:numId w:val="33"/>
        </w:numPr>
        <w:tabs>
          <w:tab w:val="left" w:pos="1134"/>
        </w:tabs>
        <w:spacing w:after="200"/>
        <w:ind w:left="0" w:firstLine="546"/>
        <w:rPr>
          <w:rFonts w:ascii="宋体" w:hAnsi="宋体"/>
          <w:b/>
          <w:spacing w:val="6"/>
          <w:sz w:val="28"/>
          <w:szCs w:val="28"/>
        </w:rPr>
      </w:pPr>
      <w:r>
        <w:rPr>
          <w:rFonts w:hint="eastAsia" w:ascii="宋体" w:hAnsi="宋体"/>
          <w:color w:val="000000" w:themeColor="text1"/>
          <w:kern w:val="0"/>
          <w:sz w:val="28"/>
          <w:szCs w:val="28"/>
          <w14:textFill>
            <w14:solidFill>
              <w14:schemeClr w14:val="tx1"/>
            </w14:solidFill>
          </w14:textFill>
        </w:rPr>
        <w:t>采购人对法律、行政法规规定的其他条件无其他特殊要求，投标人具有有效的营业执照或法人证书即可，可不提供其他证明材料。</w:t>
      </w:r>
    </w:p>
    <w:p>
      <w:pPr>
        <w:spacing w:line="440" w:lineRule="exact"/>
        <w:rPr>
          <w:rFonts w:ascii="仿宋_GB2312" w:eastAsia="仿宋_GB2312"/>
          <w:b/>
          <w:spacing w:val="6"/>
          <w:sz w:val="30"/>
          <w:szCs w:val="30"/>
        </w:rPr>
      </w:pPr>
    </w:p>
    <w:p>
      <w:pPr>
        <w:overflowPunct w:val="0"/>
        <w:spacing w:line="546" w:lineRule="exact"/>
        <w:ind w:firstLine="560" w:firstLineChars="200"/>
        <w:rPr>
          <w:rFonts w:ascii="Times New Roman" w:hAnsi="Times New Roman" w:eastAsia="仿宋_GB2312"/>
          <w:bCs/>
          <w:sz w:val="28"/>
          <w:szCs w:val="28"/>
        </w:rPr>
      </w:pPr>
    </w:p>
    <w:p>
      <w:pPr>
        <w:tabs>
          <w:tab w:val="left" w:pos="1260"/>
        </w:tabs>
        <w:spacing w:line="560" w:lineRule="exact"/>
        <w:ind w:firstLine="420" w:firstLineChars="200"/>
        <w:rPr>
          <w:rFonts w:ascii="宋体" w:hAnsi="宋体"/>
          <w:szCs w:val="28"/>
        </w:rPr>
      </w:pPr>
    </w:p>
    <w:p>
      <w:pPr>
        <w:pStyle w:val="5"/>
        <w:numPr>
          <w:ilvl w:val="0"/>
          <w:numId w:val="0"/>
        </w:numPr>
        <w:spacing w:before="0" w:after="0" w:line="240" w:lineRule="auto"/>
        <w:ind w:leftChars="0"/>
        <w:rPr>
          <w:color w:val="000000" w:themeColor="text1"/>
          <w14:textFill>
            <w14:solidFill>
              <w14:schemeClr w14:val="tx1"/>
            </w14:solidFill>
          </w14:textFill>
        </w:rPr>
      </w:pPr>
      <w:bookmarkStart w:id="206" w:name="_Toc14118"/>
      <w:bookmarkStart w:id="207" w:name="_Toc13982"/>
      <w:bookmarkStart w:id="208" w:name="_Toc13502"/>
      <w:bookmarkStart w:id="209" w:name="_Toc75336300"/>
      <w:bookmarkStart w:id="210" w:name="_Toc494464914"/>
      <w:bookmarkStart w:id="211" w:name="_Toc29369"/>
      <w:r>
        <w:rPr>
          <w:rFonts w:hint="eastAsia"/>
          <w:color w:val="000000" w:themeColor="text1"/>
          <w:lang w:val="en-US" w:eastAsia="zh-CN"/>
          <w14:textFill>
            <w14:solidFill>
              <w14:schemeClr w14:val="tx1"/>
            </w14:solidFill>
          </w14:textFill>
        </w:rPr>
        <w:t>3.3</w:t>
      </w:r>
      <w:bookmarkEnd w:id="206"/>
      <w:bookmarkEnd w:id="207"/>
      <w:bookmarkEnd w:id="208"/>
      <w:bookmarkEnd w:id="209"/>
      <w:bookmarkEnd w:id="210"/>
      <w:bookmarkEnd w:id="211"/>
      <w:bookmarkStart w:id="212" w:name="_Toc77584652"/>
      <w:r>
        <w:rPr>
          <w:rFonts w:hint="eastAsia"/>
          <w:color w:val="000000" w:themeColor="text1"/>
          <w14:textFill>
            <w14:solidFill>
              <w14:schemeClr w14:val="tx1"/>
            </w14:solidFill>
          </w14:textFill>
        </w:rPr>
        <w:t>商务技术</w:t>
      </w:r>
      <w:r>
        <w:rPr>
          <w:color w:val="000000" w:themeColor="text1"/>
          <w14:textFill>
            <w14:solidFill>
              <w14:schemeClr w14:val="tx1"/>
            </w14:solidFill>
          </w14:textFill>
        </w:rPr>
        <w:t>响应文件</w:t>
      </w:r>
      <w:bookmarkEnd w:id="212"/>
    </w:p>
    <w:p>
      <w:pPr>
        <w:pStyle w:val="6"/>
        <w:numPr>
          <w:ilvl w:val="0"/>
          <w:numId w:val="0"/>
        </w:numPr>
        <w:spacing w:after="200" w:line="240" w:lineRule="auto"/>
        <w:ind w:left="284" w:leftChars="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3.3.1</w:t>
      </w:r>
      <w:r>
        <w:rPr>
          <w:rFonts w:hint="eastAsia"/>
          <w:color w:val="000000" w:themeColor="text1"/>
          <w14:textFill>
            <w14:solidFill>
              <w14:schemeClr w14:val="tx1"/>
            </w14:solidFill>
          </w14:textFill>
        </w:rPr>
        <w:t>投标函</w:t>
      </w:r>
      <w:bookmarkEnd w:id="197"/>
    </w:p>
    <w:p>
      <w:pPr>
        <w:pStyle w:val="26"/>
        <w:spacing w:after="0" w:line="500" w:lineRule="exact"/>
        <w:ind w:left="0" w:leftChars="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lang w:val="en-US" w:eastAsia="zh-CN"/>
          <w14:textFill>
            <w14:solidFill>
              <w14:schemeClr w14:val="tx1"/>
            </w14:solidFill>
          </w14:textFill>
        </w:rPr>
        <w:t>彭州</w:t>
      </w:r>
      <w:r>
        <w:rPr>
          <w:rFonts w:hint="eastAsia" w:ascii="宋体" w:hAnsi="宋体"/>
          <w:bCs/>
          <w:color w:val="000000" w:themeColor="text1"/>
          <w:sz w:val="28"/>
          <w:szCs w:val="28"/>
          <w14:textFill>
            <w14:solidFill>
              <w14:schemeClr w14:val="tx1"/>
            </w14:solidFill>
          </w14:textFill>
        </w:rPr>
        <w:t>市公共资源交易服务中心：</w:t>
      </w:r>
    </w:p>
    <w:p>
      <w:pPr>
        <w:numPr>
          <w:numId w:val="0"/>
        </w:numPr>
        <w:spacing w:after="200" w:line="560" w:lineRule="exact"/>
        <w:ind w:firstLine="560" w:firstLineChars="200"/>
        <w:rPr>
          <w:rFonts w:ascii="宋体" w:hAnsi="宋体"/>
          <w:bCs/>
          <w:color w:val="000000" w:themeColor="text1"/>
          <w:sz w:val="28"/>
          <w:szCs w:val="28"/>
          <w14:textFill>
            <w14:solidFill>
              <w14:schemeClr w14:val="tx1"/>
            </w14:solidFill>
          </w14:textFill>
        </w:rPr>
      </w:pPr>
      <w:r>
        <w:rPr>
          <w:rFonts w:hint="eastAsia" w:ascii="宋体" w:hAnsi="宋体"/>
          <w:bCs/>
          <w:color w:val="000000" w:themeColor="text1"/>
          <w:sz w:val="28"/>
          <w:szCs w:val="28"/>
          <w14:textFill>
            <w14:solidFill>
              <w14:schemeClr w14:val="tx1"/>
            </w14:solidFill>
          </w14:textFill>
        </w:rPr>
        <w:t>我方全面研究了</w:t>
      </w:r>
      <w:r>
        <w:rPr>
          <w:rFonts w:hint="eastAsia" w:ascii="宋体" w:hAnsi="宋体"/>
          <w:b/>
          <w:color w:val="000000" w:themeColor="text1"/>
          <w:sz w:val="28"/>
          <w:szCs w:val="28"/>
          <w:u w:val="single"/>
          <w:lang w:val="en-US" w:eastAsia="zh-CN"/>
          <w14:textFill>
            <w14:solidFill>
              <w14:schemeClr w14:val="tx1"/>
            </w14:solidFill>
          </w14:textFill>
        </w:rPr>
        <w:t>彭州市第二人民医院后勤外包服务项目</w:t>
      </w:r>
      <w:r>
        <w:rPr>
          <w:rFonts w:hint="eastAsia" w:ascii="宋体" w:hAnsi="宋体"/>
          <w:b/>
          <w:color w:val="000000" w:themeColor="text1"/>
          <w:sz w:val="28"/>
          <w:szCs w:val="28"/>
          <w:u w:val="single"/>
          <w14:textFill>
            <w14:solidFill>
              <w14:schemeClr w14:val="tx1"/>
            </w14:solidFill>
          </w14:textFill>
        </w:rPr>
        <w:t>（项目编号：</w:t>
      </w:r>
      <w:r>
        <w:rPr>
          <w:rFonts w:hint="eastAsia" w:ascii="宋体" w:hAnsi="宋体"/>
          <w:b/>
          <w:color w:val="000000" w:themeColor="text1"/>
          <w:sz w:val="28"/>
          <w:szCs w:val="28"/>
          <w:u w:val="single"/>
          <w:lang w:val="en-US" w:eastAsia="zh-CN"/>
          <w14:textFill>
            <w14:solidFill>
              <w14:schemeClr w14:val="tx1"/>
            </w14:solidFill>
          </w14:textFill>
        </w:rPr>
        <w:t>彭州</w:t>
      </w:r>
      <w:r>
        <w:rPr>
          <w:rFonts w:hint="eastAsia" w:ascii="宋体" w:hAnsi="宋体"/>
          <w:b/>
          <w:color w:val="000000" w:themeColor="text1"/>
          <w:sz w:val="28"/>
          <w:szCs w:val="28"/>
          <w:u w:val="single"/>
          <w14:textFill>
            <w14:solidFill>
              <w14:schemeClr w14:val="tx1"/>
            </w14:solidFill>
          </w14:textFill>
        </w:rPr>
        <w:t>市政采（2021）A00</w:t>
      </w:r>
      <w:r>
        <w:rPr>
          <w:rFonts w:hint="eastAsia" w:ascii="宋体" w:hAnsi="宋体"/>
          <w:b/>
          <w:color w:val="000000" w:themeColor="text1"/>
          <w:sz w:val="28"/>
          <w:szCs w:val="28"/>
          <w:u w:val="single"/>
          <w:lang w:val="en-US" w:eastAsia="zh-CN"/>
          <w14:textFill>
            <w14:solidFill>
              <w14:schemeClr w14:val="tx1"/>
            </w14:solidFill>
          </w14:textFill>
        </w:rPr>
        <w:t>23</w:t>
      </w:r>
      <w:r>
        <w:rPr>
          <w:rFonts w:hint="eastAsia" w:ascii="宋体" w:hAnsi="宋体"/>
          <w:b/>
          <w:color w:val="000000" w:themeColor="text1"/>
          <w:sz w:val="28"/>
          <w:szCs w:val="28"/>
          <w:u w:val="single"/>
          <w14:textFill>
            <w14:solidFill>
              <w14:schemeClr w14:val="tx1"/>
            </w14:solidFill>
          </w14:textFill>
        </w:rPr>
        <w:t>号）</w:t>
      </w:r>
      <w:r>
        <w:rPr>
          <w:rFonts w:hint="eastAsia" w:ascii="宋体" w:hAnsi="宋体"/>
          <w:bCs/>
          <w:color w:val="000000" w:themeColor="text1"/>
          <w:sz w:val="28"/>
          <w:szCs w:val="28"/>
          <w14:textFill>
            <w14:solidFill>
              <w14:schemeClr w14:val="tx1"/>
            </w14:solidFill>
          </w14:textFill>
        </w:rPr>
        <w:t>招标文件，决定参加贵单位组织的本项目的投标。我方授权</w:t>
      </w:r>
      <w:r>
        <w:rPr>
          <w:rFonts w:hint="eastAsia" w:ascii="宋体" w:hAnsi="宋体"/>
          <w:bCs/>
          <w:color w:val="000000" w:themeColor="text1"/>
          <w:sz w:val="28"/>
          <w:szCs w:val="28"/>
          <w:u w:val="single"/>
          <w14:textFill>
            <w14:solidFill>
              <w14:schemeClr w14:val="tx1"/>
            </w14:solidFill>
          </w14:textFill>
        </w:rPr>
        <w:t>XXX（姓名、职务）</w:t>
      </w:r>
      <w:r>
        <w:rPr>
          <w:rFonts w:hint="eastAsia" w:ascii="宋体" w:hAnsi="宋体"/>
          <w:bCs/>
          <w:color w:val="000000" w:themeColor="text1"/>
          <w:sz w:val="28"/>
          <w:szCs w:val="28"/>
          <w14:textFill>
            <w14:solidFill>
              <w14:schemeClr w14:val="tx1"/>
            </w14:solidFill>
          </w14:textFill>
        </w:rPr>
        <w:t>代表我方</w:t>
      </w:r>
      <w:r>
        <w:rPr>
          <w:rFonts w:hint="eastAsia" w:ascii="宋体" w:hAnsi="宋体"/>
          <w:bCs/>
          <w:color w:val="000000" w:themeColor="text1"/>
          <w:sz w:val="28"/>
          <w:szCs w:val="28"/>
          <w:u w:val="single"/>
          <w14:textFill>
            <w14:solidFill>
              <w14:schemeClr w14:val="tx1"/>
            </w14:solidFill>
          </w14:textFill>
        </w:rPr>
        <w:t>XXX（投标人名称）</w:t>
      </w:r>
      <w:r>
        <w:rPr>
          <w:rFonts w:hint="eastAsia" w:ascii="宋体" w:hAnsi="宋体"/>
          <w:bCs/>
          <w:color w:val="000000" w:themeColor="text1"/>
          <w:sz w:val="28"/>
          <w:szCs w:val="28"/>
          <w14:textFill>
            <w14:solidFill>
              <w14:schemeClr w14:val="tx1"/>
            </w14:solidFill>
          </w14:textFill>
        </w:rPr>
        <w:t>全权处理本项目投标的有关事宜。</w:t>
      </w:r>
    </w:p>
    <w:p>
      <w:pPr>
        <w:pStyle w:val="26"/>
        <w:spacing w:after="0" w:line="500" w:lineRule="exact"/>
        <w:ind w:left="0" w:leftChars="0" w:firstLine="560" w:firstLineChars="200"/>
        <w:rPr>
          <w:rFonts w:hint="eastAsia" w:asciiTheme="majorEastAsia" w:hAnsiTheme="majorEastAsia" w:eastAsiaTheme="majorEastAsia" w:cstheme="majorEastAsia"/>
          <w:color w:val="000000" w:themeColor="text1"/>
          <w:sz w:val="28"/>
          <w:szCs w:val="28"/>
          <w14:textFill>
            <w14:solidFill>
              <w14:schemeClr w14:val="tx1"/>
            </w14:solidFill>
          </w14:textFill>
        </w:rPr>
      </w:pPr>
      <w:r>
        <w:rPr>
          <w:rFonts w:hint="eastAsia" w:asciiTheme="majorEastAsia" w:hAnsiTheme="majorEastAsia" w:eastAsiaTheme="majorEastAsia" w:cstheme="majorEastAsia"/>
          <w:color w:val="000000" w:themeColor="text1"/>
          <w:sz w:val="28"/>
          <w:szCs w:val="28"/>
          <w14:textFill>
            <w14:solidFill>
              <w14:schemeClr w14:val="tx1"/>
            </w14:solidFill>
          </w14:textFill>
        </w:rPr>
        <w:t>我方自愿按照招标文件规定的各项要求向采购人提供所需服务，</w:t>
      </w:r>
      <w:r>
        <w:rPr>
          <w:rFonts w:hint="eastAsia" w:asciiTheme="majorEastAsia" w:hAnsiTheme="majorEastAsia" w:eastAsiaTheme="majorEastAsia" w:cstheme="majorEastAsia"/>
          <w:b/>
          <w:color w:val="000000" w:themeColor="text1"/>
          <w:sz w:val="28"/>
          <w:szCs w:val="28"/>
          <w14:textFill>
            <w14:solidFill>
              <w14:schemeClr w14:val="tx1"/>
            </w14:solidFill>
          </w14:textFill>
        </w:rPr>
        <w:t>投标报价以《开标一览表》为准</w:t>
      </w:r>
      <w:r>
        <w:rPr>
          <w:rFonts w:hint="eastAsia" w:asciiTheme="majorEastAsia" w:hAnsiTheme="majorEastAsia" w:eastAsiaTheme="majorEastAsia" w:cstheme="majorEastAsia"/>
          <w:color w:val="000000" w:themeColor="text1"/>
          <w:sz w:val="28"/>
          <w:szCs w:val="28"/>
          <w14:textFill>
            <w14:solidFill>
              <w14:schemeClr w14:val="tx1"/>
            </w14:solidFill>
          </w14:textFill>
        </w:rPr>
        <w:t>。</w:t>
      </w:r>
    </w:p>
    <w:p>
      <w:pPr>
        <w:numPr>
          <w:ilvl w:val="1"/>
          <w:numId w:val="34"/>
        </w:numPr>
        <w:tabs>
          <w:tab w:val="left" w:pos="1134"/>
        </w:tabs>
        <w:spacing w:after="200" w:line="500" w:lineRule="exact"/>
        <w:ind w:left="0" w:firstLine="567"/>
        <w:rPr>
          <w:rFonts w:hint="eastAsia" w:asciiTheme="majorEastAsia" w:hAnsiTheme="majorEastAsia" w:eastAsiaTheme="majorEastAsia" w:cstheme="majorEastAsia"/>
          <w:color w:val="000000" w:themeColor="text1"/>
          <w:sz w:val="28"/>
          <w:szCs w:val="28"/>
          <w14:textFill>
            <w14:solidFill>
              <w14:schemeClr w14:val="tx1"/>
            </w14:solidFill>
          </w14:textFill>
        </w:rPr>
      </w:pPr>
      <w:r>
        <w:rPr>
          <w:rFonts w:hint="eastAsia" w:asciiTheme="majorEastAsia" w:hAnsiTheme="majorEastAsia" w:eastAsiaTheme="majorEastAsia" w:cstheme="majorEastAsia"/>
          <w:color w:val="000000" w:themeColor="text1"/>
          <w:sz w:val="28"/>
          <w:szCs w:val="28"/>
          <w14:textFill>
            <w14:solidFill>
              <w14:schemeClr w14:val="tx1"/>
            </w14:solidFill>
          </w14:textFill>
        </w:rPr>
        <w:t>如果我方中标，我方将严格履行合同规定的责任和义务，否则将承担由此产生的一切责任。</w:t>
      </w:r>
    </w:p>
    <w:p>
      <w:pPr>
        <w:numPr>
          <w:ilvl w:val="1"/>
          <w:numId w:val="34"/>
        </w:numPr>
        <w:tabs>
          <w:tab w:val="left" w:pos="1134"/>
        </w:tabs>
        <w:spacing w:after="200" w:line="500" w:lineRule="exact"/>
        <w:ind w:left="0" w:firstLine="567"/>
        <w:rPr>
          <w:rFonts w:hint="eastAsia" w:asciiTheme="majorEastAsia" w:hAnsiTheme="majorEastAsia" w:eastAsiaTheme="majorEastAsia" w:cstheme="majorEastAsia"/>
          <w:color w:val="000000" w:themeColor="text1"/>
          <w:sz w:val="28"/>
          <w:szCs w:val="28"/>
          <w14:textFill>
            <w14:solidFill>
              <w14:schemeClr w14:val="tx1"/>
            </w14:solidFill>
          </w14:textFill>
        </w:rPr>
      </w:pPr>
      <w:r>
        <w:rPr>
          <w:rFonts w:hint="eastAsia" w:asciiTheme="majorEastAsia" w:hAnsiTheme="majorEastAsia" w:eastAsiaTheme="majorEastAsia" w:cstheme="majorEastAsia"/>
          <w:color w:val="000000" w:themeColor="text1"/>
          <w:sz w:val="28"/>
          <w:szCs w:val="28"/>
          <w14:textFill>
            <w14:solidFill>
              <w14:schemeClr w14:val="tx1"/>
            </w14:solidFill>
          </w14:textFill>
        </w:rPr>
        <w:t>我方已知晓全部招标文件的内容，包括修改文件（如有）以及全部相关资料和有关附件，并对上述文件均无异议。</w:t>
      </w:r>
    </w:p>
    <w:p>
      <w:pPr>
        <w:numPr>
          <w:ilvl w:val="1"/>
          <w:numId w:val="34"/>
        </w:numPr>
        <w:tabs>
          <w:tab w:val="left" w:pos="1134"/>
        </w:tabs>
        <w:spacing w:after="200" w:line="500" w:lineRule="exact"/>
        <w:ind w:left="0" w:firstLine="567"/>
        <w:rPr>
          <w:rFonts w:hint="eastAsia" w:asciiTheme="majorEastAsia" w:hAnsiTheme="majorEastAsia" w:eastAsiaTheme="majorEastAsia" w:cstheme="majorEastAsia"/>
          <w:color w:val="000000" w:themeColor="text1"/>
          <w:sz w:val="28"/>
          <w:szCs w:val="28"/>
          <w14:textFill>
            <w14:solidFill>
              <w14:schemeClr w14:val="tx1"/>
            </w14:solidFill>
          </w14:textFill>
        </w:rPr>
      </w:pPr>
      <w:r>
        <w:rPr>
          <w:rFonts w:hint="eastAsia" w:asciiTheme="majorEastAsia" w:hAnsiTheme="majorEastAsia" w:eastAsiaTheme="majorEastAsia" w:cstheme="majorEastAsia"/>
          <w:color w:val="000000" w:themeColor="text1"/>
          <w:sz w:val="28"/>
          <w:szCs w:val="28"/>
          <w14:textFill>
            <w14:solidFill>
              <w14:schemeClr w14:val="tx1"/>
            </w14:solidFill>
          </w14:textFill>
        </w:rPr>
        <w:t>投标有效期为从投标截止之日起120天。</w:t>
      </w:r>
    </w:p>
    <w:p>
      <w:pPr>
        <w:numPr>
          <w:ilvl w:val="1"/>
          <w:numId w:val="34"/>
        </w:numPr>
        <w:tabs>
          <w:tab w:val="left" w:pos="1134"/>
        </w:tabs>
        <w:spacing w:after="200" w:line="500" w:lineRule="exact"/>
        <w:ind w:left="0" w:firstLine="567"/>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color w:val="000000" w:themeColor="text1"/>
          <w:sz w:val="28"/>
          <w:szCs w:val="28"/>
          <w14:textFill>
            <w14:solidFill>
              <w14:schemeClr w14:val="tx1"/>
            </w14:solidFill>
          </w14:textFill>
        </w:rPr>
        <w:t>我方愿意提供贵中心可能另外要求的，与投标有关的文件资料，并保证我方已提供和将要提供的文件资料是真实、准确的，并对此承担一切法律后果。</w:t>
      </w:r>
    </w:p>
    <w:p>
      <w:pPr>
        <w:numPr>
          <w:ilvl w:val="0"/>
          <w:numId w:val="0"/>
        </w:numPr>
        <w:tabs>
          <w:tab w:val="left" w:pos="1134"/>
        </w:tabs>
        <w:spacing w:after="200" w:line="500" w:lineRule="exact"/>
        <w:ind w:left="567" w:leftChars="0"/>
        <w:rPr>
          <w:rFonts w:hint="eastAsia" w:asciiTheme="majorEastAsia" w:hAnsiTheme="majorEastAsia" w:eastAsiaTheme="majorEastAsia" w:cstheme="majorEastAsia"/>
          <w:color w:val="000000" w:themeColor="text1"/>
          <w:sz w:val="28"/>
          <w:szCs w:val="28"/>
          <w14:textFill>
            <w14:solidFill>
              <w14:schemeClr w14:val="tx1"/>
            </w14:solidFill>
          </w14:textFill>
        </w:rPr>
      </w:pPr>
      <w:r>
        <w:rPr>
          <w:rFonts w:hint="eastAsia" w:asciiTheme="majorEastAsia" w:hAnsiTheme="majorEastAsia" w:eastAsiaTheme="majorEastAsia" w:cstheme="majorEastAsia"/>
          <w:color w:val="000000" w:themeColor="text1"/>
          <w:sz w:val="28"/>
          <w:szCs w:val="28"/>
          <w:lang w:val="en-US" w:eastAsia="zh-CN"/>
          <w14:textFill>
            <w14:solidFill>
              <w14:schemeClr w14:val="tx1"/>
            </w14:solidFill>
          </w14:textFill>
        </w:rPr>
        <w:t>五、</w:t>
      </w:r>
      <w:r>
        <w:rPr>
          <w:rFonts w:hint="eastAsia" w:asciiTheme="majorEastAsia" w:hAnsiTheme="majorEastAsia" w:eastAsiaTheme="majorEastAsia" w:cstheme="majorEastAsia"/>
          <w:color w:val="000000" w:themeColor="text1"/>
          <w:sz w:val="28"/>
          <w:szCs w:val="28"/>
          <w14:textFill>
            <w14:solidFill>
              <w14:schemeClr w14:val="tx1"/>
            </w14:solidFill>
          </w14:textFill>
        </w:rPr>
        <w:t>我单位联系方式：XXXX</w:t>
      </w:r>
    </w:p>
    <w:p>
      <w:pPr>
        <w:tabs>
          <w:tab w:val="left" w:pos="1134"/>
        </w:tabs>
        <w:spacing w:line="500" w:lineRule="exact"/>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地    址：XXXX</w:t>
      </w:r>
    </w:p>
    <w:p>
      <w:pPr>
        <w:tabs>
          <w:tab w:val="left" w:pos="1134"/>
        </w:tabs>
        <w:spacing w:line="500" w:lineRule="exact"/>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传    真：XXXX</w:t>
      </w:r>
    </w:p>
    <w:p>
      <w:pPr>
        <w:tabs>
          <w:tab w:val="left" w:pos="1134"/>
        </w:tabs>
        <w:spacing w:line="500" w:lineRule="exact"/>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邮政编码：XXXX</w:t>
      </w:r>
    </w:p>
    <w:p>
      <w:pPr>
        <w:tabs>
          <w:tab w:val="left" w:pos="1134"/>
        </w:tabs>
        <w:spacing w:line="500" w:lineRule="exact"/>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投标人名称：XXXX</w:t>
      </w:r>
    </w:p>
    <w:p>
      <w:pPr>
        <w:tabs>
          <w:tab w:val="left" w:pos="1134"/>
        </w:tabs>
        <w:spacing w:line="500" w:lineRule="exact"/>
        <w:ind w:left="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日    期：20XX年XX月XX日</w:t>
      </w:r>
    </w:p>
    <w:p>
      <w:pPr>
        <w:pStyle w:val="2"/>
        <w:rPr>
          <w:rFonts w:ascii="宋体" w:hAnsi="宋体"/>
          <w:color w:val="000000" w:themeColor="text1"/>
          <w:sz w:val="28"/>
          <w:szCs w:val="28"/>
          <w14:textFill>
            <w14:solidFill>
              <w14:schemeClr w14:val="tx1"/>
            </w14:solidFill>
          </w14:textFill>
        </w:rPr>
      </w:pPr>
    </w:p>
    <w:p>
      <w:pPr>
        <w:keepNext/>
        <w:keepLines/>
        <w:numPr>
          <w:ilvl w:val="0"/>
          <w:numId w:val="0"/>
        </w:numPr>
        <w:spacing w:line="360" w:lineRule="auto"/>
        <w:ind w:leftChars="0"/>
        <w:outlineLvl w:val="2"/>
        <w:rPr>
          <w:rFonts w:ascii="宋体" w:hAnsi="宋体"/>
          <w:b/>
          <w:bCs/>
          <w:sz w:val="28"/>
          <w:szCs w:val="28"/>
        </w:rPr>
      </w:pPr>
      <w:r>
        <w:rPr>
          <w:rFonts w:hint="eastAsia" w:ascii="宋体" w:hAnsi="宋体"/>
          <w:b/>
          <w:bCs/>
          <w:sz w:val="28"/>
          <w:szCs w:val="28"/>
          <w:lang w:val="en-US" w:eastAsia="zh-CN"/>
        </w:rPr>
        <w:t xml:space="preserve">3.3.2 </w:t>
      </w:r>
      <w:r>
        <w:rPr>
          <w:rFonts w:hint="eastAsia" w:ascii="宋体" w:hAnsi="宋体"/>
          <w:b/>
          <w:bCs/>
          <w:sz w:val="28"/>
          <w:szCs w:val="28"/>
        </w:rPr>
        <w:t>法定代表人身份证明书</w:t>
      </w:r>
    </w:p>
    <w:p>
      <w:pPr>
        <w:tabs>
          <w:tab w:val="left" w:pos="6300"/>
        </w:tabs>
        <w:spacing w:line="360" w:lineRule="auto"/>
        <w:ind w:firstLine="573"/>
        <w:rPr>
          <w:rFonts w:ascii="宋体" w:hAnsi="宋体"/>
          <w:sz w:val="28"/>
          <w:lang w:val="zh-CN"/>
        </w:rPr>
      </w:pPr>
      <w:r>
        <w:rPr>
          <w:rFonts w:hint="eastAsia" w:ascii="宋体" w:hAnsi="宋体"/>
          <w:sz w:val="28"/>
          <w:u w:val="single"/>
          <w:lang w:val="zh-CN"/>
        </w:rPr>
        <w:t>XXXX（法定代表人姓名）</w:t>
      </w:r>
      <w:r>
        <w:rPr>
          <w:rFonts w:hint="eastAsia" w:ascii="宋体" w:hAnsi="宋体"/>
          <w:sz w:val="28"/>
          <w:lang w:val="zh-CN"/>
        </w:rPr>
        <w:t>在</w:t>
      </w:r>
      <w:r>
        <w:rPr>
          <w:rFonts w:hint="eastAsia" w:ascii="宋体" w:hAnsi="宋体"/>
          <w:sz w:val="28"/>
          <w:u w:val="single"/>
          <w:lang w:val="zh-CN"/>
        </w:rPr>
        <w:t>XXXX（投标人名称）</w:t>
      </w:r>
      <w:r>
        <w:rPr>
          <w:rFonts w:hint="eastAsia" w:ascii="宋体" w:hAnsi="宋体"/>
          <w:sz w:val="28"/>
          <w:lang w:val="zh-CN"/>
        </w:rPr>
        <w:t>处 任</w:t>
      </w:r>
      <w:r>
        <w:rPr>
          <w:rFonts w:hint="eastAsia" w:ascii="宋体" w:hAnsi="宋体"/>
          <w:sz w:val="28"/>
          <w:u w:val="single"/>
          <w:lang w:val="zh-CN"/>
        </w:rPr>
        <w:t>XXXX（职务名称）</w:t>
      </w:r>
      <w:r>
        <w:rPr>
          <w:rFonts w:hint="eastAsia" w:ascii="宋体" w:hAnsi="宋体"/>
          <w:sz w:val="28"/>
          <w:lang w:val="zh-CN"/>
        </w:rPr>
        <w:t>职务，是</w:t>
      </w:r>
      <w:r>
        <w:rPr>
          <w:rFonts w:hint="eastAsia" w:ascii="宋体" w:hAnsi="宋体"/>
          <w:sz w:val="28"/>
          <w:u w:val="single"/>
          <w:lang w:val="zh-CN"/>
        </w:rPr>
        <w:t>XXXX（投标人名称）</w:t>
      </w:r>
      <w:r>
        <w:rPr>
          <w:rFonts w:hint="eastAsia" w:ascii="宋体" w:hAnsi="宋体"/>
          <w:sz w:val="28"/>
          <w:lang w:val="zh-CN"/>
        </w:rPr>
        <w:t>的法定代表人。</w:t>
      </w:r>
    </w:p>
    <w:p>
      <w:pPr>
        <w:tabs>
          <w:tab w:val="left" w:pos="6300"/>
        </w:tabs>
        <w:spacing w:line="360" w:lineRule="auto"/>
        <w:ind w:firstLine="573"/>
        <w:rPr>
          <w:rFonts w:ascii="宋体" w:hAnsi="宋体"/>
          <w:sz w:val="28"/>
          <w:lang w:val="zh-CN"/>
        </w:rPr>
      </w:pPr>
      <w:r>
        <w:rPr>
          <w:rFonts w:hint="eastAsia" w:ascii="宋体" w:hAnsi="宋体"/>
          <w:sz w:val="28"/>
          <w:lang w:val="zh-CN"/>
        </w:rPr>
        <w:t>特此证明。</w:t>
      </w:r>
    </w:p>
    <w:p>
      <w:pPr>
        <w:tabs>
          <w:tab w:val="left" w:pos="6300"/>
        </w:tabs>
        <w:spacing w:line="360" w:lineRule="auto"/>
        <w:rPr>
          <w:rFonts w:ascii="宋体" w:hAnsi="宋体"/>
          <w:sz w:val="28"/>
          <w:lang w:val="zh-CN"/>
        </w:rPr>
      </w:pPr>
    </w:p>
    <w:p>
      <w:pPr>
        <w:spacing w:line="360" w:lineRule="auto"/>
        <w:rPr>
          <w:rFonts w:ascii="宋体" w:hAnsi="宋体"/>
          <w:sz w:val="28"/>
          <w:lang w:val="zh-CN"/>
        </w:rPr>
      </w:pPr>
      <w:r>
        <w:rPr>
          <w:rFonts w:hint="eastAsia" w:ascii="宋体" w:hAnsi="宋体"/>
          <w:sz w:val="28"/>
          <w:lang w:val="zh-CN"/>
        </w:rPr>
        <w:t>投标人名称：</w:t>
      </w:r>
      <w:r>
        <w:rPr>
          <w:rFonts w:hint="eastAsia" w:ascii="宋体" w:hAnsi="宋体"/>
          <w:sz w:val="28"/>
          <w:u w:val="single"/>
          <w:lang w:val="zh-CN"/>
        </w:rPr>
        <w:t>XXXX</w:t>
      </w:r>
    </w:p>
    <w:p>
      <w:pPr>
        <w:spacing w:line="360" w:lineRule="auto"/>
        <w:rPr>
          <w:rFonts w:ascii="宋体" w:hAnsi="宋体"/>
          <w:b/>
          <w:sz w:val="28"/>
          <w:u w:val="single"/>
          <w:lang w:val="zh-CN"/>
        </w:rPr>
      </w:pPr>
      <w:r>
        <w:rPr>
          <w:rFonts w:hint="eastAsia" w:ascii="宋体" w:hAnsi="宋体"/>
          <w:sz w:val="28"/>
        </w:rPr>
        <w:t>日期：</w:t>
      </w:r>
      <w:r>
        <w:rPr>
          <w:rFonts w:hint="eastAsia" w:ascii="宋体" w:hAnsi="宋体"/>
          <w:bCs/>
          <w:sz w:val="28"/>
        </w:rPr>
        <w:t>20</w:t>
      </w:r>
      <w:r>
        <w:rPr>
          <w:rFonts w:hint="eastAsia" w:ascii="宋体" w:hAnsi="宋体"/>
          <w:sz w:val="28"/>
          <w:lang w:val="zh-CN"/>
        </w:rPr>
        <w:t>2</w:t>
      </w:r>
      <w:r>
        <w:rPr>
          <w:rFonts w:hint="eastAsia" w:ascii="宋体" w:hAnsi="宋体"/>
          <w:sz w:val="28"/>
          <w:u w:val="single"/>
          <w:lang w:val="zh-CN"/>
        </w:rPr>
        <w:t>X</w:t>
      </w:r>
      <w:r>
        <w:rPr>
          <w:rFonts w:hint="eastAsia" w:ascii="宋体" w:hAnsi="宋体"/>
          <w:bCs/>
          <w:sz w:val="28"/>
        </w:rPr>
        <w:t>年</w:t>
      </w:r>
      <w:r>
        <w:rPr>
          <w:rFonts w:hint="eastAsia" w:ascii="宋体" w:hAnsi="宋体"/>
          <w:sz w:val="28"/>
          <w:u w:val="single"/>
          <w:lang w:val="zh-CN"/>
        </w:rPr>
        <w:t>XX</w:t>
      </w:r>
      <w:r>
        <w:rPr>
          <w:rFonts w:hint="eastAsia" w:ascii="宋体" w:hAnsi="宋体"/>
          <w:bCs/>
          <w:sz w:val="28"/>
        </w:rPr>
        <w:t>月</w:t>
      </w:r>
      <w:r>
        <w:rPr>
          <w:rFonts w:hint="eastAsia" w:ascii="宋体" w:hAnsi="宋体"/>
          <w:sz w:val="28"/>
          <w:u w:val="single"/>
          <w:lang w:val="zh-CN"/>
        </w:rPr>
        <w:t>XX</w:t>
      </w:r>
      <w:r>
        <w:rPr>
          <w:rFonts w:hint="eastAsia" w:ascii="宋体" w:hAnsi="宋体"/>
          <w:bCs/>
          <w:sz w:val="28"/>
        </w:rPr>
        <w:t>日</w:t>
      </w:r>
    </w:p>
    <w:p>
      <w:pPr>
        <w:spacing w:after="180" w:line="360" w:lineRule="auto"/>
        <w:ind w:firstLine="568" w:firstLineChars="202"/>
        <w:rPr>
          <w:rFonts w:ascii="宋体" w:hAnsi="宋体"/>
          <w:b/>
          <w:sz w:val="28"/>
          <w:szCs w:val="28"/>
        </w:rPr>
      </w:pPr>
    </w:p>
    <w:p>
      <w:pPr>
        <w:pStyle w:val="2"/>
        <w:rPr>
          <w:rFonts w:hint="eastAsia" w:ascii="宋体" w:hAnsi="宋体"/>
          <w:b/>
          <w:sz w:val="28"/>
          <w:szCs w:val="28"/>
        </w:rPr>
      </w:pPr>
      <w:r>
        <w:rPr>
          <w:rFonts w:hint="eastAsia" w:ascii="宋体" w:hAnsi="宋体"/>
          <w:b/>
          <w:sz w:val="28"/>
          <w:szCs w:val="28"/>
        </w:rPr>
        <w:t>说明：上述证明文件在投标文件中附有法定代表人身份证复印件（身份证两面均应复印）或护照复印件（投标人的法定代表人为外籍人士的，则提供护照复印件）时才能生效。</w:t>
      </w:r>
    </w:p>
    <w:p>
      <w:pPr>
        <w:rPr>
          <w:rFonts w:hint="eastAsia" w:ascii="宋体" w:hAnsi="宋体"/>
          <w:b/>
          <w:sz w:val="28"/>
          <w:szCs w:val="28"/>
        </w:rPr>
      </w:pPr>
    </w:p>
    <w:p>
      <w:pPr>
        <w:pStyle w:val="2"/>
        <w:rPr>
          <w:rFonts w:hint="eastAsia"/>
        </w:rPr>
      </w:pPr>
    </w:p>
    <w:p>
      <w:pPr>
        <w:pStyle w:val="6"/>
        <w:numPr>
          <w:ilvl w:val="0"/>
          <w:numId w:val="0"/>
        </w:numPr>
        <w:spacing w:after="200" w:line="240" w:lineRule="auto"/>
        <w:rPr>
          <w:color w:val="000000" w:themeColor="text1"/>
          <w14:textFill>
            <w14:solidFill>
              <w14:schemeClr w14:val="tx1"/>
            </w14:solidFill>
          </w14:textFill>
        </w:rPr>
      </w:pPr>
      <w:bookmarkStart w:id="213" w:name="_Toc448132270"/>
      <w:bookmarkStart w:id="214" w:name="_Toc430250269"/>
      <w:r>
        <w:rPr>
          <w:rFonts w:hint="eastAsia"/>
          <w:color w:val="000000" w:themeColor="text1"/>
          <w:lang w:val="en-US" w:eastAsia="zh-CN"/>
          <w14:textFill>
            <w14:solidFill>
              <w14:schemeClr w14:val="tx1"/>
            </w14:solidFill>
          </w14:textFill>
        </w:rPr>
        <w:t>3.3.3</w:t>
      </w:r>
      <w:r>
        <w:rPr>
          <w:rFonts w:hint="eastAsia"/>
          <w:color w:val="000000" w:themeColor="text1"/>
          <w14:textFill>
            <w14:solidFill>
              <w14:schemeClr w14:val="tx1"/>
            </w14:solidFill>
          </w14:textFill>
        </w:rPr>
        <w:t>中小企业声明函</w:t>
      </w:r>
      <w:bookmarkEnd w:id="213"/>
    </w:p>
    <w:bookmarkEnd w:id="214"/>
    <w:p>
      <w:pPr>
        <w:jc w:val="center"/>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中小企业声明函</w:t>
      </w:r>
    </w:p>
    <w:p>
      <w:pPr>
        <w:tabs>
          <w:tab w:val="left" w:pos="1134"/>
        </w:tabs>
        <w:spacing w:line="500" w:lineRule="exact"/>
        <w:ind w:firstLine="584" w:firstLineChars="200"/>
        <w:rPr>
          <w:rFonts w:hint="eastAsia" w:ascii="宋体" w:hAnsi="宋体"/>
          <w:spacing w:val="6"/>
          <w:sz w:val="28"/>
          <w:szCs w:val="28"/>
        </w:rPr>
      </w:pPr>
      <w:r>
        <w:rPr>
          <w:rFonts w:hint="eastAsia" w:ascii="宋体" w:hAnsi="宋体"/>
          <w:spacing w:val="6"/>
          <w:sz w:val="28"/>
          <w:szCs w:val="28"/>
        </w:rPr>
        <w:t>本公司郑重声明，根据《政府采购促进中小企业发展管理办法》（财库〔2020〕46号）的规定，本公司参加</w:t>
      </w:r>
      <w:r>
        <w:rPr>
          <w:rFonts w:hint="eastAsia" w:ascii="宋体" w:hAnsi="宋体"/>
          <w:spacing w:val="6"/>
          <w:sz w:val="28"/>
          <w:szCs w:val="28"/>
          <w:lang w:val="en-US" w:eastAsia="zh-CN"/>
        </w:rPr>
        <w:t>彭州市第二人民医院</w:t>
      </w:r>
      <w:r>
        <w:rPr>
          <w:rFonts w:hint="eastAsia" w:ascii="宋体" w:hAnsi="宋体"/>
          <w:spacing w:val="6"/>
          <w:sz w:val="28"/>
          <w:szCs w:val="28"/>
        </w:rPr>
        <w:t>的</w:t>
      </w:r>
      <w:r>
        <w:rPr>
          <w:rFonts w:hint="eastAsia" w:ascii="宋体" w:hAnsi="宋体"/>
          <w:spacing w:val="6"/>
          <w:sz w:val="28"/>
          <w:szCs w:val="28"/>
          <w:lang w:val="en-US" w:eastAsia="zh-CN"/>
        </w:rPr>
        <w:t>彭州市第二人民医院后勤外包服务项目</w:t>
      </w:r>
      <w:r>
        <w:rPr>
          <w:rFonts w:hint="eastAsia" w:ascii="宋体" w:hAnsi="宋体"/>
          <w:spacing w:val="6"/>
          <w:sz w:val="28"/>
          <w:szCs w:val="28"/>
        </w:rPr>
        <w:t>（项目编号：</w:t>
      </w:r>
      <w:r>
        <w:rPr>
          <w:rFonts w:hint="eastAsia" w:ascii="宋体" w:hAnsi="宋体"/>
          <w:spacing w:val="6"/>
          <w:sz w:val="28"/>
          <w:szCs w:val="28"/>
          <w:lang w:val="en-US" w:eastAsia="zh-CN"/>
        </w:rPr>
        <w:t>彭州</w:t>
      </w:r>
      <w:r>
        <w:rPr>
          <w:rFonts w:hint="eastAsia" w:ascii="宋体" w:hAnsi="宋体"/>
          <w:spacing w:val="6"/>
          <w:sz w:val="28"/>
          <w:szCs w:val="28"/>
        </w:rPr>
        <w:t>市政采（2021）A00</w:t>
      </w:r>
      <w:r>
        <w:rPr>
          <w:rFonts w:hint="eastAsia" w:ascii="宋体" w:hAnsi="宋体"/>
          <w:spacing w:val="6"/>
          <w:sz w:val="28"/>
          <w:szCs w:val="28"/>
          <w:lang w:val="en-US" w:eastAsia="zh-CN"/>
        </w:rPr>
        <w:t>23</w:t>
      </w:r>
      <w:r>
        <w:rPr>
          <w:rFonts w:hint="eastAsia" w:ascii="宋体" w:hAnsi="宋体"/>
          <w:spacing w:val="6"/>
          <w:sz w:val="28"/>
          <w:szCs w:val="28"/>
        </w:rPr>
        <w:t>号）采购活动，服务全部由符合政策要求的中小企业承接。相关企业的具体情况如下：</w:t>
      </w:r>
    </w:p>
    <w:p>
      <w:pPr>
        <w:tabs>
          <w:tab w:val="left" w:pos="1134"/>
        </w:tabs>
        <w:spacing w:line="500" w:lineRule="exact"/>
        <w:ind w:firstLine="584" w:firstLineChars="200"/>
        <w:rPr>
          <w:rFonts w:hint="eastAsia" w:ascii="宋体" w:hAnsi="宋体"/>
          <w:spacing w:val="6"/>
          <w:sz w:val="28"/>
          <w:szCs w:val="28"/>
        </w:rPr>
      </w:pPr>
      <w:r>
        <w:rPr>
          <w:rFonts w:hint="eastAsia" w:ascii="宋体" w:hAnsi="宋体"/>
          <w:spacing w:val="6"/>
          <w:sz w:val="28"/>
          <w:szCs w:val="28"/>
          <w:lang w:val="en-US" w:eastAsia="zh-CN"/>
        </w:rPr>
        <w:t>XX</w:t>
      </w:r>
      <w:r>
        <w:rPr>
          <w:rFonts w:hint="eastAsia" w:ascii="宋体" w:hAnsi="宋体"/>
          <w:spacing w:val="6"/>
          <w:sz w:val="28"/>
          <w:szCs w:val="28"/>
        </w:rPr>
        <w:t>（标的名称），属于物业管理（采购文件中明确的所属行业）；承接企业为XXXX（企业名称），从业人员XX人，营业收入为XX万元，资产总额为XX万元，属于XXXX（中型企业、小型企业、微型企业）。</w:t>
      </w:r>
    </w:p>
    <w:p>
      <w:pPr>
        <w:tabs>
          <w:tab w:val="left" w:pos="1134"/>
        </w:tabs>
        <w:spacing w:line="500" w:lineRule="exact"/>
        <w:ind w:firstLine="584" w:firstLineChars="200"/>
        <w:rPr>
          <w:rFonts w:hint="eastAsia" w:ascii="宋体" w:hAnsi="宋体"/>
          <w:spacing w:val="6"/>
          <w:sz w:val="28"/>
          <w:szCs w:val="28"/>
        </w:rPr>
      </w:pPr>
      <w:r>
        <w:rPr>
          <w:rFonts w:hint="eastAsia" w:ascii="宋体" w:hAnsi="宋体"/>
          <w:spacing w:val="6"/>
          <w:sz w:val="28"/>
          <w:szCs w:val="28"/>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hint="eastAsia" w:ascii="宋体" w:hAnsi="宋体"/>
          <w:spacing w:val="6"/>
          <w:sz w:val="28"/>
          <w:szCs w:val="28"/>
        </w:rPr>
      </w:pPr>
      <w:r>
        <w:rPr>
          <w:rFonts w:hint="eastAsia" w:ascii="宋体" w:hAnsi="宋体"/>
          <w:spacing w:val="6"/>
          <w:sz w:val="28"/>
          <w:szCs w:val="28"/>
        </w:rPr>
        <w:t>本企业对上述声明内容的真实性负责。如有虚假，将依法承担相应责任。</w:t>
      </w:r>
    </w:p>
    <w:p>
      <w:pPr>
        <w:tabs>
          <w:tab w:val="left" w:pos="1134"/>
        </w:tabs>
        <w:spacing w:line="500" w:lineRule="exact"/>
        <w:ind w:firstLine="584" w:firstLineChars="200"/>
        <w:rPr>
          <w:rFonts w:hint="eastAsia" w:ascii="宋体" w:hAnsi="宋体"/>
          <w:spacing w:val="6"/>
          <w:sz w:val="28"/>
          <w:szCs w:val="28"/>
        </w:rPr>
      </w:pPr>
    </w:p>
    <w:p>
      <w:pPr>
        <w:tabs>
          <w:tab w:val="left" w:pos="1134"/>
        </w:tabs>
        <w:spacing w:line="500" w:lineRule="exact"/>
        <w:ind w:firstLine="584" w:firstLineChars="200"/>
        <w:rPr>
          <w:rFonts w:hint="eastAsia" w:ascii="宋体" w:hAnsi="宋体"/>
          <w:spacing w:val="6"/>
          <w:sz w:val="28"/>
          <w:szCs w:val="28"/>
        </w:rPr>
      </w:pPr>
      <w:r>
        <w:rPr>
          <w:rFonts w:hint="eastAsia" w:ascii="宋体" w:hAnsi="宋体"/>
          <w:spacing w:val="6"/>
          <w:sz w:val="28"/>
          <w:szCs w:val="28"/>
        </w:rPr>
        <w:t>企业名称：XXXX</w:t>
      </w:r>
    </w:p>
    <w:p>
      <w:pPr>
        <w:tabs>
          <w:tab w:val="left" w:pos="1134"/>
        </w:tabs>
        <w:spacing w:line="500" w:lineRule="exact"/>
        <w:ind w:firstLine="584" w:firstLineChars="200"/>
        <w:rPr>
          <w:rFonts w:hint="eastAsia" w:ascii="宋体" w:hAnsi="宋体"/>
          <w:spacing w:val="6"/>
          <w:sz w:val="28"/>
          <w:szCs w:val="28"/>
        </w:rPr>
      </w:pPr>
      <w:r>
        <w:rPr>
          <w:rFonts w:hint="eastAsia" w:ascii="宋体" w:hAnsi="宋体"/>
          <w:spacing w:val="6"/>
          <w:sz w:val="28"/>
          <w:szCs w:val="28"/>
        </w:rPr>
        <w:t>日  期：20XX年XX月XX日</w:t>
      </w:r>
    </w:p>
    <w:p>
      <w:pPr>
        <w:tabs>
          <w:tab w:val="left" w:pos="1134"/>
        </w:tabs>
        <w:spacing w:line="500" w:lineRule="exact"/>
        <w:ind w:firstLine="584" w:firstLineChars="200"/>
        <w:rPr>
          <w:rFonts w:hint="eastAsia" w:ascii="宋体" w:hAnsi="宋体"/>
          <w:spacing w:val="6"/>
          <w:sz w:val="28"/>
          <w:szCs w:val="28"/>
          <w:lang w:eastAsia="zh-CN"/>
        </w:rPr>
      </w:pPr>
      <w:r>
        <w:rPr>
          <w:rFonts w:hint="eastAsia" w:ascii="宋体" w:hAnsi="宋体"/>
          <w:spacing w:val="6"/>
          <w:sz w:val="28"/>
          <w:szCs w:val="28"/>
        </w:rPr>
        <w:t>说明：1. 提供了《残疾人福利性单位声明函》或监狱企业证明文件复印件的不需提供；如未提供中小企业声明函，则不能享受招标文件规定的价格扣除，但不影响投标人投标文件的有效性</w:t>
      </w:r>
      <w:r>
        <w:rPr>
          <w:rFonts w:hint="eastAsia" w:ascii="宋体" w:hAnsi="宋体"/>
          <w:spacing w:val="6"/>
          <w:sz w:val="28"/>
          <w:szCs w:val="28"/>
          <w:lang w:eastAsia="zh-CN"/>
        </w:rPr>
        <w:t>。</w:t>
      </w:r>
    </w:p>
    <w:p>
      <w:pPr>
        <w:tabs>
          <w:tab w:val="left" w:pos="1134"/>
        </w:tabs>
        <w:spacing w:line="500" w:lineRule="exact"/>
        <w:ind w:firstLine="584" w:firstLineChars="200"/>
        <w:rPr>
          <w:rFonts w:ascii="宋体" w:hAnsi="宋体"/>
          <w:color w:val="000000" w:themeColor="text1"/>
          <w:sz w:val="28"/>
          <w:szCs w:val="28"/>
          <w14:textFill>
            <w14:solidFill>
              <w14:schemeClr w14:val="tx1"/>
            </w14:solidFill>
          </w14:textFill>
        </w:rPr>
      </w:pPr>
      <w:r>
        <w:rPr>
          <w:rFonts w:hint="eastAsia" w:ascii="宋体" w:hAnsi="宋体"/>
          <w:spacing w:val="6"/>
          <w:sz w:val="28"/>
          <w:szCs w:val="28"/>
          <w:lang w:val="en-US" w:eastAsia="zh-CN"/>
        </w:rPr>
        <w:t>2.</w:t>
      </w:r>
      <w:r>
        <w:rPr>
          <w:rFonts w:hint="eastAsia" w:ascii="宋体" w:hAnsi="宋体"/>
          <w:spacing w:val="6"/>
          <w:sz w:val="28"/>
          <w:szCs w:val="28"/>
        </w:rPr>
        <w:t>从业人员、营业收入、资产总额填报上一年度数据，无上一年度数据的新成立企业可不填报</w:t>
      </w:r>
      <w:r>
        <w:rPr>
          <w:rFonts w:hint="eastAsia" w:ascii="宋体" w:hAnsi="宋体"/>
          <w:color w:val="000000" w:themeColor="text1"/>
          <w:sz w:val="28"/>
          <w:szCs w:val="28"/>
          <w14:textFill>
            <w14:solidFill>
              <w14:schemeClr w14:val="tx1"/>
            </w14:solidFill>
          </w14:textFill>
        </w:rPr>
        <w:t>。</w:t>
      </w:r>
    </w:p>
    <w:p>
      <w:pPr>
        <w:pStyle w:val="84"/>
        <w:tabs>
          <w:tab w:val="left" w:pos="567"/>
          <w:tab w:val="left" w:pos="709"/>
          <w:tab w:val="left" w:pos="851"/>
        </w:tabs>
        <w:spacing w:line="500" w:lineRule="exact"/>
        <w:ind w:firstLine="548" w:firstLineChars="195"/>
        <w:jc w:val="left"/>
        <w:rPr>
          <w:rFonts w:ascii="宋体" w:hAnsi="宋体"/>
          <w:b/>
          <w:color w:val="000000" w:themeColor="text1"/>
          <w:kern w:val="0"/>
          <w:sz w:val="28"/>
          <w:szCs w:val="28"/>
          <w14:textFill>
            <w14:solidFill>
              <w14:schemeClr w14:val="tx1"/>
            </w14:solidFill>
          </w14:textFill>
        </w:rPr>
      </w:pPr>
    </w:p>
    <w:p>
      <w:pPr>
        <w:tabs>
          <w:tab w:val="left" w:pos="567"/>
          <w:tab w:val="left" w:pos="709"/>
          <w:tab w:val="left" w:pos="851"/>
        </w:tabs>
        <w:spacing w:line="500" w:lineRule="exact"/>
        <w:jc w:val="left"/>
        <w:rPr>
          <w:rFonts w:ascii="宋体" w:hAnsi="宋体"/>
          <w:b/>
          <w:color w:val="000000" w:themeColor="text1"/>
          <w:kern w:val="0"/>
          <w:sz w:val="28"/>
          <w:szCs w:val="28"/>
          <w14:textFill>
            <w14:solidFill>
              <w14:schemeClr w14:val="tx1"/>
            </w14:solidFill>
          </w14:textFill>
        </w:rPr>
      </w:pPr>
    </w:p>
    <w:p>
      <w:pPr>
        <w:pStyle w:val="6"/>
        <w:numPr>
          <w:ilvl w:val="0"/>
          <w:numId w:val="0"/>
        </w:numPr>
        <w:spacing w:after="200" w:line="240" w:lineRule="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 xml:space="preserve">3.3.4  </w:t>
      </w:r>
      <w:r>
        <w:rPr>
          <w:rFonts w:hint="eastAsia"/>
          <w:color w:val="000000" w:themeColor="text1"/>
          <w14:textFill>
            <w14:solidFill>
              <w14:schemeClr w14:val="tx1"/>
            </w14:solidFill>
          </w14:textFill>
        </w:rPr>
        <w:t>残疾人福利性单位声明函</w:t>
      </w:r>
    </w:p>
    <w:p>
      <w:pPr>
        <w:spacing w:line="500" w:lineRule="exact"/>
        <w:jc w:val="center"/>
        <w:rPr>
          <w:rFonts w:ascii="宋体" w:hAnsi="宋体"/>
          <w:b/>
          <w:spacing w:val="6"/>
          <w:sz w:val="28"/>
          <w:szCs w:val="28"/>
        </w:rPr>
      </w:pPr>
      <w:r>
        <w:rPr>
          <w:rFonts w:hint="eastAsia" w:ascii="宋体" w:hAnsi="宋体"/>
          <w:b/>
          <w:spacing w:val="6"/>
          <w:sz w:val="28"/>
          <w:szCs w:val="28"/>
        </w:rPr>
        <w:t>残疾人福利性单位声明函</w:t>
      </w:r>
    </w:p>
    <w:p>
      <w:pPr>
        <w:spacing w:line="440" w:lineRule="exact"/>
        <w:rPr>
          <w:rFonts w:ascii="仿宋_GB2312" w:eastAsia="仿宋_GB2312"/>
          <w:b/>
          <w:spacing w:val="6"/>
          <w:sz w:val="30"/>
          <w:szCs w:val="30"/>
        </w:rPr>
      </w:pPr>
    </w:p>
    <w:p>
      <w:pPr>
        <w:tabs>
          <w:tab w:val="left" w:pos="1134"/>
        </w:tabs>
        <w:spacing w:line="500" w:lineRule="exact"/>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b/>
          <w:color w:val="000000" w:themeColor="text1"/>
          <w:sz w:val="28"/>
          <w:szCs w:val="28"/>
          <w:u w:val="single"/>
          <w:lang w:val="en-US" w:eastAsia="zh-CN"/>
          <w14:textFill>
            <w14:solidFill>
              <w14:schemeClr w14:val="tx1"/>
            </w14:solidFill>
          </w14:textFill>
        </w:rPr>
        <w:t>彭州市第二人民医院</w:t>
      </w:r>
      <w:r>
        <w:rPr>
          <w:rFonts w:hint="eastAsia" w:ascii="宋体" w:hAnsi="宋体"/>
          <w:color w:val="000000" w:themeColor="text1"/>
          <w:sz w:val="28"/>
          <w:szCs w:val="28"/>
          <w14:textFill>
            <w14:solidFill>
              <w14:schemeClr w14:val="tx1"/>
            </w14:solidFill>
          </w14:textFill>
        </w:rPr>
        <w:t>的</w:t>
      </w:r>
      <w:r>
        <w:rPr>
          <w:rFonts w:hint="eastAsia" w:ascii="宋体" w:hAnsi="宋体"/>
          <w:b/>
          <w:color w:val="000000" w:themeColor="text1"/>
          <w:sz w:val="28"/>
          <w:szCs w:val="28"/>
          <w:u w:val="single"/>
          <w:lang w:val="en-US" w:eastAsia="zh-CN"/>
          <w14:textFill>
            <w14:solidFill>
              <w14:schemeClr w14:val="tx1"/>
            </w14:solidFill>
          </w14:textFill>
        </w:rPr>
        <w:t>彭州市第二人民医院后勤外包服务项目</w:t>
      </w:r>
      <w:r>
        <w:rPr>
          <w:rFonts w:hint="eastAsia" w:ascii="宋体" w:hAnsi="宋体"/>
          <w:spacing w:val="6"/>
          <w:sz w:val="28"/>
          <w:szCs w:val="28"/>
        </w:rPr>
        <w:t>采购活动由本单位提供服务。</w:t>
      </w:r>
    </w:p>
    <w:p>
      <w:pPr>
        <w:tabs>
          <w:tab w:val="left" w:pos="1134"/>
        </w:tabs>
        <w:spacing w:line="500" w:lineRule="exact"/>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overflowPunct w:val="0"/>
        <w:spacing w:line="520" w:lineRule="exact"/>
        <w:ind w:firstLine="560" w:firstLineChars="200"/>
        <w:rPr>
          <w:rFonts w:ascii="Times New Roman" w:hAnsi="Times New Roman" w:eastAsia="仿宋_GB2312"/>
          <w:bCs/>
          <w:sz w:val="28"/>
          <w:szCs w:val="28"/>
        </w:rPr>
      </w:pPr>
    </w:p>
    <w:p>
      <w:pPr>
        <w:tabs>
          <w:tab w:val="left" w:pos="3969"/>
        </w:tabs>
        <w:spacing w:line="500" w:lineRule="exact"/>
        <w:ind w:right="-58" w:firstLine="584" w:firstLineChars="200"/>
        <w:jc w:val="left"/>
        <w:rPr>
          <w:rFonts w:ascii="宋体" w:hAnsi="宋体"/>
          <w:spacing w:val="6"/>
          <w:sz w:val="28"/>
          <w:szCs w:val="28"/>
        </w:rPr>
      </w:pPr>
      <w:r>
        <w:rPr>
          <w:rFonts w:hint="eastAsia" w:ascii="宋体" w:hAnsi="宋体"/>
          <w:spacing w:val="6"/>
          <w:sz w:val="28"/>
          <w:szCs w:val="28"/>
        </w:rPr>
        <w:t>单位名称：</w:t>
      </w:r>
      <w:r>
        <w:rPr>
          <w:rFonts w:ascii="宋体" w:hAnsi="宋体"/>
          <w:sz w:val="28"/>
          <w:szCs w:val="28"/>
          <w:u w:val="single"/>
        </w:rPr>
        <w:t>XXXX</w:t>
      </w:r>
      <w:r>
        <w:rPr>
          <w:rFonts w:ascii="宋体" w:hAnsi="宋体"/>
          <w:spacing w:val="6"/>
          <w:sz w:val="28"/>
          <w:szCs w:val="28"/>
        </w:rPr>
        <w:t xml:space="preserve"> </w:t>
      </w:r>
    </w:p>
    <w:p>
      <w:pPr>
        <w:tabs>
          <w:tab w:val="left" w:pos="3969"/>
        </w:tabs>
        <w:spacing w:line="500" w:lineRule="exact"/>
        <w:ind w:right="-58" w:firstLine="584" w:firstLineChars="200"/>
        <w:jc w:val="left"/>
        <w:rPr>
          <w:sz w:val="28"/>
          <w:szCs w:val="28"/>
        </w:rPr>
      </w:pPr>
      <w:r>
        <w:rPr>
          <w:rFonts w:hint="eastAsia" w:ascii="宋体" w:hAnsi="宋体"/>
          <w:spacing w:val="6"/>
          <w:sz w:val="28"/>
          <w:szCs w:val="28"/>
        </w:rPr>
        <w:t>日</w:t>
      </w:r>
      <w:r>
        <w:rPr>
          <w:rFonts w:ascii="宋体" w:hAnsi="宋体"/>
          <w:spacing w:val="6"/>
          <w:sz w:val="28"/>
          <w:szCs w:val="28"/>
        </w:rPr>
        <w:t xml:space="preserve">  </w:t>
      </w:r>
      <w:r>
        <w:rPr>
          <w:rFonts w:hint="eastAsia" w:ascii="宋体" w:hAnsi="宋体"/>
          <w:spacing w:val="6"/>
          <w:sz w:val="28"/>
          <w:szCs w:val="28"/>
        </w:rPr>
        <w:t>期：</w:t>
      </w:r>
      <w:r>
        <w:rPr>
          <w:rFonts w:ascii="宋体" w:hAnsi="宋体"/>
          <w:sz w:val="28"/>
          <w:szCs w:val="28"/>
        </w:rPr>
        <w:t>20</w:t>
      </w:r>
      <w:r>
        <w:rPr>
          <w:rFonts w:ascii="宋体" w:hAnsi="宋体"/>
          <w:sz w:val="28"/>
          <w:szCs w:val="28"/>
          <w:u w:val="single"/>
        </w:rPr>
        <w:t>XX</w:t>
      </w:r>
      <w:r>
        <w:rPr>
          <w:rFonts w:ascii="宋体" w:hAnsi="宋体"/>
          <w:sz w:val="28"/>
          <w:szCs w:val="28"/>
        </w:rPr>
        <w:t>年</w:t>
      </w:r>
      <w:r>
        <w:rPr>
          <w:rFonts w:ascii="宋体" w:hAnsi="宋体"/>
          <w:sz w:val="28"/>
          <w:szCs w:val="28"/>
          <w:u w:val="single"/>
        </w:rPr>
        <w:t>XX</w:t>
      </w:r>
      <w:r>
        <w:rPr>
          <w:rFonts w:ascii="宋体" w:hAnsi="宋体"/>
          <w:sz w:val="28"/>
          <w:szCs w:val="28"/>
        </w:rPr>
        <w:t>月</w:t>
      </w:r>
      <w:r>
        <w:rPr>
          <w:rFonts w:ascii="宋体" w:hAnsi="宋体"/>
          <w:sz w:val="28"/>
          <w:szCs w:val="28"/>
          <w:u w:val="single"/>
        </w:rPr>
        <w:t>XX</w:t>
      </w:r>
      <w:r>
        <w:rPr>
          <w:rFonts w:ascii="宋体" w:hAnsi="宋体"/>
          <w:sz w:val="28"/>
          <w:szCs w:val="28"/>
        </w:rPr>
        <w:t>日</w:t>
      </w:r>
    </w:p>
    <w:p>
      <w:pPr>
        <w:ind w:firstLine="563"/>
        <w:rPr>
          <w:rFonts w:ascii="宋体" w:hAnsi="宋体"/>
          <w:b/>
          <w:kern w:val="0"/>
          <w:sz w:val="28"/>
          <w:szCs w:val="28"/>
        </w:rPr>
      </w:pPr>
    </w:p>
    <w:p>
      <w:pPr>
        <w:tabs>
          <w:tab w:val="left" w:pos="1260"/>
        </w:tabs>
        <w:spacing w:line="560" w:lineRule="exact"/>
        <w:ind w:firstLine="562" w:firstLineChars="200"/>
        <w:rPr>
          <w:rFonts w:hint="eastAsia" w:ascii="宋体" w:hAnsi="宋体" w:eastAsia="宋体"/>
          <w:szCs w:val="28"/>
          <w:lang w:eastAsia="zh-CN"/>
        </w:rPr>
      </w:pPr>
      <w:r>
        <w:rPr>
          <w:rFonts w:hint="eastAsia" w:ascii="宋体" w:hAnsi="宋体"/>
          <w:b/>
          <w:sz w:val="28"/>
          <w:szCs w:val="28"/>
        </w:rPr>
        <w:t>说明</w:t>
      </w:r>
      <w:r>
        <w:rPr>
          <w:rFonts w:ascii="宋体" w:hAnsi="宋体"/>
          <w:b/>
          <w:sz w:val="28"/>
          <w:szCs w:val="28"/>
        </w:rPr>
        <w:t>：</w:t>
      </w:r>
      <w:r>
        <w:rPr>
          <w:rFonts w:hint="eastAsia" w:ascii="宋体" w:hAnsi="宋体"/>
          <w:b/>
          <w:sz w:val="28"/>
          <w:szCs w:val="28"/>
        </w:rPr>
        <w:t>提供了《中小</w:t>
      </w:r>
      <w:r>
        <w:rPr>
          <w:rFonts w:ascii="宋体" w:hAnsi="宋体"/>
          <w:b/>
          <w:sz w:val="28"/>
          <w:szCs w:val="28"/>
        </w:rPr>
        <w:t>企业声明函</w:t>
      </w:r>
      <w:r>
        <w:rPr>
          <w:rFonts w:hint="eastAsia" w:ascii="宋体" w:hAnsi="宋体"/>
          <w:b/>
          <w:sz w:val="28"/>
          <w:szCs w:val="28"/>
        </w:rPr>
        <w:t>》或监狱企业证明文件复印件的不需提供。</w:t>
      </w:r>
      <w:r>
        <w:rPr>
          <w:rFonts w:hint="eastAsia" w:ascii="宋体" w:hAnsi="宋体"/>
          <w:b/>
          <w:color w:val="000000" w:themeColor="text1"/>
          <w:kern w:val="0"/>
          <w:sz w:val="28"/>
          <w:szCs w:val="28"/>
          <w14:textFill>
            <w14:solidFill>
              <w14:schemeClr w14:val="tx1"/>
            </w14:solidFill>
          </w14:textFill>
        </w:rPr>
        <w:t>如未提供残疾人福利性单位声明函，则不能享受招标文件规定的价格扣除，但不影响投标人投标文件的有效性</w:t>
      </w:r>
      <w:r>
        <w:rPr>
          <w:rFonts w:hint="eastAsia" w:ascii="宋体" w:hAnsi="宋体"/>
          <w:b/>
          <w:color w:val="000000" w:themeColor="text1"/>
          <w:kern w:val="0"/>
          <w:sz w:val="28"/>
          <w:szCs w:val="28"/>
          <w:lang w:eastAsia="zh-CN"/>
          <w14:textFill>
            <w14:solidFill>
              <w14:schemeClr w14:val="tx1"/>
            </w14:solidFill>
          </w14:textFill>
        </w:rPr>
        <w:t>。</w:t>
      </w:r>
    </w:p>
    <w:p>
      <w:pPr>
        <w:pStyle w:val="2"/>
      </w:pPr>
    </w:p>
    <w:p>
      <w:pPr>
        <w:pStyle w:val="2"/>
        <w:rPr>
          <w:rFonts w:ascii="宋体" w:hAnsi="宋体"/>
          <w:color w:val="000000" w:themeColor="text1"/>
          <w:sz w:val="28"/>
          <w:szCs w:val="28"/>
          <w14:textFill>
            <w14:solidFill>
              <w14:schemeClr w14:val="tx1"/>
            </w14:solidFill>
          </w14:textFill>
        </w:rPr>
      </w:pPr>
    </w:p>
    <w:p/>
    <w:p>
      <w:pPr>
        <w:keepNext/>
        <w:keepLines/>
        <w:numPr>
          <w:ilvl w:val="0"/>
          <w:numId w:val="0"/>
        </w:numPr>
        <w:spacing w:line="360" w:lineRule="auto"/>
        <w:ind w:leftChars="0"/>
        <w:outlineLvl w:val="2"/>
        <w:rPr>
          <w:rFonts w:ascii="宋体" w:hAnsi="宋体"/>
          <w:b/>
          <w:bCs/>
          <w:sz w:val="28"/>
          <w:szCs w:val="28"/>
        </w:rPr>
      </w:pPr>
      <w:r>
        <w:rPr>
          <w:rFonts w:hint="eastAsia" w:ascii="宋体" w:hAnsi="宋体"/>
          <w:b/>
          <w:bCs/>
          <w:sz w:val="28"/>
          <w:szCs w:val="28"/>
          <w:lang w:val="en-US" w:eastAsia="zh-CN"/>
        </w:rPr>
        <w:t>3.3.5</w:t>
      </w:r>
      <w:r>
        <w:rPr>
          <w:rFonts w:hint="eastAsia" w:ascii="宋体" w:hAnsi="宋体"/>
          <w:b/>
          <w:bCs/>
          <w:sz w:val="28"/>
          <w:szCs w:val="28"/>
        </w:rPr>
        <w:t>投标人基本情况表</w:t>
      </w:r>
    </w:p>
    <w:tbl>
      <w:tblPr>
        <w:tblStyle w:val="43"/>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ascii="宋体" w:hAnsi="宋体"/>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szCs w:val="21"/>
              </w:rPr>
            </w:pPr>
            <w:r>
              <w:rPr>
                <w:rFonts w:hint="eastAsia" w:ascii="宋体" w:hAnsi="宋体"/>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szCs w:val="21"/>
              </w:rPr>
            </w:pPr>
            <w:r>
              <w:rPr>
                <w:rFonts w:hint="eastAsia" w:ascii="宋体" w:hAnsi="宋体"/>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szCs w:val="21"/>
              </w:rPr>
            </w:pPr>
          </w:p>
        </w:tc>
      </w:tr>
    </w:tbl>
    <w:p>
      <w:pPr>
        <w:spacing w:after="120" w:line="360" w:lineRule="auto"/>
        <w:ind w:left="420" w:leftChars="200" w:firstLine="288" w:firstLineChars="103"/>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 xml:space="preserve"> XXXX</w:t>
      </w:r>
    </w:p>
    <w:p>
      <w:pPr>
        <w:adjustRightInd w:val="0"/>
        <w:spacing w:line="400" w:lineRule="exact"/>
        <w:ind w:firstLine="700" w:firstLineChars="2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rPr>
          <w:rFonts w:ascii="宋体" w:hAnsi="宋体"/>
          <w:color w:val="000000" w:themeColor="text1"/>
          <w:sz w:val="28"/>
          <w:szCs w:val="28"/>
          <w14:textFill>
            <w14:solidFill>
              <w14:schemeClr w14:val="tx1"/>
            </w14:solidFill>
          </w14:textFill>
        </w:rPr>
      </w:pPr>
    </w:p>
    <w:p>
      <w:pPr>
        <w:pStyle w:val="2"/>
      </w:pPr>
    </w:p>
    <w:p>
      <w:pPr>
        <w:pStyle w:val="6"/>
        <w:numPr>
          <w:ilvl w:val="0"/>
          <w:numId w:val="0"/>
        </w:numPr>
        <w:spacing w:after="200" w:line="240" w:lineRule="auto"/>
        <w:rPr>
          <w:rFonts w:hint="eastAsia" w:eastAsia="宋体"/>
          <w:color w:val="auto"/>
          <w:lang w:eastAsia="zh-CN"/>
        </w:rPr>
      </w:pPr>
      <w:r>
        <w:rPr>
          <w:rFonts w:hint="eastAsia"/>
          <w:color w:val="auto"/>
          <w:lang w:val="en-US" w:eastAsia="zh-CN"/>
        </w:rPr>
        <w:t xml:space="preserve">3.3.6  </w:t>
      </w:r>
      <w:r>
        <w:rPr>
          <w:rFonts w:hint="eastAsia"/>
          <w:color w:val="FF0000"/>
          <w:lang w:val="en-US" w:eastAsia="zh-CN"/>
        </w:rPr>
        <w:t xml:space="preserve"> </w:t>
      </w:r>
      <w:r>
        <w:rPr>
          <w:rFonts w:hint="eastAsia"/>
          <w:color w:val="auto"/>
          <w:lang w:val="en-US" w:eastAsia="zh-CN"/>
        </w:rPr>
        <w:t>项目</w:t>
      </w:r>
      <w:r>
        <w:rPr>
          <w:rFonts w:hint="eastAsia"/>
          <w:color w:val="auto"/>
        </w:rPr>
        <w:t>服务方案</w:t>
      </w:r>
    </w:p>
    <w:p>
      <w:pPr>
        <w:snapToGrid w:val="0"/>
        <w:spacing w:line="360" w:lineRule="auto"/>
        <w:rPr>
          <w:rFonts w:ascii="宋体" w:hAnsi="宋体"/>
          <w:b/>
          <w:sz w:val="28"/>
          <w:szCs w:val="28"/>
        </w:rPr>
      </w:pPr>
      <w:r>
        <w:rPr>
          <w:rFonts w:hint="eastAsia" w:ascii="宋体" w:hAnsi="宋体"/>
          <w:b/>
          <w:sz w:val="28"/>
          <w:szCs w:val="28"/>
        </w:rPr>
        <w:t>项目名称：</w:t>
      </w:r>
      <w:r>
        <w:rPr>
          <w:rFonts w:hint="eastAsia" w:ascii="宋体" w:hAnsi="宋体"/>
          <w:b/>
          <w:color w:val="000000" w:themeColor="text1"/>
          <w:sz w:val="28"/>
          <w:szCs w:val="28"/>
          <w:u w:val="single"/>
          <w:lang w:val="en-US" w:eastAsia="zh-CN"/>
          <w14:textFill>
            <w14:solidFill>
              <w14:schemeClr w14:val="tx1"/>
            </w14:solidFill>
          </w14:textFill>
        </w:rPr>
        <w:t>彭州市第二人民医院后勤外包服务项目</w:t>
      </w:r>
    </w:p>
    <w:p>
      <w:pPr>
        <w:snapToGrid w:val="0"/>
        <w:spacing w:line="360" w:lineRule="auto"/>
        <w:rPr>
          <w:rFonts w:hint="eastAsia"/>
        </w:rPr>
      </w:pPr>
      <w:r>
        <w:rPr>
          <w:rFonts w:hint="eastAsia" w:ascii="宋体" w:hAnsi="宋体"/>
          <w:b/>
          <w:sz w:val="28"/>
          <w:szCs w:val="28"/>
        </w:rPr>
        <w:t>项目编号：</w:t>
      </w:r>
      <w:r>
        <w:rPr>
          <w:rFonts w:hint="eastAsia" w:ascii="宋体" w:hAnsi="宋体"/>
          <w:b/>
          <w:sz w:val="28"/>
          <w:szCs w:val="28"/>
          <w:u w:val="single"/>
          <w:lang w:val="en-US" w:eastAsia="zh-CN"/>
        </w:rPr>
        <w:t>彭州</w:t>
      </w:r>
      <w:r>
        <w:rPr>
          <w:rFonts w:hint="eastAsia" w:ascii="宋体" w:hAnsi="宋体"/>
          <w:b/>
          <w:bCs/>
          <w:color w:val="000000" w:themeColor="text1"/>
          <w:sz w:val="28"/>
          <w:szCs w:val="28"/>
          <w:u w:val="single"/>
          <w14:textFill>
            <w14:solidFill>
              <w14:schemeClr w14:val="tx1"/>
            </w14:solidFill>
          </w14:textFill>
        </w:rPr>
        <w:t>市政采（2021）A00</w:t>
      </w:r>
      <w:r>
        <w:rPr>
          <w:rFonts w:hint="eastAsia" w:ascii="宋体" w:hAnsi="宋体"/>
          <w:b/>
          <w:bCs/>
          <w:color w:val="000000" w:themeColor="text1"/>
          <w:sz w:val="28"/>
          <w:szCs w:val="28"/>
          <w:u w:val="single"/>
          <w:lang w:val="en-US" w:eastAsia="zh-CN"/>
          <w14:textFill>
            <w14:solidFill>
              <w14:schemeClr w14:val="tx1"/>
            </w14:solidFill>
          </w14:textFill>
        </w:rPr>
        <w:t>23</w:t>
      </w:r>
      <w:r>
        <w:rPr>
          <w:rFonts w:hint="eastAsia" w:ascii="宋体" w:hAnsi="宋体"/>
          <w:b/>
          <w:bCs/>
          <w:color w:val="000000" w:themeColor="text1"/>
          <w:sz w:val="28"/>
          <w:szCs w:val="28"/>
          <w:u w:val="single"/>
          <w14:textFill>
            <w14:solidFill>
              <w14:schemeClr w14:val="tx1"/>
            </w14:solidFill>
          </w14:textFill>
        </w:rPr>
        <w:t>号</w:t>
      </w:r>
    </w:p>
    <w:p>
      <w:pPr>
        <w:pStyle w:val="2"/>
      </w:pPr>
    </w:p>
    <w:p>
      <w:pPr>
        <w:snapToGrid w:val="0"/>
        <w:spacing w:line="360" w:lineRule="auto"/>
        <w:rPr>
          <w:rFonts w:hint="eastAsia" w:ascii="宋体" w:hAnsi="宋体"/>
          <w:b/>
          <w:sz w:val="28"/>
          <w:szCs w:val="28"/>
          <w:lang w:val="en-US" w:eastAsia="zh-CN"/>
        </w:rPr>
      </w:pPr>
      <w:r>
        <w:rPr>
          <w:rFonts w:hint="eastAsia" w:ascii="宋体" w:hAnsi="宋体"/>
          <w:b/>
          <w:sz w:val="28"/>
          <w:szCs w:val="28"/>
          <w:lang w:val="en-US" w:eastAsia="zh-CN"/>
        </w:rPr>
        <w:t>投标人提供的资料包含但不限于项目需求分析、保洁服务、秩序维护及消防服务、后勤服务、其他相关服务、拟投入本项目人员配置、履约能力、扶持少数民族地区和不发达地区。</w:t>
      </w: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keepNext/>
        <w:keepLines/>
        <w:numPr>
          <w:ilvl w:val="0"/>
          <w:numId w:val="0"/>
        </w:numPr>
        <w:spacing w:line="360" w:lineRule="auto"/>
        <w:ind w:leftChars="0"/>
        <w:outlineLvl w:val="2"/>
        <w:rPr>
          <w:rFonts w:ascii="宋体" w:hAnsi="宋体"/>
          <w:b/>
          <w:sz w:val="28"/>
          <w:szCs w:val="28"/>
        </w:rPr>
      </w:pPr>
      <w:r>
        <w:rPr>
          <w:rFonts w:hint="eastAsia" w:ascii="宋体" w:hAnsi="宋体"/>
          <w:b/>
          <w:sz w:val="28"/>
          <w:szCs w:val="28"/>
          <w:lang w:val="en-US" w:eastAsia="zh-CN"/>
        </w:rPr>
        <w:t xml:space="preserve">3.3.7  </w:t>
      </w:r>
      <w:r>
        <w:rPr>
          <w:rFonts w:hint="eastAsia" w:ascii="宋体" w:hAnsi="宋体"/>
          <w:b/>
          <w:sz w:val="28"/>
          <w:szCs w:val="28"/>
        </w:rPr>
        <w:t>承诺函</w:t>
      </w:r>
    </w:p>
    <w:p>
      <w:pPr>
        <w:snapToGrid w:val="0"/>
        <w:spacing w:line="360" w:lineRule="auto"/>
        <w:rPr>
          <w:rFonts w:ascii="宋体" w:hAnsi="宋体"/>
          <w:b/>
          <w:sz w:val="28"/>
          <w:szCs w:val="28"/>
        </w:rPr>
      </w:pPr>
      <w:r>
        <w:rPr>
          <w:rFonts w:hint="eastAsia" w:ascii="宋体" w:hAnsi="宋体"/>
          <w:b/>
          <w:sz w:val="28"/>
          <w:szCs w:val="28"/>
        </w:rPr>
        <w:t>项目名称：</w:t>
      </w:r>
      <w:r>
        <w:rPr>
          <w:rFonts w:hint="eastAsia" w:ascii="宋体" w:hAnsi="宋体"/>
          <w:b/>
          <w:color w:val="000000" w:themeColor="text1"/>
          <w:sz w:val="28"/>
          <w:szCs w:val="28"/>
          <w:u w:val="single"/>
          <w:lang w:val="en-US" w:eastAsia="zh-CN"/>
          <w14:textFill>
            <w14:solidFill>
              <w14:schemeClr w14:val="tx1"/>
            </w14:solidFill>
          </w14:textFill>
        </w:rPr>
        <w:t>彭州市第二人民医院后勤外包服务项目</w:t>
      </w:r>
    </w:p>
    <w:p>
      <w:pPr>
        <w:snapToGrid w:val="0"/>
        <w:spacing w:line="360" w:lineRule="auto"/>
        <w:rPr>
          <w:rFonts w:hint="eastAsia"/>
        </w:rPr>
      </w:pPr>
      <w:r>
        <w:rPr>
          <w:rFonts w:hint="eastAsia" w:ascii="宋体" w:hAnsi="宋体"/>
          <w:b/>
          <w:sz w:val="28"/>
          <w:szCs w:val="28"/>
        </w:rPr>
        <w:t>项目编号：</w:t>
      </w:r>
      <w:r>
        <w:rPr>
          <w:rFonts w:hint="eastAsia" w:ascii="宋体" w:hAnsi="宋体"/>
          <w:b/>
          <w:sz w:val="28"/>
          <w:szCs w:val="28"/>
          <w:u w:val="single"/>
          <w:lang w:val="en-US" w:eastAsia="zh-CN"/>
        </w:rPr>
        <w:t>彭州</w:t>
      </w:r>
      <w:r>
        <w:rPr>
          <w:rFonts w:hint="eastAsia" w:ascii="宋体" w:hAnsi="宋体"/>
          <w:b/>
          <w:bCs/>
          <w:color w:val="000000" w:themeColor="text1"/>
          <w:sz w:val="28"/>
          <w:szCs w:val="28"/>
          <w:u w:val="single"/>
          <w14:textFill>
            <w14:solidFill>
              <w14:schemeClr w14:val="tx1"/>
            </w14:solidFill>
          </w14:textFill>
        </w:rPr>
        <w:t>市政采（2021）A00</w:t>
      </w:r>
      <w:r>
        <w:rPr>
          <w:rFonts w:hint="eastAsia" w:ascii="宋体" w:hAnsi="宋体"/>
          <w:b/>
          <w:bCs/>
          <w:color w:val="000000" w:themeColor="text1"/>
          <w:sz w:val="28"/>
          <w:szCs w:val="28"/>
          <w:u w:val="single"/>
          <w:lang w:val="en-US" w:eastAsia="zh-CN"/>
          <w14:textFill>
            <w14:solidFill>
              <w14:schemeClr w14:val="tx1"/>
            </w14:solidFill>
          </w14:textFill>
        </w:rPr>
        <w:t>23</w:t>
      </w:r>
      <w:r>
        <w:rPr>
          <w:rFonts w:hint="eastAsia" w:ascii="宋体" w:hAnsi="宋体"/>
          <w:b/>
          <w:bCs/>
          <w:color w:val="000000" w:themeColor="text1"/>
          <w:sz w:val="28"/>
          <w:szCs w:val="28"/>
          <w:u w:val="single"/>
          <w14:textFill>
            <w14:solidFill>
              <w14:schemeClr w14:val="tx1"/>
            </w14:solidFill>
          </w14:textFill>
        </w:rPr>
        <w:t>号</w:t>
      </w:r>
    </w:p>
    <w:p>
      <w:pPr>
        <w:snapToGrid w:val="0"/>
        <w:spacing w:line="360" w:lineRule="auto"/>
        <w:rPr>
          <w:rFonts w:ascii="宋体" w:hAnsi="宋体"/>
          <w:b/>
          <w:sz w:val="28"/>
          <w:szCs w:val="28"/>
        </w:rPr>
      </w:pPr>
    </w:p>
    <w:p>
      <w:pPr>
        <w:snapToGrid w:val="0"/>
        <w:spacing w:line="360" w:lineRule="auto"/>
        <w:rPr>
          <w:rFonts w:ascii="宋体" w:hAnsi="宋体"/>
          <w:sz w:val="28"/>
        </w:rPr>
      </w:pPr>
    </w:p>
    <w:p>
      <w:pPr>
        <w:adjustRightInd w:val="0"/>
        <w:snapToGrid w:val="0"/>
        <w:spacing w:line="360" w:lineRule="auto"/>
        <w:ind w:firstLine="602" w:firstLineChars="201"/>
        <w:rPr>
          <w:rFonts w:ascii="宋体" w:hAnsi="宋体"/>
          <w:color w:val="000000" w:themeColor="text1"/>
          <w:sz w:val="30"/>
          <w:szCs w:val="30"/>
          <w14:textFill>
            <w14:solidFill>
              <w14:schemeClr w14:val="tx1"/>
            </w14:solidFill>
          </w14:textFill>
        </w:rPr>
      </w:pPr>
      <w:r>
        <w:rPr>
          <w:rFonts w:hint="eastAsia" w:ascii="宋体" w:hAnsi="宋体"/>
          <w:color w:val="000000" w:themeColor="text1"/>
          <w:sz w:val="30"/>
          <w:szCs w:val="30"/>
          <w14:textFill>
            <w14:solidFill>
              <w14:schemeClr w14:val="tx1"/>
            </w14:solidFill>
          </w14:textFill>
        </w:rPr>
        <w:t>我公司作为参加本项目的投标人，在此郑重承诺：</w:t>
      </w:r>
    </w:p>
    <w:p>
      <w:pPr>
        <w:adjustRightInd w:val="0"/>
        <w:snapToGrid w:val="0"/>
        <w:spacing w:line="360" w:lineRule="auto"/>
        <w:ind w:firstLine="605" w:firstLineChars="201"/>
        <w:rPr>
          <w:rFonts w:ascii="宋体" w:hAnsi="宋体"/>
          <w:b/>
          <w:color w:val="000000" w:themeColor="text1"/>
          <w:sz w:val="30"/>
          <w:szCs w:val="30"/>
          <w14:textFill>
            <w14:solidFill>
              <w14:schemeClr w14:val="tx1"/>
            </w14:solidFill>
          </w14:textFill>
        </w:rPr>
      </w:pPr>
      <w:r>
        <w:rPr>
          <w:rFonts w:hint="eastAsia" w:ascii="宋体" w:hAnsi="宋体"/>
          <w:b/>
          <w:color w:val="000000" w:themeColor="text1"/>
          <w:sz w:val="30"/>
          <w:szCs w:val="30"/>
          <w14:textFill>
            <w14:solidFill>
              <w14:schemeClr w14:val="tx1"/>
            </w14:solidFill>
          </w14:textFill>
        </w:rPr>
        <w:t>为本项目提供的所有服务符合现行的强制性国家相关标准、行业标准。</w:t>
      </w:r>
    </w:p>
    <w:p>
      <w:pPr>
        <w:adjustRightInd w:val="0"/>
        <w:snapToGrid w:val="0"/>
        <w:spacing w:line="560" w:lineRule="exact"/>
        <w:rPr>
          <w:rFonts w:ascii="宋体" w:hAnsi="宋体"/>
          <w:sz w:val="28"/>
        </w:rPr>
      </w:pPr>
    </w:p>
    <w:p>
      <w:pPr>
        <w:adjustRightInd w:val="0"/>
        <w:snapToGrid w:val="0"/>
        <w:spacing w:line="560" w:lineRule="exact"/>
        <w:ind w:firstLine="560" w:firstLineChars="200"/>
        <w:rPr>
          <w:rFonts w:ascii="宋体" w:hAnsi="宋体"/>
          <w:sz w:val="28"/>
        </w:rPr>
      </w:pPr>
    </w:p>
    <w:p>
      <w:pPr>
        <w:snapToGrid w:val="0"/>
        <w:spacing w:line="360" w:lineRule="auto"/>
        <w:ind w:firstLine="560" w:firstLineChars="200"/>
      </w:pPr>
      <w:r>
        <w:rPr>
          <w:rFonts w:hint="eastAsia" w:ascii="宋体" w:hAnsi="宋体"/>
          <w:sz w:val="28"/>
          <w:szCs w:val="28"/>
        </w:rPr>
        <w:t>特此承诺。</w:t>
      </w:r>
    </w:p>
    <w:p>
      <w:pPr>
        <w:snapToGrid w:val="0"/>
        <w:spacing w:line="360" w:lineRule="auto"/>
        <w:ind w:firstLine="560" w:firstLineChars="200"/>
        <w:rPr>
          <w:rFonts w:ascii="宋体" w:hAnsi="宋体"/>
          <w:sz w:val="28"/>
          <w:szCs w:val="28"/>
        </w:rPr>
      </w:pPr>
    </w:p>
    <w:p>
      <w:pPr>
        <w:snapToGrid w:val="0"/>
        <w:spacing w:line="360" w:lineRule="auto"/>
        <w:ind w:firstLine="560" w:firstLineChars="200"/>
        <w:rPr>
          <w:rFonts w:ascii="宋体" w:hAnsi="宋体"/>
          <w:sz w:val="28"/>
          <w:szCs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420" w:firstLineChars="150"/>
        <w:rPr>
          <w:rFonts w:ascii="宋体" w:hAnsi="宋体"/>
          <w:bCs/>
          <w:sz w:val="28"/>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pStyle w:val="2"/>
        <w:rPr>
          <w:rFonts w:ascii="宋体" w:hAnsi="宋体"/>
          <w:color w:val="000000" w:themeColor="text1"/>
          <w:sz w:val="28"/>
          <w:szCs w:val="28"/>
          <w14:textFill>
            <w14:solidFill>
              <w14:schemeClr w14:val="tx1"/>
            </w14:solidFill>
          </w14:textFill>
        </w:rPr>
      </w:pPr>
    </w:p>
    <w:p>
      <w:pPr>
        <w:keepNext/>
        <w:keepLines/>
        <w:numPr>
          <w:ilvl w:val="0"/>
          <w:numId w:val="0"/>
        </w:numPr>
        <w:spacing w:before="260" w:after="260" w:line="360" w:lineRule="auto"/>
        <w:ind w:leftChars="0"/>
        <w:jc w:val="left"/>
        <w:outlineLvl w:val="1"/>
        <w:rPr>
          <w:rFonts w:ascii="宋体" w:hAnsi="宋体"/>
          <w:b/>
          <w:sz w:val="28"/>
        </w:rPr>
      </w:pPr>
      <w:bookmarkStart w:id="215" w:name="_Toc75336301"/>
      <w:bookmarkStart w:id="216" w:name="_Toc73619745"/>
      <w:r>
        <w:rPr>
          <w:rFonts w:hint="eastAsia" w:ascii="宋体" w:hAnsi="宋体"/>
          <w:b/>
          <w:sz w:val="28"/>
          <w:lang w:val="en-US" w:eastAsia="zh-CN"/>
        </w:rPr>
        <w:t>3.4</w:t>
      </w:r>
      <w:r>
        <w:rPr>
          <w:rFonts w:hint="eastAsia" w:ascii="宋体" w:hAnsi="宋体"/>
          <w:b/>
          <w:sz w:val="28"/>
        </w:rPr>
        <w:t>报价</w:t>
      </w:r>
      <w:r>
        <w:rPr>
          <w:rFonts w:hint="eastAsia" w:ascii="宋体" w:hAnsi="宋体"/>
          <w:b/>
          <w:bCs/>
          <w:sz w:val="28"/>
          <w:szCs w:val="28"/>
        </w:rPr>
        <w:t>要求</w:t>
      </w:r>
      <w:r>
        <w:rPr>
          <w:rFonts w:hint="eastAsia" w:ascii="宋体" w:hAnsi="宋体"/>
          <w:b/>
          <w:sz w:val="28"/>
        </w:rPr>
        <w:t>响应文件</w:t>
      </w:r>
      <w:bookmarkEnd w:id="215"/>
      <w:bookmarkEnd w:id="216"/>
    </w:p>
    <w:p>
      <w:pPr>
        <w:keepNext/>
        <w:keepLines/>
        <w:numPr>
          <w:ilvl w:val="0"/>
          <w:numId w:val="0"/>
        </w:numPr>
        <w:spacing w:line="360" w:lineRule="auto"/>
        <w:ind w:leftChars="0"/>
        <w:outlineLvl w:val="2"/>
        <w:rPr>
          <w:rFonts w:ascii="宋体" w:hAnsi="宋体"/>
          <w:b/>
          <w:bCs/>
          <w:sz w:val="28"/>
          <w:szCs w:val="28"/>
        </w:rPr>
      </w:pPr>
      <w:r>
        <w:rPr>
          <w:rFonts w:hint="eastAsia" w:ascii="宋体" w:hAnsi="宋体"/>
          <w:b/>
          <w:bCs/>
          <w:kern w:val="0"/>
          <w:sz w:val="28"/>
          <w:szCs w:val="28"/>
          <w:lang w:val="en-US" w:eastAsia="zh-CN"/>
        </w:rPr>
        <w:t>3.4.1</w:t>
      </w:r>
      <w:r>
        <w:rPr>
          <w:rFonts w:hint="eastAsia" w:ascii="宋体" w:hAnsi="宋体"/>
          <w:b/>
          <w:bCs/>
          <w:kern w:val="0"/>
          <w:sz w:val="28"/>
          <w:szCs w:val="28"/>
        </w:rPr>
        <w:t>开标一览表</w:t>
      </w:r>
    </w:p>
    <w:p>
      <w:pPr>
        <w:pStyle w:val="2"/>
        <w:rPr>
          <w:rFonts w:ascii="宋体" w:hAnsi="宋体"/>
          <w:color w:val="000000" w:themeColor="text1"/>
          <w:sz w:val="28"/>
          <w:szCs w:val="28"/>
          <w14:textFill>
            <w14:solidFill>
              <w14:schemeClr w14:val="tx1"/>
            </w14:solidFill>
          </w14:textFill>
        </w:rPr>
      </w:pPr>
      <w:r>
        <w:rPr>
          <w:rFonts w:hint="eastAsia" w:ascii="宋体" w:hAnsi="宋体"/>
          <w:b/>
          <w:bCs/>
          <w:sz w:val="28"/>
          <w:szCs w:val="28"/>
        </w:rPr>
        <w:t>标项1：</w:t>
      </w:r>
    </w:p>
    <w:tbl>
      <w:tblPr>
        <w:tblStyle w:val="44"/>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kern w:val="0"/>
                <w:sz w:val="28"/>
                <w:szCs w:val="28"/>
              </w:rPr>
            </w:pPr>
            <w:r>
              <w:rPr>
                <w:rFonts w:hint="eastAsia" w:ascii="宋体" w:hAnsi="宋体"/>
                <w:kern w:val="0"/>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kern w:val="0"/>
                <w:sz w:val="28"/>
                <w:szCs w:val="28"/>
              </w:rPr>
            </w:pPr>
          </w:p>
        </w:tc>
      </w:tr>
    </w:tbl>
    <w:p>
      <w:pPr>
        <w:tabs>
          <w:tab w:val="left" w:pos="1134"/>
        </w:tabs>
        <w:spacing w:line="560" w:lineRule="exact"/>
        <w:ind w:firstLine="427" w:firstLineChars="152"/>
        <w:rPr>
          <w:rFonts w:ascii="宋体" w:hAnsi="宋体"/>
          <w:b/>
          <w:bCs/>
          <w:sz w:val="28"/>
        </w:rPr>
      </w:pPr>
      <w:r>
        <w:rPr>
          <w:rFonts w:hint="eastAsia" w:ascii="宋体" w:hAnsi="宋体"/>
          <w:b/>
          <w:sz w:val="28"/>
          <w:szCs w:val="28"/>
        </w:rPr>
        <w:t>投标报价以投标人在政府采购云平台开标一览表中填写的报价为准。</w:t>
      </w:r>
    </w:p>
    <w:p>
      <w:pPr>
        <w:snapToGrid w:val="0"/>
        <w:spacing w:line="500" w:lineRule="exact"/>
        <w:ind w:left="1445" w:right="-57" w:rightChars="-27" w:hanging="1445" w:hangingChars="514"/>
        <w:rPr>
          <w:rFonts w:ascii="宋体" w:hAnsi="宋体"/>
          <w:b/>
          <w:bCs/>
          <w:sz w:val="28"/>
          <w:u w:val="single"/>
        </w:rPr>
      </w:pPr>
    </w:p>
    <w:p>
      <w:pPr>
        <w:pStyle w:val="2"/>
        <w:rPr>
          <w:rFonts w:ascii="宋体" w:hAnsi="宋体"/>
          <w:color w:val="000000" w:themeColor="text1"/>
          <w:sz w:val="28"/>
          <w:szCs w:val="28"/>
          <w14:textFill>
            <w14:solidFill>
              <w14:schemeClr w14:val="tx1"/>
            </w14:solidFill>
          </w14:textFill>
        </w:rPr>
      </w:pPr>
    </w:p>
    <w:p>
      <w:pPr>
        <w:pStyle w:val="26"/>
        <w:spacing w:line="500" w:lineRule="exact"/>
        <w:ind w:left="0" w:leftChars="0"/>
        <w:rPr>
          <w:rFonts w:ascii="宋体" w:hAnsi="宋体"/>
          <w:bCs/>
          <w:color w:val="000000" w:themeColor="text1"/>
          <w:sz w:val="28"/>
          <w14:textFill>
            <w14:solidFill>
              <w14:schemeClr w14:val="tx1"/>
            </w14:solidFill>
          </w14:textFill>
        </w:rPr>
      </w:pPr>
      <w:bookmarkStart w:id="217" w:name="_Toc217446083"/>
      <w:bookmarkStart w:id="218" w:name="_Toc220299404"/>
      <w:bookmarkStart w:id="219" w:name="_Toc263768873"/>
      <w:bookmarkStart w:id="220" w:name="_Toc263753615"/>
    </w:p>
    <w:bookmarkEnd w:id="217"/>
    <w:bookmarkEnd w:id="218"/>
    <w:bookmarkEnd w:id="219"/>
    <w:bookmarkEnd w:id="220"/>
    <w:p>
      <w:pPr>
        <w:pStyle w:val="4"/>
        <w:numPr>
          <w:ilvl w:val="0"/>
          <w:numId w:val="3"/>
        </w:numPr>
        <w:spacing w:before="0" w:after="0" w:line="500" w:lineRule="exact"/>
        <w:rPr>
          <w:color w:val="auto"/>
        </w:rPr>
      </w:pPr>
      <w:bookmarkStart w:id="221" w:name="_Toc17291826"/>
      <w:bookmarkStart w:id="222" w:name="_Toc1870"/>
      <w:bookmarkStart w:id="223" w:name="_Toc75336302"/>
      <w:bookmarkStart w:id="224" w:name="_Toc4768"/>
      <w:bookmarkStart w:id="225" w:name="_Toc24469"/>
      <w:bookmarkStart w:id="226" w:name="_Toc30585"/>
      <w:bookmarkStart w:id="227" w:name="_Toc316292231"/>
      <w:bookmarkStart w:id="228" w:name="_Toc321382057"/>
      <w:r>
        <w:rPr>
          <w:rFonts w:hint="eastAsia"/>
          <w:color w:val="auto"/>
        </w:rPr>
        <w:t>招标项目服务、商务及其他要求</w:t>
      </w:r>
      <w:bookmarkEnd w:id="221"/>
      <w:bookmarkEnd w:id="222"/>
      <w:bookmarkEnd w:id="223"/>
      <w:bookmarkEnd w:id="224"/>
      <w:bookmarkEnd w:id="225"/>
      <w:bookmarkEnd w:id="226"/>
    </w:p>
    <w:bookmarkEnd w:id="227"/>
    <w:bookmarkEnd w:id="228"/>
    <w:p>
      <w:pPr>
        <w:pStyle w:val="5"/>
        <w:spacing w:line="360" w:lineRule="auto"/>
        <w:jc w:val="left"/>
        <w:rPr>
          <w:rFonts w:asciiTheme="majorEastAsia" w:hAnsiTheme="majorEastAsia" w:eastAsiaTheme="majorEastAsia"/>
          <w:sz w:val="24"/>
          <w:szCs w:val="24"/>
        </w:rPr>
      </w:pPr>
      <w:bookmarkStart w:id="229" w:name="_Toc73117264"/>
      <w:bookmarkStart w:id="230" w:name="_Toc513796936"/>
      <w:bookmarkStart w:id="231" w:name="_Toc24101"/>
      <w:bookmarkStart w:id="232" w:name="_Toc5355"/>
      <w:bookmarkStart w:id="233" w:name="_Toc26497"/>
      <w:bookmarkStart w:id="234" w:name="_Toc8639"/>
      <w:bookmarkStart w:id="235" w:name="_Toc21821"/>
      <w:r>
        <w:rPr>
          <w:rFonts w:hint="eastAsia" w:asciiTheme="majorEastAsia" w:hAnsiTheme="majorEastAsia" w:eastAsiaTheme="majorEastAsia"/>
          <w:sz w:val="24"/>
          <w:szCs w:val="24"/>
        </w:rPr>
        <w:t>一、项目概况</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1.服务期限：三年</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2.采购预算：398万元/年（合同经考核后一年一签）</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3.服务地点和服务面积：彭州市第二人民医院新医院总建筑面积50355.54㎡，地上面积37969.49㎡，地下12386.05㎡；老院区总建筑面积7299.47㎡，占地面积38901.06㎡。包括住院大楼地上13层，门诊医技大楼地上4层，综合楼地上5层。</w:t>
      </w:r>
    </w:p>
    <w:p>
      <w:pPr>
        <w:spacing w:line="360" w:lineRule="auto"/>
        <w:jc w:val="left"/>
        <w:rPr>
          <w:rFonts w:cs="宋体" w:asciiTheme="majorEastAsia" w:hAnsiTheme="majorEastAsia" w:eastAsiaTheme="majorEastAsia"/>
          <w:bCs/>
          <w:sz w:val="24"/>
        </w:rPr>
      </w:pPr>
      <w:r>
        <w:rPr>
          <w:rFonts w:cs="宋体" w:asciiTheme="majorEastAsia" w:hAnsiTheme="majorEastAsia" w:eastAsiaTheme="majorEastAsia"/>
          <w:bCs/>
          <w:sz w:val="24"/>
        </w:rPr>
        <w:t>4.</w:t>
      </w:r>
      <w:r>
        <w:rPr>
          <w:rFonts w:hint="eastAsia" w:cs="宋体" w:asciiTheme="majorEastAsia" w:hAnsiTheme="majorEastAsia" w:eastAsiaTheme="majorEastAsia"/>
          <w:bCs/>
          <w:sz w:val="24"/>
        </w:rPr>
        <w:t>采购服务：院区内秩序维护及消防管理、保洁、后勤服务人员等服务。</w:t>
      </w:r>
    </w:p>
    <w:p>
      <w:pPr>
        <w:pStyle w:val="5"/>
        <w:spacing w:line="360" w:lineRule="auto"/>
        <w:jc w:val="left"/>
        <w:rPr>
          <w:rFonts w:asciiTheme="majorEastAsia" w:hAnsiTheme="majorEastAsia" w:eastAsiaTheme="majorEastAsia"/>
          <w:i/>
          <w:sz w:val="24"/>
          <w:szCs w:val="28"/>
        </w:rPr>
      </w:pPr>
      <w:r>
        <w:rPr>
          <w:rFonts w:hint="eastAsia" w:asciiTheme="majorEastAsia" w:hAnsiTheme="majorEastAsia" w:eastAsiaTheme="majorEastAsia"/>
          <w:sz w:val="24"/>
          <w:szCs w:val="28"/>
        </w:rPr>
        <w:t>二、技术服务要求</w:t>
      </w:r>
      <w:bookmarkEnd w:id="229"/>
    </w:p>
    <w:p>
      <w:pPr>
        <w:pStyle w:val="6"/>
        <w:spacing w:line="360" w:lineRule="auto"/>
        <w:jc w:val="left"/>
        <w:rPr>
          <w:rFonts w:asciiTheme="majorEastAsia" w:hAnsiTheme="majorEastAsia" w:eastAsiaTheme="majorEastAsia"/>
          <w:sz w:val="24"/>
          <w:szCs w:val="28"/>
        </w:rPr>
      </w:pPr>
      <w:bookmarkStart w:id="236" w:name="_Toc10018600"/>
      <w:bookmarkStart w:id="237" w:name="_Toc14701640"/>
      <w:r>
        <w:rPr>
          <w:rFonts w:hint="eastAsia" w:asciiTheme="majorEastAsia" w:hAnsiTheme="majorEastAsia" w:eastAsiaTheme="majorEastAsia"/>
          <w:sz w:val="24"/>
          <w:szCs w:val="28"/>
        </w:rPr>
        <w:t>（一）</w:t>
      </w:r>
      <w:bookmarkEnd w:id="236"/>
      <w:bookmarkEnd w:id="237"/>
      <w:bookmarkStart w:id="238" w:name="_Toc10018601"/>
      <w:bookmarkStart w:id="239" w:name="_Toc14701641"/>
      <w:r>
        <w:rPr>
          <w:rFonts w:hint="eastAsia" w:asciiTheme="majorEastAsia" w:hAnsiTheme="majorEastAsia" w:eastAsiaTheme="majorEastAsia"/>
          <w:sz w:val="24"/>
          <w:szCs w:val="28"/>
        </w:rPr>
        <w:t>服务要求:</w:t>
      </w:r>
      <w:bookmarkEnd w:id="238"/>
      <w:bookmarkEnd w:id="239"/>
    </w:p>
    <w:p>
      <w:pPr>
        <w:pStyle w:val="7"/>
        <w:rPr>
          <w:rFonts w:hint="eastAsia" w:ascii="仿宋" w:hAnsi="仿宋" w:eastAsia="仿宋"/>
          <w:sz w:val="24"/>
        </w:rPr>
      </w:pPr>
      <w:r>
        <w:rPr>
          <w:rFonts w:hint="eastAsia" w:ascii="仿宋" w:hAnsi="仿宋" w:eastAsia="仿宋"/>
          <w:sz w:val="24"/>
        </w:rPr>
        <w:t>1.保洁服务</w:t>
      </w:r>
    </w:p>
    <w:p>
      <w:pPr>
        <w:pStyle w:val="7"/>
        <w:rPr>
          <w:rFonts w:ascii="仿宋" w:hAnsi="仿宋" w:eastAsia="仿宋"/>
          <w:sz w:val="24"/>
        </w:rPr>
      </w:pPr>
      <w:r>
        <w:rPr>
          <w:rFonts w:hint="eastAsia" w:ascii="仿宋" w:hAnsi="仿宋" w:eastAsia="仿宋"/>
          <w:sz w:val="24"/>
        </w:rPr>
        <w:t>（1）公共地域清洁工作要求及质量标准</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1）医院建筑物外部的公共地面（含绿化地带）在每天全面清扫为4次，其余时间作巡回保洁，每周用水清洗全院公共地面一次。</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2）公共区域地面以上的门、窗、墙、消防栓、公告栏、栏杆、各类标识物等配套设施随时清洁保持干净，公用椅、凳、台面每天清洁及消毒2次，灯具每周清洁1次。</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3）公共地域的垃圾箱每天清理及每天消毒2次，一周清洗两次，周围无异味，符合消毒规范。</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4）雨水管网每周全面清理1次，其余时间巡回保洁，保持管道畅通。</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5）公共区域的卫生间每天全面清洁、清理、消毒为4次，其余时间进行巡回保洁，保持卫生间清洁、干燥、无异味、无垃圾。</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6）工作时间为每天上午时间为7:30至11:30，下午时间为至13:30至17：30时，中午休息时间有中值班人员保洁。</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7）为防止交叉感染，对不同区域的清洁工具实行严格分类摆放和使用，用颜色、字标等方式进行区分，放置位置统一、规范。</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8）地面保持干净、整洁，非雨季、雨天时保持干爽。</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9）地面杂物及时清理。</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10）地面有血、污液时及时清洗并按消毒规范进行消毒处理。</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11）地面及附设物无明显青苔、杂草。</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12）各类标识、墙壁有不当广告、张贴物时要及时清理并不留明显污痕。</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13）清扫、清洗地面及公共附设物时不过分扬尘、无过分噪声。</w:t>
      </w:r>
    </w:p>
    <w:p>
      <w:pPr>
        <w:pStyle w:val="8"/>
        <w:numPr>
          <w:ilvl w:val="4"/>
          <w:numId w:val="0"/>
        </w:numPr>
        <w:rPr>
          <w:rFonts w:ascii="仿宋" w:hAnsi="仿宋" w:eastAsia="仿宋"/>
          <w:sz w:val="24"/>
        </w:rPr>
      </w:pPr>
      <w:r>
        <w:rPr>
          <w:rFonts w:hint="eastAsia" w:ascii="仿宋" w:hAnsi="仿宋" w:eastAsia="仿宋"/>
          <w:sz w:val="24"/>
        </w:rPr>
        <w:t>（2）建筑物内部物体清洁要求及质量标准</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1）地面、走廊、楼梯、电梯、内墙壁清洁、消毒每天为1次，每周对电梯全面清洗为1次，其余时间巡回保洁。</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2）天花板、2—3米墙壁、灯具、高空飘台每周集中清洁为1次。</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3）各类门、窗、玻璃、标识每天清洁为1次。</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4）各类台、椅、凳每天清抹及消毒为2次。</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5）病区和公共洗手盆每天清理4次、消毒每天为2次。</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6）保证楼顶排水沟通畅每月至少清理一次。</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7）各类物体按规范进行消毒。</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8）为防止交叉感染，对不同区域的清洁工具实行严格分类摆放和使用，用颜色、字标等方式进行区分，放置位置统一。</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9）地面：地面保持干净，垃圾、水迹停留时间不得超过半小时，无明显垃圾、污垢、青苔。</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10)墙壁：4米以下手摸无明显灰尘，无明显污迹、青苔，不当张贴及时清理。</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11)大厅及走廊：地面保持干净，垃圾、水迹停留时间短，无明显垃圾、污垢、青苔，杂物及时清理。</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12)楼梯：保持干净，垃圾、水迹停留时间短，不得超出半小时，无明显垃圾、污垢、青苔。</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13)栏杆：保持干净、光亮，无水迹。</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14)天花板：眼望无蜘蛛网、无尘迹。</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15)建筑物楼顶：保持干净，无明显积水、垃圾、污垢、青苔，杂物等。</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16)门窗：保持干净，光亮，手摸无明显尘迹。</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17)台、椅、柜：保持洁净，台、柜暗面无明显垃圾，按规范消毒。</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18)附属设备及工具：空调、风扇等附设物表面手摸无明显尘迹。</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19)垃圾箱：满即清倒，表面干净无明显污渍，按规范消毒。</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20)洗手盆、污物池：无明显污垢、不堵塞，按规范消毒。</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21)灯具：眼望无明显尘迹，一周至少清洁一次。</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22)标识：保持干净，无不当张贴物。</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23)雨水管网：保持畅通，雨水井盖及渠口的烟头、杂物及时清理。</w:t>
      </w:r>
    </w:p>
    <w:p>
      <w:pPr>
        <w:pStyle w:val="8"/>
        <w:numPr>
          <w:ilvl w:val="4"/>
          <w:numId w:val="0"/>
        </w:numPr>
        <w:rPr>
          <w:rFonts w:ascii="仿宋" w:hAnsi="仿宋" w:eastAsia="仿宋"/>
          <w:sz w:val="24"/>
        </w:rPr>
      </w:pPr>
      <w:r>
        <w:rPr>
          <w:rFonts w:hint="eastAsia" w:ascii="仿宋" w:hAnsi="仿宋" w:eastAsia="仿宋"/>
          <w:sz w:val="24"/>
        </w:rPr>
        <w:t>（3）非临床科室用房清洁要求及质量标准</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1)各类行政后勤办公、业务、休息室、会议室、接待室、科研教学室、资料室等非临床用房的清洁质量，在达到上述第2条（建筑物内部物体清洁要求及质量标准）标准的基础上，须要达到下列要求和标准：</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2) 每天清洁为2次，每天例行的清洁的时间及周、月集中清洁时间为商定时间，清洁时间的执行以不影响医院公务为原则。除室外及垃圾箱内的垃圾外，室内文书、信函、纸条等物件（物体）在清理前须征得室内工作人员同意后方可处置。</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3)非临床区域的卫生间每天全面清洁、清理、消毒不少于4次，其余时间进行巡回保洁。</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4)保洁人员在工作过程中要按规范保持良好礼仪、礼貌。</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5)保洁人员在工作过程中严格遵守医院的保密制度。</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6)为防止交叉感染，对不同区域的清洁工具实行严格分类摆放和使用，用颜色、字标等方式进行区分，放置位置统一、规范。</w:t>
      </w:r>
    </w:p>
    <w:p>
      <w:pPr>
        <w:pStyle w:val="8"/>
        <w:numPr>
          <w:ilvl w:val="4"/>
          <w:numId w:val="0"/>
        </w:numPr>
        <w:rPr>
          <w:rFonts w:ascii="仿宋" w:hAnsi="仿宋" w:eastAsia="仿宋"/>
          <w:sz w:val="24"/>
        </w:rPr>
      </w:pPr>
      <w:r>
        <w:rPr>
          <w:rFonts w:hint="eastAsia" w:ascii="仿宋" w:hAnsi="仿宋" w:eastAsia="仿宋"/>
          <w:sz w:val="24"/>
        </w:rPr>
        <w:t>（4）临床科室用房清洁要求及质量标准</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门诊、急诊、各住院病区、手术室、ICU新生儿监护室等临床科室，以及检验、超声、药房等各类临床辅助科室的清洁质量，要达到“建筑物内部物体清洁要求及质量标准”的基础上，同时须达到下列要求和标准：</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1.1每天全面清扫为2次，全面拖抹及消毒为2次。其余时间作巡回保洁，及按医务人员的要求及时消毒。</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1.2各类临床医务办公室、配药室、储存室、值班室、休息室、候诊室等半污染区室每天全面清洁及消毒为2次，其余时间作巡回保洁，及按医务人员的要求及时消毒。</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1.3各类临床病区、监护室、手术室、注射室、治疗室、诊室等污染区室每天全面清洁、消毒为3次，其余时间作巡回保洁，及按医务人员的要求及时清洁、消毒。</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1.4临床科室附设各类治疗车、器械、消毒灯具等医疗设备设施每天全面清洁、消毒为2次，其余时间按医务人员的要求进行清洁及消毒。</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1.5临床使用的医用毛巾、拖鞋、便盘等，按医务人员的要求及时清洗及按规范消毒。</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1.6临床区域内的台、椅、凳、病床、床头柜每天全面清抹及消毒为2次，其余时间按医务人员的要求进行清洁及消毒。出院病床单元及时进行全面清洁及消毒。</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1.7临床区域的洗手盘、清洗治疗盘等每天全面清理、消毒为2次。</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1.8临床区域的垃圾及时进行分类、院内集中收集，清倒后垃圾箱、垃圾篓须及时清洁及消毒。</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1.9每周清洗开水容器1次，每次清洁过程中须对开水容器塞盖进行消毒。</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1.10临床区域的卫生间每天全面清洁、清理、消毒为3次，其余时间进行巡回保洁。</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2)各类临床科室的清洁及消毒工作除要达到上述要求外，另根据各科室的实际情况按医务人员的要求及按排（工作范围内）进行。</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3)工作时间为每天上午6：30至11：30时、下午13：30至17：30时，重点科室或特殊情况服从科室安排。</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4)为防止交叉感染，对不同区域的清洁工具实行严格分类摆放和使用，用颜色、字标等方式进行区分，放置位置统一、规范。</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5)每天定时清洗生活垃圾暂存点并进行消毒。</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6)特殊垃圾暂存点每天两次的清洗和消毒。</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7)设备房每天的清扫和一周两次设备的除尘。</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8)布类制品洗涤的收送。</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9)垃圾分类、收集及记录管理</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10)垃圾的分类、收集在医院内部进行，施行专人负责制。</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11)医院内部垃圾暂存点每天清洗、消毒2次，每周全面清洗消毒1次。</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12)每天对垃圾的收集情况进行及时登记，以备检查，做到以下标准：</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12.1垃圾分类准确，不错分。</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12.2垃圾包装完整，不破损、不外漏。</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12.3运送垃圾过程中，不漏、不丢、不碰撞他人。</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12.4不擅自拿取、不窃用、不倒卖垃圾。</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12.5记录及时、完整、不遗漏、不出错，资料保存完好。</w:t>
      </w:r>
    </w:p>
    <w:p>
      <w:pPr>
        <w:pStyle w:val="7"/>
        <w:rPr>
          <w:rFonts w:ascii="仿宋" w:hAnsi="仿宋" w:eastAsia="仿宋"/>
          <w:sz w:val="24"/>
        </w:rPr>
      </w:pPr>
      <w:r>
        <w:rPr>
          <w:rFonts w:hint="eastAsia" w:ascii="仿宋" w:hAnsi="仿宋" w:eastAsia="仿宋"/>
          <w:sz w:val="24"/>
        </w:rPr>
        <w:t>2.秩序维护及消防管理服务</w:t>
      </w:r>
    </w:p>
    <w:p>
      <w:pPr>
        <w:pStyle w:val="8"/>
        <w:numPr>
          <w:ilvl w:val="4"/>
          <w:numId w:val="0"/>
        </w:numPr>
        <w:rPr>
          <w:rFonts w:ascii="仿宋" w:hAnsi="仿宋" w:eastAsia="仿宋"/>
          <w:sz w:val="24"/>
        </w:rPr>
      </w:pPr>
      <w:r>
        <w:rPr>
          <w:rFonts w:hint="eastAsia" w:ascii="仿宋" w:hAnsi="仿宋" w:eastAsia="仿宋"/>
          <w:sz w:val="24"/>
        </w:rPr>
        <w:t>（1）秩序维护要求</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1)在医院总务科的组织和协管下，做好内部秩序维护治安综合治理工作。</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2)随时出员，做好医院重大活动安全保卫及秩序维护工作。</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3)配合公安机关，打击医院内部与周边的违法犯罪活动。</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4)对医院突发事件，听从院方一切指挥，必须做到依法制止，积极疏导尽快平息。</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5)对医院内及医院周边交通进行指挥疏导，保证医院车辆出入的正常秩序。</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6)负责信件及报刊的收发工作。</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7)积极完成医院交代的其他工作。</w:t>
      </w:r>
    </w:p>
    <w:p>
      <w:pPr>
        <w:pStyle w:val="8"/>
        <w:numPr>
          <w:ilvl w:val="4"/>
          <w:numId w:val="0"/>
        </w:numPr>
        <w:rPr>
          <w:rFonts w:ascii="仿宋" w:hAnsi="仿宋" w:eastAsia="仿宋"/>
          <w:sz w:val="24"/>
        </w:rPr>
      </w:pPr>
      <w:r>
        <w:rPr>
          <w:rFonts w:hint="eastAsia" w:ascii="仿宋" w:hAnsi="仿宋" w:eastAsia="仿宋"/>
          <w:sz w:val="24"/>
        </w:rPr>
        <w:t>（2）消防管理服务</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1)消防教育宣传工作。通过各种途径和方法不间断地向医院宣传消防法规、防火知识，并邀请消防队前来举办消防知识讲座每年不低于两次。</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2)做好消防培训及演练工作。重点加强秩序维护员的消防培训与演习，每年组织两次义务消防队员和医院共同参与的消防疏散演练，电梯疏散演练，反恐防爆演练。</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3)保证消防通道的顺畅。</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4)进行日常检查每天至少一次，每月递交一份安保、消防巡查检查表。</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5）在秩序维护员中建立院内消防队，人员不得低于8人。</w:t>
      </w:r>
    </w:p>
    <w:p>
      <w:pPr>
        <w:pStyle w:val="7"/>
        <w:rPr>
          <w:rFonts w:ascii="仿宋" w:hAnsi="仿宋" w:eastAsia="仿宋"/>
          <w:sz w:val="24"/>
        </w:rPr>
      </w:pPr>
      <w:r>
        <w:rPr>
          <w:rFonts w:hint="eastAsia" w:ascii="仿宋" w:hAnsi="仿宋" w:eastAsia="仿宋"/>
          <w:sz w:val="24"/>
        </w:rPr>
        <w:t>3.后勤服务人员服务</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（1）应满足采购人需求，掌握管理后勤服务规范；</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（2）后勤服务人员应按采购人岗位相关要求，做好诊疗区域、工作场所秩序维护、分诊转运、电话转接、来访登记、资料录入、物品打包清洗等辅助工作。</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（3）必须按照采购人的管理要求，严格遵守相关制度，保证医患相关信息不外泄。若不服从管理或教育无效者，采购人有权要求更换当事人，并对服务公司予以处罚；</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（4）完成采购人临时指派的其他医辅助手任务。</w:t>
      </w:r>
    </w:p>
    <w:p>
      <w:pPr>
        <w:pStyle w:val="6"/>
        <w:spacing w:line="360" w:lineRule="auto"/>
        <w:jc w:val="left"/>
        <w:rPr>
          <w:rFonts w:asciiTheme="majorEastAsia" w:hAnsiTheme="majorEastAsia" w:eastAsiaTheme="majorEastAsia"/>
          <w:sz w:val="24"/>
          <w:szCs w:val="28"/>
        </w:rPr>
      </w:pPr>
      <w:r>
        <w:rPr>
          <w:rFonts w:hint="eastAsia" w:asciiTheme="majorEastAsia" w:hAnsiTheme="majorEastAsia" w:eastAsiaTheme="majorEastAsia"/>
          <w:sz w:val="24"/>
          <w:szCs w:val="28"/>
        </w:rPr>
        <w:t>（二）其他相关服务</w:t>
      </w:r>
    </w:p>
    <w:p>
      <w:pPr>
        <w:pStyle w:val="7"/>
        <w:rPr>
          <w:rFonts w:ascii="仿宋" w:hAnsi="仿宋" w:eastAsia="仿宋"/>
          <w:sz w:val="24"/>
        </w:rPr>
      </w:pPr>
      <w:r>
        <w:rPr>
          <w:rFonts w:hint="eastAsia" w:ascii="仿宋" w:hAnsi="仿宋" w:eastAsia="仿宋"/>
          <w:sz w:val="24"/>
        </w:rPr>
        <w:t>1.项目保障要求</w:t>
      </w:r>
    </w:p>
    <w:p>
      <w:pPr>
        <w:spacing w:line="360" w:lineRule="auto"/>
        <w:rPr>
          <w:rFonts w:asciiTheme="majorEastAsia" w:hAnsiTheme="majorEastAsia" w:eastAsiaTheme="majorEastAsia"/>
          <w:bCs/>
          <w:sz w:val="24"/>
        </w:rPr>
      </w:pPr>
      <w:r>
        <w:rPr>
          <w:rFonts w:hint="eastAsia" w:cs="宋体" w:asciiTheme="majorEastAsia" w:hAnsiTheme="majorEastAsia" w:eastAsiaTheme="majorEastAsia"/>
          <w:bCs/>
          <w:sz w:val="24"/>
        </w:rPr>
        <w:t>（1）</w:t>
      </w:r>
      <w:r>
        <w:rPr>
          <w:rFonts w:hint="eastAsia" w:asciiTheme="majorEastAsia" w:hAnsiTheme="majorEastAsia" w:eastAsiaTheme="majorEastAsia"/>
          <w:bCs/>
          <w:sz w:val="24"/>
        </w:rPr>
        <w:t>投标人的各岗位员工要统一服装，服装自行配备，样式应符合采购人要求。</w:t>
      </w:r>
    </w:p>
    <w:p>
      <w:pPr>
        <w:spacing w:line="360" w:lineRule="auto"/>
        <w:rPr>
          <w:rFonts w:asciiTheme="majorEastAsia" w:hAnsiTheme="majorEastAsia" w:eastAsiaTheme="majorEastAsia"/>
          <w:bCs/>
          <w:sz w:val="24"/>
        </w:rPr>
      </w:pPr>
      <w:r>
        <w:rPr>
          <w:rFonts w:hint="eastAsia" w:cs="宋体" w:asciiTheme="majorEastAsia" w:hAnsiTheme="majorEastAsia" w:eastAsiaTheme="majorEastAsia"/>
          <w:bCs/>
          <w:sz w:val="24"/>
        </w:rPr>
        <w:t>（2）</w:t>
      </w:r>
      <w:r>
        <w:rPr>
          <w:rFonts w:hint="eastAsia" w:asciiTheme="majorEastAsia" w:hAnsiTheme="majorEastAsia" w:eastAsiaTheme="majorEastAsia"/>
          <w:bCs/>
          <w:sz w:val="24"/>
        </w:rPr>
        <w:t>投标人须有岗前培训机构，服务人员</w:t>
      </w:r>
      <w:r>
        <w:rPr>
          <w:rFonts w:asciiTheme="majorEastAsia" w:hAnsiTheme="majorEastAsia" w:eastAsiaTheme="majorEastAsia"/>
          <w:bCs/>
          <w:sz w:val="24"/>
        </w:rPr>
        <w:t>100%</w:t>
      </w:r>
      <w:r>
        <w:rPr>
          <w:rFonts w:hint="eastAsia" w:asciiTheme="majorEastAsia" w:hAnsiTheme="majorEastAsia" w:eastAsiaTheme="majorEastAsia"/>
          <w:bCs/>
          <w:sz w:val="24"/>
        </w:rPr>
        <w:t xml:space="preserve">经过岗前培训合格才能上岗。  </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（3）</w:t>
      </w:r>
      <w:r>
        <w:rPr>
          <w:rFonts w:hint="eastAsia" w:asciiTheme="majorEastAsia" w:hAnsiTheme="majorEastAsia" w:eastAsiaTheme="majorEastAsia"/>
          <w:bCs/>
          <w:sz w:val="24"/>
        </w:rPr>
        <w:t>投标人</w:t>
      </w:r>
      <w:r>
        <w:rPr>
          <w:rFonts w:hint="eastAsia" w:asciiTheme="majorEastAsia" w:hAnsiTheme="majorEastAsia" w:eastAsiaTheme="majorEastAsia"/>
          <w:sz w:val="24"/>
        </w:rPr>
        <w:t>负责所有有关环境保洁所需的保洁设备包括：保洁专用的洗地机、抛光机、吸水洗尘机、垃圾车、高压水枪、榨水器等。</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（4）办公场地由采购人指定并提供，办公场地办公所需要的设备由</w:t>
      </w:r>
      <w:r>
        <w:rPr>
          <w:rFonts w:hint="eastAsia" w:asciiTheme="majorEastAsia" w:hAnsiTheme="majorEastAsia" w:eastAsiaTheme="majorEastAsia"/>
          <w:bCs/>
          <w:sz w:val="24"/>
        </w:rPr>
        <w:t>投标人自行提供</w:t>
      </w:r>
      <w:r>
        <w:rPr>
          <w:rFonts w:hint="eastAsia" w:asciiTheme="majorEastAsia" w:hAnsiTheme="majorEastAsia" w:eastAsiaTheme="majorEastAsia"/>
          <w:sz w:val="24"/>
        </w:rPr>
        <w:t>。</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（5）</w:t>
      </w:r>
      <w:r>
        <w:rPr>
          <w:rFonts w:hint="eastAsia" w:asciiTheme="majorEastAsia" w:hAnsiTheme="majorEastAsia" w:eastAsiaTheme="majorEastAsia"/>
          <w:bCs/>
          <w:sz w:val="24"/>
        </w:rPr>
        <w:t>投标人</w:t>
      </w:r>
      <w:r>
        <w:rPr>
          <w:rFonts w:hint="eastAsia" w:asciiTheme="majorEastAsia" w:hAnsiTheme="majorEastAsia" w:eastAsiaTheme="majorEastAsia"/>
          <w:sz w:val="24"/>
        </w:rPr>
        <w:t>提供的所有用品、工具、耗材、设备必须合符国家相关规定，必须经正规渠道采购。</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（6）</w:t>
      </w:r>
      <w:r>
        <w:rPr>
          <w:rFonts w:hint="eastAsia" w:asciiTheme="majorEastAsia" w:hAnsiTheme="majorEastAsia" w:eastAsiaTheme="majorEastAsia"/>
          <w:bCs/>
          <w:sz w:val="24"/>
        </w:rPr>
        <w:t>投标人应注意疫情防控，拟派</w:t>
      </w:r>
      <w:r>
        <w:rPr>
          <w:rFonts w:hint="eastAsia" w:asciiTheme="majorEastAsia" w:hAnsiTheme="majorEastAsia" w:eastAsiaTheme="majorEastAsia"/>
          <w:sz w:val="24"/>
        </w:rPr>
        <w:t>到本项目的所有工作人员应定期进行核酸检测，并对工作人员行踪进行定期、不定期排查。</w:t>
      </w:r>
    </w:p>
    <w:p>
      <w:pPr>
        <w:pStyle w:val="7"/>
        <w:rPr>
          <w:rFonts w:ascii="仿宋" w:hAnsi="仿宋" w:eastAsia="仿宋"/>
          <w:sz w:val="24"/>
        </w:rPr>
      </w:pPr>
      <w:r>
        <w:rPr>
          <w:rFonts w:hint="eastAsia" w:ascii="仿宋" w:hAnsi="仿宋" w:eastAsia="仿宋"/>
          <w:sz w:val="24"/>
        </w:rPr>
        <w:t>2.制度要求</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w:t>
      </w:r>
      <w:r>
        <w:rPr>
          <w:rFonts w:hint="eastAsia" w:asciiTheme="majorEastAsia" w:hAnsiTheme="majorEastAsia" w:eastAsiaTheme="majorEastAsia"/>
          <w:bCs/>
          <w:sz w:val="24"/>
        </w:rPr>
        <w:t>投标人</w:t>
      </w:r>
      <w:r>
        <w:rPr>
          <w:rFonts w:hint="eastAsia" w:asciiTheme="majorEastAsia" w:hAnsiTheme="majorEastAsia" w:eastAsiaTheme="majorEastAsia"/>
          <w:sz w:val="24"/>
        </w:rPr>
        <w:t>须严格按照标准化的操作程序、完善的培训体系和质量控制体系完成本项目，以保证整个服务系统安全、高效、有序和有计划地运转。</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（2）公司组织机构合理，各项规章制度完善；项目各岗位职责明确；具备人员储备保障及培训能力；</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（3）针对本项目制定各项应急方案，包含重大突发事件应急预案、公共卫生事件应急预案、人为事故应急预案、突发医疗废物应急预案。</w:t>
      </w:r>
    </w:p>
    <w:p>
      <w:pPr>
        <w:pStyle w:val="7"/>
        <w:rPr>
          <w:rFonts w:ascii="仿宋" w:hAnsi="仿宋" w:eastAsia="仿宋"/>
          <w:sz w:val="24"/>
        </w:rPr>
      </w:pPr>
      <w:r>
        <w:rPr>
          <w:rFonts w:hint="eastAsia" w:ascii="仿宋" w:hAnsi="仿宋" w:eastAsia="仿宋"/>
          <w:sz w:val="24"/>
        </w:rPr>
        <w:t>3.纪律要求</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（1）在项目运作中必须定期向采购人汇报工作情况，应配合采购人接受上级领导部门的监督、检查，并提供必须的材料；</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（2）因</w:t>
      </w:r>
      <w:r>
        <w:rPr>
          <w:rFonts w:hint="eastAsia" w:asciiTheme="majorEastAsia" w:hAnsiTheme="majorEastAsia" w:eastAsiaTheme="majorEastAsia"/>
          <w:bCs/>
          <w:sz w:val="24"/>
        </w:rPr>
        <w:t>投标人</w:t>
      </w:r>
      <w:r>
        <w:rPr>
          <w:rFonts w:hint="eastAsia" w:asciiTheme="majorEastAsia" w:hAnsiTheme="majorEastAsia" w:eastAsiaTheme="majorEastAsia"/>
          <w:sz w:val="24"/>
        </w:rPr>
        <w:t>工作失误，造成医院服务对象、职工、来院其它人员人身伤害或物品、设施、设备等损害的，由</w:t>
      </w:r>
      <w:r>
        <w:rPr>
          <w:rFonts w:hint="eastAsia" w:asciiTheme="majorEastAsia" w:hAnsiTheme="majorEastAsia" w:eastAsiaTheme="majorEastAsia"/>
          <w:bCs/>
          <w:sz w:val="24"/>
        </w:rPr>
        <w:t>投标人</w:t>
      </w:r>
      <w:r>
        <w:rPr>
          <w:rFonts w:hint="eastAsia" w:asciiTheme="majorEastAsia" w:hAnsiTheme="majorEastAsia" w:eastAsiaTheme="majorEastAsia"/>
          <w:sz w:val="24"/>
        </w:rPr>
        <w:t>负全部责任。</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（3）及时与采购人交换工作意见，对具体点位的检查每月不少于4次，及时发现问题提出解决；</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（4）及时保障采购人对服务人员需求的要求，响应采购人提出的其他相关服务要求。</w:t>
      </w:r>
    </w:p>
    <w:p>
      <w:pPr>
        <w:pStyle w:val="6"/>
        <w:spacing w:line="360" w:lineRule="auto"/>
        <w:jc w:val="left"/>
        <w:rPr>
          <w:rFonts w:asciiTheme="majorEastAsia" w:hAnsiTheme="majorEastAsia" w:eastAsiaTheme="majorEastAsia"/>
          <w:sz w:val="24"/>
          <w:szCs w:val="28"/>
        </w:rPr>
      </w:pPr>
      <w:bookmarkStart w:id="240" w:name="_Toc14701642"/>
      <w:bookmarkStart w:id="241" w:name="_Toc10018602"/>
      <w:r>
        <w:rPr>
          <w:rFonts w:hint="eastAsia" w:asciiTheme="majorEastAsia" w:hAnsiTheme="majorEastAsia" w:eastAsiaTheme="majorEastAsia"/>
          <w:sz w:val="24"/>
          <w:szCs w:val="28"/>
        </w:rPr>
        <w:t>（三）服务质量考核办法</w:t>
      </w:r>
      <w:bookmarkEnd w:id="240"/>
      <w:bookmarkEnd w:id="241"/>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w:t>
      </w:r>
      <w:r>
        <w:rPr>
          <w:rFonts w:asciiTheme="majorEastAsia" w:hAnsiTheme="majorEastAsia" w:eastAsiaTheme="majorEastAsia"/>
          <w:sz w:val="24"/>
        </w:rPr>
        <w:t>.</w:t>
      </w:r>
      <w:r>
        <w:rPr>
          <w:rFonts w:hint="eastAsia" w:asciiTheme="majorEastAsia" w:hAnsiTheme="majorEastAsia" w:eastAsiaTheme="majorEastAsia"/>
          <w:sz w:val="24"/>
        </w:rPr>
        <w:t>考核目的：通过广泛征求医院职工、患者及各方人士的意见，加强日常工作的监督，不断提高和完善物业外包服务的品质。日常工作监督检查考核，由医院相关职能部门负责，每月进行一次考评和群众测评，含（院领导、中层干部、医护代表），群众测评结果列入考评结果。</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2</w:t>
      </w:r>
      <w:r>
        <w:rPr>
          <w:rFonts w:asciiTheme="majorEastAsia" w:hAnsiTheme="majorEastAsia" w:eastAsiaTheme="majorEastAsia"/>
          <w:sz w:val="24"/>
        </w:rPr>
        <w:t>.</w:t>
      </w:r>
      <w:r>
        <w:rPr>
          <w:rFonts w:hint="eastAsia" w:asciiTheme="majorEastAsia" w:hAnsiTheme="majorEastAsia" w:eastAsiaTheme="majorEastAsia"/>
          <w:sz w:val="24"/>
        </w:rPr>
        <w:t xml:space="preserve">适用范围：医院对所服务的保洁秩序维护等方面工作进行监督与考核。  </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3</w:t>
      </w:r>
      <w:r>
        <w:rPr>
          <w:rFonts w:asciiTheme="majorEastAsia" w:hAnsiTheme="majorEastAsia" w:eastAsiaTheme="majorEastAsia"/>
          <w:sz w:val="24"/>
        </w:rPr>
        <w:t>.</w:t>
      </w:r>
      <w:r>
        <w:rPr>
          <w:rFonts w:hint="eastAsia" w:asciiTheme="majorEastAsia" w:hAnsiTheme="majorEastAsia" w:eastAsiaTheme="majorEastAsia"/>
          <w:sz w:val="24"/>
        </w:rPr>
        <w:t>考核内容：</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（1）保洁、秩序维护方面服务工作的运作流程、操作标准、服务质量、应急处理的符合性、及时性。</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（2）医生、护士、患者及其他客户的有效投诉。</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（3）保洁、秩序维护等方面服务人员的素质、服务态度、言行举止、礼仪礼貌。</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（4）保洁、秩序维护等方面服务人员的工作责任、劳动纪律、敬业精神。</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（5）保洁、秩序维护等方面对医院的服从性、配合度。</w:t>
      </w:r>
    </w:p>
    <w:p>
      <w:pPr>
        <w:pStyle w:val="2"/>
        <w:rPr>
          <w:rFonts w:asciiTheme="majorEastAsia" w:hAnsiTheme="majorEastAsia" w:eastAsiaTheme="majorEastAsia"/>
        </w:rPr>
      </w:pPr>
      <w:r>
        <w:rPr>
          <w:rFonts w:hint="eastAsia" w:asciiTheme="majorEastAsia" w:hAnsiTheme="majorEastAsia" w:eastAsiaTheme="majorEastAsia"/>
          <w:sz w:val="24"/>
        </w:rPr>
        <w:t>（6）保洁、秩序维护等方面对医院意见、建议、有效投诉及其它处理措施的整改、落实、配合、反馈工作。</w:t>
      </w:r>
    </w:p>
    <w:p>
      <w:pPr>
        <w:pStyle w:val="2"/>
        <w:rPr>
          <w:rFonts w:asciiTheme="majorEastAsia" w:hAnsiTheme="majorEastAsia" w:eastAsiaTheme="majorEastAsia"/>
        </w:rPr>
      </w:pPr>
      <w:r>
        <w:rPr>
          <w:rFonts w:hint="eastAsia" w:asciiTheme="majorEastAsia" w:hAnsiTheme="majorEastAsia" w:eastAsiaTheme="majorEastAsia"/>
          <w:sz w:val="24"/>
        </w:rPr>
        <w:t>4.考核类别及分值 （总分100 分）：</w:t>
      </w:r>
    </w:p>
    <w:tbl>
      <w:tblPr>
        <w:tblStyle w:val="43"/>
        <w:tblW w:w="8655" w:type="dxa"/>
        <w:jc w:val="center"/>
        <w:tblInd w:w="0" w:type="dxa"/>
        <w:shd w:val="clear" w:color="FFFFFF" w:fill="auto"/>
        <w:tblLayout w:type="fixed"/>
        <w:tblCellMar>
          <w:top w:w="0" w:type="dxa"/>
          <w:left w:w="108" w:type="dxa"/>
          <w:bottom w:w="0" w:type="dxa"/>
          <w:right w:w="108" w:type="dxa"/>
        </w:tblCellMar>
      </w:tblPr>
      <w:tblGrid>
        <w:gridCol w:w="728"/>
        <w:gridCol w:w="6686"/>
        <w:gridCol w:w="600"/>
        <w:gridCol w:w="641"/>
      </w:tblGrid>
      <w:tr>
        <w:tblPrEx>
          <w:tblLayout w:type="fixed"/>
          <w:tblCellMar>
            <w:top w:w="0" w:type="dxa"/>
            <w:left w:w="108" w:type="dxa"/>
            <w:bottom w:w="0" w:type="dxa"/>
            <w:right w:w="108" w:type="dxa"/>
          </w:tblCellMar>
        </w:tblPrEx>
        <w:trPr>
          <w:jc w:val="center"/>
        </w:trPr>
        <w:tc>
          <w:tcPr>
            <w:tcW w:w="728" w:type="dxa"/>
            <w:tcBorders>
              <w:top w:val="single" w:color="000000" w:sz="4" w:space="0"/>
              <w:left w:val="single" w:color="000000" w:sz="4" w:space="0"/>
              <w:bottom w:val="single" w:color="000000" w:sz="4" w:space="0"/>
              <w:right w:val="single" w:color="000000" w:sz="4" w:space="0"/>
            </w:tcBorders>
            <w:shd w:val="clear" w:color="FFFFFF" w:fill="auto"/>
            <w:noWrap/>
            <w:tcMar>
              <w:top w:w="0" w:type="dxa"/>
              <w:left w:w="108" w:type="dxa"/>
              <w:bottom w:w="0" w:type="dxa"/>
              <w:right w:w="108" w:type="dxa"/>
            </w:tcMar>
            <w:vAlign w:val="center"/>
          </w:tcPr>
          <w:p>
            <w:pPr>
              <w:jc w:val="center"/>
              <w:rPr>
                <w:rFonts w:asciiTheme="majorEastAsia" w:hAnsiTheme="majorEastAsia" w:eastAsiaTheme="majorEastAsia"/>
              </w:rPr>
            </w:pPr>
            <w:r>
              <w:rPr>
                <w:rFonts w:hint="eastAsia" w:asciiTheme="majorEastAsia" w:hAnsiTheme="majorEastAsia" w:eastAsiaTheme="majorEastAsia"/>
              </w:rPr>
              <w:t>服务类别</w:t>
            </w:r>
          </w:p>
        </w:tc>
        <w:tc>
          <w:tcPr>
            <w:tcW w:w="6686" w:type="dxa"/>
            <w:tcBorders>
              <w:top w:val="single" w:color="000000" w:sz="4" w:space="0"/>
              <w:bottom w:val="single" w:color="000000" w:sz="4" w:space="0"/>
              <w:right w:val="single" w:color="000000" w:sz="4" w:space="0"/>
            </w:tcBorders>
            <w:shd w:val="clear" w:color="FFFFFF" w:fill="auto"/>
            <w:noWrap/>
            <w:tcMar>
              <w:top w:w="0" w:type="dxa"/>
              <w:left w:w="108" w:type="dxa"/>
              <w:bottom w:w="0" w:type="dxa"/>
              <w:right w:w="108" w:type="dxa"/>
            </w:tcMar>
            <w:vAlign w:val="center"/>
          </w:tcPr>
          <w:p>
            <w:pPr>
              <w:jc w:val="center"/>
              <w:rPr>
                <w:rFonts w:asciiTheme="majorEastAsia" w:hAnsiTheme="majorEastAsia" w:eastAsiaTheme="majorEastAsia"/>
              </w:rPr>
            </w:pPr>
            <w:r>
              <w:rPr>
                <w:rFonts w:hint="eastAsia" w:asciiTheme="majorEastAsia" w:hAnsiTheme="majorEastAsia" w:eastAsiaTheme="majorEastAsia"/>
              </w:rPr>
              <w:t>考  核  内  容</w:t>
            </w:r>
          </w:p>
        </w:tc>
        <w:tc>
          <w:tcPr>
            <w:tcW w:w="600" w:type="dxa"/>
            <w:tcBorders>
              <w:top w:val="single" w:color="000000" w:sz="4" w:space="0"/>
              <w:bottom w:val="single" w:color="000000" w:sz="4" w:space="0"/>
              <w:right w:val="single" w:color="000000" w:sz="4" w:space="0"/>
            </w:tcBorders>
            <w:shd w:val="clear" w:color="FFFFFF" w:fill="auto"/>
            <w:noWrap/>
            <w:vAlign w:val="center"/>
          </w:tcPr>
          <w:p>
            <w:pPr>
              <w:jc w:val="center"/>
              <w:rPr>
                <w:rFonts w:asciiTheme="majorEastAsia" w:hAnsiTheme="majorEastAsia" w:eastAsiaTheme="majorEastAsia"/>
              </w:rPr>
            </w:pPr>
            <w:r>
              <w:rPr>
                <w:rFonts w:hint="eastAsia" w:asciiTheme="majorEastAsia" w:hAnsiTheme="majorEastAsia" w:eastAsiaTheme="majorEastAsia"/>
              </w:rPr>
              <w:t>分值</w:t>
            </w:r>
          </w:p>
        </w:tc>
        <w:tc>
          <w:tcPr>
            <w:tcW w:w="641" w:type="dxa"/>
            <w:tcBorders>
              <w:top w:val="single" w:color="000000" w:sz="4" w:space="0"/>
              <w:bottom w:val="single" w:color="000000" w:sz="4" w:space="0"/>
              <w:right w:val="single" w:color="000000" w:sz="4" w:space="0"/>
            </w:tcBorders>
            <w:shd w:val="clear" w:color="FFFFFF" w:fill="auto"/>
            <w:noWrap/>
            <w:vAlign w:val="center"/>
          </w:tcPr>
          <w:p>
            <w:pPr>
              <w:jc w:val="center"/>
              <w:rPr>
                <w:rFonts w:asciiTheme="majorEastAsia" w:hAnsiTheme="majorEastAsia" w:eastAsiaTheme="majorEastAsia"/>
              </w:rPr>
            </w:pPr>
            <w:r>
              <w:rPr>
                <w:rFonts w:hint="eastAsia" w:asciiTheme="majorEastAsia" w:hAnsiTheme="majorEastAsia" w:eastAsiaTheme="majorEastAsia"/>
              </w:rPr>
              <w:t>实际</w:t>
            </w:r>
          </w:p>
          <w:p>
            <w:pPr>
              <w:jc w:val="center"/>
              <w:rPr>
                <w:rFonts w:asciiTheme="majorEastAsia" w:hAnsiTheme="majorEastAsia" w:eastAsiaTheme="majorEastAsia"/>
              </w:rPr>
            </w:pPr>
            <w:r>
              <w:rPr>
                <w:rFonts w:hint="eastAsia" w:asciiTheme="majorEastAsia" w:hAnsiTheme="majorEastAsia" w:eastAsiaTheme="majorEastAsia"/>
              </w:rPr>
              <w:t>得分</w:t>
            </w:r>
          </w:p>
        </w:tc>
      </w:tr>
      <w:tr>
        <w:tblPrEx>
          <w:tblLayout w:type="fixed"/>
          <w:tblCellMar>
            <w:top w:w="0" w:type="dxa"/>
            <w:left w:w="108" w:type="dxa"/>
            <w:bottom w:w="0" w:type="dxa"/>
            <w:right w:w="108" w:type="dxa"/>
          </w:tblCellMar>
        </w:tblPrEx>
        <w:trPr>
          <w:jc w:val="center"/>
        </w:trPr>
        <w:tc>
          <w:tcPr>
            <w:tcW w:w="728" w:type="dxa"/>
            <w:vMerge w:val="restart"/>
            <w:tcBorders>
              <w:left w:val="single" w:color="000000" w:sz="4" w:space="0"/>
              <w:bottom w:val="single" w:color="000000" w:sz="4" w:space="0"/>
              <w:right w:val="single" w:color="auto" w:sz="4" w:space="0"/>
            </w:tcBorders>
            <w:shd w:val="clear" w:color="FFFFFF" w:fill="auto"/>
            <w:noWrap/>
            <w:tcMar>
              <w:top w:w="0" w:type="dxa"/>
              <w:left w:w="108" w:type="dxa"/>
              <w:bottom w:w="0" w:type="dxa"/>
              <w:right w:w="108" w:type="dxa"/>
            </w:tcMar>
            <w:vAlign w:val="center"/>
          </w:tcPr>
          <w:p>
            <w:pPr>
              <w:rPr>
                <w:rFonts w:asciiTheme="majorEastAsia" w:hAnsiTheme="majorEastAsia" w:eastAsiaTheme="majorEastAsia"/>
              </w:rPr>
            </w:pPr>
            <w:r>
              <w:rPr>
                <w:rFonts w:hint="eastAsia" w:asciiTheme="majorEastAsia" w:hAnsiTheme="majorEastAsia" w:eastAsiaTheme="majorEastAsia"/>
              </w:rPr>
              <w:t>保洁</w:t>
            </w:r>
          </w:p>
        </w:tc>
        <w:tc>
          <w:tcPr>
            <w:tcW w:w="6686" w:type="dxa"/>
            <w:tcBorders>
              <w:bottom w:val="single" w:color="000000" w:sz="4" w:space="0"/>
              <w:right w:val="single" w:color="000000" w:sz="4" w:space="0"/>
            </w:tcBorders>
            <w:shd w:val="clear" w:color="FFFFFF" w:fill="auto"/>
            <w:noWrap/>
            <w:tcMar>
              <w:top w:w="0" w:type="dxa"/>
              <w:left w:w="108" w:type="dxa"/>
              <w:bottom w:w="0" w:type="dxa"/>
              <w:right w:w="108" w:type="dxa"/>
            </w:tcMar>
            <w:vAlign w:val="bottom"/>
          </w:tcPr>
          <w:p>
            <w:pPr>
              <w:rPr>
                <w:rFonts w:asciiTheme="majorEastAsia" w:hAnsiTheme="majorEastAsia" w:eastAsiaTheme="majorEastAsia"/>
              </w:rPr>
            </w:pPr>
            <w:r>
              <w:rPr>
                <w:rFonts w:hint="eastAsia" w:asciiTheme="majorEastAsia" w:hAnsiTheme="majorEastAsia" w:eastAsiaTheme="majorEastAsia"/>
              </w:rPr>
              <w:t>1.大厅地面干净光亮，无痰迹、烟头，杂物。</w:t>
            </w:r>
          </w:p>
        </w:tc>
        <w:tc>
          <w:tcPr>
            <w:tcW w:w="600" w:type="dxa"/>
            <w:tcBorders>
              <w:bottom w:val="single" w:color="000000" w:sz="4" w:space="0"/>
              <w:right w:val="single" w:color="000000" w:sz="4" w:space="0"/>
            </w:tcBorders>
            <w:shd w:val="clear" w:color="FFFFFF" w:fill="auto"/>
            <w:noWrap/>
            <w:vAlign w:val="center"/>
          </w:tcPr>
          <w:p>
            <w:pPr>
              <w:rPr>
                <w:rFonts w:asciiTheme="majorEastAsia" w:hAnsiTheme="majorEastAsia" w:eastAsiaTheme="majorEastAsia"/>
              </w:rPr>
            </w:pPr>
            <w:r>
              <w:rPr>
                <w:rFonts w:hint="eastAsia" w:asciiTheme="majorEastAsia" w:hAnsiTheme="majorEastAsia" w:eastAsiaTheme="majorEastAsia"/>
              </w:rPr>
              <w:t>1</w:t>
            </w:r>
          </w:p>
        </w:tc>
        <w:tc>
          <w:tcPr>
            <w:tcW w:w="641" w:type="dxa"/>
            <w:tcBorders>
              <w:bottom w:val="single" w:color="000000" w:sz="4" w:space="0"/>
              <w:right w:val="single" w:color="000000" w:sz="4" w:space="0"/>
            </w:tcBorders>
            <w:shd w:val="clear" w:color="FFFFFF" w:fill="auto"/>
            <w:noWrap/>
            <w:vAlign w:val="bottom"/>
          </w:tcPr>
          <w:p>
            <w:pPr>
              <w:rPr>
                <w:rFonts w:asciiTheme="majorEastAsia" w:hAnsiTheme="majorEastAsia" w:eastAsiaTheme="majorEastAsia"/>
              </w:rPr>
            </w:pPr>
          </w:p>
        </w:tc>
      </w:tr>
      <w:tr>
        <w:tblPrEx>
          <w:tblLayout w:type="fixed"/>
          <w:tblCellMar>
            <w:top w:w="0" w:type="dxa"/>
            <w:left w:w="108" w:type="dxa"/>
            <w:bottom w:w="0" w:type="dxa"/>
            <w:right w:w="108" w:type="dxa"/>
          </w:tblCellMar>
        </w:tblPrEx>
        <w:trPr>
          <w:jc w:val="center"/>
        </w:trPr>
        <w:tc>
          <w:tcPr>
            <w:tcW w:w="728" w:type="dxa"/>
            <w:vMerge w:val="continue"/>
            <w:tcBorders>
              <w:left w:val="single" w:color="000000" w:sz="4" w:space="0"/>
              <w:bottom w:val="single" w:color="000000" w:sz="4" w:space="0"/>
              <w:right w:val="single" w:color="auto" w:sz="4" w:space="0"/>
            </w:tcBorders>
            <w:shd w:val="clear" w:color="FFFFFF" w:fill="auto"/>
            <w:noWrap/>
            <w:tcMar>
              <w:top w:w="0" w:type="dxa"/>
              <w:left w:w="108" w:type="dxa"/>
              <w:bottom w:w="0" w:type="dxa"/>
              <w:right w:w="108" w:type="dxa"/>
            </w:tcMar>
            <w:vAlign w:val="center"/>
          </w:tcPr>
          <w:p>
            <w:pPr>
              <w:rPr>
                <w:rFonts w:asciiTheme="majorEastAsia" w:hAnsiTheme="majorEastAsia" w:eastAsiaTheme="majorEastAsia"/>
              </w:rPr>
            </w:pPr>
          </w:p>
        </w:tc>
        <w:tc>
          <w:tcPr>
            <w:tcW w:w="6686" w:type="dxa"/>
            <w:tcBorders>
              <w:bottom w:val="single" w:color="000000" w:sz="4" w:space="0"/>
              <w:right w:val="single" w:color="000000" w:sz="4" w:space="0"/>
            </w:tcBorders>
            <w:shd w:val="clear" w:color="FFFFFF" w:fill="auto"/>
            <w:noWrap/>
            <w:tcMar>
              <w:top w:w="0" w:type="dxa"/>
              <w:left w:w="108" w:type="dxa"/>
              <w:bottom w:w="0" w:type="dxa"/>
              <w:right w:w="108" w:type="dxa"/>
            </w:tcMar>
            <w:vAlign w:val="bottom"/>
          </w:tcPr>
          <w:p>
            <w:pPr>
              <w:rPr>
                <w:rFonts w:asciiTheme="majorEastAsia" w:hAnsiTheme="majorEastAsia" w:eastAsiaTheme="majorEastAsia"/>
              </w:rPr>
            </w:pPr>
            <w:r>
              <w:rPr>
                <w:rFonts w:hint="eastAsia" w:asciiTheme="majorEastAsia" w:hAnsiTheme="majorEastAsia" w:eastAsiaTheme="majorEastAsia"/>
              </w:rPr>
              <w:t>2.大门玻璃定期清洁，保持光亮。</w:t>
            </w:r>
          </w:p>
        </w:tc>
        <w:tc>
          <w:tcPr>
            <w:tcW w:w="600" w:type="dxa"/>
            <w:tcBorders>
              <w:bottom w:val="single" w:color="000000" w:sz="4" w:space="0"/>
              <w:right w:val="single" w:color="000000" w:sz="4" w:space="0"/>
            </w:tcBorders>
            <w:shd w:val="clear" w:color="FFFFFF" w:fill="auto"/>
            <w:noWrap/>
            <w:vAlign w:val="center"/>
          </w:tcPr>
          <w:p>
            <w:pPr>
              <w:rPr>
                <w:rFonts w:asciiTheme="majorEastAsia" w:hAnsiTheme="majorEastAsia" w:eastAsiaTheme="majorEastAsia"/>
              </w:rPr>
            </w:pPr>
            <w:r>
              <w:rPr>
                <w:rFonts w:hint="eastAsia" w:asciiTheme="majorEastAsia" w:hAnsiTheme="majorEastAsia" w:eastAsiaTheme="majorEastAsia"/>
              </w:rPr>
              <w:t>2</w:t>
            </w:r>
          </w:p>
        </w:tc>
        <w:tc>
          <w:tcPr>
            <w:tcW w:w="641" w:type="dxa"/>
            <w:tcBorders>
              <w:bottom w:val="single" w:color="000000" w:sz="4" w:space="0"/>
              <w:right w:val="single" w:color="000000" w:sz="4" w:space="0"/>
            </w:tcBorders>
            <w:shd w:val="clear" w:color="FFFFFF" w:fill="auto"/>
            <w:noWrap/>
            <w:vAlign w:val="bottom"/>
          </w:tcPr>
          <w:p>
            <w:pPr>
              <w:rPr>
                <w:rFonts w:asciiTheme="majorEastAsia" w:hAnsiTheme="majorEastAsia" w:eastAsiaTheme="majorEastAsia"/>
              </w:rPr>
            </w:pPr>
          </w:p>
        </w:tc>
      </w:tr>
      <w:tr>
        <w:tblPrEx>
          <w:tblLayout w:type="fixed"/>
          <w:tblCellMar>
            <w:top w:w="0" w:type="dxa"/>
            <w:left w:w="108" w:type="dxa"/>
            <w:bottom w:w="0" w:type="dxa"/>
            <w:right w:w="108" w:type="dxa"/>
          </w:tblCellMar>
        </w:tblPrEx>
        <w:trPr>
          <w:jc w:val="center"/>
        </w:trPr>
        <w:tc>
          <w:tcPr>
            <w:tcW w:w="728" w:type="dxa"/>
            <w:vMerge w:val="continue"/>
            <w:tcBorders>
              <w:left w:val="single" w:color="000000" w:sz="4" w:space="0"/>
              <w:bottom w:val="single" w:color="000000" w:sz="4" w:space="0"/>
              <w:right w:val="single" w:color="auto" w:sz="4" w:space="0"/>
            </w:tcBorders>
            <w:shd w:val="clear" w:color="FFFFFF" w:fill="auto"/>
            <w:noWrap/>
            <w:tcMar>
              <w:top w:w="0" w:type="dxa"/>
              <w:left w:w="108" w:type="dxa"/>
              <w:bottom w:w="0" w:type="dxa"/>
              <w:right w:w="108" w:type="dxa"/>
            </w:tcMar>
            <w:vAlign w:val="center"/>
          </w:tcPr>
          <w:p>
            <w:pPr>
              <w:rPr>
                <w:rFonts w:asciiTheme="majorEastAsia" w:hAnsiTheme="majorEastAsia" w:eastAsiaTheme="majorEastAsia"/>
              </w:rPr>
            </w:pPr>
          </w:p>
        </w:tc>
        <w:tc>
          <w:tcPr>
            <w:tcW w:w="6686" w:type="dxa"/>
            <w:tcBorders>
              <w:bottom w:val="single" w:color="000000" w:sz="4" w:space="0"/>
              <w:right w:val="single" w:color="000000" w:sz="4" w:space="0"/>
            </w:tcBorders>
            <w:shd w:val="clear" w:color="FFFFFF" w:fill="auto"/>
            <w:noWrap/>
            <w:tcMar>
              <w:top w:w="0" w:type="dxa"/>
              <w:left w:w="108" w:type="dxa"/>
              <w:bottom w:w="0" w:type="dxa"/>
              <w:right w:w="108" w:type="dxa"/>
            </w:tcMar>
            <w:vAlign w:val="bottom"/>
          </w:tcPr>
          <w:p>
            <w:pPr>
              <w:rPr>
                <w:rFonts w:asciiTheme="majorEastAsia" w:hAnsiTheme="majorEastAsia" w:eastAsiaTheme="majorEastAsia"/>
              </w:rPr>
            </w:pPr>
            <w:r>
              <w:rPr>
                <w:rFonts w:hint="eastAsia" w:asciiTheme="majorEastAsia" w:hAnsiTheme="majorEastAsia" w:eastAsiaTheme="majorEastAsia"/>
              </w:rPr>
              <w:t>3.大厅墙面和屋顶干净无积尘，无蛛网。</w:t>
            </w:r>
          </w:p>
        </w:tc>
        <w:tc>
          <w:tcPr>
            <w:tcW w:w="600" w:type="dxa"/>
            <w:tcBorders>
              <w:bottom w:val="single" w:color="000000" w:sz="4" w:space="0"/>
              <w:right w:val="single" w:color="000000" w:sz="4" w:space="0"/>
            </w:tcBorders>
            <w:shd w:val="clear" w:color="FFFFFF" w:fill="auto"/>
            <w:noWrap/>
            <w:vAlign w:val="center"/>
          </w:tcPr>
          <w:p>
            <w:pPr>
              <w:rPr>
                <w:rFonts w:asciiTheme="majorEastAsia" w:hAnsiTheme="majorEastAsia" w:eastAsiaTheme="majorEastAsia"/>
              </w:rPr>
            </w:pPr>
            <w:r>
              <w:rPr>
                <w:rFonts w:hint="eastAsia" w:asciiTheme="majorEastAsia" w:hAnsiTheme="majorEastAsia" w:eastAsiaTheme="majorEastAsia"/>
              </w:rPr>
              <w:t>1</w:t>
            </w:r>
          </w:p>
        </w:tc>
        <w:tc>
          <w:tcPr>
            <w:tcW w:w="641" w:type="dxa"/>
            <w:tcBorders>
              <w:bottom w:val="single" w:color="000000" w:sz="4" w:space="0"/>
              <w:right w:val="single" w:color="000000" w:sz="4" w:space="0"/>
            </w:tcBorders>
            <w:shd w:val="clear" w:color="FFFFFF" w:fill="auto"/>
            <w:noWrap/>
            <w:vAlign w:val="bottom"/>
          </w:tcPr>
          <w:p>
            <w:pPr>
              <w:rPr>
                <w:rFonts w:asciiTheme="majorEastAsia" w:hAnsiTheme="majorEastAsia" w:eastAsiaTheme="majorEastAsia"/>
              </w:rPr>
            </w:pPr>
          </w:p>
        </w:tc>
      </w:tr>
      <w:tr>
        <w:tblPrEx>
          <w:shd w:val="clear" w:color="FFFFFF" w:fill="auto"/>
          <w:tblLayout w:type="fixed"/>
          <w:tblCellMar>
            <w:top w:w="0" w:type="dxa"/>
            <w:left w:w="108" w:type="dxa"/>
            <w:bottom w:w="0" w:type="dxa"/>
            <w:right w:w="108" w:type="dxa"/>
          </w:tblCellMar>
        </w:tblPrEx>
        <w:trPr>
          <w:jc w:val="center"/>
        </w:trPr>
        <w:tc>
          <w:tcPr>
            <w:tcW w:w="728" w:type="dxa"/>
            <w:vMerge w:val="continue"/>
            <w:tcBorders>
              <w:left w:val="single" w:color="000000" w:sz="4" w:space="0"/>
              <w:bottom w:val="single" w:color="000000" w:sz="4" w:space="0"/>
              <w:right w:val="single" w:color="auto" w:sz="4" w:space="0"/>
            </w:tcBorders>
            <w:shd w:val="clear" w:color="FFFFFF" w:fill="auto"/>
            <w:noWrap/>
            <w:tcMar>
              <w:top w:w="0" w:type="dxa"/>
              <w:left w:w="108" w:type="dxa"/>
              <w:bottom w:w="0" w:type="dxa"/>
              <w:right w:w="108" w:type="dxa"/>
            </w:tcMar>
            <w:vAlign w:val="center"/>
          </w:tcPr>
          <w:p>
            <w:pPr>
              <w:rPr>
                <w:rFonts w:asciiTheme="majorEastAsia" w:hAnsiTheme="majorEastAsia" w:eastAsiaTheme="majorEastAsia"/>
              </w:rPr>
            </w:pPr>
          </w:p>
        </w:tc>
        <w:tc>
          <w:tcPr>
            <w:tcW w:w="6686" w:type="dxa"/>
            <w:tcBorders>
              <w:bottom w:val="single" w:color="000000" w:sz="4" w:space="0"/>
              <w:right w:val="single" w:color="000000" w:sz="4" w:space="0"/>
            </w:tcBorders>
            <w:shd w:val="clear" w:color="FFFFFF" w:fill="auto"/>
            <w:noWrap/>
            <w:tcMar>
              <w:top w:w="0" w:type="dxa"/>
              <w:left w:w="108" w:type="dxa"/>
              <w:bottom w:w="0" w:type="dxa"/>
              <w:right w:w="108" w:type="dxa"/>
            </w:tcMar>
            <w:vAlign w:val="bottom"/>
          </w:tcPr>
          <w:p>
            <w:pPr>
              <w:rPr>
                <w:rFonts w:asciiTheme="majorEastAsia" w:hAnsiTheme="majorEastAsia" w:eastAsiaTheme="majorEastAsia"/>
              </w:rPr>
            </w:pPr>
            <w:r>
              <w:rPr>
                <w:rFonts w:hint="eastAsia" w:asciiTheme="majorEastAsia" w:hAnsiTheme="majorEastAsia" w:eastAsiaTheme="majorEastAsia"/>
              </w:rPr>
              <w:t>4.电梯轿箱干净光亮，地面无烟头、果皮、纸屑。</w:t>
            </w:r>
          </w:p>
        </w:tc>
        <w:tc>
          <w:tcPr>
            <w:tcW w:w="600" w:type="dxa"/>
            <w:tcBorders>
              <w:bottom w:val="single" w:color="000000" w:sz="4" w:space="0"/>
              <w:right w:val="single" w:color="000000" w:sz="4" w:space="0"/>
            </w:tcBorders>
            <w:shd w:val="clear" w:color="FFFFFF" w:fill="auto"/>
            <w:noWrap/>
            <w:vAlign w:val="center"/>
          </w:tcPr>
          <w:p>
            <w:pPr>
              <w:rPr>
                <w:rFonts w:asciiTheme="majorEastAsia" w:hAnsiTheme="majorEastAsia" w:eastAsiaTheme="majorEastAsia"/>
              </w:rPr>
            </w:pPr>
            <w:r>
              <w:rPr>
                <w:rFonts w:hint="eastAsia" w:asciiTheme="majorEastAsia" w:hAnsiTheme="majorEastAsia" w:eastAsiaTheme="majorEastAsia"/>
              </w:rPr>
              <w:t>1</w:t>
            </w:r>
          </w:p>
        </w:tc>
        <w:tc>
          <w:tcPr>
            <w:tcW w:w="641" w:type="dxa"/>
            <w:tcBorders>
              <w:bottom w:val="single" w:color="000000" w:sz="4" w:space="0"/>
              <w:right w:val="single" w:color="000000" w:sz="4" w:space="0"/>
            </w:tcBorders>
            <w:shd w:val="clear" w:color="FFFFFF" w:fill="auto"/>
            <w:noWrap/>
            <w:vAlign w:val="bottom"/>
          </w:tcPr>
          <w:p>
            <w:pPr>
              <w:rPr>
                <w:rFonts w:asciiTheme="majorEastAsia" w:hAnsiTheme="majorEastAsia" w:eastAsiaTheme="majorEastAsia"/>
              </w:rPr>
            </w:pPr>
          </w:p>
        </w:tc>
      </w:tr>
      <w:tr>
        <w:tblPrEx>
          <w:shd w:val="clear" w:color="FFFFFF" w:fill="auto"/>
          <w:tblLayout w:type="fixed"/>
          <w:tblCellMar>
            <w:top w:w="0" w:type="dxa"/>
            <w:left w:w="108" w:type="dxa"/>
            <w:bottom w:w="0" w:type="dxa"/>
            <w:right w:w="108" w:type="dxa"/>
          </w:tblCellMar>
        </w:tblPrEx>
        <w:trPr>
          <w:jc w:val="center"/>
        </w:trPr>
        <w:tc>
          <w:tcPr>
            <w:tcW w:w="728" w:type="dxa"/>
            <w:vMerge w:val="continue"/>
            <w:tcBorders>
              <w:left w:val="single" w:color="000000" w:sz="4" w:space="0"/>
              <w:bottom w:val="single" w:color="000000" w:sz="4" w:space="0"/>
              <w:right w:val="single" w:color="auto" w:sz="4" w:space="0"/>
            </w:tcBorders>
            <w:shd w:val="clear" w:color="FFFFFF" w:fill="auto"/>
            <w:noWrap/>
            <w:tcMar>
              <w:top w:w="0" w:type="dxa"/>
              <w:left w:w="108" w:type="dxa"/>
              <w:bottom w:w="0" w:type="dxa"/>
              <w:right w:w="108" w:type="dxa"/>
            </w:tcMar>
            <w:vAlign w:val="center"/>
          </w:tcPr>
          <w:p>
            <w:pPr>
              <w:rPr>
                <w:rFonts w:asciiTheme="majorEastAsia" w:hAnsiTheme="majorEastAsia" w:eastAsiaTheme="majorEastAsia"/>
              </w:rPr>
            </w:pPr>
          </w:p>
        </w:tc>
        <w:tc>
          <w:tcPr>
            <w:tcW w:w="6686" w:type="dxa"/>
            <w:tcBorders>
              <w:bottom w:val="single" w:color="000000" w:sz="4" w:space="0"/>
              <w:right w:val="single" w:color="000000" w:sz="4" w:space="0"/>
            </w:tcBorders>
            <w:shd w:val="clear" w:color="FFFFFF" w:fill="auto"/>
            <w:noWrap/>
            <w:tcMar>
              <w:top w:w="0" w:type="dxa"/>
              <w:left w:w="108" w:type="dxa"/>
              <w:bottom w:w="0" w:type="dxa"/>
              <w:right w:w="108" w:type="dxa"/>
            </w:tcMar>
            <w:vAlign w:val="bottom"/>
          </w:tcPr>
          <w:p>
            <w:pPr>
              <w:rPr>
                <w:rFonts w:asciiTheme="majorEastAsia" w:hAnsiTheme="majorEastAsia" w:eastAsiaTheme="majorEastAsia"/>
              </w:rPr>
            </w:pPr>
            <w:r>
              <w:rPr>
                <w:rFonts w:hint="eastAsia" w:asciiTheme="majorEastAsia" w:hAnsiTheme="majorEastAsia" w:eastAsiaTheme="majorEastAsia"/>
              </w:rPr>
              <w:t>5.消防楼梯地面干净整齐，无烟头、无杂物堆放。</w:t>
            </w:r>
          </w:p>
        </w:tc>
        <w:tc>
          <w:tcPr>
            <w:tcW w:w="600" w:type="dxa"/>
            <w:tcBorders>
              <w:bottom w:val="single" w:color="000000" w:sz="4" w:space="0"/>
              <w:right w:val="single" w:color="000000" w:sz="4" w:space="0"/>
            </w:tcBorders>
            <w:shd w:val="clear" w:color="FFFFFF" w:fill="auto"/>
            <w:noWrap/>
            <w:vAlign w:val="center"/>
          </w:tcPr>
          <w:p>
            <w:pPr>
              <w:rPr>
                <w:rFonts w:asciiTheme="majorEastAsia" w:hAnsiTheme="majorEastAsia" w:eastAsiaTheme="majorEastAsia"/>
              </w:rPr>
            </w:pPr>
            <w:r>
              <w:rPr>
                <w:rFonts w:hint="eastAsia" w:asciiTheme="majorEastAsia" w:hAnsiTheme="majorEastAsia" w:eastAsiaTheme="majorEastAsia"/>
              </w:rPr>
              <w:t>3</w:t>
            </w:r>
          </w:p>
        </w:tc>
        <w:tc>
          <w:tcPr>
            <w:tcW w:w="641" w:type="dxa"/>
            <w:tcBorders>
              <w:bottom w:val="single" w:color="000000" w:sz="4" w:space="0"/>
              <w:right w:val="single" w:color="000000" w:sz="4" w:space="0"/>
            </w:tcBorders>
            <w:shd w:val="clear" w:color="FFFFFF" w:fill="auto"/>
            <w:noWrap/>
            <w:vAlign w:val="bottom"/>
          </w:tcPr>
          <w:p>
            <w:pPr>
              <w:rPr>
                <w:rFonts w:asciiTheme="majorEastAsia" w:hAnsiTheme="majorEastAsia" w:eastAsiaTheme="majorEastAsia"/>
              </w:rPr>
            </w:pPr>
          </w:p>
        </w:tc>
      </w:tr>
      <w:tr>
        <w:tblPrEx>
          <w:shd w:val="clear" w:color="FFFFFF" w:fill="auto"/>
          <w:tblLayout w:type="fixed"/>
          <w:tblCellMar>
            <w:top w:w="0" w:type="dxa"/>
            <w:left w:w="108" w:type="dxa"/>
            <w:bottom w:w="0" w:type="dxa"/>
            <w:right w:w="108" w:type="dxa"/>
          </w:tblCellMar>
        </w:tblPrEx>
        <w:trPr>
          <w:jc w:val="center"/>
        </w:trPr>
        <w:tc>
          <w:tcPr>
            <w:tcW w:w="728" w:type="dxa"/>
            <w:vMerge w:val="continue"/>
            <w:tcBorders>
              <w:left w:val="single" w:color="000000" w:sz="4" w:space="0"/>
              <w:bottom w:val="single" w:color="000000" w:sz="4" w:space="0"/>
              <w:right w:val="single" w:color="auto" w:sz="4" w:space="0"/>
            </w:tcBorders>
            <w:shd w:val="clear" w:color="FFFFFF" w:fill="auto"/>
            <w:noWrap/>
            <w:tcMar>
              <w:top w:w="0" w:type="dxa"/>
              <w:left w:w="108" w:type="dxa"/>
              <w:bottom w:w="0" w:type="dxa"/>
              <w:right w:w="108" w:type="dxa"/>
            </w:tcMar>
            <w:vAlign w:val="center"/>
          </w:tcPr>
          <w:p>
            <w:pPr>
              <w:rPr>
                <w:rFonts w:asciiTheme="majorEastAsia" w:hAnsiTheme="majorEastAsia" w:eastAsiaTheme="majorEastAsia"/>
              </w:rPr>
            </w:pPr>
          </w:p>
        </w:tc>
        <w:tc>
          <w:tcPr>
            <w:tcW w:w="6686" w:type="dxa"/>
            <w:tcBorders>
              <w:bottom w:val="single" w:color="000000" w:sz="4" w:space="0"/>
              <w:right w:val="single" w:color="000000" w:sz="4" w:space="0"/>
            </w:tcBorders>
            <w:shd w:val="clear" w:color="FFFFFF" w:fill="auto"/>
            <w:noWrap/>
            <w:tcMar>
              <w:top w:w="0" w:type="dxa"/>
              <w:left w:w="108" w:type="dxa"/>
              <w:bottom w:w="0" w:type="dxa"/>
              <w:right w:w="108" w:type="dxa"/>
            </w:tcMar>
            <w:vAlign w:val="bottom"/>
          </w:tcPr>
          <w:p>
            <w:pPr>
              <w:rPr>
                <w:rFonts w:asciiTheme="majorEastAsia" w:hAnsiTheme="majorEastAsia" w:eastAsiaTheme="majorEastAsia"/>
              </w:rPr>
            </w:pPr>
            <w:r>
              <w:rPr>
                <w:rFonts w:hint="eastAsia" w:asciiTheme="majorEastAsia" w:hAnsiTheme="majorEastAsia" w:eastAsiaTheme="majorEastAsia"/>
              </w:rPr>
              <w:t>6.手术室地面定期打蜡抛光干净光亮，按规定消毒（包括终末消毒）。</w:t>
            </w:r>
          </w:p>
        </w:tc>
        <w:tc>
          <w:tcPr>
            <w:tcW w:w="600" w:type="dxa"/>
            <w:tcBorders>
              <w:bottom w:val="single" w:color="000000" w:sz="4" w:space="0"/>
              <w:right w:val="single" w:color="000000" w:sz="4" w:space="0"/>
            </w:tcBorders>
            <w:shd w:val="clear" w:color="FFFFFF" w:fill="auto"/>
            <w:noWrap/>
            <w:vAlign w:val="center"/>
          </w:tcPr>
          <w:p>
            <w:pPr>
              <w:rPr>
                <w:rFonts w:asciiTheme="majorEastAsia" w:hAnsiTheme="majorEastAsia" w:eastAsiaTheme="majorEastAsia"/>
              </w:rPr>
            </w:pPr>
            <w:r>
              <w:rPr>
                <w:rFonts w:hint="eastAsia" w:asciiTheme="majorEastAsia" w:hAnsiTheme="majorEastAsia" w:eastAsiaTheme="majorEastAsia"/>
              </w:rPr>
              <w:t>6</w:t>
            </w:r>
          </w:p>
        </w:tc>
        <w:tc>
          <w:tcPr>
            <w:tcW w:w="641" w:type="dxa"/>
            <w:tcBorders>
              <w:bottom w:val="single" w:color="000000" w:sz="4" w:space="0"/>
              <w:right w:val="single" w:color="000000" w:sz="4" w:space="0"/>
            </w:tcBorders>
            <w:shd w:val="clear" w:color="FFFFFF" w:fill="auto"/>
            <w:noWrap/>
            <w:vAlign w:val="bottom"/>
          </w:tcPr>
          <w:p>
            <w:pPr>
              <w:rPr>
                <w:rFonts w:asciiTheme="majorEastAsia" w:hAnsiTheme="majorEastAsia" w:eastAsiaTheme="majorEastAsia"/>
              </w:rPr>
            </w:pPr>
          </w:p>
        </w:tc>
      </w:tr>
      <w:tr>
        <w:tblPrEx>
          <w:shd w:val="clear" w:color="FFFFFF" w:fill="auto"/>
          <w:tblLayout w:type="fixed"/>
          <w:tblCellMar>
            <w:top w:w="0" w:type="dxa"/>
            <w:left w:w="108" w:type="dxa"/>
            <w:bottom w:w="0" w:type="dxa"/>
            <w:right w:w="108" w:type="dxa"/>
          </w:tblCellMar>
        </w:tblPrEx>
        <w:trPr>
          <w:jc w:val="center"/>
        </w:trPr>
        <w:tc>
          <w:tcPr>
            <w:tcW w:w="728" w:type="dxa"/>
            <w:vMerge w:val="continue"/>
            <w:tcBorders>
              <w:left w:val="single" w:color="000000" w:sz="4" w:space="0"/>
              <w:bottom w:val="single" w:color="000000" w:sz="4" w:space="0"/>
              <w:right w:val="single" w:color="auto" w:sz="4" w:space="0"/>
            </w:tcBorders>
            <w:shd w:val="clear" w:color="FFFFFF" w:fill="auto"/>
            <w:noWrap/>
            <w:tcMar>
              <w:top w:w="0" w:type="dxa"/>
              <w:left w:w="108" w:type="dxa"/>
              <w:bottom w:w="0" w:type="dxa"/>
              <w:right w:w="108" w:type="dxa"/>
            </w:tcMar>
            <w:vAlign w:val="center"/>
          </w:tcPr>
          <w:p>
            <w:pPr>
              <w:rPr>
                <w:rFonts w:asciiTheme="majorEastAsia" w:hAnsiTheme="majorEastAsia" w:eastAsiaTheme="majorEastAsia"/>
              </w:rPr>
            </w:pPr>
          </w:p>
        </w:tc>
        <w:tc>
          <w:tcPr>
            <w:tcW w:w="6686" w:type="dxa"/>
            <w:tcBorders>
              <w:bottom w:val="single" w:color="000000" w:sz="4" w:space="0"/>
              <w:right w:val="single" w:color="000000" w:sz="4" w:space="0"/>
            </w:tcBorders>
            <w:shd w:val="clear" w:color="FFFFFF" w:fill="auto"/>
            <w:noWrap/>
            <w:tcMar>
              <w:top w:w="0" w:type="dxa"/>
              <w:left w:w="108" w:type="dxa"/>
              <w:bottom w:w="0" w:type="dxa"/>
              <w:right w:w="108" w:type="dxa"/>
            </w:tcMar>
            <w:vAlign w:val="bottom"/>
          </w:tcPr>
          <w:p>
            <w:pPr>
              <w:rPr>
                <w:rFonts w:asciiTheme="majorEastAsia" w:hAnsiTheme="majorEastAsia" w:eastAsiaTheme="majorEastAsia"/>
              </w:rPr>
            </w:pPr>
            <w:r>
              <w:rPr>
                <w:rFonts w:hint="eastAsia" w:asciiTheme="majorEastAsia" w:hAnsiTheme="majorEastAsia" w:eastAsiaTheme="majorEastAsia"/>
              </w:rPr>
              <w:t>7.公共厕所内清洁无污渍，无异味，无蚊虫（符合厕所革命规范）</w:t>
            </w:r>
            <w:r>
              <w:rPr>
                <w:rFonts w:hint="eastAsia" w:asciiTheme="majorEastAsia" w:hAnsiTheme="majorEastAsia" w:eastAsiaTheme="majorEastAsia"/>
                <w:color w:val="0000FF"/>
              </w:rPr>
              <w:t>。</w:t>
            </w:r>
          </w:p>
        </w:tc>
        <w:tc>
          <w:tcPr>
            <w:tcW w:w="600" w:type="dxa"/>
            <w:tcBorders>
              <w:bottom w:val="single" w:color="000000" w:sz="4" w:space="0"/>
              <w:right w:val="single" w:color="000000" w:sz="4" w:space="0"/>
            </w:tcBorders>
            <w:shd w:val="clear" w:color="FFFFFF" w:fill="auto"/>
            <w:noWrap/>
            <w:vAlign w:val="center"/>
          </w:tcPr>
          <w:p>
            <w:pPr>
              <w:rPr>
                <w:rFonts w:asciiTheme="majorEastAsia" w:hAnsiTheme="majorEastAsia" w:eastAsiaTheme="majorEastAsia"/>
              </w:rPr>
            </w:pPr>
            <w:r>
              <w:rPr>
                <w:rFonts w:hint="eastAsia" w:asciiTheme="majorEastAsia" w:hAnsiTheme="majorEastAsia" w:eastAsiaTheme="majorEastAsia"/>
              </w:rPr>
              <w:t>5</w:t>
            </w:r>
          </w:p>
        </w:tc>
        <w:tc>
          <w:tcPr>
            <w:tcW w:w="641" w:type="dxa"/>
            <w:tcBorders>
              <w:bottom w:val="single" w:color="000000" w:sz="4" w:space="0"/>
              <w:right w:val="single" w:color="000000" w:sz="4" w:space="0"/>
            </w:tcBorders>
            <w:shd w:val="clear" w:color="FFFFFF" w:fill="auto"/>
            <w:noWrap/>
            <w:vAlign w:val="bottom"/>
          </w:tcPr>
          <w:p>
            <w:pPr>
              <w:rPr>
                <w:rFonts w:asciiTheme="majorEastAsia" w:hAnsiTheme="majorEastAsia" w:eastAsiaTheme="majorEastAsia"/>
              </w:rPr>
            </w:pPr>
          </w:p>
        </w:tc>
      </w:tr>
      <w:tr>
        <w:tblPrEx>
          <w:shd w:val="clear" w:color="FFFFFF" w:fill="auto"/>
          <w:tblLayout w:type="fixed"/>
          <w:tblCellMar>
            <w:top w:w="0" w:type="dxa"/>
            <w:left w:w="108" w:type="dxa"/>
            <w:bottom w:w="0" w:type="dxa"/>
            <w:right w:w="108" w:type="dxa"/>
          </w:tblCellMar>
        </w:tblPrEx>
        <w:trPr>
          <w:jc w:val="center"/>
        </w:trPr>
        <w:tc>
          <w:tcPr>
            <w:tcW w:w="728" w:type="dxa"/>
            <w:vMerge w:val="continue"/>
            <w:tcBorders>
              <w:left w:val="single" w:color="000000" w:sz="4" w:space="0"/>
              <w:bottom w:val="single" w:color="000000" w:sz="4" w:space="0"/>
              <w:right w:val="single" w:color="auto" w:sz="4" w:space="0"/>
            </w:tcBorders>
            <w:shd w:val="clear" w:color="FFFFFF" w:fill="auto"/>
            <w:noWrap/>
            <w:tcMar>
              <w:top w:w="0" w:type="dxa"/>
              <w:left w:w="108" w:type="dxa"/>
              <w:bottom w:w="0" w:type="dxa"/>
              <w:right w:w="108" w:type="dxa"/>
            </w:tcMar>
            <w:vAlign w:val="center"/>
          </w:tcPr>
          <w:p>
            <w:pPr>
              <w:rPr>
                <w:rFonts w:asciiTheme="majorEastAsia" w:hAnsiTheme="majorEastAsia" w:eastAsiaTheme="majorEastAsia"/>
              </w:rPr>
            </w:pPr>
          </w:p>
        </w:tc>
        <w:tc>
          <w:tcPr>
            <w:tcW w:w="6686" w:type="dxa"/>
            <w:tcBorders>
              <w:bottom w:val="single" w:color="000000" w:sz="4" w:space="0"/>
              <w:right w:val="single" w:color="000000" w:sz="4" w:space="0"/>
            </w:tcBorders>
            <w:shd w:val="clear" w:color="FFFFFF" w:fill="auto"/>
            <w:noWrap/>
            <w:tcMar>
              <w:top w:w="0" w:type="dxa"/>
              <w:left w:w="108" w:type="dxa"/>
              <w:bottom w:w="0" w:type="dxa"/>
              <w:right w:w="108" w:type="dxa"/>
            </w:tcMar>
            <w:vAlign w:val="bottom"/>
          </w:tcPr>
          <w:p>
            <w:pPr>
              <w:rPr>
                <w:rFonts w:asciiTheme="majorEastAsia" w:hAnsiTheme="majorEastAsia" w:eastAsiaTheme="majorEastAsia"/>
              </w:rPr>
            </w:pPr>
            <w:r>
              <w:rPr>
                <w:rFonts w:hint="eastAsia" w:asciiTheme="majorEastAsia" w:hAnsiTheme="majorEastAsia" w:eastAsiaTheme="majorEastAsia"/>
              </w:rPr>
              <w:t>8.医护人员工作区域地面、物品、家具、墙壁干净整齐，家具无积灰。</w:t>
            </w:r>
          </w:p>
        </w:tc>
        <w:tc>
          <w:tcPr>
            <w:tcW w:w="600" w:type="dxa"/>
            <w:tcBorders>
              <w:bottom w:val="single" w:color="000000" w:sz="4" w:space="0"/>
              <w:right w:val="single" w:color="000000" w:sz="4" w:space="0"/>
            </w:tcBorders>
            <w:shd w:val="clear" w:color="FFFFFF" w:fill="auto"/>
            <w:noWrap/>
            <w:vAlign w:val="center"/>
          </w:tcPr>
          <w:p>
            <w:pPr>
              <w:rPr>
                <w:rFonts w:asciiTheme="majorEastAsia" w:hAnsiTheme="majorEastAsia" w:eastAsiaTheme="majorEastAsia"/>
              </w:rPr>
            </w:pPr>
            <w:r>
              <w:rPr>
                <w:rFonts w:hint="eastAsia" w:asciiTheme="majorEastAsia" w:hAnsiTheme="majorEastAsia" w:eastAsiaTheme="majorEastAsia"/>
              </w:rPr>
              <w:t>6</w:t>
            </w:r>
          </w:p>
        </w:tc>
        <w:tc>
          <w:tcPr>
            <w:tcW w:w="641" w:type="dxa"/>
            <w:tcBorders>
              <w:bottom w:val="single" w:color="000000" w:sz="4" w:space="0"/>
              <w:right w:val="single" w:color="000000" w:sz="4" w:space="0"/>
            </w:tcBorders>
            <w:shd w:val="clear" w:color="FFFFFF" w:fill="auto"/>
            <w:noWrap/>
            <w:vAlign w:val="bottom"/>
          </w:tcPr>
          <w:p>
            <w:pPr>
              <w:rPr>
                <w:rFonts w:asciiTheme="majorEastAsia" w:hAnsiTheme="majorEastAsia" w:eastAsiaTheme="majorEastAsia"/>
              </w:rPr>
            </w:pPr>
          </w:p>
        </w:tc>
      </w:tr>
      <w:tr>
        <w:tblPrEx>
          <w:tblLayout w:type="fixed"/>
          <w:tblCellMar>
            <w:top w:w="0" w:type="dxa"/>
            <w:left w:w="108" w:type="dxa"/>
            <w:bottom w:w="0" w:type="dxa"/>
            <w:right w:w="108" w:type="dxa"/>
          </w:tblCellMar>
        </w:tblPrEx>
        <w:trPr>
          <w:jc w:val="center"/>
        </w:trPr>
        <w:tc>
          <w:tcPr>
            <w:tcW w:w="728" w:type="dxa"/>
            <w:vMerge w:val="continue"/>
            <w:tcBorders>
              <w:left w:val="single" w:color="000000" w:sz="4" w:space="0"/>
              <w:bottom w:val="single" w:color="000000" w:sz="4" w:space="0"/>
              <w:right w:val="single" w:color="auto" w:sz="4" w:space="0"/>
            </w:tcBorders>
            <w:shd w:val="clear" w:color="FFFFFF" w:fill="auto"/>
            <w:noWrap/>
            <w:tcMar>
              <w:top w:w="0" w:type="dxa"/>
              <w:left w:w="108" w:type="dxa"/>
              <w:bottom w:w="0" w:type="dxa"/>
              <w:right w:w="108" w:type="dxa"/>
            </w:tcMar>
            <w:vAlign w:val="center"/>
          </w:tcPr>
          <w:p>
            <w:pPr>
              <w:rPr>
                <w:rFonts w:asciiTheme="majorEastAsia" w:hAnsiTheme="majorEastAsia" w:eastAsiaTheme="majorEastAsia"/>
              </w:rPr>
            </w:pPr>
          </w:p>
        </w:tc>
        <w:tc>
          <w:tcPr>
            <w:tcW w:w="6686" w:type="dxa"/>
            <w:tcBorders>
              <w:bottom w:val="single" w:color="000000" w:sz="4" w:space="0"/>
              <w:right w:val="single" w:color="000000" w:sz="4" w:space="0"/>
            </w:tcBorders>
            <w:shd w:val="clear" w:color="FFFFFF" w:fill="auto"/>
            <w:noWrap/>
            <w:tcMar>
              <w:top w:w="0" w:type="dxa"/>
              <w:left w:w="108" w:type="dxa"/>
              <w:bottom w:w="0" w:type="dxa"/>
              <w:right w:w="108" w:type="dxa"/>
            </w:tcMar>
            <w:vAlign w:val="bottom"/>
          </w:tcPr>
          <w:p>
            <w:pPr>
              <w:rPr>
                <w:rFonts w:asciiTheme="majorEastAsia" w:hAnsiTheme="majorEastAsia" w:eastAsiaTheme="majorEastAsia"/>
              </w:rPr>
            </w:pPr>
            <w:r>
              <w:rPr>
                <w:rFonts w:hint="eastAsia" w:asciiTheme="majorEastAsia" w:hAnsiTheme="majorEastAsia" w:eastAsiaTheme="majorEastAsia"/>
              </w:rPr>
              <w:t>9.病房地面干净光亮，病床、椅、床头柜、家具、壁架无积灰、污垢。</w:t>
            </w:r>
          </w:p>
        </w:tc>
        <w:tc>
          <w:tcPr>
            <w:tcW w:w="600" w:type="dxa"/>
            <w:tcBorders>
              <w:bottom w:val="single" w:color="000000" w:sz="4" w:space="0"/>
              <w:right w:val="single" w:color="000000" w:sz="4" w:space="0"/>
            </w:tcBorders>
            <w:shd w:val="clear" w:color="FFFFFF" w:fill="auto"/>
            <w:noWrap/>
            <w:vAlign w:val="center"/>
          </w:tcPr>
          <w:p>
            <w:pPr>
              <w:rPr>
                <w:rFonts w:asciiTheme="majorEastAsia" w:hAnsiTheme="majorEastAsia" w:eastAsiaTheme="majorEastAsia"/>
              </w:rPr>
            </w:pPr>
            <w:r>
              <w:rPr>
                <w:rFonts w:hint="eastAsia" w:asciiTheme="majorEastAsia" w:hAnsiTheme="majorEastAsia" w:eastAsiaTheme="majorEastAsia"/>
              </w:rPr>
              <w:t>6</w:t>
            </w:r>
          </w:p>
        </w:tc>
        <w:tc>
          <w:tcPr>
            <w:tcW w:w="641" w:type="dxa"/>
            <w:tcBorders>
              <w:bottom w:val="single" w:color="000000" w:sz="4" w:space="0"/>
              <w:right w:val="single" w:color="000000" w:sz="4" w:space="0"/>
            </w:tcBorders>
            <w:shd w:val="clear" w:color="FFFFFF" w:fill="auto"/>
            <w:noWrap/>
            <w:vAlign w:val="bottom"/>
          </w:tcPr>
          <w:p>
            <w:pPr>
              <w:rPr>
                <w:rFonts w:asciiTheme="majorEastAsia" w:hAnsiTheme="majorEastAsia" w:eastAsiaTheme="majorEastAsia"/>
              </w:rPr>
            </w:pPr>
          </w:p>
        </w:tc>
      </w:tr>
      <w:tr>
        <w:tblPrEx>
          <w:shd w:val="clear" w:color="FFFFFF" w:fill="auto"/>
          <w:tblLayout w:type="fixed"/>
          <w:tblCellMar>
            <w:top w:w="0" w:type="dxa"/>
            <w:left w:w="108" w:type="dxa"/>
            <w:bottom w:w="0" w:type="dxa"/>
            <w:right w:w="108" w:type="dxa"/>
          </w:tblCellMar>
        </w:tblPrEx>
        <w:trPr>
          <w:jc w:val="center"/>
        </w:trPr>
        <w:tc>
          <w:tcPr>
            <w:tcW w:w="728" w:type="dxa"/>
            <w:vMerge w:val="continue"/>
            <w:tcBorders>
              <w:left w:val="single" w:color="000000" w:sz="4" w:space="0"/>
              <w:bottom w:val="single" w:color="000000" w:sz="4" w:space="0"/>
              <w:right w:val="single" w:color="auto" w:sz="4" w:space="0"/>
            </w:tcBorders>
            <w:shd w:val="clear" w:color="FFFFFF" w:fill="auto"/>
            <w:noWrap/>
            <w:tcMar>
              <w:top w:w="0" w:type="dxa"/>
              <w:left w:w="108" w:type="dxa"/>
              <w:bottom w:w="0" w:type="dxa"/>
              <w:right w:w="108" w:type="dxa"/>
            </w:tcMar>
            <w:vAlign w:val="center"/>
          </w:tcPr>
          <w:p>
            <w:pPr>
              <w:rPr>
                <w:rFonts w:asciiTheme="majorEastAsia" w:hAnsiTheme="majorEastAsia" w:eastAsiaTheme="majorEastAsia"/>
              </w:rPr>
            </w:pPr>
          </w:p>
        </w:tc>
        <w:tc>
          <w:tcPr>
            <w:tcW w:w="6686" w:type="dxa"/>
            <w:tcBorders>
              <w:bottom w:val="single" w:color="000000" w:sz="4" w:space="0"/>
              <w:right w:val="single" w:color="000000" w:sz="4" w:space="0"/>
            </w:tcBorders>
            <w:shd w:val="clear" w:color="FFFFFF" w:fill="auto"/>
            <w:noWrap/>
            <w:tcMar>
              <w:top w:w="0" w:type="dxa"/>
              <w:left w:w="108" w:type="dxa"/>
              <w:bottom w:w="0" w:type="dxa"/>
              <w:right w:w="108" w:type="dxa"/>
            </w:tcMar>
            <w:vAlign w:val="bottom"/>
          </w:tcPr>
          <w:p>
            <w:pPr>
              <w:rPr>
                <w:rFonts w:asciiTheme="majorEastAsia" w:hAnsiTheme="majorEastAsia" w:eastAsiaTheme="majorEastAsia"/>
              </w:rPr>
            </w:pPr>
            <w:r>
              <w:rPr>
                <w:rFonts w:hint="eastAsia" w:asciiTheme="majorEastAsia" w:hAnsiTheme="majorEastAsia" w:eastAsiaTheme="majorEastAsia"/>
              </w:rPr>
              <w:t>10.病房卫生间、污物间、盥洗间等公用场所干净整洁，镜面光亮，按规定消毒（包括终末消毒）。</w:t>
            </w:r>
          </w:p>
        </w:tc>
        <w:tc>
          <w:tcPr>
            <w:tcW w:w="600" w:type="dxa"/>
            <w:tcBorders>
              <w:bottom w:val="single" w:color="000000" w:sz="4" w:space="0"/>
              <w:right w:val="single" w:color="000000" w:sz="4" w:space="0"/>
            </w:tcBorders>
            <w:shd w:val="clear" w:color="FFFFFF" w:fill="auto"/>
            <w:noWrap/>
            <w:vAlign w:val="center"/>
          </w:tcPr>
          <w:p>
            <w:pPr>
              <w:rPr>
                <w:rFonts w:asciiTheme="majorEastAsia" w:hAnsiTheme="majorEastAsia" w:eastAsiaTheme="majorEastAsia"/>
              </w:rPr>
            </w:pPr>
            <w:r>
              <w:rPr>
                <w:rFonts w:hint="eastAsia" w:asciiTheme="majorEastAsia" w:hAnsiTheme="majorEastAsia" w:eastAsiaTheme="majorEastAsia"/>
              </w:rPr>
              <w:t>6</w:t>
            </w:r>
          </w:p>
        </w:tc>
        <w:tc>
          <w:tcPr>
            <w:tcW w:w="641" w:type="dxa"/>
            <w:tcBorders>
              <w:bottom w:val="single" w:color="000000" w:sz="4" w:space="0"/>
              <w:right w:val="single" w:color="000000" w:sz="4" w:space="0"/>
            </w:tcBorders>
            <w:shd w:val="clear" w:color="FFFFFF" w:fill="auto"/>
            <w:noWrap/>
            <w:vAlign w:val="bottom"/>
          </w:tcPr>
          <w:p>
            <w:pPr>
              <w:rPr>
                <w:rFonts w:asciiTheme="majorEastAsia" w:hAnsiTheme="majorEastAsia" w:eastAsiaTheme="majorEastAsia"/>
              </w:rPr>
            </w:pPr>
          </w:p>
        </w:tc>
      </w:tr>
      <w:tr>
        <w:tblPrEx>
          <w:shd w:val="clear" w:color="FFFFFF" w:fill="auto"/>
          <w:tblLayout w:type="fixed"/>
          <w:tblCellMar>
            <w:top w:w="0" w:type="dxa"/>
            <w:left w:w="108" w:type="dxa"/>
            <w:bottom w:w="0" w:type="dxa"/>
            <w:right w:w="108" w:type="dxa"/>
          </w:tblCellMar>
        </w:tblPrEx>
        <w:trPr>
          <w:jc w:val="center"/>
        </w:trPr>
        <w:tc>
          <w:tcPr>
            <w:tcW w:w="728" w:type="dxa"/>
            <w:vMerge w:val="continue"/>
            <w:tcBorders>
              <w:left w:val="single" w:color="000000" w:sz="4" w:space="0"/>
              <w:bottom w:val="single" w:color="000000" w:sz="4" w:space="0"/>
              <w:right w:val="single" w:color="auto" w:sz="4" w:space="0"/>
            </w:tcBorders>
            <w:shd w:val="clear" w:color="FFFFFF" w:fill="auto"/>
            <w:noWrap/>
            <w:tcMar>
              <w:top w:w="0" w:type="dxa"/>
              <w:left w:w="108" w:type="dxa"/>
              <w:bottom w:w="0" w:type="dxa"/>
              <w:right w:w="108" w:type="dxa"/>
            </w:tcMar>
            <w:vAlign w:val="center"/>
          </w:tcPr>
          <w:p>
            <w:pPr>
              <w:rPr>
                <w:rFonts w:asciiTheme="majorEastAsia" w:hAnsiTheme="majorEastAsia" w:eastAsiaTheme="majorEastAsia"/>
              </w:rPr>
            </w:pPr>
          </w:p>
        </w:tc>
        <w:tc>
          <w:tcPr>
            <w:tcW w:w="6686" w:type="dxa"/>
            <w:tcBorders>
              <w:bottom w:val="single" w:color="000000" w:sz="4" w:space="0"/>
              <w:right w:val="single" w:color="000000" w:sz="4" w:space="0"/>
            </w:tcBorders>
            <w:shd w:val="clear" w:color="FFFFFF" w:fill="auto"/>
            <w:noWrap/>
            <w:tcMar>
              <w:top w:w="0" w:type="dxa"/>
              <w:left w:w="108" w:type="dxa"/>
              <w:bottom w:w="0" w:type="dxa"/>
              <w:right w:w="108" w:type="dxa"/>
            </w:tcMar>
            <w:vAlign w:val="bottom"/>
          </w:tcPr>
          <w:p>
            <w:pPr>
              <w:rPr>
                <w:rFonts w:asciiTheme="majorEastAsia" w:hAnsiTheme="majorEastAsia" w:eastAsiaTheme="majorEastAsia"/>
              </w:rPr>
            </w:pPr>
            <w:r>
              <w:rPr>
                <w:rFonts w:hint="eastAsia" w:asciiTheme="majorEastAsia" w:hAnsiTheme="majorEastAsia" w:eastAsiaTheme="majorEastAsia"/>
              </w:rPr>
              <w:t>11.外围环境无卫生死角，地面清洁，无落叶。</w:t>
            </w:r>
          </w:p>
        </w:tc>
        <w:tc>
          <w:tcPr>
            <w:tcW w:w="600" w:type="dxa"/>
            <w:tcBorders>
              <w:bottom w:val="single" w:color="000000" w:sz="4" w:space="0"/>
              <w:right w:val="single" w:color="000000" w:sz="4" w:space="0"/>
            </w:tcBorders>
            <w:shd w:val="clear" w:color="FFFFFF" w:fill="auto"/>
            <w:noWrap/>
            <w:vAlign w:val="center"/>
          </w:tcPr>
          <w:p>
            <w:pPr>
              <w:rPr>
                <w:rFonts w:asciiTheme="majorEastAsia" w:hAnsiTheme="majorEastAsia" w:eastAsiaTheme="majorEastAsia"/>
              </w:rPr>
            </w:pPr>
            <w:r>
              <w:rPr>
                <w:rFonts w:hint="eastAsia" w:asciiTheme="majorEastAsia" w:hAnsiTheme="majorEastAsia" w:eastAsiaTheme="majorEastAsia"/>
              </w:rPr>
              <w:t>3</w:t>
            </w:r>
          </w:p>
        </w:tc>
        <w:tc>
          <w:tcPr>
            <w:tcW w:w="641" w:type="dxa"/>
            <w:tcBorders>
              <w:bottom w:val="single" w:color="000000" w:sz="4" w:space="0"/>
              <w:right w:val="single" w:color="000000" w:sz="4" w:space="0"/>
            </w:tcBorders>
            <w:shd w:val="clear" w:color="FFFFFF" w:fill="auto"/>
            <w:noWrap/>
            <w:vAlign w:val="bottom"/>
          </w:tcPr>
          <w:p>
            <w:pPr>
              <w:rPr>
                <w:rFonts w:asciiTheme="majorEastAsia" w:hAnsiTheme="majorEastAsia" w:eastAsiaTheme="majorEastAsia"/>
              </w:rPr>
            </w:pPr>
          </w:p>
        </w:tc>
      </w:tr>
      <w:tr>
        <w:tblPrEx>
          <w:tblLayout w:type="fixed"/>
          <w:tblCellMar>
            <w:top w:w="0" w:type="dxa"/>
            <w:left w:w="108" w:type="dxa"/>
            <w:bottom w:w="0" w:type="dxa"/>
            <w:right w:w="108" w:type="dxa"/>
          </w:tblCellMar>
        </w:tblPrEx>
        <w:trPr>
          <w:jc w:val="center"/>
        </w:trPr>
        <w:tc>
          <w:tcPr>
            <w:tcW w:w="728" w:type="dxa"/>
            <w:vMerge w:val="continue"/>
            <w:tcBorders>
              <w:left w:val="single" w:color="000000" w:sz="4" w:space="0"/>
              <w:bottom w:val="single" w:color="000000" w:sz="4" w:space="0"/>
              <w:right w:val="single" w:color="auto" w:sz="4" w:space="0"/>
            </w:tcBorders>
            <w:shd w:val="clear" w:color="FFFFFF" w:fill="auto"/>
            <w:noWrap/>
            <w:tcMar>
              <w:top w:w="0" w:type="dxa"/>
              <w:left w:w="108" w:type="dxa"/>
              <w:bottom w:w="0" w:type="dxa"/>
              <w:right w:w="108" w:type="dxa"/>
            </w:tcMar>
            <w:vAlign w:val="center"/>
          </w:tcPr>
          <w:p>
            <w:pPr>
              <w:rPr>
                <w:rFonts w:asciiTheme="majorEastAsia" w:hAnsiTheme="majorEastAsia" w:eastAsiaTheme="majorEastAsia"/>
              </w:rPr>
            </w:pPr>
          </w:p>
        </w:tc>
        <w:tc>
          <w:tcPr>
            <w:tcW w:w="6686" w:type="dxa"/>
            <w:tcBorders>
              <w:bottom w:val="single" w:color="000000" w:sz="4" w:space="0"/>
              <w:right w:val="single" w:color="000000" w:sz="4" w:space="0"/>
            </w:tcBorders>
            <w:shd w:val="clear" w:color="FFFFFF" w:fill="auto"/>
            <w:noWrap/>
            <w:tcMar>
              <w:top w:w="0" w:type="dxa"/>
              <w:left w:w="108" w:type="dxa"/>
              <w:bottom w:w="0" w:type="dxa"/>
              <w:right w:w="108" w:type="dxa"/>
            </w:tcMar>
            <w:vAlign w:val="bottom"/>
          </w:tcPr>
          <w:p>
            <w:pPr>
              <w:rPr>
                <w:rFonts w:asciiTheme="majorEastAsia" w:hAnsiTheme="majorEastAsia" w:eastAsiaTheme="majorEastAsia"/>
              </w:rPr>
            </w:pPr>
            <w:r>
              <w:rPr>
                <w:rFonts w:hint="eastAsia" w:asciiTheme="majorEastAsia" w:hAnsiTheme="majorEastAsia" w:eastAsiaTheme="majorEastAsia"/>
              </w:rPr>
              <w:t>12.医疗垃圾及时清理，管理规范无外泄。</w:t>
            </w:r>
          </w:p>
        </w:tc>
        <w:tc>
          <w:tcPr>
            <w:tcW w:w="600" w:type="dxa"/>
            <w:tcBorders>
              <w:bottom w:val="single" w:color="000000" w:sz="4" w:space="0"/>
              <w:right w:val="single" w:color="000000" w:sz="4" w:space="0"/>
            </w:tcBorders>
            <w:shd w:val="clear" w:color="FFFFFF" w:fill="auto"/>
            <w:noWrap/>
            <w:vAlign w:val="center"/>
          </w:tcPr>
          <w:p>
            <w:pPr>
              <w:rPr>
                <w:rFonts w:asciiTheme="majorEastAsia" w:hAnsiTheme="majorEastAsia" w:eastAsiaTheme="majorEastAsia"/>
              </w:rPr>
            </w:pPr>
            <w:r>
              <w:rPr>
                <w:rFonts w:hint="eastAsia" w:asciiTheme="majorEastAsia" w:hAnsiTheme="majorEastAsia" w:eastAsiaTheme="majorEastAsia"/>
              </w:rPr>
              <w:t>2</w:t>
            </w:r>
          </w:p>
        </w:tc>
        <w:tc>
          <w:tcPr>
            <w:tcW w:w="641" w:type="dxa"/>
            <w:tcBorders>
              <w:bottom w:val="single" w:color="000000" w:sz="4" w:space="0"/>
              <w:right w:val="single" w:color="000000" w:sz="4" w:space="0"/>
            </w:tcBorders>
            <w:shd w:val="clear" w:color="FFFFFF" w:fill="auto"/>
            <w:noWrap/>
            <w:vAlign w:val="bottom"/>
          </w:tcPr>
          <w:p>
            <w:pPr>
              <w:rPr>
                <w:rFonts w:asciiTheme="majorEastAsia" w:hAnsiTheme="majorEastAsia" w:eastAsiaTheme="majorEastAsia"/>
              </w:rPr>
            </w:pPr>
          </w:p>
        </w:tc>
      </w:tr>
      <w:tr>
        <w:tblPrEx>
          <w:shd w:val="clear" w:color="FFFFFF" w:fill="auto"/>
          <w:tblLayout w:type="fixed"/>
          <w:tblCellMar>
            <w:top w:w="0" w:type="dxa"/>
            <w:left w:w="108" w:type="dxa"/>
            <w:bottom w:w="0" w:type="dxa"/>
            <w:right w:w="108" w:type="dxa"/>
          </w:tblCellMar>
        </w:tblPrEx>
        <w:trPr>
          <w:jc w:val="center"/>
        </w:trPr>
        <w:tc>
          <w:tcPr>
            <w:tcW w:w="728" w:type="dxa"/>
            <w:vMerge w:val="continue"/>
            <w:tcBorders>
              <w:left w:val="single" w:color="000000" w:sz="4" w:space="0"/>
              <w:bottom w:val="single" w:color="000000" w:sz="4" w:space="0"/>
              <w:right w:val="single" w:color="auto" w:sz="4" w:space="0"/>
            </w:tcBorders>
            <w:shd w:val="clear" w:color="FFFFFF" w:fill="auto"/>
            <w:noWrap/>
            <w:tcMar>
              <w:top w:w="0" w:type="dxa"/>
              <w:left w:w="108" w:type="dxa"/>
              <w:bottom w:w="0" w:type="dxa"/>
              <w:right w:w="108" w:type="dxa"/>
            </w:tcMar>
            <w:vAlign w:val="center"/>
          </w:tcPr>
          <w:p>
            <w:pPr>
              <w:rPr>
                <w:rFonts w:asciiTheme="majorEastAsia" w:hAnsiTheme="majorEastAsia" w:eastAsiaTheme="majorEastAsia"/>
              </w:rPr>
            </w:pPr>
          </w:p>
        </w:tc>
        <w:tc>
          <w:tcPr>
            <w:tcW w:w="6686" w:type="dxa"/>
            <w:tcBorders>
              <w:bottom w:val="single" w:color="auto" w:sz="4" w:space="0"/>
              <w:right w:val="single" w:color="000000" w:sz="4" w:space="0"/>
            </w:tcBorders>
            <w:shd w:val="clear" w:color="FFFFFF" w:fill="auto"/>
            <w:noWrap/>
            <w:tcMar>
              <w:top w:w="0" w:type="dxa"/>
              <w:left w:w="108" w:type="dxa"/>
              <w:bottom w:w="0" w:type="dxa"/>
              <w:right w:w="108" w:type="dxa"/>
            </w:tcMar>
            <w:vAlign w:val="bottom"/>
          </w:tcPr>
          <w:p>
            <w:pPr>
              <w:rPr>
                <w:rFonts w:asciiTheme="majorEastAsia" w:hAnsiTheme="majorEastAsia" w:eastAsiaTheme="majorEastAsia"/>
              </w:rPr>
            </w:pPr>
            <w:r>
              <w:rPr>
                <w:rFonts w:hint="eastAsia" w:asciiTheme="majorEastAsia" w:hAnsiTheme="majorEastAsia" w:eastAsiaTheme="majorEastAsia"/>
              </w:rPr>
              <w:t>13.病区生活垃圾及时清理，清运过程中不得污染地面。</w:t>
            </w:r>
          </w:p>
        </w:tc>
        <w:tc>
          <w:tcPr>
            <w:tcW w:w="600" w:type="dxa"/>
            <w:tcBorders>
              <w:bottom w:val="single" w:color="auto" w:sz="4" w:space="0"/>
              <w:right w:val="single" w:color="000000" w:sz="4" w:space="0"/>
            </w:tcBorders>
            <w:shd w:val="clear" w:color="FFFFFF" w:fill="auto"/>
            <w:noWrap/>
            <w:vAlign w:val="center"/>
          </w:tcPr>
          <w:p>
            <w:pPr>
              <w:rPr>
                <w:rFonts w:asciiTheme="majorEastAsia" w:hAnsiTheme="majorEastAsia" w:eastAsiaTheme="majorEastAsia"/>
              </w:rPr>
            </w:pPr>
            <w:r>
              <w:rPr>
                <w:rFonts w:hint="eastAsia" w:asciiTheme="majorEastAsia" w:hAnsiTheme="majorEastAsia" w:eastAsiaTheme="majorEastAsia"/>
              </w:rPr>
              <w:t>3</w:t>
            </w:r>
          </w:p>
        </w:tc>
        <w:tc>
          <w:tcPr>
            <w:tcW w:w="641" w:type="dxa"/>
            <w:tcBorders>
              <w:bottom w:val="single" w:color="auto" w:sz="4" w:space="0"/>
              <w:right w:val="single" w:color="000000" w:sz="4" w:space="0"/>
            </w:tcBorders>
            <w:shd w:val="clear" w:color="FFFFFF" w:fill="auto"/>
            <w:noWrap/>
            <w:vAlign w:val="bottom"/>
          </w:tcPr>
          <w:p>
            <w:pPr>
              <w:rPr>
                <w:rFonts w:asciiTheme="majorEastAsia" w:hAnsiTheme="majorEastAsia" w:eastAsiaTheme="majorEastAsia"/>
              </w:rPr>
            </w:pPr>
          </w:p>
        </w:tc>
      </w:tr>
      <w:tr>
        <w:tblPrEx>
          <w:shd w:val="clear" w:color="FFFFFF" w:fill="auto"/>
          <w:tblLayout w:type="fixed"/>
          <w:tblCellMar>
            <w:top w:w="0" w:type="dxa"/>
            <w:left w:w="108" w:type="dxa"/>
            <w:bottom w:w="0" w:type="dxa"/>
            <w:right w:w="108" w:type="dxa"/>
          </w:tblCellMar>
        </w:tblPrEx>
        <w:trPr>
          <w:jc w:val="center"/>
        </w:trPr>
        <w:tc>
          <w:tcPr>
            <w:tcW w:w="728" w:type="dxa"/>
            <w:vMerge w:val="continue"/>
            <w:tcBorders>
              <w:left w:val="single" w:color="000000" w:sz="4" w:space="0"/>
              <w:bottom w:val="single" w:color="000000" w:sz="4" w:space="0"/>
              <w:right w:val="single" w:color="auto" w:sz="4" w:space="0"/>
            </w:tcBorders>
            <w:shd w:val="clear" w:color="FFFFFF" w:fill="auto"/>
            <w:noWrap/>
            <w:tcMar>
              <w:top w:w="0" w:type="dxa"/>
              <w:left w:w="108" w:type="dxa"/>
              <w:bottom w:w="0" w:type="dxa"/>
              <w:right w:w="108" w:type="dxa"/>
            </w:tcMar>
            <w:vAlign w:val="center"/>
          </w:tcPr>
          <w:p>
            <w:pPr>
              <w:rPr>
                <w:rFonts w:asciiTheme="majorEastAsia" w:hAnsiTheme="majorEastAsia" w:eastAsiaTheme="majorEastAsia"/>
              </w:rPr>
            </w:pPr>
          </w:p>
        </w:tc>
        <w:tc>
          <w:tcPr>
            <w:tcW w:w="6686" w:type="dxa"/>
            <w:tcBorders>
              <w:top w:val="single" w:color="auto" w:sz="4" w:space="0"/>
              <w:left w:val="single" w:color="000000" w:sz="4" w:space="0"/>
              <w:bottom w:val="single" w:color="auto" w:sz="4" w:space="0"/>
              <w:right w:val="single" w:color="000000" w:sz="4" w:space="0"/>
            </w:tcBorders>
            <w:shd w:val="clear" w:color="FFFFFF" w:fill="auto"/>
            <w:noWrap/>
            <w:tcMar>
              <w:top w:w="0" w:type="dxa"/>
              <w:left w:w="108" w:type="dxa"/>
              <w:bottom w:w="0" w:type="dxa"/>
              <w:right w:w="108" w:type="dxa"/>
            </w:tcMar>
          </w:tcPr>
          <w:p>
            <w:pPr>
              <w:rPr>
                <w:rFonts w:asciiTheme="majorEastAsia" w:hAnsiTheme="majorEastAsia" w:eastAsiaTheme="majorEastAsia"/>
              </w:rPr>
            </w:pPr>
            <w:r>
              <w:rPr>
                <w:rFonts w:hint="eastAsia" w:asciiTheme="majorEastAsia" w:hAnsiTheme="majorEastAsia" w:eastAsiaTheme="majorEastAsia"/>
              </w:rPr>
              <w:t>14.绿化带无垃圾、烟蒂、堆积落叶。</w:t>
            </w:r>
          </w:p>
        </w:tc>
        <w:tc>
          <w:tcPr>
            <w:tcW w:w="600" w:type="dxa"/>
            <w:tcBorders>
              <w:top w:val="single" w:color="auto" w:sz="4" w:space="0"/>
              <w:left w:val="single" w:color="000000" w:sz="4" w:space="0"/>
              <w:bottom w:val="single" w:color="auto" w:sz="4" w:space="0"/>
              <w:right w:val="single" w:color="000000" w:sz="4" w:space="0"/>
            </w:tcBorders>
            <w:shd w:val="clear" w:color="FFFFFF" w:fill="auto"/>
            <w:noWrap/>
            <w:vAlign w:val="center"/>
          </w:tcPr>
          <w:p>
            <w:pPr>
              <w:rPr>
                <w:rFonts w:asciiTheme="majorEastAsia" w:hAnsiTheme="majorEastAsia" w:eastAsiaTheme="majorEastAsia"/>
              </w:rPr>
            </w:pPr>
            <w:r>
              <w:rPr>
                <w:rFonts w:hint="eastAsia" w:asciiTheme="majorEastAsia" w:hAnsiTheme="majorEastAsia" w:eastAsiaTheme="majorEastAsia"/>
              </w:rPr>
              <w:t>2</w:t>
            </w:r>
          </w:p>
        </w:tc>
        <w:tc>
          <w:tcPr>
            <w:tcW w:w="641" w:type="dxa"/>
            <w:tcBorders>
              <w:top w:val="single" w:color="auto" w:sz="4" w:space="0"/>
              <w:left w:val="single" w:color="000000" w:sz="4" w:space="0"/>
              <w:bottom w:val="single" w:color="auto" w:sz="4" w:space="0"/>
              <w:right w:val="single" w:color="000000" w:sz="4" w:space="0"/>
            </w:tcBorders>
            <w:shd w:val="clear" w:color="FFFFFF" w:fill="auto"/>
            <w:noWrap/>
            <w:vAlign w:val="bottom"/>
          </w:tcPr>
          <w:p>
            <w:pPr>
              <w:rPr>
                <w:rFonts w:asciiTheme="majorEastAsia" w:hAnsiTheme="majorEastAsia" w:eastAsiaTheme="majorEastAsia"/>
              </w:rPr>
            </w:pPr>
          </w:p>
        </w:tc>
      </w:tr>
      <w:tr>
        <w:tblPrEx>
          <w:shd w:val="clear" w:color="FFFFFF" w:fill="auto"/>
          <w:tblLayout w:type="fixed"/>
          <w:tblCellMar>
            <w:top w:w="0" w:type="dxa"/>
            <w:left w:w="108" w:type="dxa"/>
            <w:bottom w:w="0" w:type="dxa"/>
            <w:right w:w="108" w:type="dxa"/>
          </w:tblCellMar>
        </w:tblPrEx>
        <w:trPr>
          <w:jc w:val="center"/>
        </w:trPr>
        <w:tc>
          <w:tcPr>
            <w:tcW w:w="728" w:type="dxa"/>
            <w:vMerge w:val="continue"/>
            <w:tcBorders>
              <w:left w:val="single" w:color="000000" w:sz="4" w:space="0"/>
              <w:bottom w:val="single" w:color="000000" w:sz="4" w:space="0"/>
              <w:right w:val="single" w:color="auto" w:sz="4" w:space="0"/>
            </w:tcBorders>
            <w:shd w:val="clear" w:color="FFFFFF" w:fill="auto"/>
            <w:noWrap/>
            <w:tcMar>
              <w:top w:w="0" w:type="dxa"/>
              <w:left w:w="108" w:type="dxa"/>
              <w:bottom w:w="0" w:type="dxa"/>
              <w:right w:w="108" w:type="dxa"/>
            </w:tcMar>
            <w:vAlign w:val="center"/>
          </w:tcPr>
          <w:p>
            <w:pPr>
              <w:rPr>
                <w:rFonts w:asciiTheme="majorEastAsia" w:hAnsiTheme="majorEastAsia" w:eastAsiaTheme="majorEastAsia"/>
              </w:rPr>
            </w:pPr>
          </w:p>
        </w:tc>
        <w:tc>
          <w:tcPr>
            <w:tcW w:w="6686" w:type="dxa"/>
            <w:tcBorders>
              <w:top w:val="single" w:color="auto" w:sz="4" w:space="0"/>
              <w:left w:val="single" w:color="000000" w:sz="4" w:space="0"/>
              <w:bottom w:val="single" w:color="auto" w:sz="4" w:space="0"/>
              <w:right w:val="single" w:color="000000" w:sz="4" w:space="0"/>
            </w:tcBorders>
            <w:shd w:val="clear" w:color="FFFFFF" w:fill="auto"/>
            <w:noWrap/>
            <w:tcMar>
              <w:top w:w="0" w:type="dxa"/>
              <w:left w:w="108" w:type="dxa"/>
              <w:bottom w:w="0" w:type="dxa"/>
              <w:right w:w="108" w:type="dxa"/>
            </w:tcMar>
          </w:tcPr>
          <w:p>
            <w:pPr>
              <w:rPr>
                <w:rFonts w:asciiTheme="majorEastAsia" w:hAnsiTheme="majorEastAsia" w:eastAsiaTheme="majorEastAsia"/>
              </w:rPr>
            </w:pPr>
            <w:r>
              <w:rPr>
                <w:rFonts w:hint="eastAsia" w:asciiTheme="majorEastAsia" w:hAnsiTheme="majorEastAsia" w:eastAsiaTheme="majorEastAsia"/>
              </w:rPr>
              <w:t>15.保洁员工着装整齐，佩戴工牌。</w:t>
            </w:r>
          </w:p>
        </w:tc>
        <w:tc>
          <w:tcPr>
            <w:tcW w:w="600" w:type="dxa"/>
            <w:tcBorders>
              <w:top w:val="single" w:color="auto" w:sz="4" w:space="0"/>
              <w:left w:val="single" w:color="000000" w:sz="4" w:space="0"/>
              <w:bottom w:val="single" w:color="auto" w:sz="4" w:space="0"/>
              <w:right w:val="single" w:color="000000" w:sz="4" w:space="0"/>
            </w:tcBorders>
            <w:shd w:val="clear" w:color="FFFFFF" w:fill="auto"/>
            <w:noWrap/>
            <w:vAlign w:val="center"/>
          </w:tcPr>
          <w:p>
            <w:pPr>
              <w:rPr>
                <w:rFonts w:asciiTheme="majorEastAsia" w:hAnsiTheme="majorEastAsia" w:eastAsiaTheme="majorEastAsia"/>
              </w:rPr>
            </w:pPr>
            <w:r>
              <w:rPr>
                <w:rFonts w:hint="eastAsia" w:asciiTheme="majorEastAsia" w:hAnsiTheme="majorEastAsia" w:eastAsiaTheme="majorEastAsia"/>
              </w:rPr>
              <w:t>1</w:t>
            </w:r>
          </w:p>
        </w:tc>
        <w:tc>
          <w:tcPr>
            <w:tcW w:w="641" w:type="dxa"/>
            <w:tcBorders>
              <w:top w:val="single" w:color="auto" w:sz="4" w:space="0"/>
              <w:left w:val="single" w:color="000000" w:sz="4" w:space="0"/>
              <w:bottom w:val="single" w:color="auto" w:sz="4" w:space="0"/>
              <w:right w:val="single" w:color="000000" w:sz="4" w:space="0"/>
            </w:tcBorders>
            <w:shd w:val="clear" w:color="FFFFFF" w:fill="auto"/>
            <w:noWrap/>
            <w:vAlign w:val="bottom"/>
          </w:tcPr>
          <w:p>
            <w:pPr>
              <w:rPr>
                <w:rFonts w:asciiTheme="majorEastAsia" w:hAnsiTheme="majorEastAsia" w:eastAsiaTheme="majorEastAsia"/>
              </w:rPr>
            </w:pPr>
          </w:p>
        </w:tc>
      </w:tr>
      <w:tr>
        <w:tblPrEx>
          <w:tblLayout w:type="fixed"/>
          <w:tblCellMar>
            <w:top w:w="0" w:type="dxa"/>
            <w:left w:w="108" w:type="dxa"/>
            <w:bottom w:w="0" w:type="dxa"/>
            <w:right w:w="108" w:type="dxa"/>
          </w:tblCellMar>
        </w:tblPrEx>
        <w:trPr>
          <w:jc w:val="center"/>
        </w:trPr>
        <w:tc>
          <w:tcPr>
            <w:tcW w:w="728" w:type="dxa"/>
            <w:vMerge w:val="continue"/>
            <w:tcBorders>
              <w:left w:val="single" w:color="000000" w:sz="4" w:space="0"/>
              <w:bottom w:val="single" w:color="000000" w:sz="4" w:space="0"/>
              <w:right w:val="single" w:color="auto" w:sz="4" w:space="0"/>
            </w:tcBorders>
            <w:shd w:val="clear" w:color="FFFFFF" w:fill="auto"/>
            <w:noWrap/>
            <w:tcMar>
              <w:top w:w="0" w:type="dxa"/>
              <w:left w:w="108" w:type="dxa"/>
              <w:bottom w:w="0" w:type="dxa"/>
              <w:right w:w="108" w:type="dxa"/>
            </w:tcMar>
            <w:vAlign w:val="center"/>
          </w:tcPr>
          <w:p>
            <w:pPr>
              <w:rPr>
                <w:rFonts w:asciiTheme="majorEastAsia" w:hAnsiTheme="majorEastAsia" w:eastAsiaTheme="majorEastAsia"/>
              </w:rPr>
            </w:pPr>
          </w:p>
        </w:tc>
        <w:tc>
          <w:tcPr>
            <w:tcW w:w="6686" w:type="dxa"/>
            <w:tcBorders>
              <w:top w:val="single" w:color="auto" w:sz="4" w:space="0"/>
              <w:left w:val="single" w:color="000000" w:sz="4" w:space="0"/>
              <w:bottom w:val="single" w:color="auto" w:sz="4" w:space="0"/>
              <w:right w:val="single" w:color="000000" w:sz="4" w:space="0"/>
            </w:tcBorders>
            <w:shd w:val="clear" w:color="FFFFFF" w:fill="auto"/>
            <w:noWrap/>
            <w:tcMar>
              <w:top w:w="0" w:type="dxa"/>
              <w:left w:w="108" w:type="dxa"/>
              <w:bottom w:w="0" w:type="dxa"/>
              <w:right w:w="108" w:type="dxa"/>
            </w:tcMar>
          </w:tcPr>
          <w:p>
            <w:pPr>
              <w:rPr>
                <w:rFonts w:asciiTheme="majorEastAsia" w:hAnsiTheme="majorEastAsia" w:eastAsiaTheme="majorEastAsia"/>
              </w:rPr>
            </w:pPr>
            <w:r>
              <w:rPr>
                <w:rFonts w:hint="eastAsia" w:asciiTheme="majorEastAsia" w:hAnsiTheme="majorEastAsia" w:eastAsiaTheme="majorEastAsia"/>
              </w:rPr>
              <w:t>16.定期清洁窗户、窗帘、床帘、浴帘，保持干净。</w:t>
            </w:r>
          </w:p>
        </w:tc>
        <w:tc>
          <w:tcPr>
            <w:tcW w:w="600" w:type="dxa"/>
            <w:tcBorders>
              <w:top w:val="single" w:color="auto" w:sz="4" w:space="0"/>
              <w:left w:val="single" w:color="000000" w:sz="4" w:space="0"/>
              <w:bottom w:val="single" w:color="auto" w:sz="4" w:space="0"/>
              <w:right w:val="single" w:color="000000" w:sz="4" w:space="0"/>
            </w:tcBorders>
            <w:shd w:val="clear" w:color="FFFFFF" w:fill="auto"/>
            <w:noWrap/>
            <w:vAlign w:val="center"/>
          </w:tcPr>
          <w:p>
            <w:pPr>
              <w:rPr>
                <w:rFonts w:asciiTheme="majorEastAsia" w:hAnsiTheme="majorEastAsia" w:eastAsiaTheme="majorEastAsia"/>
              </w:rPr>
            </w:pPr>
            <w:r>
              <w:rPr>
                <w:rFonts w:hint="eastAsia" w:asciiTheme="majorEastAsia" w:hAnsiTheme="majorEastAsia" w:eastAsiaTheme="majorEastAsia"/>
              </w:rPr>
              <w:t>2</w:t>
            </w:r>
          </w:p>
        </w:tc>
        <w:tc>
          <w:tcPr>
            <w:tcW w:w="641" w:type="dxa"/>
            <w:tcBorders>
              <w:top w:val="single" w:color="auto" w:sz="4" w:space="0"/>
              <w:left w:val="single" w:color="000000" w:sz="4" w:space="0"/>
              <w:bottom w:val="single" w:color="auto" w:sz="4" w:space="0"/>
              <w:right w:val="single" w:color="000000" w:sz="4" w:space="0"/>
            </w:tcBorders>
            <w:shd w:val="clear" w:color="FFFFFF" w:fill="auto"/>
            <w:noWrap/>
            <w:vAlign w:val="bottom"/>
          </w:tcPr>
          <w:p>
            <w:pPr>
              <w:rPr>
                <w:rFonts w:asciiTheme="majorEastAsia" w:hAnsiTheme="majorEastAsia" w:eastAsiaTheme="majorEastAsia"/>
              </w:rPr>
            </w:pPr>
          </w:p>
        </w:tc>
      </w:tr>
      <w:tr>
        <w:tblPrEx>
          <w:tblLayout w:type="fixed"/>
          <w:tblCellMar>
            <w:top w:w="0" w:type="dxa"/>
            <w:left w:w="108" w:type="dxa"/>
            <w:bottom w:w="0" w:type="dxa"/>
            <w:right w:w="108" w:type="dxa"/>
          </w:tblCellMar>
        </w:tblPrEx>
        <w:trPr>
          <w:jc w:val="center"/>
        </w:trPr>
        <w:tc>
          <w:tcPr>
            <w:tcW w:w="728" w:type="dxa"/>
            <w:tcBorders>
              <w:left w:val="single" w:color="000000" w:sz="4" w:space="0"/>
              <w:bottom w:val="single" w:color="000000" w:sz="4" w:space="0"/>
              <w:right w:val="single" w:color="000000" w:sz="4" w:space="0"/>
            </w:tcBorders>
            <w:shd w:val="clear" w:color="FFFFFF" w:fill="auto"/>
            <w:noWrap/>
            <w:tcMar>
              <w:top w:w="0" w:type="dxa"/>
              <w:left w:w="108" w:type="dxa"/>
              <w:bottom w:w="0" w:type="dxa"/>
              <w:right w:w="108" w:type="dxa"/>
            </w:tcMar>
            <w:vAlign w:val="center"/>
          </w:tcPr>
          <w:p>
            <w:pPr>
              <w:rPr>
                <w:rFonts w:asciiTheme="majorEastAsia" w:hAnsiTheme="majorEastAsia" w:eastAsiaTheme="majorEastAsia"/>
              </w:rPr>
            </w:pPr>
            <w:r>
              <w:rPr>
                <w:rFonts w:hint="eastAsia" w:asciiTheme="majorEastAsia" w:hAnsiTheme="majorEastAsia" w:eastAsiaTheme="majorEastAsia"/>
              </w:rPr>
              <w:t>小计</w:t>
            </w:r>
          </w:p>
        </w:tc>
        <w:tc>
          <w:tcPr>
            <w:tcW w:w="6686" w:type="dxa"/>
            <w:tcBorders>
              <w:bottom w:val="single" w:color="000000" w:sz="4" w:space="0"/>
              <w:right w:val="single" w:color="000000" w:sz="4" w:space="0"/>
            </w:tcBorders>
            <w:shd w:val="clear" w:color="FFFFFF" w:fill="auto"/>
            <w:noWrap/>
            <w:tcMar>
              <w:top w:w="0" w:type="dxa"/>
              <w:left w:w="108" w:type="dxa"/>
              <w:bottom w:w="0" w:type="dxa"/>
              <w:right w:w="108" w:type="dxa"/>
            </w:tcMar>
          </w:tcPr>
          <w:p>
            <w:pPr>
              <w:rPr>
                <w:rFonts w:asciiTheme="majorEastAsia" w:hAnsiTheme="majorEastAsia" w:eastAsiaTheme="majorEastAsia"/>
              </w:rPr>
            </w:pPr>
          </w:p>
        </w:tc>
        <w:tc>
          <w:tcPr>
            <w:tcW w:w="600" w:type="dxa"/>
            <w:tcBorders>
              <w:bottom w:val="single" w:color="000000" w:sz="4" w:space="0"/>
              <w:right w:val="single" w:color="000000" w:sz="4" w:space="0"/>
            </w:tcBorders>
            <w:shd w:val="clear" w:color="FFFFFF" w:fill="auto"/>
            <w:noWrap/>
            <w:vAlign w:val="center"/>
          </w:tcPr>
          <w:p>
            <w:pPr>
              <w:rPr>
                <w:rFonts w:asciiTheme="majorEastAsia" w:hAnsiTheme="majorEastAsia" w:eastAsiaTheme="majorEastAsia"/>
              </w:rPr>
            </w:pPr>
            <w:r>
              <w:rPr>
                <w:rFonts w:asciiTheme="majorEastAsia" w:hAnsiTheme="majorEastAsia" w:eastAsiaTheme="majorEastAsia"/>
              </w:rPr>
              <w:fldChar w:fldCharType="begin"/>
            </w:r>
            <w:r>
              <w:rPr>
                <w:rFonts w:asciiTheme="majorEastAsia" w:hAnsiTheme="majorEastAsia" w:eastAsiaTheme="majorEastAsia"/>
              </w:rPr>
              <w:instrText xml:space="preserve"> =SUM(ABOVE) </w:instrText>
            </w:r>
            <w:r>
              <w:rPr>
                <w:rFonts w:asciiTheme="majorEastAsia" w:hAnsiTheme="majorEastAsia" w:eastAsiaTheme="majorEastAsia"/>
              </w:rPr>
              <w:fldChar w:fldCharType="separate"/>
            </w:r>
            <w:r>
              <w:rPr>
                <w:rFonts w:asciiTheme="majorEastAsia" w:hAnsiTheme="majorEastAsia" w:eastAsiaTheme="majorEastAsia"/>
              </w:rPr>
              <w:t>50</w:t>
            </w:r>
            <w:r>
              <w:rPr>
                <w:rFonts w:asciiTheme="majorEastAsia" w:hAnsiTheme="majorEastAsia" w:eastAsiaTheme="majorEastAsia"/>
              </w:rPr>
              <w:fldChar w:fldCharType="end"/>
            </w:r>
          </w:p>
        </w:tc>
        <w:tc>
          <w:tcPr>
            <w:tcW w:w="641" w:type="dxa"/>
            <w:tcBorders>
              <w:bottom w:val="single" w:color="000000" w:sz="4" w:space="0"/>
              <w:right w:val="single" w:color="000000" w:sz="4" w:space="0"/>
            </w:tcBorders>
            <w:shd w:val="clear" w:color="FFFFFF" w:fill="auto"/>
            <w:noWrap/>
            <w:vAlign w:val="bottom"/>
          </w:tcPr>
          <w:p>
            <w:pPr>
              <w:rPr>
                <w:rFonts w:asciiTheme="majorEastAsia" w:hAnsiTheme="majorEastAsia" w:eastAsiaTheme="majorEastAsia"/>
              </w:rPr>
            </w:pPr>
          </w:p>
        </w:tc>
      </w:tr>
      <w:tr>
        <w:tblPrEx>
          <w:shd w:val="clear" w:color="FFFFFF" w:fill="auto"/>
          <w:tblLayout w:type="fixed"/>
          <w:tblCellMar>
            <w:top w:w="0" w:type="dxa"/>
            <w:left w:w="108" w:type="dxa"/>
            <w:bottom w:w="0" w:type="dxa"/>
            <w:right w:w="108" w:type="dxa"/>
          </w:tblCellMar>
        </w:tblPrEx>
        <w:trPr>
          <w:gridAfter w:val="3"/>
          <w:wAfter w:w="7927" w:type="dxa"/>
          <w:trHeight w:val="312" w:hRule="atLeast"/>
          <w:jc w:val="center"/>
        </w:trPr>
        <w:tc>
          <w:tcPr>
            <w:tcW w:w="728" w:type="dxa"/>
            <w:vMerge w:val="restart"/>
            <w:tcBorders>
              <w:top w:val="single" w:color="auto" w:sz="4" w:space="0"/>
              <w:left w:val="single" w:color="000000" w:sz="4" w:space="0"/>
              <w:bottom w:val="single" w:color="auto" w:sz="4" w:space="0"/>
              <w:right w:val="single" w:color="000000" w:sz="4" w:space="0"/>
            </w:tcBorders>
            <w:shd w:val="clear" w:color="FFFFFF" w:fill="auto"/>
            <w:noWrap/>
            <w:tcMar>
              <w:top w:w="0" w:type="dxa"/>
              <w:left w:w="108" w:type="dxa"/>
              <w:bottom w:w="0" w:type="dxa"/>
              <w:right w:w="108" w:type="dxa"/>
            </w:tcMar>
            <w:vAlign w:val="center"/>
          </w:tcPr>
          <w:p>
            <w:pPr>
              <w:rPr>
                <w:rFonts w:asciiTheme="majorEastAsia" w:hAnsiTheme="majorEastAsia" w:eastAsiaTheme="majorEastAsia"/>
              </w:rPr>
            </w:pPr>
          </w:p>
          <w:p>
            <w:pPr>
              <w:rPr>
                <w:rFonts w:asciiTheme="majorEastAsia" w:hAnsiTheme="majorEastAsia" w:eastAsiaTheme="majorEastAsia"/>
              </w:rPr>
            </w:pPr>
            <w:r>
              <w:rPr>
                <w:rFonts w:hint="eastAsia" w:asciiTheme="majorEastAsia" w:hAnsiTheme="majorEastAsia" w:eastAsiaTheme="majorEastAsia"/>
              </w:rPr>
              <w:t>秩序维护</w:t>
            </w:r>
          </w:p>
        </w:tc>
      </w:tr>
      <w:tr>
        <w:tblPrEx>
          <w:tblLayout w:type="fixed"/>
          <w:tblCellMar>
            <w:top w:w="0" w:type="dxa"/>
            <w:left w:w="108" w:type="dxa"/>
            <w:bottom w:w="0" w:type="dxa"/>
            <w:right w:w="108" w:type="dxa"/>
          </w:tblCellMar>
        </w:tblPrEx>
        <w:trPr>
          <w:jc w:val="center"/>
        </w:trPr>
        <w:tc>
          <w:tcPr>
            <w:tcW w:w="728" w:type="dxa"/>
            <w:vMerge w:val="continue"/>
            <w:tcBorders>
              <w:top w:val="single" w:color="auto" w:sz="4" w:space="0"/>
              <w:left w:val="single" w:color="000000" w:sz="4" w:space="0"/>
              <w:bottom w:val="single" w:color="000000" w:sz="4" w:space="0"/>
              <w:right w:val="single" w:color="000000" w:sz="4" w:space="0"/>
            </w:tcBorders>
            <w:shd w:val="clear" w:color="FFFFFF" w:fill="auto"/>
            <w:noWrap/>
            <w:tcMar>
              <w:top w:w="0" w:type="dxa"/>
              <w:left w:w="108" w:type="dxa"/>
              <w:bottom w:w="0" w:type="dxa"/>
              <w:right w:w="108" w:type="dxa"/>
            </w:tcMar>
            <w:vAlign w:val="center"/>
          </w:tcPr>
          <w:p>
            <w:pPr>
              <w:rPr>
                <w:rFonts w:asciiTheme="majorEastAsia" w:hAnsiTheme="majorEastAsia" w:eastAsiaTheme="majorEastAsia"/>
              </w:rPr>
            </w:pPr>
          </w:p>
        </w:tc>
        <w:tc>
          <w:tcPr>
            <w:tcW w:w="6686" w:type="dxa"/>
            <w:tcBorders>
              <w:bottom w:val="single" w:color="000000" w:sz="4" w:space="0"/>
              <w:right w:val="single" w:color="000000" w:sz="4" w:space="0"/>
            </w:tcBorders>
            <w:shd w:val="clear" w:color="FFFFFF" w:fill="auto"/>
            <w:noWrap/>
            <w:tcMar>
              <w:top w:w="0" w:type="dxa"/>
              <w:left w:w="108" w:type="dxa"/>
              <w:bottom w:w="0" w:type="dxa"/>
              <w:right w:w="108" w:type="dxa"/>
            </w:tcMar>
            <w:vAlign w:val="center"/>
          </w:tcPr>
          <w:p>
            <w:pPr>
              <w:rPr>
                <w:rFonts w:asciiTheme="majorEastAsia" w:hAnsiTheme="majorEastAsia" w:eastAsiaTheme="majorEastAsia"/>
              </w:rPr>
            </w:pPr>
            <w:r>
              <w:rPr>
                <w:rFonts w:hint="eastAsia" w:asciiTheme="majorEastAsia" w:hAnsiTheme="majorEastAsia" w:eastAsiaTheme="majorEastAsia"/>
              </w:rPr>
              <w:t>1.秩序维护员上岗是否精神饱满,着装整齐,使用规范用语。</w:t>
            </w:r>
          </w:p>
        </w:tc>
        <w:tc>
          <w:tcPr>
            <w:tcW w:w="600" w:type="dxa"/>
            <w:tcBorders>
              <w:bottom w:val="single" w:color="000000" w:sz="4" w:space="0"/>
              <w:right w:val="single" w:color="000000" w:sz="4" w:space="0"/>
            </w:tcBorders>
            <w:shd w:val="clear" w:color="FFFFFF" w:fill="auto"/>
            <w:noWrap/>
            <w:vAlign w:val="center"/>
          </w:tcPr>
          <w:p>
            <w:pPr>
              <w:rPr>
                <w:rFonts w:asciiTheme="majorEastAsia" w:hAnsiTheme="majorEastAsia" w:eastAsiaTheme="majorEastAsia"/>
              </w:rPr>
            </w:pPr>
            <w:r>
              <w:rPr>
                <w:rFonts w:asciiTheme="majorEastAsia" w:hAnsiTheme="majorEastAsia" w:eastAsiaTheme="majorEastAsia"/>
              </w:rPr>
              <w:t>10</w:t>
            </w:r>
          </w:p>
        </w:tc>
        <w:tc>
          <w:tcPr>
            <w:tcW w:w="641" w:type="dxa"/>
            <w:tcBorders>
              <w:bottom w:val="single" w:color="000000" w:sz="4" w:space="0"/>
              <w:right w:val="single" w:color="000000" w:sz="4" w:space="0"/>
            </w:tcBorders>
            <w:shd w:val="clear" w:color="FFFFFF" w:fill="auto"/>
            <w:noWrap/>
            <w:vAlign w:val="bottom"/>
          </w:tcPr>
          <w:p>
            <w:pPr>
              <w:rPr>
                <w:rFonts w:asciiTheme="majorEastAsia" w:hAnsiTheme="majorEastAsia" w:eastAsiaTheme="majorEastAsia"/>
              </w:rPr>
            </w:pPr>
          </w:p>
        </w:tc>
      </w:tr>
      <w:tr>
        <w:tblPrEx>
          <w:tblLayout w:type="fixed"/>
          <w:tblCellMar>
            <w:top w:w="0" w:type="dxa"/>
            <w:left w:w="108" w:type="dxa"/>
            <w:bottom w:w="0" w:type="dxa"/>
            <w:right w:w="108" w:type="dxa"/>
          </w:tblCellMar>
        </w:tblPrEx>
        <w:trPr>
          <w:jc w:val="center"/>
        </w:trPr>
        <w:tc>
          <w:tcPr>
            <w:tcW w:w="728" w:type="dxa"/>
            <w:vMerge w:val="continue"/>
            <w:tcBorders>
              <w:top w:val="single" w:color="auto" w:sz="4" w:space="0"/>
              <w:left w:val="single" w:color="000000" w:sz="4" w:space="0"/>
              <w:bottom w:val="single" w:color="000000" w:sz="4" w:space="0"/>
              <w:right w:val="single" w:color="000000" w:sz="4" w:space="0"/>
            </w:tcBorders>
            <w:shd w:val="clear" w:color="FFFFFF" w:fill="auto"/>
            <w:noWrap/>
            <w:tcMar>
              <w:top w:w="0" w:type="dxa"/>
              <w:left w:w="108" w:type="dxa"/>
              <w:bottom w:w="0" w:type="dxa"/>
              <w:right w:w="108" w:type="dxa"/>
            </w:tcMar>
            <w:vAlign w:val="center"/>
          </w:tcPr>
          <w:p>
            <w:pPr>
              <w:rPr>
                <w:rFonts w:asciiTheme="majorEastAsia" w:hAnsiTheme="majorEastAsia" w:eastAsiaTheme="majorEastAsia"/>
              </w:rPr>
            </w:pPr>
          </w:p>
        </w:tc>
        <w:tc>
          <w:tcPr>
            <w:tcW w:w="6686" w:type="dxa"/>
            <w:tcBorders>
              <w:bottom w:val="single" w:color="000000" w:sz="4" w:space="0"/>
              <w:right w:val="single" w:color="000000" w:sz="4" w:space="0"/>
            </w:tcBorders>
            <w:shd w:val="clear" w:color="FFFFFF" w:fill="auto"/>
            <w:noWrap/>
            <w:tcMar>
              <w:top w:w="0" w:type="dxa"/>
              <w:left w:w="108" w:type="dxa"/>
              <w:bottom w:w="0" w:type="dxa"/>
              <w:right w:w="108" w:type="dxa"/>
            </w:tcMar>
            <w:vAlign w:val="center"/>
          </w:tcPr>
          <w:p>
            <w:pPr>
              <w:rPr>
                <w:rFonts w:asciiTheme="majorEastAsia" w:hAnsiTheme="majorEastAsia" w:eastAsiaTheme="majorEastAsia"/>
              </w:rPr>
            </w:pPr>
            <w:r>
              <w:rPr>
                <w:rFonts w:hint="eastAsia" w:asciiTheme="majorEastAsia" w:hAnsiTheme="majorEastAsia" w:eastAsiaTheme="majorEastAsia"/>
              </w:rPr>
              <w:t>2.“门前五包”秩序是否保持良好。</w:t>
            </w:r>
          </w:p>
        </w:tc>
        <w:tc>
          <w:tcPr>
            <w:tcW w:w="600" w:type="dxa"/>
            <w:tcBorders>
              <w:bottom w:val="single" w:color="000000" w:sz="4" w:space="0"/>
              <w:right w:val="single" w:color="000000" w:sz="4" w:space="0"/>
            </w:tcBorders>
            <w:shd w:val="clear" w:color="FFFFFF" w:fill="auto"/>
            <w:noWrap/>
            <w:vAlign w:val="center"/>
          </w:tcPr>
          <w:p>
            <w:pPr>
              <w:rPr>
                <w:rFonts w:asciiTheme="majorEastAsia" w:hAnsiTheme="majorEastAsia" w:eastAsiaTheme="majorEastAsia"/>
              </w:rPr>
            </w:pPr>
            <w:r>
              <w:rPr>
                <w:rFonts w:asciiTheme="majorEastAsia" w:hAnsiTheme="majorEastAsia" w:eastAsiaTheme="majorEastAsia"/>
              </w:rPr>
              <w:t>5</w:t>
            </w:r>
          </w:p>
        </w:tc>
        <w:tc>
          <w:tcPr>
            <w:tcW w:w="641" w:type="dxa"/>
            <w:tcBorders>
              <w:bottom w:val="single" w:color="000000" w:sz="4" w:space="0"/>
              <w:right w:val="single" w:color="000000" w:sz="4" w:space="0"/>
            </w:tcBorders>
            <w:shd w:val="clear" w:color="FFFFFF" w:fill="auto"/>
            <w:noWrap/>
            <w:vAlign w:val="bottom"/>
          </w:tcPr>
          <w:p>
            <w:pPr>
              <w:rPr>
                <w:rFonts w:asciiTheme="majorEastAsia" w:hAnsiTheme="majorEastAsia" w:eastAsiaTheme="majorEastAsia"/>
              </w:rPr>
            </w:pPr>
          </w:p>
        </w:tc>
      </w:tr>
      <w:tr>
        <w:tblPrEx>
          <w:shd w:val="clear" w:color="FFFFFF" w:fill="auto"/>
          <w:tblLayout w:type="fixed"/>
          <w:tblCellMar>
            <w:top w:w="0" w:type="dxa"/>
            <w:left w:w="108" w:type="dxa"/>
            <w:bottom w:w="0" w:type="dxa"/>
            <w:right w:w="108" w:type="dxa"/>
          </w:tblCellMar>
        </w:tblPrEx>
        <w:trPr>
          <w:jc w:val="center"/>
        </w:trPr>
        <w:tc>
          <w:tcPr>
            <w:tcW w:w="728" w:type="dxa"/>
            <w:vMerge w:val="continue"/>
            <w:tcBorders>
              <w:top w:val="single" w:color="auto" w:sz="4" w:space="0"/>
              <w:left w:val="single" w:color="000000" w:sz="4" w:space="0"/>
              <w:bottom w:val="single" w:color="000000" w:sz="4" w:space="0"/>
              <w:right w:val="single" w:color="000000" w:sz="4" w:space="0"/>
            </w:tcBorders>
            <w:shd w:val="clear" w:color="FFFFFF" w:fill="auto"/>
            <w:noWrap/>
            <w:tcMar>
              <w:top w:w="0" w:type="dxa"/>
              <w:left w:w="108" w:type="dxa"/>
              <w:bottom w:w="0" w:type="dxa"/>
              <w:right w:w="108" w:type="dxa"/>
            </w:tcMar>
            <w:vAlign w:val="center"/>
          </w:tcPr>
          <w:p>
            <w:pPr>
              <w:rPr>
                <w:rFonts w:asciiTheme="majorEastAsia" w:hAnsiTheme="majorEastAsia" w:eastAsiaTheme="majorEastAsia"/>
              </w:rPr>
            </w:pPr>
          </w:p>
        </w:tc>
        <w:tc>
          <w:tcPr>
            <w:tcW w:w="6686" w:type="dxa"/>
            <w:tcBorders>
              <w:bottom w:val="single" w:color="000000" w:sz="4" w:space="0"/>
              <w:right w:val="single" w:color="000000" w:sz="4" w:space="0"/>
            </w:tcBorders>
            <w:shd w:val="clear" w:color="FFFFFF" w:fill="auto"/>
            <w:noWrap/>
            <w:tcMar>
              <w:top w:w="0" w:type="dxa"/>
              <w:left w:w="108" w:type="dxa"/>
              <w:bottom w:w="0" w:type="dxa"/>
              <w:right w:w="108" w:type="dxa"/>
            </w:tcMar>
            <w:vAlign w:val="center"/>
          </w:tcPr>
          <w:p>
            <w:pPr>
              <w:rPr>
                <w:rFonts w:asciiTheme="majorEastAsia" w:hAnsiTheme="majorEastAsia" w:eastAsiaTheme="majorEastAsia"/>
              </w:rPr>
            </w:pPr>
            <w:r>
              <w:rPr>
                <w:rFonts w:hint="eastAsia" w:asciiTheme="majorEastAsia" w:hAnsiTheme="majorEastAsia" w:eastAsiaTheme="majorEastAsia"/>
              </w:rPr>
              <w:t>3.收发及时，管理良好。</w:t>
            </w:r>
          </w:p>
        </w:tc>
        <w:tc>
          <w:tcPr>
            <w:tcW w:w="600" w:type="dxa"/>
            <w:tcBorders>
              <w:bottom w:val="single" w:color="000000" w:sz="4" w:space="0"/>
              <w:right w:val="single" w:color="000000" w:sz="4" w:space="0"/>
            </w:tcBorders>
            <w:shd w:val="clear" w:color="FFFFFF" w:fill="auto"/>
            <w:noWrap/>
            <w:vAlign w:val="center"/>
          </w:tcPr>
          <w:p>
            <w:pPr>
              <w:rPr>
                <w:rFonts w:asciiTheme="majorEastAsia" w:hAnsiTheme="majorEastAsia" w:eastAsiaTheme="majorEastAsia"/>
              </w:rPr>
            </w:pPr>
            <w:r>
              <w:rPr>
                <w:rFonts w:asciiTheme="majorEastAsia" w:hAnsiTheme="majorEastAsia" w:eastAsiaTheme="majorEastAsia"/>
              </w:rPr>
              <w:t>5</w:t>
            </w:r>
          </w:p>
        </w:tc>
        <w:tc>
          <w:tcPr>
            <w:tcW w:w="641" w:type="dxa"/>
            <w:tcBorders>
              <w:bottom w:val="single" w:color="000000" w:sz="4" w:space="0"/>
              <w:right w:val="single" w:color="000000" w:sz="4" w:space="0"/>
            </w:tcBorders>
            <w:shd w:val="clear" w:color="FFFFFF" w:fill="auto"/>
            <w:noWrap/>
            <w:vAlign w:val="bottom"/>
          </w:tcPr>
          <w:p>
            <w:pPr>
              <w:rPr>
                <w:rFonts w:asciiTheme="majorEastAsia" w:hAnsiTheme="majorEastAsia" w:eastAsiaTheme="majorEastAsia"/>
              </w:rPr>
            </w:pPr>
          </w:p>
        </w:tc>
      </w:tr>
      <w:tr>
        <w:tblPrEx>
          <w:tblLayout w:type="fixed"/>
          <w:tblCellMar>
            <w:top w:w="0" w:type="dxa"/>
            <w:left w:w="108" w:type="dxa"/>
            <w:bottom w:w="0" w:type="dxa"/>
            <w:right w:w="108" w:type="dxa"/>
          </w:tblCellMar>
        </w:tblPrEx>
        <w:trPr>
          <w:jc w:val="center"/>
        </w:trPr>
        <w:tc>
          <w:tcPr>
            <w:tcW w:w="728" w:type="dxa"/>
            <w:vMerge w:val="continue"/>
            <w:tcBorders>
              <w:left w:val="single" w:color="000000" w:sz="4" w:space="0"/>
              <w:bottom w:val="single" w:color="000000" w:sz="4" w:space="0"/>
              <w:right w:val="single" w:color="000000" w:sz="4" w:space="0"/>
            </w:tcBorders>
            <w:shd w:val="clear" w:color="FFFFFF" w:fill="auto"/>
            <w:noWrap/>
            <w:tcMar>
              <w:top w:w="0" w:type="dxa"/>
              <w:left w:w="108" w:type="dxa"/>
              <w:bottom w:w="0" w:type="dxa"/>
              <w:right w:w="108" w:type="dxa"/>
            </w:tcMar>
            <w:vAlign w:val="center"/>
          </w:tcPr>
          <w:p>
            <w:pPr>
              <w:rPr>
                <w:rFonts w:asciiTheme="majorEastAsia" w:hAnsiTheme="majorEastAsia" w:eastAsiaTheme="majorEastAsia"/>
              </w:rPr>
            </w:pPr>
          </w:p>
        </w:tc>
        <w:tc>
          <w:tcPr>
            <w:tcW w:w="6686" w:type="dxa"/>
            <w:tcBorders>
              <w:bottom w:val="single" w:color="000000" w:sz="4" w:space="0"/>
              <w:right w:val="single" w:color="000000" w:sz="4" w:space="0"/>
            </w:tcBorders>
            <w:shd w:val="clear" w:color="FFFFFF" w:fill="auto"/>
            <w:noWrap/>
            <w:tcMar>
              <w:top w:w="0" w:type="dxa"/>
              <w:left w:w="108" w:type="dxa"/>
              <w:bottom w:w="0" w:type="dxa"/>
              <w:right w:w="108" w:type="dxa"/>
            </w:tcMar>
            <w:vAlign w:val="center"/>
          </w:tcPr>
          <w:p>
            <w:pPr>
              <w:rPr>
                <w:rFonts w:asciiTheme="majorEastAsia" w:hAnsiTheme="majorEastAsia" w:eastAsiaTheme="majorEastAsia"/>
              </w:rPr>
            </w:pPr>
            <w:r>
              <w:rPr>
                <w:rFonts w:hint="eastAsia" w:asciiTheme="majorEastAsia" w:hAnsiTheme="majorEastAsia" w:eastAsiaTheme="majorEastAsia"/>
              </w:rPr>
              <w:t>4.是否进行定期巡逻。</w:t>
            </w:r>
          </w:p>
        </w:tc>
        <w:tc>
          <w:tcPr>
            <w:tcW w:w="600" w:type="dxa"/>
            <w:tcBorders>
              <w:bottom w:val="single" w:color="000000" w:sz="4" w:space="0"/>
              <w:right w:val="single" w:color="000000" w:sz="4" w:space="0"/>
            </w:tcBorders>
            <w:shd w:val="clear" w:color="FFFFFF" w:fill="auto"/>
            <w:noWrap/>
            <w:vAlign w:val="center"/>
          </w:tcPr>
          <w:p>
            <w:pPr>
              <w:rPr>
                <w:rFonts w:asciiTheme="majorEastAsia" w:hAnsiTheme="majorEastAsia" w:eastAsiaTheme="majorEastAsia"/>
              </w:rPr>
            </w:pPr>
            <w:r>
              <w:rPr>
                <w:rFonts w:asciiTheme="majorEastAsia" w:hAnsiTheme="majorEastAsia" w:eastAsiaTheme="majorEastAsia"/>
              </w:rPr>
              <w:t>5</w:t>
            </w:r>
          </w:p>
        </w:tc>
        <w:tc>
          <w:tcPr>
            <w:tcW w:w="641" w:type="dxa"/>
            <w:tcBorders>
              <w:bottom w:val="single" w:color="000000" w:sz="4" w:space="0"/>
              <w:right w:val="single" w:color="000000" w:sz="4" w:space="0"/>
            </w:tcBorders>
            <w:shd w:val="clear" w:color="FFFFFF" w:fill="auto"/>
            <w:noWrap/>
            <w:vAlign w:val="bottom"/>
          </w:tcPr>
          <w:p>
            <w:pPr>
              <w:rPr>
                <w:rFonts w:asciiTheme="majorEastAsia" w:hAnsiTheme="majorEastAsia" w:eastAsiaTheme="majorEastAsia"/>
              </w:rPr>
            </w:pPr>
          </w:p>
        </w:tc>
      </w:tr>
      <w:tr>
        <w:tblPrEx>
          <w:tblLayout w:type="fixed"/>
          <w:tblCellMar>
            <w:top w:w="0" w:type="dxa"/>
            <w:left w:w="108" w:type="dxa"/>
            <w:bottom w:w="0" w:type="dxa"/>
            <w:right w:w="108" w:type="dxa"/>
          </w:tblCellMar>
        </w:tblPrEx>
        <w:trPr>
          <w:jc w:val="center"/>
        </w:trPr>
        <w:tc>
          <w:tcPr>
            <w:tcW w:w="728" w:type="dxa"/>
            <w:vMerge w:val="continue"/>
            <w:tcBorders>
              <w:left w:val="single" w:color="000000" w:sz="4" w:space="0"/>
              <w:bottom w:val="single" w:color="000000" w:sz="4" w:space="0"/>
              <w:right w:val="single" w:color="000000" w:sz="4" w:space="0"/>
            </w:tcBorders>
            <w:shd w:val="clear" w:color="FFFFFF" w:fill="auto"/>
            <w:noWrap/>
            <w:tcMar>
              <w:top w:w="0" w:type="dxa"/>
              <w:left w:w="108" w:type="dxa"/>
              <w:bottom w:w="0" w:type="dxa"/>
              <w:right w:w="108" w:type="dxa"/>
            </w:tcMar>
            <w:vAlign w:val="center"/>
          </w:tcPr>
          <w:p>
            <w:pPr>
              <w:rPr>
                <w:rFonts w:asciiTheme="majorEastAsia" w:hAnsiTheme="majorEastAsia" w:eastAsiaTheme="majorEastAsia"/>
              </w:rPr>
            </w:pPr>
          </w:p>
        </w:tc>
        <w:tc>
          <w:tcPr>
            <w:tcW w:w="6686" w:type="dxa"/>
            <w:tcBorders>
              <w:bottom w:val="single" w:color="000000" w:sz="4" w:space="0"/>
              <w:right w:val="single" w:color="000000" w:sz="4" w:space="0"/>
            </w:tcBorders>
            <w:shd w:val="clear" w:color="FFFFFF" w:fill="auto"/>
            <w:noWrap/>
            <w:tcMar>
              <w:top w:w="0" w:type="dxa"/>
              <w:left w:w="108" w:type="dxa"/>
              <w:bottom w:w="0" w:type="dxa"/>
              <w:right w:w="108" w:type="dxa"/>
            </w:tcMar>
            <w:vAlign w:val="center"/>
          </w:tcPr>
          <w:p>
            <w:pPr>
              <w:rPr>
                <w:rFonts w:asciiTheme="majorEastAsia" w:hAnsiTheme="majorEastAsia" w:eastAsiaTheme="majorEastAsia"/>
              </w:rPr>
            </w:pPr>
            <w:r>
              <w:rPr>
                <w:rFonts w:hint="eastAsia" w:asciiTheme="majorEastAsia" w:hAnsiTheme="majorEastAsia" w:eastAsiaTheme="majorEastAsia"/>
              </w:rPr>
              <w:t>5.发生突发事件,接到病房电话，是否能在3分钟内到达现场处理</w:t>
            </w:r>
          </w:p>
        </w:tc>
        <w:tc>
          <w:tcPr>
            <w:tcW w:w="600" w:type="dxa"/>
            <w:tcBorders>
              <w:bottom w:val="single" w:color="000000" w:sz="4" w:space="0"/>
              <w:right w:val="single" w:color="000000" w:sz="4" w:space="0"/>
            </w:tcBorders>
            <w:shd w:val="clear" w:color="FFFFFF" w:fill="auto"/>
            <w:noWrap/>
            <w:vAlign w:val="center"/>
          </w:tcPr>
          <w:p>
            <w:pPr>
              <w:rPr>
                <w:rFonts w:asciiTheme="majorEastAsia" w:hAnsiTheme="majorEastAsia" w:eastAsiaTheme="majorEastAsia"/>
              </w:rPr>
            </w:pPr>
            <w:r>
              <w:rPr>
                <w:rFonts w:hint="eastAsia" w:asciiTheme="majorEastAsia" w:hAnsiTheme="majorEastAsia" w:eastAsiaTheme="majorEastAsia"/>
              </w:rPr>
              <w:t>5</w:t>
            </w:r>
          </w:p>
        </w:tc>
        <w:tc>
          <w:tcPr>
            <w:tcW w:w="641" w:type="dxa"/>
            <w:tcBorders>
              <w:bottom w:val="single" w:color="000000" w:sz="4" w:space="0"/>
              <w:right w:val="single" w:color="000000" w:sz="4" w:space="0"/>
            </w:tcBorders>
            <w:shd w:val="clear" w:color="FFFFFF" w:fill="auto"/>
            <w:noWrap/>
            <w:vAlign w:val="bottom"/>
          </w:tcPr>
          <w:p>
            <w:pPr>
              <w:rPr>
                <w:rFonts w:asciiTheme="majorEastAsia" w:hAnsiTheme="majorEastAsia" w:eastAsiaTheme="majorEastAsia"/>
              </w:rPr>
            </w:pPr>
          </w:p>
        </w:tc>
      </w:tr>
      <w:tr>
        <w:tblPrEx>
          <w:shd w:val="clear" w:color="FFFFFF" w:fill="auto"/>
          <w:tblLayout w:type="fixed"/>
          <w:tblCellMar>
            <w:top w:w="0" w:type="dxa"/>
            <w:left w:w="108" w:type="dxa"/>
            <w:bottom w:w="0" w:type="dxa"/>
            <w:right w:w="108" w:type="dxa"/>
          </w:tblCellMar>
        </w:tblPrEx>
        <w:trPr>
          <w:jc w:val="center"/>
        </w:trPr>
        <w:tc>
          <w:tcPr>
            <w:tcW w:w="728" w:type="dxa"/>
            <w:vMerge w:val="continue"/>
            <w:tcBorders>
              <w:left w:val="single" w:color="000000" w:sz="4" w:space="0"/>
              <w:bottom w:val="single" w:color="auto" w:sz="4" w:space="0"/>
              <w:right w:val="single" w:color="000000" w:sz="4" w:space="0"/>
            </w:tcBorders>
            <w:shd w:val="clear" w:color="FFFFFF" w:fill="auto"/>
            <w:noWrap/>
            <w:tcMar>
              <w:top w:w="0" w:type="dxa"/>
              <w:left w:w="108" w:type="dxa"/>
              <w:bottom w:w="0" w:type="dxa"/>
              <w:right w:w="108" w:type="dxa"/>
            </w:tcMar>
            <w:vAlign w:val="center"/>
          </w:tcPr>
          <w:p>
            <w:pPr>
              <w:rPr>
                <w:rFonts w:asciiTheme="majorEastAsia" w:hAnsiTheme="majorEastAsia" w:eastAsiaTheme="majorEastAsia"/>
              </w:rPr>
            </w:pPr>
          </w:p>
        </w:tc>
        <w:tc>
          <w:tcPr>
            <w:tcW w:w="6686" w:type="dxa"/>
            <w:tcBorders>
              <w:bottom w:val="single" w:color="000000" w:sz="4" w:space="0"/>
              <w:right w:val="single" w:color="000000" w:sz="4" w:space="0"/>
            </w:tcBorders>
            <w:shd w:val="clear" w:color="FFFFFF" w:fill="auto"/>
            <w:noWrap/>
            <w:tcMar>
              <w:top w:w="0" w:type="dxa"/>
              <w:left w:w="108" w:type="dxa"/>
              <w:bottom w:w="0" w:type="dxa"/>
              <w:right w:w="108" w:type="dxa"/>
            </w:tcMar>
            <w:vAlign w:val="center"/>
          </w:tcPr>
          <w:p>
            <w:pPr>
              <w:rPr>
                <w:rFonts w:asciiTheme="majorEastAsia" w:hAnsiTheme="majorEastAsia" w:eastAsiaTheme="majorEastAsia"/>
              </w:rPr>
            </w:pPr>
            <w:r>
              <w:rPr>
                <w:rFonts w:hint="eastAsia" w:asciiTheme="majorEastAsia" w:hAnsiTheme="majorEastAsia" w:eastAsiaTheme="majorEastAsia"/>
              </w:rPr>
              <w:t>6.每月消防及安全检查是否到位。</w:t>
            </w:r>
          </w:p>
        </w:tc>
        <w:tc>
          <w:tcPr>
            <w:tcW w:w="600" w:type="dxa"/>
            <w:tcBorders>
              <w:bottom w:val="single" w:color="000000" w:sz="4" w:space="0"/>
              <w:right w:val="single" w:color="000000" w:sz="4" w:space="0"/>
            </w:tcBorders>
            <w:shd w:val="clear" w:color="FFFFFF" w:fill="auto"/>
            <w:noWrap/>
            <w:vAlign w:val="center"/>
          </w:tcPr>
          <w:p>
            <w:pPr>
              <w:rPr>
                <w:rFonts w:asciiTheme="majorEastAsia" w:hAnsiTheme="majorEastAsia" w:eastAsiaTheme="majorEastAsia"/>
              </w:rPr>
            </w:pPr>
            <w:r>
              <w:rPr>
                <w:rFonts w:asciiTheme="majorEastAsia" w:hAnsiTheme="majorEastAsia" w:eastAsiaTheme="majorEastAsia"/>
              </w:rPr>
              <w:t>10</w:t>
            </w:r>
          </w:p>
        </w:tc>
        <w:tc>
          <w:tcPr>
            <w:tcW w:w="641" w:type="dxa"/>
            <w:tcBorders>
              <w:bottom w:val="single" w:color="000000" w:sz="4" w:space="0"/>
              <w:right w:val="single" w:color="000000" w:sz="4" w:space="0"/>
            </w:tcBorders>
            <w:shd w:val="clear" w:color="FFFFFF" w:fill="auto"/>
            <w:noWrap/>
            <w:vAlign w:val="bottom"/>
          </w:tcPr>
          <w:p>
            <w:pPr>
              <w:rPr>
                <w:rFonts w:asciiTheme="majorEastAsia" w:hAnsiTheme="majorEastAsia" w:eastAsiaTheme="majorEastAsia"/>
              </w:rPr>
            </w:pPr>
          </w:p>
        </w:tc>
      </w:tr>
      <w:tr>
        <w:tblPrEx>
          <w:tblLayout w:type="fixed"/>
          <w:tblCellMar>
            <w:top w:w="0" w:type="dxa"/>
            <w:left w:w="108" w:type="dxa"/>
            <w:bottom w:w="0" w:type="dxa"/>
            <w:right w:w="108" w:type="dxa"/>
          </w:tblCellMar>
        </w:tblPrEx>
        <w:trPr>
          <w:jc w:val="center"/>
        </w:trPr>
        <w:tc>
          <w:tcPr>
            <w:tcW w:w="728" w:type="dxa"/>
            <w:tcBorders>
              <w:top w:val="single" w:color="auto" w:sz="4" w:space="0"/>
              <w:left w:val="single" w:color="000000" w:sz="4" w:space="0"/>
              <w:bottom w:val="single" w:color="auto" w:sz="4" w:space="0"/>
              <w:right w:val="single" w:color="000000" w:sz="4" w:space="0"/>
            </w:tcBorders>
            <w:shd w:val="clear" w:color="FFFFFF" w:fill="auto"/>
            <w:noWrap/>
            <w:tcMar>
              <w:top w:w="0" w:type="dxa"/>
              <w:left w:w="108" w:type="dxa"/>
              <w:bottom w:w="0" w:type="dxa"/>
              <w:right w:w="108" w:type="dxa"/>
            </w:tcMar>
            <w:vAlign w:val="center"/>
          </w:tcPr>
          <w:p>
            <w:pPr>
              <w:rPr>
                <w:rFonts w:asciiTheme="majorEastAsia" w:hAnsiTheme="majorEastAsia" w:eastAsiaTheme="majorEastAsia"/>
              </w:rPr>
            </w:pPr>
            <w:r>
              <w:rPr>
                <w:rFonts w:hint="eastAsia" w:asciiTheme="majorEastAsia" w:hAnsiTheme="majorEastAsia" w:eastAsiaTheme="majorEastAsia"/>
              </w:rPr>
              <w:t>小计</w:t>
            </w:r>
          </w:p>
        </w:tc>
        <w:tc>
          <w:tcPr>
            <w:tcW w:w="6686" w:type="dxa"/>
            <w:tcBorders>
              <w:bottom w:val="single" w:color="000000" w:sz="4" w:space="0"/>
              <w:right w:val="single" w:color="000000" w:sz="4" w:space="0"/>
            </w:tcBorders>
            <w:shd w:val="clear" w:color="FFFFFF" w:fill="auto"/>
            <w:noWrap/>
            <w:tcMar>
              <w:top w:w="0" w:type="dxa"/>
              <w:left w:w="108" w:type="dxa"/>
              <w:bottom w:w="0" w:type="dxa"/>
              <w:right w:w="108" w:type="dxa"/>
            </w:tcMar>
            <w:vAlign w:val="center"/>
          </w:tcPr>
          <w:p>
            <w:pPr>
              <w:rPr>
                <w:rFonts w:asciiTheme="majorEastAsia" w:hAnsiTheme="majorEastAsia" w:eastAsiaTheme="majorEastAsia"/>
              </w:rPr>
            </w:pPr>
          </w:p>
        </w:tc>
        <w:tc>
          <w:tcPr>
            <w:tcW w:w="600" w:type="dxa"/>
            <w:tcBorders>
              <w:bottom w:val="single" w:color="000000" w:sz="4" w:space="0"/>
              <w:right w:val="single" w:color="000000" w:sz="4" w:space="0"/>
            </w:tcBorders>
            <w:shd w:val="clear" w:color="FFFFFF" w:fill="auto"/>
            <w:noWrap/>
            <w:vAlign w:val="center"/>
          </w:tcPr>
          <w:p>
            <w:pPr>
              <w:rPr>
                <w:rFonts w:asciiTheme="majorEastAsia" w:hAnsiTheme="majorEastAsia" w:eastAsiaTheme="majorEastAsia"/>
              </w:rPr>
            </w:pPr>
            <w:r>
              <w:rPr>
                <w:rFonts w:asciiTheme="majorEastAsia" w:hAnsiTheme="majorEastAsia" w:eastAsiaTheme="majorEastAsia"/>
              </w:rPr>
              <w:t>50</w:t>
            </w:r>
          </w:p>
        </w:tc>
        <w:tc>
          <w:tcPr>
            <w:tcW w:w="641" w:type="dxa"/>
            <w:tcBorders>
              <w:bottom w:val="single" w:color="000000" w:sz="4" w:space="0"/>
              <w:right w:val="single" w:color="000000" w:sz="4" w:space="0"/>
            </w:tcBorders>
            <w:shd w:val="clear" w:color="FFFFFF" w:fill="auto"/>
            <w:noWrap/>
            <w:vAlign w:val="bottom"/>
          </w:tcPr>
          <w:p>
            <w:pPr>
              <w:rPr>
                <w:rFonts w:asciiTheme="majorEastAsia" w:hAnsiTheme="majorEastAsia" w:eastAsiaTheme="majorEastAsia"/>
              </w:rPr>
            </w:pPr>
          </w:p>
        </w:tc>
      </w:tr>
    </w:tbl>
    <w:p>
      <w:pPr>
        <w:pStyle w:val="6"/>
        <w:spacing w:line="360" w:lineRule="auto"/>
        <w:jc w:val="left"/>
        <w:rPr>
          <w:rFonts w:hint="eastAsia" w:asciiTheme="majorEastAsia" w:hAnsiTheme="majorEastAsia" w:eastAsiaTheme="majorEastAsia"/>
          <w:sz w:val="24"/>
          <w:szCs w:val="28"/>
        </w:rPr>
      </w:pPr>
    </w:p>
    <w:p>
      <w:pPr>
        <w:pStyle w:val="6"/>
        <w:spacing w:line="360" w:lineRule="auto"/>
        <w:jc w:val="left"/>
        <w:rPr>
          <w:rFonts w:hint="eastAsia" w:asciiTheme="majorEastAsia" w:hAnsiTheme="majorEastAsia" w:eastAsiaTheme="majorEastAsia"/>
          <w:sz w:val="24"/>
          <w:szCs w:val="28"/>
        </w:rPr>
      </w:pPr>
      <w:r>
        <w:rPr>
          <w:rFonts w:hint="eastAsia" w:asciiTheme="majorEastAsia" w:hAnsiTheme="majorEastAsia" w:eastAsiaTheme="majorEastAsia"/>
          <w:sz w:val="24"/>
          <w:szCs w:val="28"/>
          <w:lang w:eastAsia="zh-CN"/>
        </w:rPr>
        <w:t>（</w:t>
      </w:r>
      <w:r>
        <w:rPr>
          <w:rFonts w:hint="eastAsia" w:asciiTheme="majorEastAsia" w:hAnsiTheme="majorEastAsia" w:eastAsiaTheme="majorEastAsia"/>
          <w:sz w:val="24"/>
          <w:szCs w:val="28"/>
          <w:lang w:val="en-US" w:eastAsia="zh-CN"/>
        </w:rPr>
        <w:t>四</w:t>
      </w:r>
      <w:r>
        <w:rPr>
          <w:rFonts w:hint="eastAsia" w:asciiTheme="majorEastAsia" w:hAnsiTheme="majorEastAsia" w:eastAsiaTheme="majorEastAsia"/>
          <w:sz w:val="24"/>
          <w:szCs w:val="28"/>
          <w:lang w:eastAsia="zh-CN"/>
        </w:rPr>
        <w:t>）</w:t>
      </w:r>
      <w:r>
        <w:rPr>
          <w:rFonts w:hint="eastAsia" w:asciiTheme="majorEastAsia" w:hAnsiTheme="majorEastAsia" w:eastAsiaTheme="majorEastAsia"/>
          <w:sz w:val="24"/>
          <w:szCs w:val="28"/>
        </w:rPr>
        <w:t>人员配备</w:t>
      </w:r>
    </w:p>
    <w:tbl>
      <w:tblPr>
        <w:tblStyle w:val="44"/>
        <w:tblW w:w="58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389"/>
        <w:gridCol w:w="2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jc w:val="center"/>
        </w:trPr>
        <w:tc>
          <w:tcPr>
            <w:tcW w:w="1555" w:type="dxa"/>
            <w:noWrap/>
          </w:tcPr>
          <w:p>
            <w:pPr>
              <w:spacing w:line="360" w:lineRule="auto"/>
              <w:jc w:val="center"/>
              <w:rPr>
                <w:rFonts w:asciiTheme="majorEastAsia" w:hAnsiTheme="majorEastAsia" w:eastAsiaTheme="majorEastAsia"/>
                <w:kern w:val="0"/>
                <w:sz w:val="20"/>
                <w:szCs w:val="20"/>
              </w:rPr>
            </w:pPr>
            <w:r>
              <w:rPr>
                <w:rFonts w:hint="eastAsia" w:asciiTheme="majorEastAsia" w:hAnsiTheme="majorEastAsia" w:eastAsiaTheme="majorEastAsia"/>
                <w:kern w:val="0"/>
                <w:sz w:val="20"/>
                <w:szCs w:val="20"/>
              </w:rPr>
              <w:t>岗位</w:t>
            </w:r>
          </w:p>
        </w:tc>
        <w:tc>
          <w:tcPr>
            <w:tcW w:w="1389" w:type="dxa"/>
            <w:noWrap/>
          </w:tcPr>
          <w:p>
            <w:pPr>
              <w:spacing w:line="360" w:lineRule="auto"/>
              <w:jc w:val="center"/>
              <w:rPr>
                <w:rFonts w:asciiTheme="majorEastAsia" w:hAnsiTheme="majorEastAsia" w:eastAsiaTheme="majorEastAsia"/>
                <w:kern w:val="0"/>
                <w:sz w:val="20"/>
                <w:szCs w:val="20"/>
              </w:rPr>
            </w:pPr>
            <w:r>
              <w:rPr>
                <w:rFonts w:hint="eastAsia" w:asciiTheme="majorEastAsia" w:hAnsiTheme="majorEastAsia" w:eastAsiaTheme="majorEastAsia"/>
                <w:kern w:val="0"/>
                <w:sz w:val="20"/>
                <w:szCs w:val="20"/>
              </w:rPr>
              <w:t>岗位个数</w:t>
            </w:r>
          </w:p>
        </w:tc>
        <w:tc>
          <w:tcPr>
            <w:tcW w:w="2943" w:type="dxa"/>
          </w:tcPr>
          <w:p>
            <w:pPr>
              <w:spacing w:line="360" w:lineRule="auto"/>
              <w:jc w:val="center"/>
              <w:rPr>
                <w:rFonts w:asciiTheme="majorEastAsia" w:hAnsiTheme="majorEastAsia" w:eastAsiaTheme="majorEastAsia"/>
                <w:kern w:val="0"/>
                <w:sz w:val="20"/>
                <w:szCs w:val="20"/>
              </w:rPr>
            </w:pPr>
            <w:r>
              <w:rPr>
                <w:rFonts w:hint="eastAsia" w:asciiTheme="majorEastAsia" w:hAnsiTheme="majorEastAsia" w:eastAsiaTheme="majorEastAsia"/>
                <w:kern w:val="0"/>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1555" w:type="dxa"/>
            <w:noWrap/>
          </w:tcPr>
          <w:p>
            <w:pPr>
              <w:jc w:val="center"/>
              <w:rPr>
                <w:rFonts w:asciiTheme="majorEastAsia" w:hAnsiTheme="majorEastAsia" w:eastAsiaTheme="majorEastAsia"/>
                <w:kern w:val="0"/>
                <w:sz w:val="20"/>
                <w:szCs w:val="20"/>
              </w:rPr>
            </w:pPr>
            <w:r>
              <w:rPr>
                <w:rFonts w:hint="eastAsia" w:asciiTheme="majorEastAsia" w:hAnsiTheme="majorEastAsia" w:eastAsiaTheme="majorEastAsia"/>
                <w:kern w:val="0"/>
                <w:sz w:val="20"/>
                <w:szCs w:val="20"/>
              </w:rPr>
              <w:t>项目管理岗位</w:t>
            </w:r>
          </w:p>
        </w:tc>
        <w:tc>
          <w:tcPr>
            <w:tcW w:w="1389" w:type="dxa"/>
            <w:noWrap/>
          </w:tcPr>
          <w:p>
            <w:pPr>
              <w:jc w:val="center"/>
              <w:rPr>
                <w:rFonts w:asciiTheme="majorEastAsia" w:hAnsiTheme="majorEastAsia" w:eastAsiaTheme="majorEastAsia"/>
                <w:kern w:val="0"/>
                <w:sz w:val="20"/>
                <w:szCs w:val="20"/>
              </w:rPr>
            </w:pPr>
            <w:r>
              <w:rPr>
                <w:rFonts w:hint="eastAsia" w:asciiTheme="majorEastAsia" w:hAnsiTheme="majorEastAsia" w:eastAsiaTheme="majorEastAsia"/>
                <w:kern w:val="0"/>
                <w:sz w:val="20"/>
                <w:szCs w:val="20"/>
              </w:rPr>
              <w:t>3个</w:t>
            </w:r>
          </w:p>
        </w:tc>
        <w:tc>
          <w:tcPr>
            <w:tcW w:w="2943" w:type="dxa"/>
          </w:tcPr>
          <w:p>
            <w:pPr>
              <w:jc w:val="center"/>
              <w:rPr>
                <w:rFonts w:asciiTheme="majorEastAsia" w:hAnsiTheme="majorEastAsia" w:eastAsiaTheme="majorEastAsia"/>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1555" w:type="dxa"/>
            <w:noWrap/>
          </w:tcPr>
          <w:p>
            <w:pPr>
              <w:jc w:val="center"/>
              <w:rPr>
                <w:rFonts w:asciiTheme="majorEastAsia" w:hAnsiTheme="majorEastAsia" w:eastAsiaTheme="majorEastAsia"/>
                <w:kern w:val="0"/>
                <w:sz w:val="20"/>
                <w:szCs w:val="20"/>
              </w:rPr>
            </w:pPr>
            <w:r>
              <w:rPr>
                <w:rFonts w:hint="eastAsia" w:asciiTheme="majorEastAsia" w:hAnsiTheme="majorEastAsia" w:eastAsiaTheme="majorEastAsia"/>
                <w:kern w:val="0"/>
                <w:sz w:val="20"/>
                <w:szCs w:val="20"/>
              </w:rPr>
              <w:t>保洁岗位</w:t>
            </w:r>
          </w:p>
        </w:tc>
        <w:tc>
          <w:tcPr>
            <w:tcW w:w="1389" w:type="dxa"/>
            <w:noWrap/>
          </w:tcPr>
          <w:p>
            <w:pPr>
              <w:jc w:val="center"/>
              <w:rPr>
                <w:rFonts w:asciiTheme="majorEastAsia" w:hAnsiTheme="majorEastAsia" w:eastAsiaTheme="majorEastAsia"/>
                <w:kern w:val="0"/>
                <w:sz w:val="20"/>
                <w:szCs w:val="20"/>
              </w:rPr>
            </w:pPr>
            <w:r>
              <w:rPr>
                <w:rFonts w:asciiTheme="majorEastAsia" w:hAnsiTheme="majorEastAsia" w:eastAsiaTheme="majorEastAsia"/>
                <w:kern w:val="0"/>
                <w:sz w:val="20"/>
                <w:szCs w:val="20"/>
              </w:rPr>
              <w:t>67</w:t>
            </w:r>
            <w:r>
              <w:rPr>
                <w:rFonts w:hint="eastAsia" w:asciiTheme="majorEastAsia" w:hAnsiTheme="majorEastAsia" w:eastAsiaTheme="majorEastAsia"/>
                <w:kern w:val="0"/>
                <w:sz w:val="20"/>
                <w:szCs w:val="20"/>
              </w:rPr>
              <w:t>个</w:t>
            </w:r>
          </w:p>
        </w:tc>
        <w:tc>
          <w:tcPr>
            <w:tcW w:w="2943" w:type="dxa"/>
          </w:tcPr>
          <w:p>
            <w:pPr>
              <w:jc w:val="center"/>
              <w:rPr>
                <w:rFonts w:asciiTheme="majorEastAsia" w:hAnsiTheme="majorEastAsia" w:eastAsiaTheme="majorEastAsia"/>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1555" w:type="dxa"/>
            <w:noWrap/>
          </w:tcPr>
          <w:p>
            <w:pPr>
              <w:jc w:val="center"/>
              <w:rPr>
                <w:rFonts w:asciiTheme="majorEastAsia" w:hAnsiTheme="majorEastAsia" w:eastAsiaTheme="majorEastAsia"/>
                <w:kern w:val="0"/>
                <w:sz w:val="20"/>
                <w:szCs w:val="20"/>
              </w:rPr>
            </w:pPr>
            <w:r>
              <w:rPr>
                <w:rFonts w:hint="eastAsia" w:asciiTheme="majorEastAsia" w:hAnsiTheme="majorEastAsia" w:eastAsiaTheme="majorEastAsia"/>
                <w:kern w:val="0"/>
                <w:sz w:val="20"/>
                <w:szCs w:val="20"/>
              </w:rPr>
              <w:t>秩序维护及消防维护岗位</w:t>
            </w:r>
          </w:p>
        </w:tc>
        <w:tc>
          <w:tcPr>
            <w:tcW w:w="1389" w:type="dxa"/>
            <w:noWrap/>
          </w:tcPr>
          <w:p>
            <w:pPr>
              <w:jc w:val="center"/>
              <w:rPr>
                <w:rFonts w:asciiTheme="majorEastAsia" w:hAnsiTheme="majorEastAsia" w:eastAsiaTheme="majorEastAsia"/>
                <w:kern w:val="0"/>
                <w:sz w:val="20"/>
                <w:szCs w:val="20"/>
              </w:rPr>
            </w:pPr>
            <w:r>
              <w:rPr>
                <w:rFonts w:asciiTheme="majorEastAsia" w:hAnsiTheme="majorEastAsia" w:eastAsiaTheme="majorEastAsia"/>
                <w:kern w:val="0"/>
                <w:sz w:val="20"/>
                <w:szCs w:val="20"/>
              </w:rPr>
              <w:t>18</w:t>
            </w:r>
            <w:r>
              <w:rPr>
                <w:rFonts w:hint="eastAsia" w:asciiTheme="majorEastAsia" w:hAnsiTheme="majorEastAsia" w:eastAsiaTheme="majorEastAsia"/>
                <w:kern w:val="0"/>
                <w:sz w:val="20"/>
                <w:szCs w:val="20"/>
              </w:rPr>
              <w:t>个</w:t>
            </w:r>
          </w:p>
        </w:tc>
        <w:tc>
          <w:tcPr>
            <w:tcW w:w="2943" w:type="dxa"/>
          </w:tcPr>
          <w:p>
            <w:pPr>
              <w:jc w:val="center"/>
              <w:rPr>
                <w:rFonts w:asciiTheme="majorEastAsia" w:hAnsiTheme="majorEastAsia" w:eastAsiaTheme="majorEastAsia"/>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1555" w:type="dxa"/>
            <w:noWrap/>
          </w:tcPr>
          <w:p>
            <w:pPr>
              <w:jc w:val="center"/>
              <w:rPr>
                <w:rFonts w:asciiTheme="majorEastAsia" w:hAnsiTheme="majorEastAsia" w:eastAsiaTheme="majorEastAsia"/>
                <w:kern w:val="0"/>
                <w:sz w:val="20"/>
                <w:szCs w:val="20"/>
              </w:rPr>
            </w:pPr>
            <w:r>
              <w:rPr>
                <w:rFonts w:hint="eastAsia" w:asciiTheme="majorEastAsia" w:hAnsiTheme="majorEastAsia" w:eastAsiaTheme="majorEastAsia"/>
                <w:kern w:val="0"/>
                <w:sz w:val="20"/>
                <w:szCs w:val="20"/>
              </w:rPr>
              <w:t>后勤服务人员岗位</w:t>
            </w:r>
          </w:p>
        </w:tc>
        <w:tc>
          <w:tcPr>
            <w:tcW w:w="1389" w:type="dxa"/>
            <w:noWrap/>
          </w:tcPr>
          <w:p>
            <w:pPr>
              <w:jc w:val="center"/>
              <w:rPr>
                <w:rFonts w:asciiTheme="majorEastAsia" w:hAnsiTheme="majorEastAsia" w:eastAsiaTheme="majorEastAsia"/>
                <w:kern w:val="0"/>
                <w:sz w:val="20"/>
                <w:szCs w:val="20"/>
              </w:rPr>
            </w:pPr>
            <w:r>
              <w:rPr>
                <w:rFonts w:asciiTheme="majorEastAsia" w:hAnsiTheme="majorEastAsia" w:eastAsiaTheme="majorEastAsia"/>
                <w:kern w:val="0"/>
                <w:sz w:val="20"/>
                <w:szCs w:val="20"/>
              </w:rPr>
              <w:t>15</w:t>
            </w:r>
            <w:r>
              <w:rPr>
                <w:rFonts w:hint="eastAsia" w:asciiTheme="majorEastAsia" w:hAnsiTheme="majorEastAsia" w:eastAsiaTheme="majorEastAsia"/>
                <w:kern w:val="0"/>
                <w:sz w:val="20"/>
                <w:szCs w:val="20"/>
              </w:rPr>
              <w:t>个</w:t>
            </w:r>
          </w:p>
        </w:tc>
        <w:tc>
          <w:tcPr>
            <w:tcW w:w="2943" w:type="dxa"/>
          </w:tcPr>
          <w:p>
            <w:pPr>
              <w:jc w:val="center"/>
              <w:rPr>
                <w:rFonts w:asciiTheme="majorEastAsia" w:hAnsiTheme="majorEastAsia" w:eastAsiaTheme="majorEastAsia"/>
                <w:color w:val="00B05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1" w:hRule="atLeast"/>
          <w:jc w:val="center"/>
        </w:trPr>
        <w:tc>
          <w:tcPr>
            <w:tcW w:w="1555" w:type="dxa"/>
            <w:noWrap/>
          </w:tcPr>
          <w:p>
            <w:pPr>
              <w:jc w:val="center"/>
              <w:rPr>
                <w:rFonts w:asciiTheme="majorEastAsia" w:hAnsiTheme="majorEastAsia" w:eastAsiaTheme="majorEastAsia"/>
                <w:kern w:val="0"/>
                <w:sz w:val="20"/>
                <w:szCs w:val="20"/>
              </w:rPr>
            </w:pPr>
            <w:r>
              <w:rPr>
                <w:rFonts w:hint="eastAsia" w:asciiTheme="majorEastAsia" w:hAnsiTheme="majorEastAsia" w:eastAsiaTheme="majorEastAsia"/>
                <w:kern w:val="0"/>
                <w:sz w:val="20"/>
                <w:szCs w:val="20"/>
              </w:rPr>
              <w:t>合计</w:t>
            </w:r>
          </w:p>
        </w:tc>
        <w:tc>
          <w:tcPr>
            <w:tcW w:w="1389" w:type="dxa"/>
            <w:noWrap/>
          </w:tcPr>
          <w:p>
            <w:pPr>
              <w:jc w:val="center"/>
              <w:rPr>
                <w:rFonts w:asciiTheme="majorEastAsia" w:hAnsiTheme="majorEastAsia" w:eastAsiaTheme="majorEastAsia"/>
                <w:kern w:val="0"/>
                <w:sz w:val="20"/>
                <w:szCs w:val="20"/>
              </w:rPr>
            </w:pPr>
            <w:r>
              <w:rPr>
                <w:rFonts w:hint="eastAsia" w:asciiTheme="majorEastAsia" w:hAnsiTheme="majorEastAsia" w:eastAsiaTheme="majorEastAsia"/>
                <w:kern w:val="0"/>
                <w:sz w:val="20"/>
                <w:szCs w:val="20"/>
              </w:rPr>
              <w:t>1</w:t>
            </w:r>
            <w:r>
              <w:rPr>
                <w:rFonts w:asciiTheme="majorEastAsia" w:hAnsiTheme="majorEastAsia" w:eastAsiaTheme="majorEastAsia"/>
                <w:kern w:val="0"/>
                <w:sz w:val="20"/>
                <w:szCs w:val="20"/>
              </w:rPr>
              <w:t>03</w:t>
            </w:r>
            <w:r>
              <w:rPr>
                <w:rFonts w:hint="eastAsia" w:asciiTheme="majorEastAsia" w:hAnsiTheme="majorEastAsia" w:eastAsiaTheme="majorEastAsia"/>
                <w:kern w:val="0"/>
                <w:sz w:val="20"/>
                <w:szCs w:val="20"/>
              </w:rPr>
              <w:t>个</w:t>
            </w:r>
          </w:p>
        </w:tc>
        <w:tc>
          <w:tcPr>
            <w:tcW w:w="2943" w:type="dxa"/>
          </w:tcPr>
          <w:p>
            <w:pPr>
              <w:jc w:val="center"/>
              <w:rPr>
                <w:rFonts w:asciiTheme="majorEastAsia" w:hAnsiTheme="majorEastAsia" w:eastAsiaTheme="majorEastAsia"/>
                <w:kern w:val="0"/>
                <w:sz w:val="20"/>
                <w:szCs w:val="20"/>
              </w:rPr>
            </w:pPr>
          </w:p>
        </w:tc>
      </w:tr>
    </w:tbl>
    <w:p>
      <w:pPr>
        <w:rPr>
          <w:rFonts w:asciiTheme="majorEastAsia" w:hAnsiTheme="majorEastAsia" w:eastAsiaTheme="majorEastAsia"/>
        </w:rPr>
      </w:pPr>
    </w:p>
    <w:p>
      <w:pPr>
        <w:pStyle w:val="5"/>
        <w:spacing w:line="360" w:lineRule="auto"/>
        <w:jc w:val="left"/>
        <w:rPr>
          <w:rFonts w:asciiTheme="majorEastAsia" w:hAnsiTheme="majorEastAsia" w:eastAsiaTheme="majorEastAsia"/>
          <w:sz w:val="24"/>
          <w:szCs w:val="28"/>
        </w:rPr>
      </w:pPr>
      <w:bookmarkStart w:id="242" w:name="_Toc14701643"/>
      <w:bookmarkStart w:id="243" w:name="_Toc10018603"/>
      <w:r>
        <w:rPr>
          <w:rFonts w:hint="eastAsia" w:asciiTheme="majorEastAsia" w:hAnsiTheme="majorEastAsia" w:eastAsiaTheme="majorEastAsia"/>
          <w:sz w:val="24"/>
          <w:szCs w:val="28"/>
        </w:rPr>
        <w:t>三、商务要求:</w:t>
      </w:r>
      <w:bookmarkEnd w:id="242"/>
      <w:bookmarkEnd w:id="243"/>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1.医院依据前一个月考核结果，作为支付投标人管理服务费的依据。医院将在通报考核结果后 5 个工作日内决定支付、扣减或停止支付上月管理服务费，考核分值如下：</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1.1考核分数为 90 分及以上则全额支付上月管理服务费；</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1.2考核分数为 85—90 分（不含 90 分）扣减上月管理服务费的1%；</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1.3考核分数为 80—85 分（不含 85 分）扣减上月管理服务费的2%；</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1.4考核分数为 75—80 分（不含80 分）扣减上月管理服务费的5%；</w:t>
      </w:r>
    </w:p>
    <w:p>
      <w:pPr>
        <w:spacing w:line="360" w:lineRule="auto"/>
        <w:rPr>
          <w:rFonts w:asciiTheme="majorEastAsia" w:hAnsiTheme="majorEastAsia" w:eastAsiaTheme="majorEastAsia"/>
          <w:sz w:val="24"/>
        </w:rPr>
      </w:pPr>
      <w:r>
        <w:rPr>
          <w:rFonts w:hint="eastAsia" w:asciiTheme="majorEastAsia" w:hAnsiTheme="majorEastAsia" w:eastAsiaTheme="majorEastAsia"/>
          <w:sz w:val="24"/>
        </w:rPr>
        <w:t>1.5考核分数为 75分及以下，责令其限期整改。限期整改合格的，扣减5%/月管理服务费。限期整改不合格的，扣减10%/月管理服务费，直至整改合格。</w:t>
      </w:r>
    </w:p>
    <w:p>
      <w:pPr>
        <w:spacing w:line="360" w:lineRule="auto"/>
        <w:rPr>
          <w:rFonts w:asciiTheme="majorEastAsia" w:hAnsiTheme="majorEastAsia" w:eastAsiaTheme="majorEastAsia"/>
          <w:b/>
          <w:bCs/>
          <w:sz w:val="28"/>
          <w:szCs w:val="28"/>
        </w:rPr>
      </w:pPr>
      <w:r>
        <w:rPr>
          <w:rFonts w:hint="eastAsia" w:asciiTheme="majorEastAsia" w:hAnsiTheme="majorEastAsia" w:eastAsiaTheme="majorEastAsia"/>
          <w:sz w:val="24"/>
        </w:rPr>
        <w:t>1.6投标人连续3次考核 75 分及以下的，医院有权单方面终止合同，取消其服务资格，并全额扣减其所有每月交付的5%</w:t>
      </w:r>
      <w:r>
        <w:rPr>
          <w:rFonts w:asciiTheme="majorEastAsia" w:hAnsiTheme="majorEastAsia" w:eastAsiaTheme="majorEastAsia"/>
          <w:sz w:val="24"/>
        </w:rPr>
        <w:t>/</w:t>
      </w:r>
      <w:r>
        <w:rPr>
          <w:rFonts w:hint="eastAsia" w:asciiTheme="majorEastAsia" w:hAnsiTheme="majorEastAsia" w:eastAsiaTheme="majorEastAsia"/>
          <w:sz w:val="24"/>
        </w:rPr>
        <w:t xml:space="preserve">月管理服务费，将按有关规定重新招标确定物业服务单位。  </w:t>
      </w:r>
    </w:p>
    <w:p>
      <w:pPr>
        <w:pStyle w:val="84"/>
        <w:tabs>
          <w:tab w:val="left" w:pos="993"/>
          <w:tab w:val="left" w:pos="1134"/>
        </w:tabs>
        <w:spacing w:line="560" w:lineRule="exact"/>
        <w:ind w:firstLine="565" w:firstLineChars="201"/>
        <w:rPr>
          <w:rFonts w:hint="eastAsia" w:ascii="宋体" w:hAnsi="宋体" w:eastAsia="宋体"/>
          <w:b/>
          <w:color w:val="000000" w:themeColor="text1"/>
          <w:sz w:val="28"/>
          <w:szCs w:val="28"/>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2.本项目为包干价，本招标文件中所发生的一切费用均应包含在投标报价中，包括人力成本、物料成本、管理成本等，采购人不再另行支付。投标人应详细说明费用组成，包括保洁、秩序维护等分项人工成本，设备折旧，物料成本等。</w:t>
      </w:r>
    </w:p>
    <w:p>
      <w:pPr>
        <w:pStyle w:val="84"/>
        <w:tabs>
          <w:tab w:val="left" w:pos="993"/>
          <w:tab w:val="left" w:pos="1134"/>
        </w:tabs>
        <w:spacing w:line="560" w:lineRule="exact"/>
        <w:ind w:firstLine="565" w:firstLineChars="201"/>
        <w:rPr>
          <w:rFonts w:hint="eastAsia" w:ascii="宋体" w:hAnsi="宋体" w:eastAsia="宋体"/>
          <w:b/>
          <w:color w:val="000000" w:themeColor="text1"/>
          <w:sz w:val="28"/>
          <w:szCs w:val="28"/>
          <w:lang w:eastAsia="zh-CN"/>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3★.未经医院同意，投标人不得在合同期限内将本项目的管理权转包或发包。如违规转包或发包，采购人有权单方终止合同，且投标人必须赔偿由此给采购人带来的一切损失</w:t>
      </w:r>
      <w:r>
        <w:rPr>
          <w:rFonts w:hint="eastAsia" w:ascii="宋体" w:hAnsi="宋体" w:eastAsia="宋体"/>
          <w:b/>
          <w:color w:val="000000" w:themeColor="text1"/>
          <w:sz w:val="28"/>
          <w:szCs w:val="28"/>
          <w:lang w:eastAsia="zh-CN"/>
          <w14:textFill>
            <w14:solidFill>
              <w14:schemeClr w14:val="tx1"/>
            </w14:solidFill>
          </w14:textFill>
        </w:rPr>
        <w:t>。</w:t>
      </w:r>
    </w:p>
    <w:p>
      <w:pPr>
        <w:pStyle w:val="84"/>
        <w:tabs>
          <w:tab w:val="left" w:pos="993"/>
          <w:tab w:val="left" w:pos="1134"/>
        </w:tabs>
        <w:spacing w:line="560" w:lineRule="exact"/>
        <w:ind w:firstLine="565" w:firstLineChars="201"/>
        <w:rPr>
          <w:rFonts w:hint="eastAsia" w:ascii="宋体" w:hAnsi="宋体" w:eastAsia="宋体"/>
          <w:b/>
          <w:color w:val="000000" w:themeColor="text1"/>
          <w:sz w:val="28"/>
          <w:szCs w:val="28"/>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4.服务范围：负责院区内所有门诊、医技、行政、住院大楼、设备房、园林、通道、公共场地等的清洗保洁工作（包括：天花板、灯棚、房顶平台、墙面、电梯、地面、楼梯及扶手、窗户、窗帘、门、桌、椅、床单元、宣传栏、卫生间、新风机房、空调风口及过滤网、公共通道、公共场地等）。</w:t>
      </w:r>
    </w:p>
    <w:p>
      <w:pPr>
        <w:spacing w:line="360" w:lineRule="auto"/>
        <w:rPr>
          <w:rFonts w:asciiTheme="majorEastAsia" w:hAnsiTheme="majorEastAsia" w:eastAsiaTheme="majorEastAsia"/>
          <w:bCs/>
          <w:sz w:val="24"/>
        </w:rPr>
      </w:pPr>
      <w:r>
        <w:rPr>
          <w:rFonts w:hint="eastAsia" w:asciiTheme="majorEastAsia" w:hAnsiTheme="majorEastAsia" w:eastAsiaTheme="majorEastAsia"/>
          <w:bCs/>
          <w:sz w:val="24"/>
          <w:lang w:val="en-US" w:eastAsia="zh-CN"/>
        </w:rPr>
        <w:t>5</w:t>
      </w:r>
      <w:r>
        <w:rPr>
          <w:rFonts w:hint="eastAsia" w:asciiTheme="majorEastAsia" w:hAnsiTheme="majorEastAsia" w:eastAsiaTheme="majorEastAsia"/>
          <w:bCs/>
          <w:sz w:val="24"/>
        </w:rPr>
        <w:t>.验收方法：投标人与采购人应严格按照《财政部关于进一步加强政府采购需求和履约验收管理的指导意见》（财库〔2016〕205号）的要求进行验收。</w:t>
      </w:r>
    </w:p>
    <w:p>
      <w:pPr>
        <w:spacing w:line="360" w:lineRule="auto"/>
        <w:rPr>
          <w:rFonts w:asciiTheme="majorEastAsia" w:hAnsiTheme="majorEastAsia" w:eastAsiaTheme="majorEastAsia"/>
          <w:sz w:val="24"/>
        </w:rPr>
      </w:pPr>
      <w:r>
        <w:rPr>
          <w:rFonts w:hint="eastAsia" w:asciiTheme="majorEastAsia" w:hAnsiTheme="majorEastAsia" w:eastAsiaTheme="majorEastAsia"/>
          <w:bCs/>
          <w:sz w:val="24"/>
          <w:lang w:val="en-US" w:eastAsia="zh-CN"/>
        </w:rPr>
        <w:t>6</w:t>
      </w:r>
      <w:r>
        <w:rPr>
          <w:rFonts w:hint="eastAsia" w:asciiTheme="majorEastAsia" w:hAnsiTheme="majorEastAsia" w:eastAsiaTheme="majorEastAsia"/>
          <w:bCs/>
          <w:sz w:val="24"/>
          <w:lang w:val="zh-CN"/>
        </w:rPr>
        <w:t>.费用支付方式：</w:t>
      </w:r>
      <w:r>
        <w:rPr>
          <w:rFonts w:hint="eastAsia" w:asciiTheme="majorEastAsia" w:hAnsiTheme="majorEastAsia" w:eastAsiaTheme="majorEastAsia"/>
          <w:sz w:val="24"/>
        </w:rPr>
        <w:t>医院依据前一个月考核结果，作为支付中标人管理服务费的依据。</w:t>
      </w:r>
      <w:r>
        <w:rPr>
          <w:rFonts w:hint="eastAsia" w:asciiTheme="majorEastAsia" w:hAnsiTheme="majorEastAsia" w:eastAsiaTheme="majorEastAsia"/>
          <w:bCs/>
          <w:sz w:val="24"/>
          <w:lang w:val="zh-CN"/>
        </w:rPr>
        <w:t>中标人</w:t>
      </w:r>
      <w:r>
        <w:rPr>
          <w:rFonts w:hint="eastAsia" w:asciiTheme="majorEastAsia" w:hAnsiTheme="majorEastAsia" w:eastAsiaTheme="majorEastAsia"/>
          <w:sz w:val="24"/>
          <w:lang w:val="zh-CN"/>
        </w:rPr>
        <w:t>出具正式发票后甲方在</w:t>
      </w:r>
      <w:r>
        <w:rPr>
          <w:rFonts w:hint="eastAsia" w:asciiTheme="majorEastAsia" w:hAnsiTheme="majorEastAsia" w:eastAsiaTheme="majorEastAsia"/>
          <w:sz w:val="24"/>
        </w:rPr>
        <w:t>1</w:t>
      </w:r>
      <w:r>
        <w:rPr>
          <w:rFonts w:hint="eastAsia" w:asciiTheme="majorEastAsia" w:hAnsiTheme="majorEastAsia" w:eastAsiaTheme="majorEastAsia"/>
          <w:sz w:val="24"/>
          <w:lang w:val="zh-CN"/>
        </w:rPr>
        <w:t>5个工作日内以转账的方式按月支付服务费给</w:t>
      </w:r>
      <w:r>
        <w:rPr>
          <w:rFonts w:hint="eastAsia" w:asciiTheme="majorEastAsia" w:hAnsiTheme="majorEastAsia" w:eastAsiaTheme="majorEastAsia"/>
          <w:bCs/>
          <w:sz w:val="24"/>
          <w:lang w:val="zh-CN"/>
        </w:rPr>
        <w:t>中标人。</w:t>
      </w:r>
    </w:p>
    <w:bookmarkEnd w:id="230"/>
    <w:p>
      <w:pPr>
        <w:pStyle w:val="6"/>
        <w:numPr>
          <w:ilvl w:val="2"/>
          <w:numId w:val="3"/>
        </w:numPr>
        <w:spacing w:after="200" w:line="56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报价要求</w:t>
      </w:r>
    </w:p>
    <w:p>
      <w:pPr>
        <w:pStyle w:val="7"/>
        <w:numPr>
          <w:ilvl w:val="3"/>
          <w:numId w:val="3"/>
        </w:numPr>
        <w:spacing w:line="560" w:lineRule="exac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最高限价</w:t>
      </w:r>
    </w:p>
    <w:p>
      <w:pPr>
        <w:pStyle w:val="84"/>
        <w:tabs>
          <w:tab w:val="left" w:pos="993"/>
          <w:tab w:val="left" w:pos="1134"/>
        </w:tabs>
        <w:spacing w:line="560" w:lineRule="exact"/>
        <w:ind w:firstLine="565" w:firstLineChars="201"/>
        <w:rPr>
          <w:rFonts w:ascii="宋体" w:hAnsi="宋体" w:eastAsia="宋体"/>
          <w:b/>
          <w:color w:val="000000" w:themeColor="text1"/>
          <w:sz w:val="28"/>
          <w:szCs w:val="28"/>
          <w14:textFill>
            <w14:solidFill>
              <w14:schemeClr w14:val="tx1"/>
            </w14:solidFill>
          </w14:textFill>
        </w:rPr>
      </w:pPr>
      <w:r>
        <w:rPr>
          <w:rFonts w:hint="eastAsia" w:ascii="宋体" w:hAnsi="宋体" w:eastAsia="宋体"/>
          <w:b/>
          <w:color w:val="000000" w:themeColor="text1"/>
          <w:sz w:val="28"/>
          <w:szCs w:val="28"/>
          <w14:textFill>
            <w14:solidFill>
              <w14:schemeClr w14:val="tx1"/>
            </w14:solidFill>
          </w14:textFill>
        </w:rPr>
        <w:t>★本项目最高限价为人民币</w:t>
      </w:r>
      <w:r>
        <w:rPr>
          <w:rFonts w:hint="eastAsia" w:ascii="宋体" w:hAnsi="宋体" w:eastAsia="宋体"/>
          <w:b/>
          <w:color w:val="000000" w:themeColor="text1"/>
          <w:sz w:val="28"/>
          <w:szCs w:val="28"/>
          <w:lang w:val="en-US" w:eastAsia="zh-CN"/>
          <w14:textFill>
            <w14:solidFill>
              <w14:schemeClr w14:val="tx1"/>
            </w14:solidFill>
          </w14:textFill>
        </w:rPr>
        <w:t>398万</w:t>
      </w:r>
      <w:r>
        <w:rPr>
          <w:rFonts w:hint="eastAsia" w:ascii="宋体" w:hAnsi="宋体" w:eastAsia="宋体"/>
          <w:b/>
          <w:color w:val="000000" w:themeColor="text1"/>
          <w:sz w:val="28"/>
          <w:szCs w:val="28"/>
          <w14:textFill>
            <w14:solidFill>
              <w14:schemeClr w14:val="tx1"/>
            </w14:solidFill>
          </w14:textFill>
        </w:rPr>
        <w:t>/年，投标人投标报价高于最高限价的，则其投标文件将按无效投标文件处理。</w:t>
      </w:r>
    </w:p>
    <w:p>
      <w:pPr>
        <w:pStyle w:val="7"/>
        <w:numPr>
          <w:ilvl w:val="3"/>
          <w:numId w:val="3"/>
        </w:numPr>
        <w:spacing w:line="560" w:lineRule="exac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其他要求</w:t>
      </w:r>
    </w:p>
    <w:p>
      <w:pPr>
        <w:pStyle w:val="84"/>
        <w:tabs>
          <w:tab w:val="left" w:pos="993"/>
          <w:tab w:val="left" w:pos="1134"/>
        </w:tabs>
        <w:spacing w:line="560" w:lineRule="exact"/>
        <w:ind w:firstLine="568" w:firstLineChars="202"/>
        <w:rPr>
          <w:rFonts w:ascii="宋体" w:hAnsi="宋体" w:eastAsia="宋体"/>
          <w:b/>
          <w:color w:val="000000" w:themeColor="text1"/>
          <w:sz w:val="28"/>
          <w:szCs w:val="28"/>
          <w:lang w:val="zh-CN"/>
          <w14:textFill>
            <w14:solidFill>
              <w14:schemeClr w14:val="tx1"/>
            </w14:solidFill>
          </w14:textFill>
        </w:rPr>
      </w:pPr>
      <w:r>
        <w:rPr>
          <w:rFonts w:hint="eastAsia" w:ascii="宋体" w:hAnsi="宋体" w:eastAsia="宋体"/>
          <w:b/>
          <w:color w:val="000000" w:themeColor="text1"/>
          <w:sz w:val="28"/>
          <w:szCs w:val="28"/>
          <w:lang w:val="zh-CN"/>
          <w14:textFill>
            <w14:solidFill>
              <w14:schemeClr w14:val="tx1"/>
            </w14:solidFill>
          </w14:textFill>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spacing w:line="360" w:lineRule="auto"/>
        <w:ind w:firstLine="565" w:firstLineChars="202"/>
        <w:rPr>
          <w:rFonts w:asciiTheme="minorEastAsia" w:hAnsiTheme="minorEastAsia" w:eastAsiaTheme="minorEastAsia"/>
          <w:color w:val="000000" w:themeColor="text1"/>
          <w:sz w:val="28"/>
          <w:szCs w:val="28"/>
          <w14:textFill>
            <w14:solidFill>
              <w14:schemeClr w14:val="tx1"/>
            </w14:solidFill>
          </w14:textFill>
        </w:rPr>
      </w:pPr>
    </w:p>
    <w:p>
      <w:pPr>
        <w:spacing w:line="360" w:lineRule="auto"/>
        <w:ind w:firstLine="565" w:firstLineChars="202"/>
        <w:rPr>
          <w:rFonts w:asciiTheme="minorEastAsia" w:hAnsiTheme="minorEastAsia" w:eastAsiaTheme="minorEastAsia"/>
          <w:color w:val="000000" w:themeColor="text1"/>
          <w:sz w:val="28"/>
          <w:szCs w:val="28"/>
          <w14:textFill>
            <w14:solidFill>
              <w14:schemeClr w14:val="tx1"/>
            </w14:solidFill>
          </w14:textFill>
        </w:rPr>
      </w:pPr>
    </w:p>
    <w:p>
      <w:pPr>
        <w:spacing w:line="360" w:lineRule="auto"/>
        <w:rPr>
          <w:rFonts w:asciiTheme="minorEastAsia" w:hAnsiTheme="minorEastAsia" w:eastAsiaTheme="minorEastAsia"/>
          <w:color w:val="000000" w:themeColor="text1"/>
          <w:sz w:val="28"/>
          <w:szCs w:val="28"/>
          <w14:textFill>
            <w14:solidFill>
              <w14:schemeClr w14:val="tx1"/>
            </w14:solidFill>
          </w14:textFill>
        </w:rPr>
      </w:pPr>
    </w:p>
    <w:bookmarkEnd w:id="231"/>
    <w:bookmarkEnd w:id="232"/>
    <w:bookmarkEnd w:id="233"/>
    <w:bookmarkEnd w:id="234"/>
    <w:bookmarkEnd w:id="235"/>
    <w:p>
      <w:pPr>
        <w:pStyle w:val="4"/>
        <w:numPr>
          <w:ilvl w:val="0"/>
          <w:numId w:val="3"/>
        </w:numPr>
        <w:spacing w:before="0" w:after="0" w:line="360" w:lineRule="auto"/>
        <w:ind w:left="0" w:firstLine="0"/>
        <w:rPr>
          <w:color w:val="000000" w:themeColor="text1"/>
          <w14:textFill>
            <w14:solidFill>
              <w14:schemeClr w14:val="tx1"/>
            </w14:solidFill>
          </w14:textFill>
        </w:rPr>
      </w:pPr>
      <w:bookmarkStart w:id="244" w:name="_Toc75336306"/>
      <w:bookmarkStart w:id="245" w:name="_Toc7093"/>
      <w:bookmarkStart w:id="246" w:name="_Toc10524"/>
      <w:bookmarkStart w:id="247" w:name="_Toc1676"/>
      <w:bookmarkStart w:id="248" w:name="_Toc7800"/>
      <w:r>
        <w:rPr>
          <w:rFonts w:hint="eastAsia"/>
          <w:color w:val="000000" w:themeColor="text1"/>
          <w14:textFill>
            <w14:solidFill>
              <w14:schemeClr w14:val="tx1"/>
            </w14:solidFill>
          </w14:textFill>
        </w:rPr>
        <w:t>资格性审查</w:t>
      </w:r>
      <w:bookmarkEnd w:id="244"/>
      <w:bookmarkEnd w:id="245"/>
      <w:bookmarkEnd w:id="246"/>
      <w:bookmarkEnd w:id="247"/>
      <w:bookmarkEnd w:id="248"/>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资格性审查由采购人组建的资格审查小组依据法律法规和招标文件的规定，对投标文件中的资格证明等进行审查，以确定投标人是否具备投标资格，并出具资格性审查报告。</w:t>
      </w:r>
    </w:p>
    <w:p>
      <w:pPr>
        <w:tabs>
          <w:tab w:val="left" w:pos="851"/>
        </w:tabs>
        <w:spacing w:line="360" w:lineRule="auto"/>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资格性审查时因断电、断网、系统故障或其他不可抗力等因素，导致资格审查小组无法通过系统阅读投标文件进行审查的，待系统恢复后继续审查。资格性审查标准见下表：</w:t>
      </w:r>
    </w:p>
    <w:tbl>
      <w:tblPr>
        <w:tblStyle w:val="43"/>
        <w:tblW w:w="8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700"/>
        <w:gridCol w:w="1197"/>
        <w:gridCol w:w="5940"/>
        <w:gridCol w:w="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3" w:type="dxa"/>
        </w:trPr>
        <w:tc>
          <w:tcPr>
            <w:tcW w:w="2585" w:type="dxa"/>
            <w:gridSpan w:val="3"/>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b/>
                <w:color w:val="000000" w:themeColor="text1"/>
                <w:sz w:val="20"/>
                <w14:textFill>
                  <w14:solidFill>
                    <w14:schemeClr w14:val="tx1"/>
                  </w14:solidFill>
                </w14:textFill>
              </w:rPr>
            </w:pPr>
            <w:r>
              <w:rPr>
                <w:b/>
                <w:color w:val="000000" w:themeColor="text1"/>
                <w:sz w:val="20"/>
                <w14:textFill>
                  <w14:solidFill>
                    <w14:schemeClr w14:val="tx1"/>
                  </w14:solidFill>
                </w14:textFill>
              </w:rPr>
              <w:t>资格性审查项</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000000" w:themeColor="text1"/>
                <w:sz w:val="20"/>
                <w14:textFill>
                  <w14:solidFill>
                    <w14:schemeClr w14:val="tx1"/>
                  </w14:solidFill>
                </w14:textFill>
              </w:rPr>
            </w:pPr>
            <w:r>
              <w:rPr>
                <w:b/>
                <w:color w:val="000000" w:themeColor="text1"/>
                <w:sz w:val="20"/>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3" w:type="dxa"/>
        </w:trPr>
        <w:tc>
          <w:tcPr>
            <w:tcW w:w="68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p>
        </w:tc>
        <w:tc>
          <w:tcPr>
            <w:tcW w:w="1897"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在中华人民共和国境内依法登记注册，并有效存续具有独立法人资格的</w:t>
            </w:r>
            <w:r>
              <w:rPr>
                <w:rFonts w:hint="eastAsia"/>
                <w:color w:val="000000" w:themeColor="text1"/>
                <w:sz w:val="20"/>
                <w14:textFill>
                  <w14:solidFill>
                    <w14:schemeClr w14:val="tx1"/>
                  </w14:solidFill>
                </w14:textFill>
              </w:rPr>
              <w:t>供应商</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营业执照复印件（正本或副本）或法人证书复印件（正本或副本）</w:t>
            </w:r>
            <w:r>
              <w:rPr>
                <w:rFonts w:hint="eastAsia"/>
                <w:color w:val="000000" w:themeColor="text1"/>
                <w:sz w:val="20"/>
                <w14:textFill>
                  <w14:solidFill>
                    <w14:schemeClr w14:val="tx1"/>
                  </w14:solidFill>
                </w14:textFill>
              </w:rPr>
              <w:t>。</w:t>
            </w:r>
            <w:r>
              <w:rPr>
                <w:color w:val="000000" w:themeColor="text1"/>
                <w:sz w:val="20"/>
                <w14:textFill>
                  <w14:solidFill>
                    <w14:schemeClr w14:val="tx1"/>
                  </w14:solidFill>
                </w14:textFill>
              </w:rPr>
              <w:t>【说明：</w:t>
            </w:r>
            <w:r>
              <w:rPr>
                <w:rFonts w:hint="eastAsia" w:ascii="宋体" w:hAnsi="宋体"/>
                <w:color w:val="000000" w:themeColor="text1"/>
                <w:sz w:val="20"/>
                <w:szCs w:val="28"/>
                <w14:textFill>
                  <w14:solidFill>
                    <w14:schemeClr w14:val="tx1"/>
                  </w14:solidFill>
                </w14:textFill>
              </w:rPr>
              <w:t>①</w:t>
            </w:r>
            <w:r>
              <w:rPr>
                <w:color w:val="000000" w:themeColor="text1"/>
                <w:sz w:val="20"/>
                <w14:textFill>
                  <w14:solidFill>
                    <w14:schemeClr w14:val="tx1"/>
                  </w14:solidFill>
                </w14:textFill>
              </w:rPr>
              <w:t>营业执照或法人证书载明有期限的，应在有效期限内；</w:t>
            </w:r>
            <w:r>
              <w:rPr>
                <w:rFonts w:hint="eastAsia" w:ascii="宋体" w:hAnsi="宋体"/>
                <w:color w:val="000000" w:themeColor="text1"/>
                <w:sz w:val="20"/>
                <w:szCs w:val="28"/>
                <w14:textFill>
                  <w14:solidFill>
                    <w14:schemeClr w14:val="tx1"/>
                  </w14:solidFill>
                </w14:textFill>
              </w:rPr>
              <w:t>②</w:t>
            </w:r>
            <w:r>
              <w:rPr>
                <w:color w:val="000000" w:themeColor="text1"/>
                <w:sz w:val="20"/>
                <w14:textFill>
                  <w14:solidFill>
                    <w14:schemeClr w14:val="tx1"/>
                  </w14:solidFill>
                </w14:textFill>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8"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2</w:t>
            </w:r>
          </w:p>
        </w:tc>
        <w:tc>
          <w:tcPr>
            <w:tcW w:w="700" w:type="dxa"/>
            <w:vMerge w:val="restart"/>
            <w:tcBorders>
              <w:top w:val="single" w:color="auto" w:sz="2" w:space="0"/>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书面声明材料</w:t>
            </w: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具有良好的商业信誉的证明材料</w:t>
            </w:r>
          </w:p>
        </w:tc>
        <w:tc>
          <w:tcPr>
            <w:tcW w:w="59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投标人具有良好的商业信誉的书面声明材料。【说明：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章的内容及要求提供书面声明材料</w:t>
            </w:r>
            <w:r>
              <w:rPr>
                <w:rFonts w:hint="eastAsia" w:ascii="宋体" w:hAnsi="宋体"/>
                <w:color w:val="000000" w:themeColor="text1"/>
                <w:sz w:val="20"/>
                <w:szCs w:val="28"/>
                <w14:textFill>
                  <w14:solidFill>
                    <w14:schemeClr w14:val="tx1"/>
                  </w14:solidFill>
                </w14:textFill>
              </w:rPr>
              <w:t>；②供应商具有良好的商业信誉</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参加政府采购活动前三年内，在经营活动中没有重大违法记录</w:t>
            </w:r>
          </w:p>
        </w:tc>
        <w:tc>
          <w:tcPr>
            <w:tcW w:w="5993"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投标人参加政府采购活动前三年内，在经营活动中没有重大违法记录的书面声明材料。【说明：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章的内容及要求提供书面声明材料；</w:t>
            </w:r>
            <w:r>
              <w:rPr>
                <w:rFonts w:hint="eastAsia" w:ascii="宋体" w:hAnsi="宋体"/>
                <w:color w:val="000000" w:themeColor="text1"/>
                <w:sz w:val="20"/>
                <w:szCs w:val="28"/>
                <w14:textFill>
                  <w14:solidFill>
                    <w14:schemeClr w14:val="tx1"/>
                  </w14:solidFill>
                </w14:textFill>
              </w:rPr>
              <w:t>②供应商参加政府采购活动前三年内，在经营活动中没有重大违法记录</w:t>
            </w:r>
            <w:r>
              <w:rPr>
                <w:rFonts w:hint="eastAsia"/>
                <w:color w:val="000000" w:themeColor="text1"/>
                <w:sz w:val="20"/>
                <w14:textFill>
                  <w14:solidFill>
                    <w14:schemeClr w14:val="tx1"/>
                  </w14:solidFill>
                </w14:textFill>
              </w:rPr>
              <w:t>。】</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2. </w:t>
            </w:r>
            <w:r>
              <w:rPr>
                <w:rFonts w:hint="eastAsia"/>
                <w:color w:val="000000" w:themeColor="text1"/>
                <w:sz w:val="20"/>
                <w14:textFill>
                  <w14:solidFill>
                    <w14:schemeClr w14:val="tx1"/>
                  </w14:solidFill>
                </w14:textFill>
              </w:rPr>
              <w:t>资格审查小组根据</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信用中国</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和</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中国政府采购网</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未被列入失信被执行人、重大税收违法案件当事人名单、政府采购严重违法失信行为记录名单</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投标人未列入失信被执行人、重大税收违法案件当事人名单、政府采购严重违法失信行为记录名单的书面声明材料。【说明：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投标人未列入失信被执行人、重大税收违法案件当事人名单、政府采购严重违法失信行为记录名单；</w:t>
            </w:r>
            <w:r>
              <w:rPr>
                <w:rFonts w:hint="eastAsia" w:ascii="宋体" w:hAnsi="宋体"/>
                <w:color w:val="000000" w:themeColor="text1"/>
                <w:sz w:val="20"/>
                <w:szCs w:val="28"/>
                <w14:textFill>
                  <w14:solidFill>
                    <w14:schemeClr w14:val="tx1"/>
                  </w14:solidFill>
                </w14:textFill>
              </w:rPr>
              <w:t>②</w:t>
            </w:r>
            <w:r>
              <w:rPr>
                <w:rFonts w:hint="eastAsia"/>
                <w:color w:val="000000" w:themeColor="text1"/>
                <w:sz w:val="20"/>
                <w14:textFill>
                  <w14:solidFill>
                    <w14:schemeClr w14:val="tx1"/>
                  </w14:solidFill>
                </w14:textFill>
              </w:rPr>
              <w:t>按第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章的内容及要求提供书面声明材料。】</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 xml:space="preserve">2. </w:t>
            </w:r>
            <w:r>
              <w:rPr>
                <w:rFonts w:hint="eastAsia"/>
                <w:color w:val="000000" w:themeColor="text1"/>
                <w:sz w:val="20"/>
                <w14:textFill>
                  <w14:solidFill>
                    <w14:schemeClr w14:val="tx1"/>
                  </w14:solidFill>
                </w14:textFill>
              </w:rPr>
              <w:t>资格审查小组根据</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信用中国</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和</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中国政府采购网</w:t>
            </w:r>
            <w:r>
              <w:rPr>
                <w:color w:val="000000" w:themeColor="text1"/>
                <w:sz w:val="20"/>
                <w14:textFill>
                  <w14:solidFill>
                    <w14:schemeClr w14:val="tx1"/>
                  </w14:solidFill>
                </w14:textFill>
              </w:rPr>
              <w:t>”</w:t>
            </w:r>
            <w:r>
              <w:rPr>
                <w:rFonts w:hint="eastAsia"/>
                <w:color w:val="000000" w:themeColor="text1"/>
                <w:sz w:val="20"/>
                <w14:textFill>
                  <w14:solidFill>
                    <w14:schemeClr w14:val="tx1"/>
                  </w14:solidFill>
                </w14:textFill>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未处于被行政部门禁止参与政府采购活动的期限内</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投标人未处于被行政部门禁止参与政府采购活动的期限内。【说明：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章的内容及要求提供书面声明材料</w:t>
            </w:r>
            <w:r>
              <w:rPr>
                <w:rFonts w:hint="eastAsia" w:ascii="宋体" w:hAnsi="宋体"/>
                <w:color w:val="000000" w:themeColor="text1"/>
                <w:sz w:val="20"/>
                <w:szCs w:val="28"/>
                <w14:textFill>
                  <w14:solidFill>
                    <w14:schemeClr w14:val="tx1"/>
                  </w14:solidFill>
                </w14:textFill>
              </w:rPr>
              <w:t>；②供应商未处于被行政部门禁止参与政府采购活动的期限内。</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行贿犯罪记录</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在行贿犯罪信息查询期限内，投标人及其现任法定代表人、主要负责人没有行贿犯罪记录的书面声明材料。【说明：</w:t>
            </w:r>
            <w:r>
              <w:rPr>
                <w:rFonts w:hint="eastAsia" w:ascii="宋体" w:hAnsi="宋体"/>
                <w:color w:val="000000" w:themeColor="text1"/>
                <w:sz w:val="20"/>
                <w:szCs w:val="28"/>
                <w14:textFill>
                  <w14:solidFill>
                    <w14:schemeClr w14:val="tx1"/>
                  </w14:solidFill>
                </w14:textFill>
              </w:rPr>
              <w:t>①</w:t>
            </w:r>
            <w:r>
              <w:rPr>
                <w:rFonts w:hint="eastAsia"/>
                <w:color w:val="000000" w:themeColor="text1"/>
                <w:sz w:val="20"/>
                <w14:textFill>
                  <w14:solidFill>
                    <w14:schemeClr w14:val="tx1"/>
                  </w14:solidFill>
                </w14:textFill>
              </w:rPr>
              <w:t>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章的内容及要求提供书面声明材料，投标文件中不需提供中国裁判文书网（</w:t>
            </w:r>
            <w:r>
              <w:rPr>
                <w:color w:val="000000" w:themeColor="text1"/>
                <w:sz w:val="20"/>
                <w14:textFill>
                  <w14:solidFill>
                    <w14:schemeClr w14:val="tx1"/>
                  </w14:solidFill>
                </w14:textFill>
              </w:rPr>
              <w:t>https://wenshu.court.gov.cn</w:t>
            </w:r>
            <w:r>
              <w:rPr>
                <w:rFonts w:hint="eastAsia"/>
                <w:color w:val="000000" w:themeColor="text1"/>
                <w:sz w:val="20"/>
                <w14:textFill>
                  <w14:solidFill>
                    <w14:schemeClr w14:val="tx1"/>
                  </w14:solidFill>
                </w14:textFill>
              </w:rPr>
              <w:t>）查询结果的证明材料；</w:t>
            </w:r>
            <w:r>
              <w:rPr>
                <w:rFonts w:hint="eastAsia" w:ascii="宋体" w:hAnsi="宋体"/>
                <w:color w:val="000000" w:themeColor="text1"/>
                <w:sz w:val="20"/>
                <w:szCs w:val="28"/>
                <w14:textFill>
                  <w14:solidFill>
                    <w14:schemeClr w14:val="tx1"/>
                  </w14:solidFill>
                </w14:textFill>
              </w:rPr>
              <w:t>②在行贿犯罪信息查询期限内，供应商及其现任法定代表人、主要负责人没有行贿犯罪记录</w:t>
            </w:r>
            <w:r>
              <w:rPr>
                <w:rFonts w:hint="eastAsia"/>
                <w:color w:val="000000" w:themeColor="text1"/>
                <w:sz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3" w:type="dxa"/>
        </w:trPr>
        <w:tc>
          <w:tcPr>
            <w:tcW w:w="688"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bottom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单位负责人为同一人或者存在直接控股、管理关系的不同供应商，不得参加同一项目的投标</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与投标人负责人为同一人或者存在直接控股、管理关系的相关供应商的书面声明材料。【说明：①按招标文件第</w:t>
            </w:r>
            <w:r>
              <w:rPr>
                <w:color w:val="000000" w:themeColor="text1"/>
                <w:sz w:val="20"/>
                <w14:textFill>
                  <w14:solidFill>
                    <w14:schemeClr w14:val="tx1"/>
                  </w14:solidFill>
                </w14:textFill>
              </w:rPr>
              <w:t>3</w:t>
            </w:r>
            <w:r>
              <w:rPr>
                <w:rFonts w:hint="eastAsia"/>
                <w:color w:val="000000" w:themeColor="text1"/>
                <w:sz w:val="20"/>
                <w14:textFill>
                  <w14:solidFill>
                    <w14:schemeClr w14:val="tx1"/>
                  </w14:solidFill>
                </w14:textFill>
              </w:rPr>
              <w:t>章的内容及要求提供书面声明材料；②参加投标的供应商中无与投标人的负责人为同一人或者存在直接控股、管理关系的供应商。】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3" w:type="dxa"/>
          <w:trHeight w:val="2340" w:hRule="atLeast"/>
        </w:trPr>
        <w:tc>
          <w:tcPr>
            <w:tcW w:w="688" w:type="dxa"/>
            <w:vMerge w:val="restart"/>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3</w:t>
            </w:r>
          </w:p>
        </w:tc>
        <w:tc>
          <w:tcPr>
            <w:tcW w:w="700" w:type="dxa"/>
            <w:vMerge w:val="restart"/>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其他</w:t>
            </w:r>
          </w:p>
        </w:tc>
        <w:tc>
          <w:tcPr>
            <w:tcW w:w="1197" w:type="dxa"/>
            <w:tcBorders>
              <w:top w:val="single" w:color="auto" w:sz="2" w:space="0"/>
              <w:left w:val="single" w:color="auto" w:sz="4"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具有履行合同所必须的设备和专业技术能力</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采购人对投标人履行合同所必</w:t>
            </w:r>
            <w:r>
              <w:rPr>
                <w:rFonts w:hint="eastAsia"/>
                <w:color w:val="000000" w:themeColor="text1"/>
                <w:sz w:val="20"/>
                <w:lang w:val="en-US" w:eastAsia="zh-CN"/>
                <w14:textFill>
                  <w14:solidFill>
                    <w14:schemeClr w14:val="tx1"/>
                  </w14:solidFill>
                </w14:textFill>
              </w:rPr>
              <w:t>需</w:t>
            </w:r>
            <w:r>
              <w:rPr>
                <w:rFonts w:hint="eastAsia"/>
                <w:color w:val="000000" w:themeColor="text1"/>
                <w:sz w:val="20"/>
                <w14:textFill>
                  <w14:solidFill>
                    <w14:schemeClr w14:val="tx1"/>
                  </w14:solidFill>
                </w14:textFill>
              </w:rPr>
              <w:t>的设备和专业技术能力无其他特殊要求，投标人具有有效的营业执照或法人证书</w:t>
            </w:r>
            <w:r>
              <w:rPr>
                <w:rFonts w:hint="eastAsia" w:ascii="宋体" w:hAnsi="宋体"/>
                <w:color w:val="000000" w:themeColor="text1"/>
                <w:sz w:val="20"/>
                <w:szCs w:val="28"/>
                <w14:textFill>
                  <w14:solidFill>
                    <w14:schemeClr w14:val="tx1"/>
                  </w14:solidFill>
                </w14:textFill>
              </w:rPr>
              <w:t>即可，可不提供其他证明材料</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不属于其他国家相关法律法规规定的禁止参加投标的供应商</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1</w:t>
            </w:r>
            <w:r>
              <w:rPr>
                <w:rFonts w:hint="eastAsia"/>
                <w:color w:val="000000" w:themeColor="text1"/>
                <w:sz w:val="20"/>
                <w14:textFill>
                  <w14:solidFill>
                    <w14:schemeClr w14:val="tx1"/>
                  </w14:solidFill>
                </w14:textFill>
              </w:rPr>
              <w:t>、根据招标文件的要求不属于禁止参加投标或投标无效的供应商；</w:t>
            </w:r>
          </w:p>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2</w:t>
            </w:r>
            <w:r>
              <w:rPr>
                <w:rFonts w:hint="eastAsia"/>
                <w:color w:val="000000" w:themeColor="text1"/>
                <w:sz w:val="20"/>
                <w14:textFill>
                  <w14:solidFill>
                    <w14:schemeClr w14:val="tx1"/>
                  </w14:solidFill>
                </w14:textFill>
              </w:rPr>
              <w:t>、资格审查小组未发现或者未知晓投标人存在属于国家相关法律法规规定的禁止参加投标或投标无效的供应商。</w:t>
            </w:r>
          </w:p>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3" w:type="dxa"/>
          <w:trHeight w:val="1399" w:hRule="atLeast"/>
        </w:trPr>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联合体投标</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投标文件解密情况</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color w:val="000000" w:themeColor="text1"/>
                <w:sz w:val="20"/>
                <w:szCs w:val="28"/>
                <w14:textFill>
                  <w14:solidFill>
                    <w14:schemeClr w14:val="tx1"/>
                  </w14:solidFill>
                </w14:textFill>
              </w:rPr>
              <w:t>除因断电、断网、系统故障或其他不可抗力等因素，导致系统无法使用外，投标文件已成功解密。</w:t>
            </w:r>
            <w:r>
              <w:rPr>
                <w:rFonts w:hint="eastAsia"/>
                <w:color w:val="000000" w:themeColor="text1"/>
                <w:sz w:val="20"/>
                <w14:textFill>
                  <w14:solidFill>
                    <w14:schemeClr w14:val="tx1"/>
                  </w14:solidFill>
                </w14:textFill>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投标文件签章</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sz w:val="20"/>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3" w:type="dxa"/>
        </w:trPr>
        <w:tc>
          <w:tcPr>
            <w:tcW w:w="688" w:type="dxa"/>
            <w:vMerge w:val="continue"/>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p>
        </w:tc>
        <w:tc>
          <w:tcPr>
            <w:tcW w:w="700" w:type="dxa"/>
            <w:vMerge w:val="continue"/>
            <w:tcBorders>
              <w:left w:val="single" w:color="auto" w:sz="2" w:space="0"/>
              <w:right w:val="single" w:color="auto" w:sz="4" w:space="0"/>
            </w:tcBorders>
            <w:vAlign w:val="center"/>
          </w:tcPr>
          <w:p>
            <w:pPr>
              <w:tabs>
                <w:tab w:val="left" w:pos="851"/>
              </w:tabs>
              <w:spacing w:line="360" w:lineRule="auto"/>
              <w:rPr>
                <w:color w:val="000000" w:themeColor="text1"/>
                <w:sz w:val="20"/>
                <w14:textFill>
                  <w14:solidFill>
                    <w14:schemeClr w14:val="tx1"/>
                  </w14:solidFill>
                </w14:textFill>
              </w:rPr>
            </w:pPr>
          </w:p>
        </w:tc>
        <w:tc>
          <w:tcPr>
            <w:tcW w:w="1197" w:type="dxa"/>
            <w:tcBorders>
              <w:top w:val="single" w:color="auto" w:sz="2" w:space="0"/>
              <w:left w:val="single" w:color="auto" w:sz="4"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投标文件资格响应文件的语言</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3" w:type="dxa"/>
        </w:trPr>
        <w:tc>
          <w:tcPr>
            <w:tcW w:w="688" w:type="dxa"/>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4</w:t>
            </w:r>
          </w:p>
        </w:tc>
        <w:tc>
          <w:tcPr>
            <w:tcW w:w="1897" w:type="dxa"/>
            <w:gridSpan w:val="2"/>
            <w:tcBorders>
              <w:left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投标文件资格响应</w:t>
            </w:r>
            <w:r>
              <w:rPr>
                <w:color w:val="000000" w:themeColor="text1"/>
                <w:sz w:val="20"/>
                <w14:textFill>
                  <w14:solidFill>
                    <w14:schemeClr w14:val="tx1"/>
                  </w14:solidFill>
                </w14:textFill>
              </w:rPr>
              <w:t>文件</w:t>
            </w:r>
            <w:r>
              <w:rPr>
                <w:rFonts w:hint="eastAsia"/>
                <w:color w:val="000000" w:themeColor="text1"/>
                <w:sz w:val="20"/>
                <w14:textFill>
                  <w14:solidFill>
                    <w14:schemeClr w14:val="tx1"/>
                  </w14:solidFill>
                </w14:textFill>
              </w:rPr>
              <w:t>组成</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ascii="宋体" w:hAnsi="宋体"/>
                <w:sz w:val="20"/>
                <w:szCs w:val="28"/>
              </w:rPr>
              <w:t>符合招标文件“</w:t>
            </w:r>
            <w:r>
              <w:rPr>
                <w:rFonts w:ascii="宋体" w:hAnsi="宋体"/>
                <w:sz w:val="20"/>
                <w:szCs w:val="28"/>
              </w:rPr>
              <w:t>2.4.</w:t>
            </w:r>
            <w:r>
              <w:rPr>
                <w:rFonts w:hint="eastAsia" w:ascii="宋体" w:hAnsi="宋体"/>
                <w:sz w:val="20"/>
                <w:szCs w:val="28"/>
              </w:rPr>
              <w:t>6投标</w:t>
            </w:r>
            <w:r>
              <w:rPr>
                <w:rFonts w:ascii="宋体" w:hAnsi="宋体"/>
                <w:sz w:val="20"/>
                <w:szCs w:val="28"/>
              </w:rPr>
              <w:t>文件的组成”规定要求。</w:t>
            </w:r>
            <w:r>
              <w:rPr>
                <w:rFonts w:hint="eastAsia" w:ascii="宋体" w:hAnsi="宋体"/>
                <w:sz w:val="20"/>
                <w:szCs w:val="28"/>
              </w:rPr>
              <w:t>【说明：投标人按招标文件3.2.1关于投标人资格申明的</w:t>
            </w:r>
            <w:r>
              <w:rPr>
                <w:rFonts w:hint="eastAsia"/>
                <w:sz w:val="20"/>
              </w:rPr>
              <w:t>内容</w:t>
            </w:r>
            <w:r>
              <w:rPr>
                <w:rFonts w:hint="eastAsia" w:ascii="宋体" w:hAnsi="宋体"/>
                <w:sz w:val="20"/>
                <w:szCs w:val="28"/>
              </w:rPr>
              <w:t>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3" w:type="dxa"/>
        </w:trPr>
        <w:tc>
          <w:tcPr>
            <w:tcW w:w="68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5</w:t>
            </w:r>
          </w:p>
        </w:tc>
        <w:tc>
          <w:tcPr>
            <w:tcW w:w="1897"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具有健全的财务会计制度的证明材料</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color w:val="000000" w:themeColor="text1"/>
                <w:sz w:val="20"/>
                <w14:textFill>
                  <w14:solidFill>
                    <w14:schemeClr w14:val="tx1"/>
                  </w14:solidFill>
                </w14:textFill>
              </w:rPr>
              <w:t>2019</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2020</w:t>
            </w:r>
            <w:r>
              <w:rPr>
                <w:rFonts w:hint="eastAsia"/>
                <w:color w:val="000000" w:themeColor="text1"/>
                <w:sz w:val="20"/>
                <w14:textFill>
                  <w14:solidFill>
                    <w14:schemeClr w14:val="tx1"/>
                  </w14:solidFill>
                </w14:textFill>
              </w:rPr>
              <w:t>会计年度资产负债表复印件。【说明：投标人成立时间至投标截止时间止不足一年的，提供成立后任意时段的资产负债表复印件。】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3" w:type="dxa"/>
        </w:trPr>
        <w:tc>
          <w:tcPr>
            <w:tcW w:w="68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6</w:t>
            </w:r>
          </w:p>
        </w:tc>
        <w:tc>
          <w:tcPr>
            <w:tcW w:w="1897"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缴纳社会保障资金的证明材料</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投标人缴纳</w:t>
            </w:r>
            <w:r>
              <w:rPr>
                <w:color w:val="000000" w:themeColor="text1"/>
                <w:sz w:val="20"/>
                <w14:textFill>
                  <w14:solidFill>
                    <w14:schemeClr w14:val="tx1"/>
                  </w14:solidFill>
                </w14:textFill>
              </w:rPr>
              <w:t>2020</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2021</w:t>
            </w:r>
            <w:r>
              <w:rPr>
                <w:rFonts w:hint="eastAsia"/>
                <w:color w:val="000000" w:themeColor="text1"/>
                <w:sz w:val="20"/>
                <w14:textFill>
                  <w14:solidFill>
                    <w14:schemeClr w14:val="tx1"/>
                  </w14:solidFill>
                </w14:textFill>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3" w:type="dxa"/>
        </w:trPr>
        <w:tc>
          <w:tcPr>
            <w:tcW w:w="68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7</w:t>
            </w:r>
          </w:p>
        </w:tc>
        <w:tc>
          <w:tcPr>
            <w:tcW w:w="1897"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缴纳税收的证明材料</w:t>
            </w:r>
          </w:p>
        </w:tc>
        <w:tc>
          <w:tcPr>
            <w:tcW w:w="594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000000" w:themeColor="text1"/>
                <w:sz w:val="20"/>
                <w14:textFill>
                  <w14:solidFill>
                    <w14:schemeClr w14:val="tx1"/>
                  </w14:solidFill>
                </w14:textFill>
              </w:rPr>
            </w:pPr>
            <w:r>
              <w:rPr>
                <w:rFonts w:hint="eastAsia"/>
                <w:color w:val="000000" w:themeColor="text1"/>
                <w:sz w:val="20"/>
                <w14:textFill>
                  <w14:solidFill>
                    <w14:schemeClr w14:val="tx1"/>
                  </w14:solidFill>
                </w14:textFill>
              </w:rPr>
              <w:t>投标人缴纳</w:t>
            </w:r>
            <w:r>
              <w:rPr>
                <w:color w:val="000000" w:themeColor="text1"/>
                <w:sz w:val="20"/>
                <w14:textFill>
                  <w14:solidFill>
                    <w14:schemeClr w14:val="tx1"/>
                  </w14:solidFill>
                </w14:textFill>
              </w:rPr>
              <w:t>2020</w:t>
            </w:r>
            <w:r>
              <w:rPr>
                <w:rFonts w:hint="eastAsia"/>
                <w:color w:val="000000" w:themeColor="text1"/>
                <w:sz w:val="20"/>
                <w14:textFill>
                  <w14:solidFill>
                    <w14:schemeClr w14:val="tx1"/>
                  </w14:solidFill>
                </w14:textFill>
              </w:rPr>
              <w:t>或</w:t>
            </w:r>
            <w:r>
              <w:rPr>
                <w:color w:val="000000" w:themeColor="text1"/>
                <w:sz w:val="20"/>
                <w14:textFill>
                  <w14:solidFill>
                    <w14:schemeClr w14:val="tx1"/>
                  </w14:solidFill>
                </w14:textFill>
              </w:rPr>
              <w:t>2021</w:t>
            </w:r>
            <w:r>
              <w:rPr>
                <w:rFonts w:hint="eastAsia"/>
                <w:color w:val="000000" w:themeColor="text1"/>
                <w:sz w:val="20"/>
                <w14:textFill>
                  <w14:solidFill>
                    <w14:schemeClr w14:val="tx1"/>
                  </w14:solidFill>
                </w14:textFill>
              </w:rPr>
              <w:t>年任意时段的税收的银行电子回单或者行政部门出具的纳税证明或完税证明的复印件。</w:t>
            </w:r>
          </w:p>
        </w:tc>
      </w:tr>
    </w:tbl>
    <w:p>
      <w:pPr>
        <w:tabs>
          <w:tab w:val="left" w:pos="851"/>
        </w:tabs>
        <w:spacing w:line="360" w:lineRule="auto"/>
        <w:rPr>
          <w:rFonts w:ascii="宋体" w:hAnsi="宋体"/>
          <w:color w:val="000000" w:themeColor="text1"/>
          <w:sz w:val="28"/>
          <w:szCs w:val="28"/>
          <w14:textFill>
            <w14:solidFill>
              <w14:schemeClr w14:val="tx1"/>
            </w14:solidFill>
          </w14:textFill>
        </w:rPr>
      </w:pPr>
    </w:p>
    <w:p>
      <w:pPr>
        <w:tabs>
          <w:tab w:val="left" w:pos="851"/>
        </w:tabs>
        <w:spacing w:line="360" w:lineRule="auto"/>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二、“信用中国”和“中国政府采购网”网站查询结果，将以纸质截图或将截图保存至电子介质的形式留存。</w:t>
      </w:r>
    </w:p>
    <w:p>
      <w:pPr>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投标人的投标文件资格性审查时被判定为无效的，市公资交易中心将通知投标人（以短信、现场公示、电话、“政府采购云平台”等任一方式）。投标人如对资格审查结论有异议的，应及时向市公资交易中心反馈意见。市公资交易中心将及时告知资格审查小组。（说明：无论投标人是否收到通知或提供反馈意见，均不影响资格审查和评标工作，且市公资交易中心对此将不承担任何的责任。投标人对资格审查结论有异议的，其反馈意见仅限于资格审查小组对资格审查结论的正确性进行复核，避免出现审查错误。）</w:t>
      </w:r>
    </w:p>
    <w:p>
      <w:pPr>
        <w:ind w:firstLine="565" w:firstLineChars="202"/>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四、通过资格性审查的供应商＜3名，采购失败。</w:t>
      </w:r>
    </w:p>
    <w:p>
      <w:pPr>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4"/>
        <w:numPr>
          <w:ilvl w:val="0"/>
          <w:numId w:val="3"/>
        </w:numPr>
        <w:spacing w:before="0" w:after="0" w:line="360" w:lineRule="auto"/>
        <w:ind w:left="0" w:firstLine="0"/>
        <w:rPr>
          <w:color w:val="000000" w:themeColor="text1"/>
          <w14:textFill>
            <w14:solidFill>
              <w14:schemeClr w14:val="tx1"/>
            </w14:solidFill>
          </w14:textFill>
        </w:rPr>
      </w:pPr>
      <w:bookmarkStart w:id="249" w:name="_Toc18121"/>
      <w:bookmarkStart w:id="250" w:name="_Toc75336307"/>
      <w:bookmarkStart w:id="251" w:name="_Toc16118"/>
      <w:bookmarkStart w:id="252" w:name="_Toc29184"/>
      <w:bookmarkStart w:id="253" w:name="_Toc11596"/>
      <w:r>
        <w:rPr>
          <w:rFonts w:hint="eastAsia"/>
          <w:color w:val="000000" w:themeColor="text1"/>
          <w14:textFill>
            <w14:solidFill>
              <w14:schemeClr w14:val="tx1"/>
            </w14:solidFill>
          </w14:textFill>
        </w:rPr>
        <w:t>评标办法</w:t>
      </w:r>
      <w:bookmarkEnd w:id="249"/>
      <w:bookmarkEnd w:id="250"/>
      <w:bookmarkEnd w:id="251"/>
      <w:bookmarkEnd w:id="252"/>
      <w:bookmarkEnd w:id="253"/>
      <w:bookmarkStart w:id="254" w:name="_Toc183582280"/>
      <w:bookmarkStart w:id="255" w:name="_Toc217446097"/>
      <w:bookmarkStart w:id="256" w:name="_Toc208849007"/>
      <w:bookmarkStart w:id="257" w:name="_Toc183682415"/>
    </w:p>
    <w:p>
      <w:pPr>
        <w:pStyle w:val="5"/>
        <w:numPr>
          <w:ilvl w:val="1"/>
          <w:numId w:val="3"/>
        </w:numPr>
        <w:spacing w:before="0" w:after="0" w:line="560" w:lineRule="exact"/>
        <w:ind w:left="2269" w:hanging="2269"/>
        <w:rPr>
          <w:color w:val="000000" w:themeColor="text1"/>
          <w14:textFill>
            <w14:solidFill>
              <w14:schemeClr w14:val="tx1"/>
            </w14:solidFill>
          </w14:textFill>
        </w:rPr>
      </w:pPr>
      <w:bookmarkStart w:id="258" w:name="_Toc30790"/>
      <w:bookmarkStart w:id="259" w:name="_Toc10788"/>
      <w:bookmarkStart w:id="260" w:name="_Toc12005"/>
      <w:bookmarkStart w:id="261" w:name="_Toc13609"/>
      <w:bookmarkStart w:id="262" w:name="_Toc316292248"/>
      <w:bookmarkStart w:id="263" w:name="_Toc75336308"/>
      <w:bookmarkStart w:id="264" w:name="_Toc315871642"/>
      <w:r>
        <w:rPr>
          <w:rFonts w:hint="eastAsia"/>
          <w:color w:val="000000" w:themeColor="text1"/>
          <w14:textFill>
            <w14:solidFill>
              <w14:schemeClr w14:val="tx1"/>
            </w14:solidFill>
          </w14:textFill>
        </w:rPr>
        <w:t>总则</w:t>
      </w:r>
      <w:bookmarkEnd w:id="254"/>
      <w:bookmarkEnd w:id="255"/>
      <w:bookmarkEnd w:id="256"/>
      <w:bookmarkEnd w:id="257"/>
      <w:bookmarkEnd w:id="258"/>
      <w:bookmarkEnd w:id="259"/>
      <w:bookmarkEnd w:id="260"/>
      <w:bookmarkEnd w:id="261"/>
      <w:bookmarkEnd w:id="262"/>
      <w:bookmarkEnd w:id="263"/>
      <w:bookmarkEnd w:id="264"/>
    </w:p>
    <w:p>
      <w:pPr>
        <w:numPr>
          <w:ilvl w:val="0"/>
          <w:numId w:val="35"/>
        </w:numPr>
        <w:tabs>
          <w:tab w:val="left" w:pos="1134"/>
        </w:tabs>
        <w:spacing w:after="200" w:line="560" w:lineRule="exact"/>
        <w:ind w:left="0" w:firstLine="565" w:firstLineChars="20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根据《中华人民共和国政府采购法》、《中华人民共和国政府采购法实施条例》和《政府采购货物和服务招标投标管理办法》等法律规章，结合采购项目特点制定本评标办法。</w:t>
      </w:r>
    </w:p>
    <w:p>
      <w:pPr>
        <w:numPr>
          <w:ilvl w:val="0"/>
          <w:numId w:val="35"/>
        </w:numPr>
        <w:tabs>
          <w:tab w:val="left" w:pos="1134"/>
        </w:tabs>
        <w:spacing w:after="200" w:line="560" w:lineRule="exact"/>
        <w:ind w:left="0" w:firstLine="565" w:firstLineChars="20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评标工作由市公资交易中心负责组织，具体评标事务由采购人或市公资交易中心依法组建的评标委员会负责。评标委员会由采购人代表和评审专家组成。</w:t>
      </w:r>
    </w:p>
    <w:p>
      <w:pPr>
        <w:numPr>
          <w:ilvl w:val="0"/>
          <w:numId w:val="35"/>
        </w:numPr>
        <w:tabs>
          <w:tab w:val="left" w:pos="1134"/>
        </w:tabs>
        <w:spacing w:after="200" w:line="560" w:lineRule="exact"/>
        <w:ind w:left="0" w:firstLine="565" w:firstLineChars="20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评标工作应遵循公平、公正、科学及择优的原则，并以相同的评标程序和标准对待所有的投标人。</w:t>
      </w:r>
    </w:p>
    <w:p>
      <w:pPr>
        <w:numPr>
          <w:ilvl w:val="0"/>
          <w:numId w:val="35"/>
        </w:numPr>
        <w:tabs>
          <w:tab w:val="left" w:pos="1134"/>
        </w:tabs>
        <w:spacing w:after="200" w:line="560" w:lineRule="exact"/>
        <w:ind w:left="0" w:firstLine="565" w:firstLineChars="202"/>
        <w:jc w:val="left"/>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评标委员会按照招标文件规定的评标程序、评标方法和标准进行独立评审，并独立履行下列职责：</w:t>
      </w:r>
    </w:p>
    <w:p>
      <w:pPr>
        <w:numPr>
          <w:ilvl w:val="1"/>
          <w:numId w:val="36"/>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熟悉和理解招标文件；</w:t>
      </w:r>
    </w:p>
    <w:p>
      <w:pPr>
        <w:numPr>
          <w:ilvl w:val="1"/>
          <w:numId w:val="36"/>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审查、评价投标文件是否符合招标文件的商务、技术等实质性要求；</w:t>
      </w:r>
    </w:p>
    <w:p>
      <w:pPr>
        <w:numPr>
          <w:ilvl w:val="1"/>
          <w:numId w:val="36"/>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对投标文件进行比较和评价；</w:t>
      </w:r>
    </w:p>
    <w:p>
      <w:pPr>
        <w:numPr>
          <w:ilvl w:val="1"/>
          <w:numId w:val="36"/>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根据需要要求采购人对招标文件作出解释；根据需要要求投标人对投标文件有关事项作出解释或者澄清；</w:t>
      </w:r>
    </w:p>
    <w:p>
      <w:pPr>
        <w:numPr>
          <w:ilvl w:val="1"/>
          <w:numId w:val="36"/>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确定中标候选人名单，以及根据采购人委托直接确定中标人；</w:t>
      </w:r>
    </w:p>
    <w:p>
      <w:pPr>
        <w:numPr>
          <w:ilvl w:val="1"/>
          <w:numId w:val="36"/>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起草评标报告并进行签署；</w:t>
      </w:r>
    </w:p>
    <w:p>
      <w:pPr>
        <w:numPr>
          <w:ilvl w:val="1"/>
          <w:numId w:val="36"/>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向采购人、市公资交易中心构或者财政、监察等有关部门报告或举报非法干预评标工作的行为；</w:t>
      </w:r>
    </w:p>
    <w:p>
      <w:pPr>
        <w:numPr>
          <w:ilvl w:val="1"/>
          <w:numId w:val="36"/>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向采购人、</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或者有关部门报告评标中发现的违法行为。</w:t>
      </w:r>
    </w:p>
    <w:p>
      <w:pPr>
        <w:numPr>
          <w:ilvl w:val="1"/>
          <w:numId w:val="36"/>
        </w:numPr>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法律、法规和规章规定的其他职责。</w:t>
      </w:r>
    </w:p>
    <w:p>
      <w:pPr>
        <w:numPr>
          <w:ilvl w:val="0"/>
          <w:numId w:val="35"/>
        </w:numPr>
        <w:tabs>
          <w:tab w:val="left" w:pos="1134"/>
        </w:tabs>
        <w:spacing w:after="200" w:line="56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评标过程独立、保密。投标人非法干预评标过程的行为将导致其投标文件作为无效处理。</w:t>
      </w:r>
    </w:p>
    <w:p>
      <w:pPr>
        <w:numPr>
          <w:ilvl w:val="0"/>
          <w:numId w:val="35"/>
        </w:numPr>
        <w:tabs>
          <w:tab w:val="left" w:pos="1134"/>
        </w:tabs>
        <w:spacing w:after="200" w:line="560" w:lineRule="exact"/>
        <w:ind w:left="0"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评标委员会决定投标文件的响应性依据投标文件本身的内容，而不寻求外部的证据，招标文件有明确约定的除外。</w:t>
      </w:r>
    </w:p>
    <w:p>
      <w:pPr>
        <w:tabs>
          <w:tab w:val="left" w:pos="1134"/>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七、评标委员会发现招标文件表述不明确或需要说明的事项，可提请采购人和市公资交易中心书面解释说明。</w:t>
      </w:r>
    </w:p>
    <w:p>
      <w:pPr>
        <w:pStyle w:val="5"/>
        <w:numPr>
          <w:ilvl w:val="1"/>
          <w:numId w:val="3"/>
        </w:numPr>
        <w:spacing w:before="0" w:after="0" w:line="560" w:lineRule="exact"/>
        <w:ind w:left="2269" w:hanging="2269"/>
        <w:rPr>
          <w:color w:val="000000" w:themeColor="text1"/>
          <w14:textFill>
            <w14:solidFill>
              <w14:schemeClr w14:val="tx1"/>
            </w14:solidFill>
          </w14:textFill>
        </w:rPr>
      </w:pPr>
      <w:bookmarkStart w:id="265" w:name="_Toc3818"/>
      <w:bookmarkStart w:id="266" w:name="_Toc7423"/>
      <w:bookmarkStart w:id="267" w:name="_Toc28274"/>
      <w:bookmarkStart w:id="268" w:name="_Toc29481"/>
      <w:bookmarkStart w:id="269" w:name="_Toc75336309"/>
      <w:bookmarkStart w:id="270" w:name="_Toc315871644"/>
      <w:bookmarkStart w:id="271" w:name="_Toc217446098"/>
      <w:bookmarkStart w:id="272" w:name="_Toc316292250"/>
      <w:r>
        <w:rPr>
          <w:rFonts w:hint="eastAsia"/>
          <w:color w:val="000000" w:themeColor="text1"/>
          <w14:textFill>
            <w14:solidFill>
              <w14:schemeClr w14:val="tx1"/>
            </w14:solidFill>
          </w14:textFill>
        </w:rPr>
        <w:t>评标方法</w:t>
      </w:r>
      <w:bookmarkEnd w:id="265"/>
      <w:bookmarkEnd w:id="266"/>
      <w:bookmarkEnd w:id="267"/>
      <w:bookmarkEnd w:id="268"/>
      <w:bookmarkEnd w:id="269"/>
    </w:p>
    <w:p>
      <w:pPr>
        <w:spacing w:line="560" w:lineRule="exact"/>
        <w:rPr>
          <w:color w:val="000000" w:themeColor="text1"/>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  综合评分法。</w:t>
      </w:r>
    </w:p>
    <w:p>
      <w:pPr>
        <w:pStyle w:val="5"/>
        <w:numPr>
          <w:ilvl w:val="1"/>
          <w:numId w:val="3"/>
        </w:numPr>
        <w:spacing w:before="0" w:after="0" w:line="560" w:lineRule="exact"/>
        <w:ind w:left="2269" w:hanging="2269"/>
        <w:rPr>
          <w:color w:val="000000" w:themeColor="text1"/>
          <w14:textFill>
            <w14:solidFill>
              <w14:schemeClr w14:val="tx1"/>
            </w14:solidFill>
          </w14:textFill>
        </w:rPr>
      </w:pPr>
      <w:bookmarkStart w:id="273" w:name="_Toc6803"/>
      <w:bookmarkStart w:id="274" w:name="_Toc30741"/>
      <w:bookmarkStart w:id="275" w:name="_Toc10678"/>
      <w:bookmarkStart w:id="276" w:name="_Toc75336310"/>
      <w:bookmarkStart w:id="277" w:name="_Toc3207"/>
      <w:r>
        <w:rPr>
          <w:rFonts w:hint="eastAsia"/>
          <w:color w:val="000000" w:themeColor="text1"/>
          <w14:textFill>
            <w14:solidFill>
              <w14:schemeClr w14:val="tx1"/>
            </w14:solidFill>
          </w14:textFill>
        </w:rPr>
        <w:t>评标程序</w:t>
      </w:r>
      <w:bookmarkEnd w:id="270"/>
      <w:bookmarkEnd w:id="271"/>
      <w:bookmarkEnd w:id="272"/>
      <w:bookmarkEnd w:id="273"/>
      <w:bookmarkEnd w:id="274"/>
      <w:bookmarkEnd w:id="275"/>
      <w:bookmarkEnd w:id="276"/>
      <w:bookmarkEnd w:id="277"/>
    </w:p>
    <w:p>
      <w:pPr>
        <w:pStyle w:val="6"/>
        <w:numPr>
          <w:ilvl w:val="2"/>
          <w:numId w:val="3"/>
        </w:numPr>
        <w:spacing w:after="200" w:line="560" w:lineRule="exact"/>
        <w:ind w:left="0" w:firstLine="0"/>
        <w:rPr>
          <w:color w:val="000000" w:themeColor="text1"/>
          <w14:textFill>
            <w14:solidFill>
              <w14:schemeClr w14:val="tx1"/>
            </w14:solidFill>
          </w14:textFill>
        </w:rPr>
      </w:pPr>
      <w:bookmarkStart w:id="278" w:name="_Toc316475650"/>
      <w:bookmarkEnd w:id="278"/>
      <w:bookmarkStart w:id="279" w:name="_Toc217446099"/>
      <w:r>
        <w:rPr>
          <w:rFonts w:hint="eastAsia"/>
          <w:color w:val="000000" w:themeColor="text1"/>
          <w14:textFill>
            <w14:solidFill>
              <w14:schemeClr w14:val="tx1"/>
            </w14:solidFill>
          </w14:textFill>
        </w:rPr>
        <w:t>符合性审查</w:t>
      </w:r>
    </w:p>
    <w:p>
      <w:pPr>
        <w:tabs>
          <w:tab w:val="left" w:pos="851"/>
        </w:tabs>
        <w:spacing w:line="560" w:lineRule="exact"/>
        <w:ind w:firstLine="565" w:firstLineChars="202"/>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560" w:lineRule="exact"/>
        <w:ind w:firstLine="565" w:firstLineChars="202"/>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符合性审查标准见下表（按以下顺序审查）：</w:t>
      </w:r>
    </w:p>
    <w:p>
      <w:pPr>
        <w:tabs>
          <w:tab w:val="left" w:pos="2979"/>
        </w:tabs>
        <w:bidi w:val="0"/>
        <w:jc w:val="left"/>
        <w:rPr>
          <w:rFonts w:ascii="Calibri" w:hAnsi="Calibri" w:eastAsia="宋体" w:cs="Times New Roman"/>
          <w:kern w:val="2"/>
          <w:sz w:val="21"/>
          <w:szCs w:val="22"/>
          <w:lang w:val="en-US" w:eastAsia="zh-CN" w:bidi="ar-SA"/>
        </w:rPr>
      </w:pPr>
      <w:r>
        <w:rPr>
          <w:rFonts w:hint="eastAsia" w:cs="Times New Roman"/>
          <w:kern w:val="2"/>
          <w:sz w:val="21"/>
          <w:szCs w:val="22"/>
          <w:lang w:val="en-US" w:eastAsia="zh-CN" w:bidi="ar-SA"/>
        </w:rPr>
        <w:tab/>
      </w:r>
    </w:p>
    <w:tbl>
      <w:tblPr>
        <w:tblStyle w:val="43"/>
        <w:tblpPr w:leftFromText="180" w:rightFromText="180" w:vertAnchor="text" w:horzAnchor="page" w:tblpX="1490" w:tblpY="544"/>
        <w:tblOverlap w:val="never"/>
        <w:tblW w:w="85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2252"/>
        <w:gridCol w:w="5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序号</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符合性审查项</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投标文件商务技术</w:t>
            </w:r>
            <w:r>
              <w:rPr>
                <w:rFonts w:ascii="宋体" w:hAnsi="宋体"/>
                <w:color w:val="000000" w:themeColor="text1"/>
                <w:sz w:val="24"/>
                <w:szCs w:val="24"/>
                <w14:textFill>
                  <w14:solidFill>
                    <w14:schemeClr w14:val="tx1"/>
                  </w14:solidFill>
                </w14:textFill>
              </w:rPr>
              <w:t>响应文件</w:t>
            </w:r>
            <w:r>
              <w:rPr>
                <w:rFonts w:hint="eastAsia" w:ascii="宋体" w:hAnsi="宋体"/>
                <w:color w:val="000000" w:themeColor="text1"/>
                <w:sz w:val="24"/>
                <w:szCs w:val="24"/>
                <w14:textFill>
                  <w14:solidFill>
                    <w14:schemeClr w14:val="tx1"/>
                  </w14:solidFill>
                </w14:textFill>
              </w:rPr>
              <w:t>及</w:t>
            </w:r>
            <w:r>
              <w:rPr>
                <w:rFonts w:ascii="宋体" w:hAnsi="宋体"/>
                <w:color w:val="000000" w:themeColor="text1"/>
                <w:sz w:val="24"/>
                <w:szCs w:val="24"/>
                <w14:textFill>
                  <w14:solidFill>
                    <w14:schemeClr w14:val="tx1"/>
                  </w14:solidFill>
                </w14:textFill>
              </w:rPr>
              <w:t>报价要求响应文件</w:t>
            </w:r>
            <w:r>
              <w:rPr>
                <w:rFonts w:hint="eastAsia" w:ascii="宋体" w:hAnsi="宋体"/>
                <w:color w:val="000000" w:themeColor="text1"/>
                <w:sz w:val="24"/>
                <w:szCs w:val="24"/>
                <w14:textFill>
                  <w14:solidFill>
                    <w14:schemeClr w14:val="tx1"/>
                  </w14:solidFill>
                </w14:textFill>
              </w:rPr>
              <w:t>组成</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2 </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投标文件签章投标文件加盖有投标人（法定名称）电子签章。</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均按招标文件要求签章。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投标文件商务技术</w:t>
            </w:r>
            <w:r>
              <w:rPr>
                <w:rFonts w:ascii="宋体" w:hAnsi="宋体"/>
                <w:color w:val="000000" w:themeColor="text1"/>
                <w:sz w:val="24"/>
                <w:szCs w:val="24"/>
                <w14:textFill>
                  <w14:solidFill>
                    <w14:schemeClr w14:val="tx1"/>
                  </w14:solidFill>
                </w14:textFill>
              </w:rPr>
              <w:t>响应文件</w:t>
            </w:r>
            <w:r>
              <w:rPr>
                <w:rFonts w:hint="eastAsia" w:ascii="宋体" w:hAnsi="宋体"/>
                <w:color w:val="000000" w:themeColor="text1"/>
                <w:sz w:val="24"/>
                <w:szCs w:val="24"/>
                <w14:textFill>
                  <w14:solidFill>
                    <w14:schemeClr w14:val="tx1"/>
                  </w14:solidFill>
                </w14:textFill>
              </w:rPr>
              <w:t>的计量单位、语言、报价货币、投标有效期</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报价</w:t>
            </w:r>
            <w:r>
              <w:rPr>
                <w:rFonts w:ascii="宋体" w:hAnsi="宋体"/>
                <w:color w:val="000000" w:themeColor="text1"/>
                <w:sz w:val="24"/>
                <w:szCs w:val="24"/>
                <w14:textFill>
                  <w14:solidFill>
                    <w14:schemeClr w14:val="tx1"/>
                  </w14:solidFill>
                </w14:textFill>
              </w:rPr>
              <w:t>要求响应文件</w:t>
            </w:r>
            <w:r>
              <w:rPr>
                <w:rFonts w:hint="eastAsia" w:ascii="宋体" w:hAnsi="宋体"/>
                <w:color w:val="000000" w:themeColor="text1"/>
                <w:sz w:val="24"/>
                <w:szCs w:val="24"/>
                <w14:textFill>
                  <w14:solidFill>
                    <w14:schemeClr w14:val="tx1"/>
                  </w14:solidFill>
                </w14:textFill>
              </w:rPr>
              <w:t>的</w:t>
            </w:r>
            <w:r>
              <w:rPr>
                <w:rFonts w:ascii="宋体" w:hAnsi="宋体"/>
                <w:color w:val="000000" w:themeColor="text1"/>
                <w:sz w:val="24"/>
                <w:szCs w:val="24"/>
                <w14:textFill>
                  <w14:solidFill>
                    <w14:schemeClr w14:val="tx1"/>
                  </w14:solidFill>
                </w14:textFill>
              </w:rPr>
              <w:t>计量单位、语言、报价货币</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计量单位、语言、报价货币均符合招标文件的要求。【说明：无须提供证明材料，上传空白页即可，不对本项上传的材料作符合性审查】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5</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投标报价</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开标记录、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color w:val="000000" w:themeColor="text1"/>
                <w:sz w:val="24"/>
                <w:szCs w:val="24"/>
                <w14:textFill>
                  <w14:solidFill>
                    <w14:schemeClr w14:val="tx1"/>
                  </w14:solidFill>
                </w14:textFill>
              </w:rPr>
              <w:t>②</w:t>
            </w:r>
            <w:r>
              <w:rPr>
                <w:rFonts w:hint="eastAsia" w:ascii="宋体" w:hAnsi="宋体"/>
                <w:color w:val="000000" w:themeColor="text1"/>
                <w:sz w:val="24"/>
                <w:szCs w:val="24"/>
                <w14:textFill>
                  <w14:solidFill>
                    <w14:schemeClr w14:val="tx1"/>
                  </w14:solidFill>
                </w14:textFill>
              </w:rPr>
              <w:t>单价金额小数点或者百分比有明显错位的，以总价为准，并修改单价；</w:t>
            </w:r>
            <w:r>
              <w:rPr>
                <w:rFonts w:hint="eastAsia" w:ascii="宋体" w:hAnsi="宋体" w:cs="宋体"/>
                <w:color w:val="000000" w:themeColor="text1"/>
                <w:sz w:val="24"/>
                <w:szCs w:val="24"/>
                <w14:textFill>
                  <w14:solidFill>
                    <w14:schemeClr w14:val="tx1"/>
                  </w14:solidFill>
                </w14:textFill>
              </w:rPr>
              <w:t>③</w:t>
            </w:r>
            <w:r>
              <w:rPr>
                <w:rFonts w:hint="eastAsia" w:ascii="宋体" w:hAnsi="宋体"/>
                <w:color w:val="000000" w:themeColor="text1"/>
                <w:sz w:val="24"/>
                <w:szCs w:val="24"/>
                <w14:textFill>
                  <w14:solidFill>
                    <w14:schemeClr w14:val="tx1"/>
                  </w14:solidFill>
                </w14:textFill>
              </w:rPr>
              <w:t>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color w:val="000000" w:themeColor="text1"/>
                <w:sz w:val="24"/>
                <w:szCs w:val="24"/>
                <w14:textFill>
                  <w14:solidFill>
                    <w14:schemeClr w14:val="tx1"/>
                  </w14:solidFill>
                </w14:textFill>
              </w:rPr>
              <w:t>5）如因断电、断网、系统故障或其他不可抗力等因素，导致系统无法使用的，由投标人按评标委员会的要求进行澄清或者说明</w:t>
            </w:r>
            <w:r>
              <w:rPr>
                <w:rFonts w:hint="eastAsia" w:ascii="宋体" w:hAnsi="宋体"/>
                <w:color w:val="000000" w:themeColor="text1"/>
                <w:sz w:val="24"/>
                <w:szCs w:val="24"/>
                <w14:textFill>
                  <w14:solidFill>
                    <w14:schemeClr w14:val="tx1"/>
                  </w14:solidFill>
                </w14:textFill>
              </w:rPr>
              <w:t>。（6）无须提供证明材料，上传空白页即可，不对本项上传的材料作符合性审查。】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6</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第4章打★号的服务、商务和其他要求</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投标文件均实质性响应招标文件中加★号的服务、商务和其他要求。【说明：无须提供证明材料，上传空白页即可，不对本项上传的材料作符合性审查】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7</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进口产品</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招标文件中未载明“允许采购进口产品”的产品，投标产品为国产产品。【说明：无须提供证明材料，上传空白页即可，不对本项上传的材料作符合性审查】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8</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不属于禁止参加投标或投标无效的供应商</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（1）根据招标文件的要求不属于禁止参加投标或投标无效的供应商；</w:t>
            </w:r>
          </w:p>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（2）评标委员会未发现或者未知晓投标人存在属于国家相关法律法规规定的禁止参加投标或投标无效的供应商。</w:t>
            </w:r>
          </w:p>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9</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法定代表人身份证复印件或护照复印件</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8"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10</w:t>
            </w:r>
          </w:p>
        </w:tc>
        <w:tc>
          <w:tcPr>
            <w:tcW w:w="2252"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除资格性审查要求的证明材料外，招标文件要求提供的其他证明材料</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000000" w:themeColor="text1"/>
                <w:sz w:val="24"/>
                <w:szCs w:val="24"/>
                <w14:textFill>
                  <w14:solidFill>
                    <w14:schemeClr w14:val="tx1"/>
                  </w14:solidFill>
                </w14:textFill>
              </w:rPr>
            </w:pPr>
            <w:r>
              <w:rPr>
                <w:rFonts w:hint="eastAsia" w:cs="仿宋_GB2312" w:asciiTheme="minorEastAsia" w:hAnsiTheme="minorEastAsia" w:eastAsiaTheme="minorEastAsia"/>
                <w:color w:val="000000" w:themeColor="text1"/>
                <w:sz w:val="24"/>
                <w:szCs w:val="24"/>
                <w14:textFill>
                  <w14:solidFill>
                    <w14:schemeClr w14:val="tx1"/>
                  </w14:solidFill>
                </w14:textFill>
              </w:rPr>
              <w:t>无。</w:t>
            </w:r>
          </w:p>
        </w:tc>
      </w:tr>
    </w:tbl>
    <w:p>
      <w:pPr>
        <w:tabs>
          <w:tab w:val="left" w:pos="851"/>
        </w:tabs>
        <w:spacing w:line="560" w:lineRule="exact"/>
        <w:rPr>
          <w:rFonts w:ascii="宋体" w:hAnsi="宋体"/>
          <w:color w:val="000000" w:themeColor="text1"/>
          <w:sz w:val="28"/>
          <w:szCs w:val="28"/>
          <w14:textFill>
            <w14:solidFill>
              <w14:schemeClr w14:val="tx1"/>
            </w14:solidFill>
          </w14:textFill>
        </w:rPr>
      </w:pPr>
    </w:p>
    <w:p>
      <w:pPr>
        <w:tabs>
          <w:tab w:val="left" w:pos="851"/>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二、投标人的投标文件符合性审查时被判定为无效投标文件的，市公资交易中心将通知投标人（以短信、现场公示、电话、“政府采购云平台”等任一方式）。投标人如对评审结论有异议的，应及时向市公资交易中心反馈意见。市公资交易中心在评审结束前将收到的反馈意见及时告知评标委员会。（说明：无论投标人是否收到通知或提供反馈意见，均不影响评标委员会的评标工作，且市公资交易中心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三、通过符合性审查的供应商＜3名，本项目采购失败。</w:t>
      </w:r>
    </w:p>
    <w:p>
      <w:pPr>
        <w:pStyle w:val="6"/>
        <w:numPr>
          <w:ilvl w:val="2"/>
          <w:numId w:val="3"/>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解释、澄清有关问题</w:t>
      </w:r>
    </w:p>
    <w:p>
      <w:pPr>
        <w:numPr>
          <w:ilvl w:val="0"/>
          <w:numId w:val="37"/>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过程中，评标委员会认为招标文件有关事项表述不明确或需要说明的，可以提请市公资交易中心书面解释。市公资交易中心的解释不得改变招标文件的原义或者影响公平、公正，解释事项如果涉及投标人权益的以有利于投标人的原则进行解释。</w:t>
      </w:r>
    </w:p>
    <w:p>
      <w:pPr>
        <w:numPr>
          <w:ilvl w:val="0"/>
          <w:numId w:val="37"/>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37"/>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澄清应当不超出投标文件的范围、不实质性改变投标文件的内容、不影响投标人的公平竞争、不导致投标文件从不响应招标文件变为响应招标文件的条件。下列内容不得澄清：</w:t>
      </w:r>
    </w:p>
    <w:p>
      <w:pPr>
        <w:pStyle w:val="156"/>
        <w:numPr>
          <w:ilvl w:val="0"/>
          <w:numId w:val="38"/>
        </w:numPr>
        <w:tabs>
          <w:tab w:val="left" w:pos="126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投标人投标文件中不响应招标文件规定的技术参数指标和商务应答；</w:t>
      </w:r>
    </w:p>
    <w:p>
      <w:pPr>
        <w:pStyle w:val="156"/>
        <w:numPr>
          <w:ilvl w:val="0"/>
          <w:numId w:val="38"/>
        </w:numPr>
        <w:tabs>
          <w:tab w:val="left" w:pos="126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投标人投标文件中未提供的证明其是否符合招标文件资格性、符合性规定要求的相关材料。</w:t>
      </w:r>
    </w:p>
    <w:p>
      <w:pPr>
        <w:pStyle w:val="156"/>
        <w:numPr>
          <w:ilvl w:val="0"/>
          <w:numId w:val="38"/>
        </w:numPr>
        <w:tabs>
          <w:tab w:val="left" w:pos="126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投标人投标文件中的材料因印刷、影印等不清晰而难以辨认的。</w:t>
      </w:r>
    </w:p>
    <w:p>
      <w:pPr>
        <w:numPr>
          <w:ilvl w:val="0"/>
          <w:numId w:val="37"/>
        </w:numPr>
        <w:tabs>
          <w:tab w:val="left" w:pos="1134"/>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投标文件报价出现下列情况的，不需要投标人澄清，按以下原则处理：</w:t>
      </w:r>
    </w:p>
    <w:p>
      <w:pPr>
        <w:pStyle w:val="156"/>
        <w:numPr>
          <w:ilvl w:val="0"/>
          <w:numId w:val="39"/>
        </w:numPr>
        <w:tabs>
          <w:tab w:val="left" w:pos="105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大写金额和小写金额不一致的，以大写金额为准，但大写金额出现文字错误，导致金额无法判断的除外；</w:t>
      </w:r>
    </w:p>
    <w:p>
      <w:pPr>
        <w:pStyle w:val="156"/>
        <w:numPr>
          <w:ilvl w:val="0"/>
          <w:numId w:val="39"/>
        </w:numPr>
        <w:tabs>
          <w:tab w:val="left" w:pos="105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单价金额小数点或者百分比有明显错位的，以总价为准，并修改单价；</w:t>
      </w:r>
    </w:p>
    <w:p>
      <w:pPr>
        <w:pStyle w:val="156"/>
        <w:numPr>
          <w:ilvl w:val="0"/>
          <w:numId w:val="39"/>
        </w:numPr>
        <w:tabs>
          <w:tab w:val="left" w:pos="1050"/>
        </w:tabs>
        <w:spacing w:after="200" w:line="560" w:lineRule="exact"/>
        <w:ind w:left="0" w:firstLine="525"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总价金额与按单价汇总金额不一致的，以单价金额计算结果为准。</w:t>
      </w:r>
    </w:p>
    <w:p>
      <w:pPr>
        <w:spacing w:line="560" w:lineRule="exact"/>
        <w:ind w:firstLine="56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同时出现两种以上不一致的，按照前款规定的顺序修正。修正后的报价经投标人确认后产生约束力，投标人不确认的，其投标无效。</w:t>
      </w:r>
    </w:p>
    <w:p>
      <w:pPr>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五、对不同语言文本投标文件的解释发生异议的，以中文文本为准。</w:t>
      </w:r>
    </w:p>
    <w:p>
      <w:pPr>
        <w:tabs>
          <w:tab w:val="left" w:pos="720"/>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51" w:firstLineChars="196"/>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评标委员会应当积极履行澄清、说明或者更正的职责，不得滥用权力。</w:t>
      </w:r>
    </w:p>
    <w:p>
      <w:pPr>
        <w:pStyle w:val="6"/>
        <w:numPr>
          <w:ilvl w:val="2"/>
          <w:numId w:val="3"/>
        </w:numPr>
        <w:spacing w:after="200" w:line="560" w:lineRule="exact"/>
        <w:ind w:left="851"/>
        <w:rPr>
          <w:color w:val="000000" w:themeColor="text1"/>
          <w14:textFill>
            <w14:solidFill>
              <w14:schemeClr w14:val="tx1"/>
            </w14:solidFill>
          </w14:textFill>
        </w:rPr>
      </w:pPr>
      <w:bookmarkStart w:id="280" w:name="_Toc315871649"/>
      <w:bookmarkEnd w:id="280"/>
      <w:bookmarkStart w:id="281" w:name="_Toc315871650"/>
      <w:bookmarkEnd w:id="281"/>
      <w:bookmarkStart w:id="282" w:name="_Toc315871652"/>
      <w:bookmarkEnd w:id="282"/>
      <w:bookmarkStart w:id="283" w:name="_Toc315871651"/>
      <w:bookmarkEnd w:id="283"/>
      <w:bookmarkStart w:id="284" w:name="_Toc316292253"/>
      <w:bookmarkStart w:id="285" w:name="_Toc315871647"/>
      <w:bookmarkStart w:id="286" w:name="_Toc316292255"/>
      <w:bookmarkStart w:id="287" w:name="_Toc315871653"/>
      <w:r>
        <w:rPr>
          <w:rFonts w:hint="eastAsia"/>
          <w:color w:val="000000" w:themeColor="text1"/>
          <w14:textFill>
            <w14:solidFill>
              <w14:schemeClr w14:val="tx1"/>
            </w14:solidFill>
          </w14:textFill>
        </w:rPr>
        <w:t>比较与评价</w:t>
      </w:r>
      <w:bookmarkEnd w:id="284"/>
      <w:bookmarkEnd w:id="285"/>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按招标文件中规定的评标细则及标准，对符合性检查合格的投标文件进行商务和服务评估，综合比较与评价。</w:t>
      </w:r>
    </w:p>
    <w:p>
      <w:pPr>
        <w:pStyle w:val="6"/>
        <w:numPr>
          <w:ilvl w:val="2"/>
          <w:numId w:val="3"/>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复核</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评标结果汇总完成后，评标委员会拟出具评审报告前，</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评标结果汇总完成后，除下列情形外，任何人不得修改评标结果：</w:t>
      </w:r>
    </w:p>
    <w:p>
      <w:pPr>
        <w:pStyle w:val="84"/>
        <w:numPr>
          <w:ilvl w:val="0"/>
          <w:numId w:val="40"/>
        </w:numPr>
        <w:tabs>
          <w:tab w:val="left" w:pos="851"/>
          <w:tab w:val="left" w:pos="1276"/>
        </w:tabs>
        <w:spacing w:after="200" w:line="560" w:lineRule="exact"/>
        <w:ind w:left="0" w:firstLine="424"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分值汇总计算错误的；</w:t>
      </w:r>
    </w:p>
    <w:p>
      <w:pPr>
        <w:pStyle w:val="84"/>
        <w:numPr>
          <w:ilvl w:val="0"/>
          <w:numId w:val="40"/>
        </w:numPr>
        <w:tabs>
          <w:tab w:val="left" w:pos="851"/>
          <w:tab w:val="left" w:pos="1276"/>
        </w:tabs>
        <w:spacing w:after="200" w:line="560" w:lineRule="exact"/>
        <w:ind w:left="0" w:firstLine="424"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分项评分超出评分标准范围的；</w:t>
      </w:r>
    </w:p>
    <w:p>
      <w:pPr>
        <w:pStyle w:val="84"/>
        <w:numPr>
          <w:ilvl w:val="0"/>
          <w:numId w:val="40"/>
        </w:numPr>
        <w:tabs>
          <w:tab w:val="left" w:pos="851"/>
          <w:tab w:val="left" w:pos="1276"/>
          <w:tab w:val="left" w:pos="1418"/>
        </w:tabs>
        <w:spacing w:after="200" w:line="560" w:lineRule="exact"/>
        <w:ind w:left="0" w:firstLine="424"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评标委员会成员对客观评审因素评分不一致的；</w:t>
      </w:r>
    </w:p>
    <w:p>
      <w:pPr>
        <w:pStyle w:val="84"/>
        <w:numPr>
          <w:ilvl w:val="0"/>
          <w:numId w:val="40"/>
        </w:numPr>
        <w:tabs>
          <w:tab w:val="left" w:pos="851"/>
          <w:tab w:val="left" w:pos="1276"/>
        </w:tabs>
        <w:spacing w:after="200" w:line="560" w:lineRule="exact"/>
        <w:ind w:left="0" w:firstLine="426" w:firstLineChars="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经评标委员会认定评分畸高、畸低的。</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pStyle w:val="6"/>
        <w:numPr>
          <w:ilvl w:val="2"/>
          <w:numId w:val="3"/>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确定中标候选人名单</w:t>
      </w:r>
    </w:p>
    <w:p>
      <w:pPr>
        <w:tabs>
          <w:tab w:val="left" w:pos="851"/>
        </w:tabs>
        <w:spacing w:line="560" w:lineRule="exact"/>
        <w:ind w:firstLine="565" w:firstLineChars="202"/>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按投标人综合得分从高到低进行排序，确定1至3名中标候选人。综合得分相同的，按投标报价由低到高顺序排列，得分且投标报价相同的并列。</w:t>
      </w:r>
      <w:r>
        <w:rPr>
          <w:rFonts w:hint="eastAsia" w:ascii="Helvetica" w:hAnsi="Helvetica" w:cs="Helvetica"/>
          <w:color w:val="000000" w:themeColor="text1"/>
          <w:kern w:val="0"/>
          <w:sz w:val="28"/>
          <w:szCs w:val="28"/>
          <w14:textFill>
            <w14:solidFill>
              <w14:schemeClr w14:val="tx1"/>
            </w14:solidFill>
          </w14:textFill>
        </w:rPr>
        <w:t>投标文件满足招标文件全部实质性要求，且按照评审因素的量化指标评审得分最高的投标人为排名第一的中标候选人。</w:t>
      </w:r>
    </w:p>
    <w:p>
      <w:pPr>
        <w:pStyle w:val="6"/>
        <w:numPr>
          <w:ilvl w:val="2"/>
          <w:numId w:val="3"/>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编写评标报告</w:t>
      </w:r>
      <w:bookmarkEnd w:id="286"/>
      <w:bookmarkEnd w:id="287"/>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评标报告是评标委员会根据全体评标成员签字的原始评标记录和评标结果编写的报告，其主要内容包括：</w:t>
      </w:r>
    </w:p>
    <w:p>
      <w:pPr>
        <w:numPr>
          <w:ilvl w:val="0"/>
          <w:numId w:val="41"/>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招标公告刊登的媒体名称、开标日期和地点；</w:t>
      </w:r>
    </w:p>
    <w:p>
      <w:pPr>
        <w:numPr>
          <w:ilvl w:val="0"/>
          <w:numId w:val="41"/>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投标人名单和评标委员会成员名单；</w:t>
      </w:r>
    </w:p>
    <w:p>
      <w:pPr>
        <w:numPr>
          <w:ilvl w:val="0"/>
          <w:numId w:val="41"/>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评标方法和标准；</w:t>
      </w:r>
    </w:p>
    <w:p>
      <w:pPr>
        <w:numPr>
          <w:ilvl w:val="0"/>
          <w:numId w:val="41"/>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开标记录和评标情况及说明，包括投标无效投标人名单及原因；</w:t>
      </w:r>
    </w:p>
    <w:p>
      <w:pPr>
        <w:numPr>
          <w:ilvl w:val="0"/>
          <w:numId w:val="41"/>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评标结果，确定的中标候选人名单或者经采购人委托直接确定的中标人；</w:t>
      </w:r>
    </w:p>
    <w:p>
      <w:pPr>
        <w:numPr>
          <w:ilvl w:val="0"/>
          <w:numId w:val="41"/>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其他需要说明的情况，包括评标过程中投标人根据评标委员会要求进行的澄清、说明或者补正，评标委员会成员的更换等； </w:t>
      </w:r>
    </w:p>
    <w:p>
      <w:pPr>
        <w:numPr>
          <w:ilvl w:val="0"/>
          <w:numId w:val="41"/>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报价最高的投标人为中标候选人的，评标委员会应当对其报价的合理性予以特别说明。</w:t>
      </w:r>
    </w:p>
    <w:p>
      <w:pPr>
        <w:tabs>
          <w:tab w:val="left" w:pos="1155"/>
        </w:tabs>
        <w:spacing w:line="560" w:lineRule="exact"/>
        <w:ind w:firstLine="523" w:firstLineChars="18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Style w:val="5"/>
        <w:numPr>
          <w:ilvl w:val="1"/>
          <w:numId w:val="3"/>
        </w:numPr>
        <w:spacing w:line="560" w:lineRule="exact"/>
        <w:ind w:left="2269" w:hanging="2269"/>
        <w:rPr>
          <w:color w:val="000000" w:themeColor="text1"/>
          <w14:textFill>
            <w14:solidFill>
              <w14:schemeClr w14:val="tx1"/>
            </w14:solidFill>
          </w14:textFill>
        </w:rPr>
      </w:pPr>
      <w:bookmarkStart w:id="288" w:name="_Toc11482"/>
      <w:bookmarkStart w:id="289" w:name="_Toc27797"/>
      <w:bookmarkStart w:id="290" w:name="_Toc30340"/>
      <w:bookmarkStart w:id="291" w:name="_Toc7609"/>
      <w:bookmarkStart w:id="292" w:name="_Toc75336311"/>
      <w:bookmarkStart w:id="293" w:name="_Toc479753445"/>
      <w:bookmarkStart w:id="294" w:name="_Toc217446103"/>
      <w:bookmarkStart w:id="295" w:name="_Toc316292256"/>
      <w:bookmarkStart w:id="296" w:name="_Toc315871654"/>
      <w:r>
        <w:rPr>
          <w:rFonts w:hint="eastAsia"/>
          <w:color w:val="000000" w:themeColor="text1"/>
          <w14:textFill>
            <w14:solidFill>
              <w14:schemeClr w14:val="tx1"/>
            </w14:solidFill>
          </w14:textFill>
        </w:rPr>
        <w:t>评标争议处理规则</w:t>
      </w:r>
      <w:bookmarkEnd w:id="288"/>
      <w:bookmarkEnd w:id="289"/>
      <w:bookmarkEnd w:id="290"/>
      <w:bookmarkEnd w:id="291"/>
      <w:bookmarkEnd w:id="292"/>
      <w:bookmarkEnd w:id="293"/>
    </w:p>
    <w:p>
      <w:pPr>
        <w:tabs>
          <w:tab w:val="left" w:pos="1155"/>
        </w:tabs>
        <w:spacing w:line="560" w:lineRule="exact"/>
        <w:ind w:firstLine="523" w:firstLineChars="18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color w:val="000000" w:themeColor="text1"/>
          <w:sz w:val="28"/>
          <w:szCs w:val="28"/>
          <w14:textFill>
            <w14:solidFill>
              <w14:schemeClr w14:val="tx1"/>
            </w14:solidFill>
          </w14:textFill>
        </w:rPr>
        <w:t>持不同意见的评标委员会成员应当在评标报告上签署不同意见及理由，否则视为同意评标报告。</w:t>
      </w:r>
      <w:r>
        <w:rPr>
          <w:rFonts w:hint="eastAsia" w:ascii="宋体" w:hAnsi="宋体"/>
          <w:color w:val="000000" w:themeColor="text1"/>
          <w:sz w:val="28"/>
          <w:szCs w:val="28"/>
          <w14:textFill>
            <w14:solidFill>
              <w14:schemeClr w14:val="tx1"/>
            </w14:solidFill>
          </w14:textFill>
        </w:rPr>
        <w:t>持不同意见的评标委员会成员认为认定过程和结果不符合法律法规或者招标文件规定的，应当及时向采购人或</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书面反映。采购人或</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收到书面反映后，应当书面报告采购项目同级财政部门依法处理。</w:t>
      </w:r>
    </w:p>
    <w:p>
      <w:pPr>
        <w:pStyle w:val="5"/>
        <w:numPr>
          <w:ilvl w:val="1"/>
          <w:numId w:val="3"/>
        </w:numPr>
        <w:spacing w:before="0" w:after="0" w:line="560" w:lineRule="exact"/>
        <w:ind w:left="2269" w:hanging="2269"/>
        <w:rPr>
          <w:color w:val="000000" w:themeColor="text1"/>
          <w14:textFill>
            <w14:solidFill>
              <w14:schemeClr w14:val="tx1"/>
            </w14:solidFill>
          </w14:textFill>
        </w:rPr>
      </w:pPr>
      <w:bookmarkStart w:id="297" w:name="_Toc18642"/>
      <w:bookmarkStart w:id="298" w:name="_Toc75336312"/>
      <w:bookmarkStart w:id="299" w:name="_Toc23552"/>
      <w:bookmarkStart w:id="300" w:name="_Toc6600"/>
      <w:bookmarkStart w:id="301" w:name="_Toc25222"/>
      <w:r>
        <w:rPr>
          <w:rFonts w:hint="eastAsia"/>
          <w:color w:val="000000" w:themeColor="text1"/>
          <w14:textFill>
            <w14:solidFill>
              <w14:schemeClr w14:val="tx1"/>
            </w14:solidFill>
          </w14:textFill>
        </w:rPr>
        <w:t>评标细则及标准</w:t>
      </w:r>
      <w:bookmarkEnd w:id="294"/>
      <w:bookmarkEnd w:id="295"/>
      <w:bookmarkEnd w:id="296"/>
      <w:bookmarkEnd w:id="297"/>
      <w:bookmarkEnd w:id="298"/>
      <w:bookmarkEnd w:id="299"/>
      <w:bookmarkEnd w:id="300"/>
      <w:bookmarkEnd w:id="301"/>
    </w:p>
    <w:p>
      <w:pPr>
        <w:numPr>
          <w:ilvl w:val="0"/>
          <w:numId w:val="42"/>
        </w:numPr>
        <w:tabs>
          <w:tab w:val="left" w:pos="1155"/>
        </w:tabs>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评标委员会只对通过初审的投标文件，根据招标文件的要求采用相同的评标程序、评分办法及标准进行评价和比较。</w:t>
      </w:r>
    </w:p>
    <w:p>
      <w:pPr>
        <w:numPr>
          <w:ilvl w:val="0"/>
          <w:numId w:val="42"/>
        </w:numPr>
        <w:tabs>
          <w:tab w:val="left" w:pos="1155"/>
        </w:tabs>
        <w:spacing w:after="200" w:line="560" w:lineRule="exact"/>
        <w:ind w:left="0" w:firstLine="56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本次综合评分的因素是：价格、服务、商务等。</w:t>
      </w:r>
    </w:p>
    <w:p>
      <w:pPr>
        <w:numPr>
          <w:ilvl w:val="0"/>
          <w:numId w:val="42"/>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bookmarkStart w:id="302" w:name="_Toc217102344"/>
      <w:bookmarkStart w:id="303" w:name="_Toc218498587"/>
      <w:bookmarkStart w:id="304" w:name="_Toc310176995"/>
      <w:r>
        <w:rPr>
          <w:rFonts w:hint="eastAsia" w:ascii="宋体" w:hAnsi="宋体"/>
          <w:color w:val="000000" w:themeColor="text1"/>
          <w:sz w:val="28"/>
          <w:szCs w:val="28"/>
          <w14:textFill>
            <w14:solidFill>
              <w14:schemeClr w14:val="tx1"/>
            </w14:solidFill>
          </w14:textFill>
        </w:rPr>
        <w:t>评标委员会成员应依据招标文件规定的评分标准和方法独立打分。</w:t>
      </w:r>
    </w:p>
    <w:p>
      <w:pPr>
        <w:pStyle w:val="6"/>
        <w:numPr>
          <w:ilvl w:val="2"/>
          <w:numId w:val="3"/>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评分办法</w:t>
      </w:r>
      <w:bookmarkEnd w:id="302"/>
      <w:bookmarkEnd w:id="303"/>
      <w:bookmarkEnd w:id="304"/>
    </w:p>
    <w:p>
      <w:pPr>
        <w:spacing w:line="560" w:lineRule="exact"/>
        <w:ind w:firstLine="630" w:firstLineChars="2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评标得分＝（A</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）/n</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n</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n</w:t>
      </w:r>
      <w:r>
        <w:rPr>
          <w:rFonts w:hint="eastAsia" w:ascii="宋体" w:hAnsi="宋体"/>
          <w:color w:val="000000" w:themeColor="text1"/>
          <w:sz w:val="28"/>
          <w:szCs w:val="28"/>
          <w:vertAlign w:val="subscript"/>
          <w14:textFill>
            <w14:solidFill>
              <w14:schemeClr w14:val="tx1"/>
            </w14:solidFill>
          </w14:textFill>
        </w:rPr>
        <w:t>3</w:t>
      </w:r>
    </w:p>
    <w:p>
      <w:pPr>
        <w:widowControl/>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……A</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分别为每个</w:t>
      </w:r>
      <w:r>
        <w:rPr>
          <w:rFonts w:hint="eastAsia" w:ascii="宋体" w:hAnsi="宋体" w:cs="宋体"/>
          <w:color w:val="000000" w:themeColor="text1"/>
          <w:kern w:val="0"/>
          <w:sz w:val="28"/>
          <w:szCs w:val="28"/>
          <w14:textFill>
            <w14:solidFill>
              <w14:schemeClr w14:val="tx1"/>
            </w14:solidFill>
          </w14:textFill>
        </w:rPr>
        <w:t>经济类</w:t>
      </w:r>
      <w:r>
        <w:rPr>
          <w:rFonts w:hint="eastAsia" w:ascii="宋体" w:hAnsi="宋体"/>
          <w:color w:val="000000" w:themeColor="text1"/>
          <w:sz w:val="28"/>
          <w:szCs w:val="28"/>
          <w14:textFill>
            <w14:solidFill>
              <w14:schemeClr w14:val="tx1"/>
            </w14:solidFill>
          </w14:textFill>
        </w:rPr>
        <w:t>评委的打分，n</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为</w:t>
      </w:r>
      <w:r>
        <w:rPr>
          <w:rFonts w:hint="eastAsia" w:ascii="宋体" w:hAnsi="宋体" w:cs="宋体"/>
          <w:color w:val="000000" w:themeColor="text1"/>
          <w:kern w:val="0"/>
          <w:sz w:val="28"/>
          <w:szCs w:val="28"/>
          <w14:textFill>
            <w14:solidFill>
              <w14:schemeClr w14:val="tx1"/>
            </w14:solidFill>
          </w14:textFill>
        </w:rPr>
        <w:t>经济类</w:t>
      </w:r>
      <w:r>
        <w:rPr>
          <w:rFonts w:hint="eastAsia" w:ascii="宋体" w:hAnsi="宋体"/>
          <w:color w:val="000000" w:themeColor="text1"/>
          <w:sz w:val="28"/>
          <w:szCs w:val="28"/>
          <w14:textFill>
            <w14:solidFill>
              <w14:schemeClr w14:val="tx1"/>
            </w14:solidFill>
          </w14:textFill>
        </w:rPr>
        <w:t>评委人数；B</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＋……B</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xml:space="preserve"> 分别为每个技术类评委（含采购人代表）的打分，n</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为</w:t>
      </w:r>
      <w:r>
        <w:rPr>
          <w:rFonts w:hint="eastAsia" w:ascii="宋体" w:hAnsi="宋体" w:cs="宋体"/>
          <w:color w:val="000000" w:themeColor="text1"/>
          <w:kern w:val="0"/>
          <w:sz w:val="28"/>
          <w:szCs w:val="28"/>
          <w14:textFill>
            <w14:solidFill>
              <w14:schemeClr w14:val="tx1"/>
            </w14:solidFill>
          </w14:textFill>
        </w:rPr>
        <w:t>技术类</w:t>
      </w:r>
      <w:r>
        <w:rPr>
          <w:rFonts w:hint="eastAsia" w:ascii="宋体" w:hAnsi="宋体"/>
          <w:color w:val="000000" w:themeColor="text1"/>
          <w:sz w:val="28"/>
          <w:szCs w:val="28"/>
          <w14:textFill>
            <w14:solidFill>
              <w14:schemeClr w14:val="tx1"/>
            </w14:solidFill>
          </w14:textFill>
        </w:rPr>
        <w:t>评委（含采购人代表）人数；C</w:t>
      </w:r>
      <w:r>
        <w:rPr>
          <w:rFonts w:hint="eastAsia" w:ascii="宋体" w:hAnsi="宋体"/>
          <w:color w:val="000000" w:themeColor="text1"/>
          <w:sz w:val="28"/>
          <w:szCs w:val="28"/>
          <w:vertAlign w:val="subscript"/>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……C</w:t>
      </w:r>
      <w:r>
        <w:rPr>
          <w:rFonts w:hint="eastAsia" w:ascii="宋体" w:hAnsi="宋体"/>
          <w:color w:val="000000" w:themeColor="text1"/>
          <w:sz w:val="28"/>
          <w:szCs w:val="28"/>
          <w:vertAlign w:val="subscript"/>
          <w14:textFill>
            <w14:solidFill>
              <w14:schemeClr w14:val="tx1"/>
            </w14:solidFill>
          </w14:textFill>
        </w:rPr>
        <w:t>n</w:t>
      </w:r>
      <w:r>
        <w:rPr>
          <w:rFonts w:hint="eastAsia" w:ascii="宋体" w:hAnsi="宋体"/>
          <w:color w:val="000000" w:themeColor="text1"/>
          <w:sz w:val="28"/>
          <w:szCs w:val="28"/>
          <w14:textFill>
            <w14:solidFill>
              <w14:schemeClr w14:val="tx1"/>
            </w14:solidFill>
          </w14:textFill>
        </w:rPr>
        <w:t xml:space="preserve"> 分别为评审委员会每个成员的打分，n</w:t>
      </w:r>
      <w:r>
        <w:rPr>
          <w:rFonts w:hint="eastAsia" w:ascii="宋体" w:hAnsi="宋体"/>
          <w:color w:val="000000" w:themeColor="text1"/>
          <w:sz w:val="28"/>
          <w:szCs w:val="28"/>
          <w:vertAlign w:val="subscript"/>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为评委人数。</w:t>
      </w:r>
    </w:p>
    <w:p>
      <w:pPr>
        <w:pStyle w:val="6"/>
        <w:numPr>
          <w:ilvl w:val="2"/>
          <w:numId w:val="3"/>
        </w:numPr>
        <w:spacing w:after="200"/>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评分标准</w:t>
      </w:r>
    </w:p>
    <w:tbl>
      <w:tblPr>
        <w:tblStyle w:val="43"/>
        <w:tblW w:w="83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50"/>
        <w:gridCol w:w="5285"/>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01" w:type="dxa"/>
            <w:tcBorders>
              <w:top w:val="single" w:color="auto" w:sz="2" w:space="0"/>
              <w:left w:val="single" w:color="auto" w:sz="2" w:space="0"/>
              <w:bottom w:val="single" w:color="auto" w:sz="2" w:space="0"/>
              <w:right w:val="single" w:color="auto" w:sz="2" w:space="0"/>
            </w:tcBorders>
            <w:vAlign w:val="center"/>
          </w:tcPr>
          <w:p>
            <w:pPr>
              <w:spacing w:after="200" w:line="276" w:lineRule="auto"/>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评委类别</w:t>
            </w:r>
          </w:p>
        </w:tc>
        <w:tc>
          <w:tcPr>
            <w:tcW w:w="850" w:type="dxa"/>
            <w:tcBorders>
              <w:top w:val="single" w:color="auto" w:sz="2" w:space="0"/>
              <w:left w:val="single" w:color="auto" w:sz="2" w:space="0"/>
              <w:bottom w:val="single" w:color="auto" w:sz="2" w:space="0"/>
              <w:right w:val="single" w:color="auto" w:sz="2" w:space="0"/>
            </w:tcBorders>
            <w:vAlign w:val="center"/>
          </w:tcPr>
          <w:p>
            <w:pPr>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评审</w:t>
            </w:r>
          </w:p>
          <w:p>
            <w:pPr>
              <w:spacing w:after="200" w:line="276" w:lineRule="auto"/>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项目</w:t>
            </w:r>
          </w:p>
        </w:tc>
        <w:tc>
          <w:tcPr>
            <w:tcW w:w="5285"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评分标准</w:t>
            </w:r>
          </w:p>
        </w:tc>
        <w:tc>
          <w:tcPr>
            <w:tcW w:w="1064"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6" w:hRule="atLeast"/>
        </w:trPr>
        <w:tc>
          <w:tcPr>
            <w:tcW w:w="1101" w:type="dxa"/>
            <w:tcBorders>
              <w:top w:val="single" w:color="auto" w:sz="2" w:space="0"/>
              <w:left w:val="single" w:color="auto" w:sz="2" w:space="0"/>
              <w:bottom w:val="single" w:color="auto" w:sz="2" w:space="0"/>
              <w:right w:val="single" w:color="auto" w:sz="2" w:space="0"/>
            </w:tcBorders>
            <w:vAlign w:val="center"/>
          </w:tcPr>
          <w:p>
            <w:pPr>
              <w:spacing w:line="4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评审委员会成员</w:t>
            </w:r>
          </w:p>
        </w:tc>
        <w:tc>
          <w:tcPr>
            <w:tcW w:w="850"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投标报价得分</w:t>
            </w:r>
          </w:p>
        </w:tc>
        <w:tc>
          <w:tcPr>
            <w:tcW w:w="5285" w:type="dxa"/>
            <w:tcBorders>
              <w:top w:val="single" w:color="auto" w:sz="2" w:space="0"/>
              <w:left w:val="single" w:color="auto" w:sz="2" w:space="0"/>
              <w:bottom w:val="single" w:color="auto" w:sz="2" w:space="0"/>
              <w:right w:val="single" w:color="auto" w:sz="2" w:space="0"/>
            </w:tcBorders>
            <w:vAlign w:val="center"/>
          </w:tcPr>
          <w:p>
            <w:pPr>
              <w:spacing w:line="4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满足招标文件要求且投标价格最低的投标报价为评标基准价，其价格分为满分。其他投标人的价格分统一按照下列公式计算：投标报价得分=(评标基准价÷投标报价)×10%×100；</w:t>
            </w:r>
          </w:p>
        </w:tc>
        <w:tc>
          <w:tcPr>
            <w:tcW w:w="1064"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b/>
                <w:color w:val="000000" w:themeColor="text1"/>
                <w:sz w:val="28"/>
                <w:szCs w:val="28"/>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10</w:t>
            </w:r>
            <w:r>
              <w:rPr>
                <w:rFonts w:hint="eastAsia"/>
                <w:b/>
                <w:color w:val="000000" w:themeColor="text1"/>
                <w:sz w:val="28"/>
                <w:szCs w:val="28"/>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6" w:hRule="atLeast"/>
        </w:trPr>
        <w:tc>
          <w:tcPr>
            <w:tcW w:w="1101" w:type="dxa"/>
            <w:tcBorders>
              <w:top w:val="single" w:color="auto" w:sz="2" w:space="0"/>
              <w:left w:val="single" w:color="auto" w:sz="2" w:space="0"/>
              <w:bottom w:val="single" w:color="auto" w:sz="2" w:space="0"/>
              <w:right w:val="single" w:color="auto" w:sz="2" w:space="0"/>
            </w:tcBorders>
            <w:vAlign w:val="center"/>
          </w:tcPr>
          <w:p>
            <w:pPr>
              <w:spacing w:line="4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评审委员会成员</w:t>
            </w:r>
          </w:p>
        </w:tc>
        <w:tc>
          <w:tcPr>
            <w:tcW w:w="850"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项目需求分析</w:t>
            </w:r>
          </w:p>
        </w:tc>
        <w:tc>
          <w:tcPr>
            <w:tcW w:w="5285" w:type="dxa"/>
            <w:tcBorders>
              <w:top w:val="single" w:color="auto" w:sz="2" w:space="0"/>
              <w:left w:val="single" w:color="auto" w:sz="2" w:space="0"/>
              <w:bottom w:val="single" w:color="auto" w:sz="2" w:space="0"/>
              <w:right w:val="single" w:color="auto" w:sz="2" w:space="0"/>
            </w:tcBorders>
            <w:vAlign w:val="center"/>
          </w:tcPr>
          <w:p>
            <w:pPr>
              <w:spacing w:line="400" w:lineRule="exact"/>
              <w:ind w:firstLine="562" w:firstLineChars="200"/>
              <w:jc w:val="lef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投标人根据招标文件要求，结合自身实际工作经验，对本项目进行项目需求分析；</w:t>
            </w:r>
          </w:p>
          <w:p>
            <w:pPr>
              <w:spacing w:line="400" w:lineRule="exact"/>
              <w:ind w:firstLine="562" w:firstLineChars="200"/>
              <w:jc w:val="lef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1、提供了本项目服务需求的重难点分析的得2分；</w:t>
            </w:r>
          </w:p>
          <w:p>
            <w:pPr>
              <w:spacing w:line="400" w:lineRule="exact"/>
              <w:ind w:firstLine="562" w:firstLineChars="200"/>
              <w:jc w:val="lef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2、在此基础上，投标人能提出有利于在实施过程中体现投标人优势的得2分；</w:t>
            </w:r>
            <w:r>
              <w:rPr>
                <w:rFonts w:hint="eastAsia"/>
                <w:b/>
                <w:color w:val="000000" w:themeColor="text1"/>
                <w:sz w:val="28"/>
                <w:szCs w:val="28"/>
                <w14:textFill>
                  <w14:solidFill>
                    <w14:schemeClr w14:val="tx1"/>
                  </w14:solidFill>
                </w14:textFill>
              </w:rPr>
              <w:br w:type="textWrapping"/>
            </w:r>
            <w:r>
              <w:rPr>
                <w:rFonts w:hint="eastAsia"/>
                <w:b/>
                <w:color w:val="000000" w:themeColor="text1"/>
                <w:sz w:val="28"/>
                <w:szCs w:val="28"/>
                <w14:textFill>
                  <w14:solidFill>
                    <w14:schemeClr w14:val="tx1"/>
                  </w14:solidFill>
                </w14:textFill>
              </w:rPr>
              <w:t>3、提出了有利于提升服务质量建议的加2分；</w:t>
            </w:r>
            <w:r>
              <w:rPr>
                <w:rFonts w:hint="eastAsia"/>
                <w:b/>
                <w:color w:val="000000" w:themeColor="text1"/>
                <w:sz w:val="28"/>
                <w:szCs w:val="28"/>
                <w14:textFill>
                  <w14:solidFill>
                    <w14:schemeClr w14:val="tx1"/>
                  </w14:solidFill>
                </w14:textFill>
              </w:rPr>
              <w:br w:type="textWrapping"/>
            </w:r>
            <w:r>
              <w:rPr>
                <w:rFonts w:hint="eastAsia"/>
                <w:b/>
                <w:color w:val="000000" w:themeColor="text1"/>
                <w:sz w:val="28"/>
                <w:szCs w:val="28"/>
                <w14:textFill>
                  <w14:solidFill>
                    <w14:schemeClr w14:val="tx1"/>
                  </w14:solidFill>
                </w14:textFill>
              </w:rPr>
              <w:t>4、投标人能够根据现场情况提供符合实际情况的保洁服务人员工作点位分派表、秩序维护人员工作点位分派表、后勤服务人员工作分派表，齐备的加6分。</w:t>
            </w:r>
          </w:p>
          <w:p>
            <w:pPr>
              <w:spacing w:line="400" w:lineRule="exact"/>
              <w:ind w:firstLine="562" w:firstLineChars="200"/>
              <w:rPr>
                <w:b/>
                <w:color w:val="000000" w:themeColor="text1"/>
                <w:sz w:val="28"/>
                <w:szCs w:val="28"/>
                <w14:textFill>
                  <w14:solidFill>
                    <w14:schemeClr w14:val="tx1"/>
                  </w14:solidFill>
                </w14:textFill>
              </w:rPr>
            </w:pPr>
          </w:p>
        </w:tc>
        <w:tc>
          <w:tcPr>
            <w:tcW w:w="1064"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b/>
                <w:color w:val="000000" w:themeColor="text1"/>
                <w:sz w:val="28"/>
                <w:szCs w:val="28"/>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12</w:t>
            </w:r>
            <w:r>
              <w:rPr>
                <w:rFonts w:hint="eastAsia"/>
                <w:b/>
                <w:color w:val="000000" w:themeColor="text1"/>
                <w:sz w:val="28"/>
                <w:szCs w:val="28"/>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6" w:hRule="atLeast"/>
        </w:trPr>
        <w:tc>
          <w:tcPr>
            <w:tcW w:w="1101" w:type="dxa"/>
            <w:tcBorders>
              <w:top w:val="single" w:color="auto" w:sz="2" w:space="0"/>
              <w:left w:val="single" w:color="auto" w:sz="2" w:space="0"/>
              <w:bottom w:val="single" w:color="auto" w:sz="2" w:space="0"/>
              <w:right w:val="single" w:color="auto" w:sz="2" w:space="0"/>
            </w:tcBorders>
            <w:vAlign w:val="center"/>
          </w:tcPr>
          <w:p>
            <w:pPr>
              <w:spacing w:line="4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评审委员会成员</w:t>
            </w:r>
          </w:p>
        </w:tc>
        <w:tc>
          <w:tcPr>
            <w:tcW w:w="850"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rFonts w:hint="eastAsia" w:eastAsia="宋体"/>
                <w:b/>
                <w:color w:val="000000" w:themeColor="text1"/>
                <w:sz w:val="28"/>
                <w:szCs w:val="28"/>
                <w:lang w:eastAsia="zh-CN"/>
                <w14:textFill>
                  <w14:solidFill>
                    <w14:schemeClr w14:val="tx1"/>
                  </w14:solidFill>
                </w14:textFill>
              </w:rPr>
            </w:pPr>
            <w:r>
              <w:rPr>
                <w:rFonts w:hint="eastAsia"/>
                <w:b/>
                <w:color w:val="000000" w:themeColor="text1"/>
                <w:sz w:val="28"/>
                <w:szCs w:val="28"/>
                <w14:textFill>
                  <w14:solidFill>
                    <w14:schemeClr w14:val="tx1"/>
                  </w14:solidFill>
                </w14:textFill>
              </w:rPr>
              <w:t>保洁</w:t>
            </w:r>
            <w:r>
              <w:rPr>
                <w:rFonts w:hint="eastAsia"/>
                <w:b/>
                <w:color w:val="000000" w:themeColor="text1"/>
                <w:sz w:val="28"/>
                <w:szCs w:val="28"/>
                <w:lang w:val="en-US" w:eastAsia="zh-CN"/>
                <w14:textFill>
                  <w14:solidFill>
                    <w14:schemeClr w14:val="tx1"/>
                  </w14:solidFill>
                </w14:textFill>
              </w:rPr>
              <w:t>服务</w:t>
            </w:r>
          </w:p>
        </w:tc>
        <w:tc>
          <w:tcPr>
            <w:tcW w:w="5285" w:type="dxa"/>
            <w:tcBorders>
              <w:top w:val="single" w:color="auto" w:sz="2" w:space="0"/>
              <w:left w:val="single" w:color="auto" w:sz="2" w:space="0"/>
              <w:bottom w:val="single" w:color="auto" w:sz="2" w:space="0"/>
              <w:right w:val="single" w:color="auto" w:sz="2" w:space="0"/>
            </w:tcBorders>
            <w:vAlign w:val="center"/>
          </w:tcPr>
          <w:p>
            <w:pPr>
              <w:snapToGrid w:val="0"/>
              <w:spacing w:line="4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投标人根据招标文件“保洁服务”内容提供保洁服务方案，内容包含“公共地域清洁工作要求及质量标准、建筑物内部物体清洁要求及质量标准、非临床科室用房清洁要求及质量标准、临床科室用房清洁要求及质量标准”，内容齐备且满足招标文件相应要求得8分，少提供一项或每有一项不满足招标文件相应要求扣2分扣完为止。</w:t>
            </w:r>
          </w:p>
          <w:p>
            <w:pPr>
              <w:snapToGrid w:val="0"/>
              <w:spacing w:line="4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在此基础上：每有一项能体现出质量标准更优且符合实际情况的加</w:t>
            </w:r>
            <w:r>
              <w:rPr>
                <w:b/>
                <w:color w:val="000000" w:themeColor="text1"/>
                <w:sz w:val="28"/>
                <w:szCs w:val="28"/>
                <w14:textFill>
                  <w14:solidFill>
                    <w14:schemeClr w14:val="tx1"/>
                  </w14:solidFill>
                </w14:textFill>
              </w:rPr>
              <w:t>2</w:t>
            </w:r>
            <w:r>
              <w:rPr>
                <w:rFonts w:hint="eastAsia"/>
                <w:b/>
                <w:color w:val="000000" w:themeColor="text1"/>
                <w:sz w:val="28"/>
                <w:szCs w:val="28"/>
                <w14:textFill>
                  <w14:solidFill>
                    <w14:schemeClr w14:val="tx1"/>
                  </w14:solidFill>
                </w14:textFill>
              </w:rPr>
              <w:t>分最多加</w:t>
            </w:r>
            <w:r>
              <w:rPr>
                <w:b/>
                <w:color w:val="000000" w:themeColor="text1"/>
                <w:sz w:val="28"/>
                <w:szCs w:val="28"/>
                <w14:textFill>
                  <w14:solidFill>
                    <w14:schemeClr w14:val="tx1"/>
                  </w14:solidFill>
                </w14:textFill>
              </w:rPr>
              <w:t>8</w:t>
            </w:r>
            <w:r>
              <w:rPr>
                <w:rFonts w:hint="eastAsia"/>
                <w:b/>
                <w:color w:val="000000" w:themeColor="text1"/>
                <w:sz w:val="28"/>
                <w:szCs w:val="28"/>
                <w14:textFill>
                  <w14:solidFill>
                    <w14:schemeClr w14:val="tx1"/>
                  </w14:solidFill>
                </w14:textFill>
              </w:rPr>
              <w:t>分。</w:t>
            </w:r>
          </w:p>
        </w:tc>
        <w:tc>
          <w:tcPr>
            <w:tcW w:w="1064"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b/>
                <w:color w:val="000000" w:themeColor="text1"/>
                <w:sz w:val="28"/>
                <w:szCs w:val="28"/>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16</w:t>
            </w:r>
            <w:r>
              <w:rPr>
                <w:rFonts w:hint="eastAsia"/>
                <w:b/>
                <w:color w:val="000000" w:themeColor="text1"/>
                <w:sz w:val="28"/>
                <w:szCs w:val="28"/>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6" w:hRule="atLeast"/>
        </w:trPr>
        <w:tc>
          <w:tcPr>
            <w:tcW w:w="1101" w:type="dxa"/>
            <w:tcBorders>
              <w:top w:val="single" w:color="auto" w:sz="2" w:space="0"/>
              <w:left w:val="single" w:color="auto" w:sz="2" w:space="0"/>
              <w:bottom w:val="single" w:color="auto" w:sz="2" w:space="0"/>
              <w:right w:val="single" w:color="auto" w:sz="2" w:space="0"/>
            </w:tcBorders>
            <w:vAlign w:val="center"/>
          </w:tcPr>
          <w:p>
            <w:pPr>
              <w:spacing w:line="4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评审委员会成员</w:t>
            </w:r>
          </w:p>
        </w:tc>
        <w:tc>
          <w:tcPr>
            <w:tcW w:w="850"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秩序维护及消防服务</w:t>
            </w:r>
          </w:p>
        </w:tc>
        <w:tc>
          <w:tcPr>
            <w:tcW w:w="5285" w:type="dxa"/>
            <w:tcBorders>
              <w:top w:val="single" w:color="auto" w:sz="2" w:space="0"/>
              <w:left w:val="single" w:color="auto" w:sz="2" w:space="0"/>
              <w:bottom w:val="single" w:color="auto" w:sz="2" w:space="0"/>
              <w:right w:val="single" w:color="auto" w:sz="2" w:space="0"/>
            </w:tcBorders>
            <w:vAlign w:val="center"/>
          </w:tcPr>
          <w:p>
            <w:pPr>
              <w:spacing w:line="400" w:lineRule="exact"/>
              <w:ind w:firstLine="562" w:firstLineChars="200"/>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投标人根据招标文件</w:t>
            </w:r>
            <w:r>
              <w:rPr>
                <w:rFonts w:hint="eastAsia"/>
                <w:b/>
                <w:color w:val="000000" w:themeColor="text1"/>
                <w:sz w:val="28"/>
                <w:szCs w:val="28"/>
                <w14:textFill>
                  <w14:solidFill>
                    <w14:schemeClr w14:val="tx1"/>
                  </w14:solidFill>
                </w14:textFill>
              </w:rPr>
              <w:t>“秩序维护及消防服务”要求提供秩序维护及消防服务方案，内容包含 “秩序维护、消防管理服务”， 内容齐备且满足招标文件相应要求得4分，每少提供一项或每有一项不满足招标文件相应要求扣2分扣完为止。</w:t>
            </w:r>
          </w:p>
          <w:p>
            <w:pPr>
              <w:spacing w:line="400" w:lineRule="exact"/>
              <w:ind w:firstLine="562" w:firstLineChars="200"/>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在此基础上：</w:t>
            </w:r>
          </w:p>
          <w:p>
            <w:pPr>
              <w:spacing w:line="400" w:lineRule="exact"/>
              <w:ind w:firstLine="562" w:firstLineChars="200"/>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1、投标人能保证服务范围内出现秩序问题或者消防问题能够提供18名人员保障的加2分；</w:t>
            </w:r>
            <w:r>
              <w:rPr>
                <w:b/>
                <w:color w:val="000000" w:themeColor="text1"/>
                <w:sz w:val="28"/>
                <w:szCs w:val="28"/>
                <w14:textFill>
                  <w14:solidFill>
                    <w14:schemeClr w14:val="tx1"/>
                  </w14:solidFill>
                </w14:textFill>
              </w:rPr>
              <w:t xml:space="preserve"> </w:t>
            </w:r>
          </w:p>
          <w:p>
            <w:pPr>
              <w:spacing w:line="400" w:lineRule="exact"/>
              <w:ind w:firstLine="562" w:firstLineChars="200"/>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2、投标人针对服务人员的临时调配需求，投标人能在原有的18人基础上，在30分钟内增派10人的服务实施人员赶往采购人指定地点的加2分；在</w:t>
            </w:r>
            <w:r>
              <w:rPr>
                <w:rFonts w:hint="eastAsia"/>
                <w:b/>
                <w:color w:val="000000" w:themeColor="text1"/>
                <w:sz w:val="28"/>
                <w:szCs w:val="28"/>
                <w:lang w:eastAsia="zh-CN"/>
                <w14:textFill>
                  <w14:solidFill>
                    <w14:schemeClr w14:val="tx1"/>
                  </w14:solidFill>
                </w14:textFill>
              </w:rPr>
              <w:t>增派的</w:t>
            </w:r>
            <w:r>
              <w:rPr>
                <w:rFonts w:hint="eastAsia"/>
                <w:b/>
                <w:color w:val="000000" w:themeColor="text1"/>
                <w:sz w:val="28"/>
                <w:szCs w:val="28"/>
                <w:lang w:val="en-US" w:eastAsia="zh-CN"/>
                <w14:textFill>
                  <w14:solidFill>
                    <w14:schemeClr w14:val="tx1"/>
                  </w14:solidFill>
                </w14:textFill>
              </w:rPr>
              <w:t>10</w:t>
            </w:r>
            <w:r>
              <w:rPr>
                <w:rFonts w:hint="eastAsia"/>
                <w:b/>
                <w:color w:val="000000" w:themeColor="text1"/>
                <w:sz w:val="28"/>
                <w:szCs w:val="28"/>
                <w14:textFill>
                  <w14:solidFill>
                    <w14:schemeClr w14:val="tx1"/>
                  </w14:solidFill>
                </w14:textFill>
              </w:rPr>
              <w:t>人</w:t>
            </w:r>
            <w:r>
              <w:rPr>
                <w:rFonts w:hint="eastAsia"/>
                <w:b/>
                <w:color w:val="000000" w:themeColor="text1"/>
                <w:sz w:val="28"/>
                <w:szCs w:val="28"/>
                <w:lang w:eastAsia="zh-CN"/>
                <w14:textFill>
                  <w14:solidFill>
                    <w14:schemeClr w14:val="tx1"/>
                  </w14:solidFill>
                </w14:textFill>
              </w:rPr>
              <w:t>基础</w:t>
            </w:r>
            <w:r>
              <w:rPr>
                <w:rFonts w:hint="eastAsia"/>
                <w:b/>
                <w:color w:val="000000" w:themeColor="text1"/>
                <w:sz w:val="28"/>
                <w:szCs w:val="28"/>
                <w14:textFill>
                  <w14:solidFill>
                    <w14:schemeClr w14:val="tx1"/>
                  </w14:solidFill>
                </w14:textFill>
              </w:rPr>
              <w:t>上每增加1人加0.2分，最多加2分。（投标人提供承诺函加盖投标人公章佐证得分）</w:t>
            </w:r>
          </w:p>
        </w:tc>
        <w:tc>
          <w:tcPr>
            <w:tcW w:w="1064"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6" w:hRule="atLeast"/>
        </w:trPr>
        <w:tc>
          <w:tcPr>
            <w:tcW w:w="1101" w:type="dxa"/>
            <w:tcBorders>
              <w:top w:val="single" w:color="auto" w:sz="2" w:space="0"/>
              <w:left w:val="single" w:color="auto" w:sz="2" w:space="0"/>
              <w:bottom w:val="single" w:color="auto" w:sz="2" w:space="0"/>
              <w:right w:val="single" w:color="auto" w:sz="2" w:space="0"/>
            </w:tcBorders>
            <w:vAlign w:val="center"/>
          </w:tcPr>
          <w:p>
            <w:pPr>
              <w:spacing w:line="4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评审委员会成员</w:t>
            </w:r>
          </w:p>
        </w:tc>
        <w:tc>
          <w:tcPr>
            <w:tcW w:w="850"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rFonts w:hint="default" w:eastAsia="宋体"/>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后勤服务</w:t>
            </w:r>
          </w:p>
          <w:p>
            <w:pPr>
              <w:spacing w:line="400" w:lineRule="exact"/>
              <w:jc w:val="center"/>
              <w:rPr>
                <w:b/>
                <w:color w:val="000000" w:themeColor="text1"/>
                <w:sz w:val="28"/>
                <w:szCs w:val="28"/>
                <w14:textFill>
                  <w14:solidFill>
                    <w14:schemeClr w14:val="tx1"/>
                  </w14:solidFill>
                </w14:textFill>
              </w:rPr>
            </w:pPr>
          </w:p>
        </w:tc>
        <w:tc>
          <w:tcPr>
            <w:tcW w:w="5285" w:type="dxa"/>
            <w:tcBorders>
              <w:top w:val="single" w:color="auto" w:sz="2" w:space="0"/>
              <w:left w:val="single" w:color="auto" w:sz="2" w:space="0"/>
              <w:bottom w:val="single" w:color="auto" w:sz="2" w:space="0"/>
              <w:right w:val="single" w:color="auto" w:sz="2" w:space="0"/>
            </w:tcBorders>
            <w:vAlign w:val="center"/>
          </w:tcPr>
          <w:p>
            <w:pPr>
              <w:spacing w:line="400" w:lineRule="exact"/>
              <w:ind w:firstLine="562" w:firstLineChars="200"/>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投标人根据招标文件</w:t>
            </w:r>
            <w:r>
              <w:rPr>
                <w:rFonts w:hint="eastAsia"/>
                <w:b/>
                <w:color w:val="000000" w:themeColor="text1"/>
                <w:sz w:val="28"/>
                <w:szCs w:val="28"/>
                <w14:textFill>
                  <w14:solidFill>
                    <w14:schemeClr w14:val="tx1"/>
                  </w14:solidFill>
                </w14:textFill>
              </w:rPr>
              <w:t>“后勤服务”要求提供服务方案，内容完全满足招标文件相关要求得4分，每少提供一条或每有一条内容不满足招标文件相应要求扣1分扣完为止。</w:t>
            </w:r>
          </w:p>
        </w:tc>
        <w:tc>
          <w:tcPr>
            <w:tcW w:w="1064"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b/>
                <w:color w:val="000000" w:themeColor="text1"/>
                <w:sz w:val="28"/>
                <w:szCs w:val="28"/>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4</w:t>
            </w:r>
            <w:r>
              <w:rPr>
                <w:rFonts w:hint="eastAsia"/>
                <w:b/>
                <w:color w:val="000000" w:themeColor="text1"/>
                <w:sz w:val="28"/>
                <w:szCs w:val="28"/>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6" w:hRule="atLeast"/>
        </w:trPr>
        <w:tc>
          <w:tcPr>
            <w:tcW w:w="1101" w:type="dxa"/>
            <w:tcBorders>
              <w:top w:val="single" w:color="auto" w:sz="2" w:space="0"/>
              <w:left w:val="single" w:color="auto" w:sz="2" w:space="0"/>
              <w:bottom w:val="single" w:color="auto" w:sz="2" w:space="0"/>
              <w:right w:val="single" w:color="auto" w:sz="2" w:space="0"/>
            </w:tcBorders>
            <w:vAlign w:val="center"/>
          </w:tcPr>
          <w:p>
            <w:pPr>
              <w:spacing w:line="4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评审委员会成员</w:t>
            </w:r>
          </w:p>
        </w:tc>
        <w:tc>
          <w:tcPr>
            <w:tcW w:w="850"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rFonts w:hint="default" w:eastAsia="宋体"/>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其他相关服务</w:t>
            </w:r>
          </w:p>
        </w:tc>
        <w:tc>
          <w:tcPr>
            <w:tcW w:w="5285" w:type="dxa"/>
            <w:tcBorders>
              <w:top w:val="single" w:color="auto" w:sz="2" w:space="0"/>
              <w:left w:val="single" w:color="auto" w:sz="2" w:space="0"/>
              <w:bottom w:val="single" w:color="auto" w:sz="2" w:space="0"/>
              <w:right w:val="single" w:color="auto" w:sz="2" w:space="0"/>
            </w:tcBorders>
            <w:vAlign w:val="center"/>
          </w:tcPr>
          <w:p>
            <w:pPr>
              <w:spacing w:line="400" w:lineRule="exact"/>
              <w:ind w:firstLine="562" w:firstLineChars="200"/>
              <w:rPr>
                <w:b/>
                <w:color w:val="000000" w:themeColor="text1"/>
                <w:sz w:val="28"/>
                <w:szCs w:val="28"/>
                <w14:textFill>
                  <w14:solidFill>
                    <w14:schemeClr w14:val="tx1"/>
                  </w14:solidFill>
                </w14:textFill>
              </w:rPr>
            </w:pPr>
            <w:r>
              <w:rPr>
                <w:b/>
                <w:color w:val="000000" w:themeColor="text1"/>
                <w:sz w:val="28"/>
                <w:szCs w:val="28"/>
                <w14:textFill>
                  <w14:solidFill>
                    <w14:schemeClr w14:val="tx1"/>
                  </w14:solidFill>
                </w14:textFill>
              </w:rPr>
              <w:t>投标人根据招标文件</w:t>
            </w:r>
            <w:r>
              <w:rPr>
                <w:rFonts w:hint="eastAsia"/>
                <w:b/>
                <w:color w:val="000000" w:themeColor="text1"/>
                <w:sz w:val="28"/>
                <w:szCs w:val="28"/>
                <w14:textFill>
                  <w14:solidFill>
                    <w14:schemeClr w14:val="tx1"/>
                  </w14:solidFill>
                </w14:textFill>
              </w:rPr>
              <w:t>“其他相关服务”提供方案，内容包含“项目保障要求、制度要求、纪律要求”，内容齐备且满足招标文件相应要求得6分，每少提供一项或每有一项不满足招标文件相应要求扣2分扣完为止。</w:t>
            </w:r>
          </w:p>
          <w:p>
            <w:pPr>
              <w:spacing w:line="400" w:lineRule="exact"/>
              <w:ind w:firstLine="562" w:firstLineChars="200"/>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在此基础上：</w:t>
            </w:r>
          </w:p>
          <w:p>
            <w:pPr>
              <w:spacing w:line="400" w:lineRule="exact"/>
              <w:ind w:firstLine="562" w:firstLineChars="200"/>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1、所投方案中有培训内容包含保洁、秩序维护与消防管理、后勤服务，齐备且利于项目开展的加3分。</w:t>
            </w:r>
          </w:p>
          <w:p>
            <w:pPr>
              <w:spacing w:line="400" w:lineRule="exact"/>
              <w:ind w:firstLine="562" w:firstLineChars="200"/>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2、所投方案中有应急内容包含疫情防控应急预案、自然灾害应急预案、公共安全应急预案，齐备且利于项目实施的加3分。</w:t>
            </w:r>
          </w:p>
        </w:tc>
        <w:tc>
          <w:tcPr>
            <w:tcW w:w="1064"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b/>
                <w:color w:val="000000" w:themeColor="text1"/>
                <w:sz w:val="28"/>
                <w:szCs w:val="28"/>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12</w:t>
            </w:r>
            <w:r>
              <w:rPr>
                <w:rFonts w:hint="eastAsia"/>
                <w:b/>
                <w:color w:val="000000" w:themeColor="text1"/>
                <w:sz w:val="28"/>
                <w:szCs w:val="28"/>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6" w:hRule="atLeast"/>
        </w:trPr>
        <w:tc>
          <w:tcPr>
            <w:tcW w:w="1101" w:type="dxa"/>
            <w:tcBorders>
              <w:top w:val="single" w:color="auto" w:sz="2" w:space="0"/>
              <w:left w:val="single" w:color="auto" w:sz="2" w:space="0"/>
              <w:bottom w:val="single" w:color="auto" w:sz="2" w:space="0"/>
              <w:right w:val="single" w:color="auto" w:sz="2" w:space="0"/>
            </w:tcBorders>
            <w:vAlign w:val="center"/>
          </w:tcPr>
          <w:p>
            <w:pPr>
              <w:spacing w:line="400" w:lineRule="exact"/>
              <w:rPr>
                <w:rFonts w:hint="eastAsia"/>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评审委员会成员</w:t>
            </w:r>
          </w:p>
        </w:tc>
        <w:tc>
          <w:tcPr>
            <w:tcW w:w="850"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rFonts w:hint="eastAsia"/>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拟投入本项目人员配置</w:t>
            </w:r>
          </w:p>
        </w:tc>
        <w:tc>
          <w:tcPr>
            <w:tcW w:w="5285" w:type="dxa"/>
            <w:tcBorders>
              <w:top w:val="single" w:color="auto" w:sz="2" w:space="0"/>
              <w:left w:val="single" w:color="auto" w:sz="2" w:space="0"/>
              <w:bottom w:val="single" w:color="auto" w:sz="2" w:space="0"/>
              <w:right w:val="single" w:color="auto" w:sz="2" w:space="0"/>
            </w:tcBorders>
            <w:vAlign w:val="center"/>
          </w:tcPr>
          <w:p>
            <w:pPr>
              <w:spacing w:line="400" w:lineRule="exact"/>
              <w:ind w:firstLine="562" w:firstLineChars="200"/>
              <w:rPr>
                <w:rFonts w:hint="eastAsia"/>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1）投标人为本项目设置的项目管理岗所配备的项目负责人，均具有大专及以上学历,并具有类似项目管理经验的得2分；不满足以上要求此项不得分；在此基础上类似项目管理经验≥5年的加2分；（提供相应人员为本单位的工作人员证明材料和类似项目管理经验证明材料加盖投标人公章佐证得分）</w:t>
            </w:r>
            <w:r>
              <w:rPr>
                <w:rFonts w:hint="eastAsia"/>
                <w:b/>
                <w:color w:val="000000" w:themeColor="text1"/>
                <w:sz w:val="28"/>
                <w:szCs w:val="28"/>
                <w14:textFill>
                  <w14:solidFill>
                    <w14:schemeClr w14:val="tx1"/>
                  </w14:solidFill>
                </w14:textFill>
              </w:rPr>
              <w:br w:type="textWrapping"/>
            </w:r>
            <w:r>
              <w:rPr>
                <w:rFonts w:hint="eastAsia"/>
                <w:b/>
                <w:color w:val="000000" w:themeColor="text1"/>
                <w:sz w:val="28"/>
                <w:szCs w:val="28"/>
                <w14:textFill>
                  <w14:solidFill>
                    <w14:schemeClr w14:val="tx1"/>
                  </w14:solidFill>
                </w14:textFill>
              </w:rPr>
              <w:t>（2）投标人为本项目设置的消防维护岗位所配备的消防维护人员具有《消防设施操作员》证书的有一人得2分最多得4分。（提供相应人员为本单位的工作人员证明材料和有效证书复印件加盖投标人公章佐证得分）</w:t>
            </w:r>
            <w:r>
              <w:rPr>
                <w:rFonts w:hint="eastAsia"/>
                <w:b/>
                <w:color w:val="000000" w:themeColor="text1"/>
                <w:sz w:val="28"/>
                <w:szCs w:val="28"/>
                <w14:textFill>
                  <w14:solidFill>
                    <w14:schemeClr w14:val="tx1"/>
                  </w14:solidFill>
                </w14:textFill>
              </w:rPr>
              <w:br w:type="textWrapping"/>
            </w:r>
            <w:r>
              <w:rPr>
                <w:rFonts w:hint="eastAsia"/>
                <w:b/>
                <w:color w:val="000000" w:themeColor="text1"/>
                <w:sz w:val="28"/>
                <w:szCs w:val="28"/>
                <w14:textFill>
                  <w14:solidFill>
                    <w14:schemeClr w14:val="tx1"/>
                  </w14:solidFill>
                </w14:textFill>
              </w:rPr>
              <w:t>（3）投标人为本项目设置的秩序维护岗所配备的秩序维护人员具有公安部颁发的《保安员证》的，每有一人得0.5分最多得9分。在此基础上，具有《退役军人证》的，每有1个加1分，最多加5分。至少有一人具有权威部门颁发的《安全生产知识和管理能力考核合格证》的加2分。（提供相应人员为本单位的工作人员证明材料和有效证书复印件加盖投标人公章佐证得分）</w:t>
            </w:r>
          </w:p>
          <w:p>
            <w:pPr>
              <w:spacing w:line="400" w:lineRule="exact"/>
              <w:ind w:firstLine="562" w:firstLineChars="200"/>
              <w:rPr>
                <w:rFonts w:hint="eastAsia"/>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4）投标人为本项目设置的服务岗位所配备的人员有市级医院颁发的感染规范培训合格证书《医院感染管理岗位培训合格证》的有一人得2分最多得2分。（提供相应人员为本单位的工作人员证明材料和有效证明材料复印件加盖投标人公章佐证得分）</w:t>
            </w:r>
          </w:p>
        </w:tc>
        <w:tc>
          <w:tcPr>
            <w:tcW w:w="1064"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rFonts w:hint="default" w:eastAsia="宋体"/>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26分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6" w:hRule="atLeast"/>
        </w:trPr>
        <w:tc>
          <w:tcPr>
            <w:tcW w:w="1101" w:type="dxa"/>
            <w:tcBorders>
              <w:top w:val="single" w:color="auto" w:sz="2" w:space="0"/>
              <w:left w:val="single" w:color="auto" w:sz="2" w:space="0"/>
              <w:bottom w:val="single" w:color="auto" w:sz="2" w:space="0"/>
              <w:right w:val="single" w:color="auto" w:sz="2" w:space="0"/>
            </w:tcBorders>
            <w:vAlign w:val="center"/>
          </w:tcPr>
          <w:p>
            <w:pPr>
              <w:spacing w:line="400" w:lineRule="exact"/>
              <w:rPr>
                <w:rFonts w:hint="eastAsia"/>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评审委员会成员</w:t>
            </w:r>
          </w:p>
        </w:tc>
        <w:tc>
          <w:tcPr>
            <w:tcW w:w="850"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rFonts w:hint="eastAsia"/>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履约能力</w:t>
            </w:r>
          </w:p>
        </w:tc>
        <w:tc>
          <w:tcPr>
            <w:tcW w:w="5285" w:type="dxa"/>
            <w:tcBorders>
              <w:top w:val="single" w:color="auto" w:sz="2" w:space="0"/>
              <w:left w:val="single" w:color="auto" w:sz="2" w:space="0"/>
              <w:bottom w:val="single" w:color="auto" w:sz="2" w:space="0"/>
              <w:right w:val="single" w:color="auto" w:sz="2" w:space="0"/>
            </w:tcBorders>
            <w:vAlign w:val="center"/>
          </w:tcPr>
          <w:p>
            <w:pPr>
              <w:spacing w:line="400" w:lineRule="exact"/>
              <w:ind w:firstLine="562" w:firstLineChars="200"/>
              <w:rPr>
                <w:rFonts w:hint="eastAsia"/>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（1）投标人提供在有效期内环境管理体系认证证书得1分；（提供在有效期内证书复印件加盖投标人公章佐证得1分）</w:t>
            </w:r>
          </w:p>
          <w:p>
            <w:pPr>
              <w:spacing w:line="400" w:lineRule="exact"/>
              <w:ind w:firstLine="562" w:firstLineChars="200"/>
              <w:rPr>
                <w:rFonts w:hint="eastAsia"/>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（2）提供在有效期内质量管理体系认证证书得1分；（提供在有效期内证书复印件加盖投标人公章佐证得1分）</w:t>
            </w:r>
          </w:p>
          <w:p>
            <w:pPr>
              <w:spacing w:line="400" w:lineRule="exact"/>
              <w:ind w:firstLine="562" w:firstLineChars="200"/>
              <w:rPr>
                <w:rFonts w:hint="eastAsia"/>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（3）提供在有效期内职业健康安全管理认证证书得1分。（提供在有效期内证书复印件加盖投标人公章佐证得分）</w:t>
            </w:r>
            <w:r>
              <w:rPr>
                <w:rFonts w:hint="eastAsia"/>
                <w:b/>
                <w:color w:val="000000" w:themeColor="text1"/>
                <w:sz w:val="28"/>
                <w:szCs w:val="28"/>
                <w14:textFill>
                  <w14:solidFill>
                    <w14:schemeClr w14:val="tx1"/>
                  </w14:solidFill>
                </w14:textFill>
              </w:rPr>
              <w:br w:type="textWrapping"/>
            </w:r>
            <w:r>
              <w:rPr>
                <w:rFonts w:hint="eastAsia"/>
                <w:b/>
                <w:color w:val="000000" w:themeColor="text1"/>
                <w:sz w:val="28"/>
                <w:szCs w:val="28"/>
                <w14:textFill>
                  <w14:solidFill>
                    <w14:schemeClr w14:val="tx1"/>
                  </w14:solidFill>
                </w14:textFill>
              </w:rPr>
              <w:t>（4）投标人2019年1月1日以来，具有类似服务项目经验的，每提供1个得0.5分，最多得4分。（提供中标通知书或合同复印件的证明材料加盖投标人公章佐证得分）</w:t>
            </w:r>
          </w:p>
          <w:p>
            <w:pPr>
              <w:spacing w:line="400" w:lineRule="exact"/>
              <w:ind w:firstLine="562" w:firstLineChars="200"/>
              <w:rPr>
                <w:rFonts w:hint="eastAsia"/>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（5）投标人提供类似服务项目单位给出的服务质量评价材料为“满意”或“优秀”的，每提供1个得1人，最多得2分。（提供评价证明材料复印件，并加盖投标人公章佐证得分）。</w:t>
            </w:r>
          </w:p>
        </w:tc>
        <w:tc>
          <w:tcPr>
            <w:tcW w:w="1064"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rFonts w:hint="default" w:eastAsia="宋体"/>
                <w:b/>
                <w:color w:val="000000" w:themeColor="text1"/>
                <w:sz w:val="28"/>
                <w:szCs w:val="28"/>
                <w:lang w:val="en-US" w:eastAsia="zh-CN"/>
                <w14:textFill>
                  <w14:solidFill>
                    <w14:schemeClr w14:val="tx1"/>
                  </w14:solidFill>
                </w14:textFill>
              </w:rPr>
            </w:pPr>
            <w:r>
              <w:rPr>
                <w:rFonts w:hint="eastAsia"/>
                <w:b/>
                <w:color w:val="000000" w:themeColor="text1"/>
                <w:sz w:val="28"/>
                <w:szCs w:val="28"/>
                <w:lang w:val="en-US" w:eastAsia="zh-CN"/>
                <w14:textFill>
                  <w14:solidFill>
                    <w14:schemeClr w14:val="tx1"/>
                  </w14:solidFill>
                </w14:textFill>
              </w:rPr>
              <w:t>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6" w:hRule="atLeast"/>
        </w:trPr>
        <w:tc>
          <w:tcPr>
            <w:tcW w:w="1101" w:type="dxa"/>
            <w:tcBorders>
              <w:top w:val="single" w:color="auto" w:sz="2" w:space="0"/>
              <w:left w:val="single" w:color="auto" w:sz="2" w:space="0"/>
              <w:bottom w:val="single" w:color="auto" w:sz="2" w:space="0"/>
              <w:right w:val="single" w:color="auto" w:sz="2" w:space="0"/>
            </w:tcBorders>
            <w:vAlign w:val="center"/>
          </w:tcPr>
          <w:p>
            <w:pPr>
              <w:spacing w:line="400" w:lineRule="exact"/>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评审委员会成员</w:t>
            </w:r>
          </w:p>
        </w:tc>
        <w:tc>
          <w:tcPr>
            <w:tcW w:w="850"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扶持不发达地区和少数民族地区</w:t>
            </w:r>
          </w:p>
        </w:tc>
        <w:tc>
          <w:tcPr>
            <w:tcW w:w="5285" w:type="dxa"/>
            <w:tcBorders>
              <w:top w:val="single" w:color="auto" w:sz="2" w:space="0"/>
              <w:left w:val="single" w:color="auto" w:sz="2" w:space="0"/>
              <w:bottom w:val="single" w:color="auto" w:sz="2" w:space="0"/>
              <w:right w:val="single" w:color="auto" w:sz="2" w:space="0"/>
            </w:tcBorders>
            <w:vAlign w:val="center"/>
          </w:tcPr>
          <w:p>
            <w:pPr>
              <w:spacing w:line="400" w:lineRule="exact"/>
              <w:ind w:firstLine="562" w:firstLineChars="200"/>
              <w:rPr>
                <w:rFonts w:hint="eastAsia" w:eastAsia="宋体"/>
                <w:b/>
                <w:color w:val="000000" w:themeColor="text1"/>
                <w:sz w:val="28"/>
                <w:szCs w:val="28"/>
                <w:lang w:eastAsia="zh-CN"/>
                <w14:textFill>
                  <w14:solidFill>
                    <w14:schemeClr w14:val="tx1"/>
                  </w14:solidFill>
                </w14:textFill>
              </w:rPr>
            </w:pPr>
            <w:r>
              <w:rPr>
                <w:b/>
                <w:color w:val="000000" w:themeColor="text1"/>
                <w:sz w:val="28"/>
                <w:szCs w:val="28"/>
                <w14:textFill>
                  <w14:solidFill>
                    <w14:schemeClr w14:val="tx1"/>
                  </w14:solidFill>
                </w14:textFill>
              </w:rPr>
              <w:t>供应商注册经营地在不发达地区和少数民族地区的得1分。（供应商提供相关证明材料加盖供应商公章佐证得分）</w:t>
            </w:r>
            <w:r>
              <w:rPr>
                <w:rFonts w:hint="eastAsia"/>
                <w:b/>
                <w:color w:val="000000" w:themeColor="text1"/>
                <w:sz w:val="28"/>
                <w:szCs w:val="28"/>
                <w:lang w:eastAsia="zh-CN"/>
                <w14:textFill>
                  <w14:solidFill>
                    <w14:schemeClr w14:val="tx1"/>
                  </w14:solidFill>
                </w14:textFill>
              </w:rPr>
              <w:t>。</w:t>
            </w:r>
          </w:p>
        </w:tc>
        <w:tc>
          <w:tcPr>
            <w:tcW w:w="1064" w:type="dxa"/>
            <w:tcBorders>
              <w:top w:val="single" w:color="auto" w:sz="2" w:space="0"/>
              <w:left w:val="single" w:color="auto" w:sz="2" w:space="0"/>
              <w:bottom w:val="single" w:color="auto" w:sz="2" w:space="0"/>
              <w:right w:val="single" w:color="auto" w:sz="2" w:space="0"/>
            </w:tcBorders>
            <w:vAlign w:val="center"/>
          </w:tcPr>
          <w:p>
            <w:pPr>
              <w:spacing w:line="400" w:lineRule="exact"/>
              <w:jc w:val="center"/>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1分</w:t>
            </w:r>
          </w:p>
        </w:tc>
      </w:tr>
    </w:tbl>
    <w:p>
      <w:pPr>
        <w:rPr>
          <w:rFonts w:hint="eastAsia" w:eastAsia="宋体"/>
          <w:lang w:eastAsia="zh-CN"/>
        </w:rPr>
      </w:pPr>
    </w:p>
    <w:p>
      <w:pPr>
        <w:pStyle w:val="2"/>
        <w:rPr>
          <w:rFonts w:hint="eastAsia" w:eastAsia="宋体"/>
          <w:lang w:eastAsia="zh-CN"/>
        </w:rPr>
      </w:pPr>
    </w:p>
    <w:p>
      <w:pPr>
        <w:pStyle w:val="3"/>
        <w:rPr>
          <w:rFonts w:hint="eastAsia"/>
          <w:lang w:eastAsia="zh-CN"/>
        </w:rPr>
      </w:pPr>
    </w:p>
    <w:p>
      <w:pPr>
        <w:spacing w:line="56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说明：</w:t>
      </w:r>
    </w:p>
    <w:p>
      <w:pPr>
        <w:spacing w:line="56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1、评分的取值按四舍五入法，保留小数点后两位；</w:t>
      </w:r>
    </w:p>
    <w:p>
      <w:pPr>
        <w:spacing w:line="560" w:lineRule="exact"/>
        <w:ind w:firstLine="560" w:firstLineChars="200"/>
        <w:rPr>
          <w:rFonts w:ascii="宋体" w:hAnsi="宋体"/>
          <w:color w:val="000000" w:themeColor="text1"/>
          <w:sz w:val="28"/>
          <w14:textFill>
            <w14:solidFill>
              <w14:schemeClr w14:val="tx1"/>
            </w14:solidFill>
          </w14:textFill>
        </w:rPr>
      </w:pPr>
      <w:r>
        <w:rPr>
          <w:rFonts w:hint="eastAsia" w:ascii="宋体" w:hAnsi="宋体"/>
          <w:color w:val="000000" w:themeColor="text1"/>
          <w:sz w:val="28"/>
          <w14:textFill>
            <w14:solidFill>
              <w14:schemeClr w14:val="tx1"/>
            </w14:solidFill>
          </w14:textFill>
        </w:rPr>
        <w:t>2、评分标准中要求提供复印件的证明材料须清晰可辨。</w:t>
      </w:r>
    </w:p>
    <w:p>
      <w:pPr>
        <w:pStyle w:val="5"/>
        <w:numPr>
          <w:ilvl w:val="1"/>
          <w:numId w:val="3"/>
        </w:numPr>
        <w:spacing w:before="0" w:after="0" w:line="560" w:lineRule="exact"/>
        <w:ind w:left="2269" w:hanging="2127"/>
        <w:rPr>
          <w:color w:val="000000" w:themeColor="text1"/>
          <w14:textFill>
            <w14:solidFill>
              <w14:schemeClr w14:val="tx1"/>
            </w14:solidFill>
          </w14:textFill>
        </w:rPr>
      </w:pPr>
      <w:bookmarkStart w:id="305" w:name="_Toc315871725"/>
      <w:bookmarkEnd w:id="305"/>
      <w:bookmarkStart w:id="306" w:name="_Toc320624290"/>
      <w:bookmarkEnd w:id="306"/>
      <w:bookmarkStart w:id="307" w:name="_Toc320624240"/>
      <w:bookmarkEnd w:id="307"/>
      <w:bookmarkStart w:id="308" w:name="_Toc320624255"/>
      <w:bookmarkEnd w:id="308"/>
      <w:bookmarkStart w:id="309" w:name="_Toc320624265"/>
      <w:bookmarkEnd w:id="309"/>
      <w:bookmarkStart w:id="310" w:name="_Toc318206701"/>
      <w:bookmarkEnd w:id="310"/>
      <w:bookmarkStart w:id="311" w:name="_Toc320624295"/>
      <w:bookmarkEnd w:id="311"/>
      <w:bookmarkStart w:id="312" w:name="_Toc320624260"/>
      <w:bookmarkEnd w:id="312"/>
      <w:bookmarkStart w:id="313" w:name="_Toc320624275"/>
      <w:bookmarkEnd w:id="313"/>
      <w:bookmarkStart w:id="314" w:name="_Toc320624285"/>
      <w:bookmarkEnd w:id="314"/>
      <w:bookmarkStart w:id="315" w:name="_Toc320624280"/>
      <w:bookmarkEnd w:id="315"/>
      <w:bookmarkStart w:id="316" w:name="_Toc315871657"/>
      <w:bookmarkEnd w:id="316"/>
      <w:bookmarkStart w:id="317" w:name="_Toc315871656"/>
      <w:bookmarkEnd w:id="317"/>
      <w:bookmarkStart w:id="318" w:name="_Toc315871658"/>
      <w:bookmarkEnd w:id="318"/>
      <w:bookmarkStart w:id="319" w:name="_Toc18803"/>
      <w:bookmarkStart w:id="320" w:name="_Toc15076"/>
      <w:bookmarkStart w:id="321" w:name="_Toc19565"/>
      <w:bookmarkStart w:id="322" w:name="_Toc23841"/>
      <w:bookmarkStart w:id="323" w:name="_Toc75336313"/>
      <w:bookmarkStart w:id="324" w:name="_Toc316292258"/>
      <w:bookmarkStart w:id="325" w:name="_Toc315871726"/>
      <w:bookmarkStart w:id="326" w:name="_Toc217446060"/>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废标</w:t>
      </w:r>
      <w:bookmarkEnd w:id="319"/>
      <w:bookmarkEnd w:id="320"/>
      <w:bookmarkEnd w:id="321"/>
      <w:bookmarkEnd w:id="322"/>
      <w:bookmarkEnd w:id="323"/>
      <w:bookmarkEnd w:id="324"/>
      <w:bookmarkEnd w:id="325"/>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本次政府采购活动中，出现下列情形之一的，予以废标：</w:t>
      </w:r>
    </w:p>
    <w:p>
      <w:pPr>
        <w:numPr>
          <w:ilvl w:val="0"/>
          <w:numId w:val="43"/>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符合专业条件的投标人或者对招标文件作实质响应的投标人不足三家的；</w:t>
      </w:r>
    </w:p>
    <w:p>
      <w:pPr>
        <w:numPr>
          <w:ilvl w:val="0"/>
          <w:numId w:val="43"/>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出现影响采购公正的违法、违规行为的；</w:t>
      </w:r>
    </w:p>
    <w:p>
      <w:pPr>
        <w:numPr>
          <w:ilvl w:val="0"/>
          <w:numId w:val="43"/>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投标人的报价均超过了采购预算，采购人不能支付的；</w:t>
      </w:r>
    </w:p>
    <w:p>
      <w:pPr>
        <w:numPr>
          <w:ilvl w:val="0"/>
          <w:numId w:val="43"/>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因重大变故，采购任务取消的；</w:t>
      </w:r>
    </w:p>
    <w:p>
      <w:pPr>
        <w:numPr>
          <w:ilvl w:val="0"/>
          <w:numId w:val="43"/>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废标后，市公资交易中心将在“四川政府采购网”和“成都市公共资源交易服务中心”网站上公告。</w:t>
      </w:r>
    </w:p>
    <w:p>
      <w:pPr>
        <w:pStyle w:val="5"/>
        <w:numPr>
          <w:ilvl w:val="1"/>
          <w:numId w:val="3"/>
        </w:numPr>
        <w:spacing w:before="0" w:after="0" w:line="560" w:lineRule="exact"/>
        <w:ind w:left="2269" w:hanging="2127"/>
        <w:rPr>
          <w:color w:val="000000" w:themeColor="text1"/>
          <w14:textFill>
            <w14:solidFill>
              <w14:schemeClr w14:val="tx1"/>
            </w14:solidFill>
          </w14:textFill>
        </w:rPr>
      </w:pPr>
      <w:bookmarkStart w:id="327" w:name="_Toc8992"/>
      <w:bookmarkStart w:id="328" w:name="_Toc3782"/>
      <w:bookmarkStart w:id="329" w:name="_Toc316292259"/>
      <w:bookmarkStart w:id="330" w:name="_Toc315871727"/>
      <w:bookmarkStart w:id="331" w:name="_Toc75336314"/>
      <w:bookmarkStart w:id="332" w:name="_Toc19880"/>
      <w:bookmarkStart w:id="333" w:name="_Toc27932"/>
      <w:r>
        <w:rPr>
          <w:rFonts w:hint="eastAsia"/>
          <w:color w:val="000000" w:themeColor="text1"/>
          <w14:textFill>
            <w14:solidFill>
              <w14:schemeClr w14:val="tx1"/>
            </w14:solidFill>
          </w14:textFill>
        </w:rPr>
        <w:t>定标</w:t>
      </w:r>
      <w:bookmarkEnd w:id="326"/>
      <w:bookmarkEnd w:id="327"/>
      <w:bookmarkEnd w:id="328"/>
      <w:bookmarkEnd w:id="329"/>
      <w:bookmarkEnd w:id="330"/>
      <w:bookmarkEnd w:id="331"/>
      <w:bookmarkEnd w:id="332"/>
      <w:bookmarkEnd w:id="333"/>
      <w:bookmarkStart w:id="334" w:name="_Toc217446061"/>
    </w:p>
    <w:p>
      <w:pPr>
        <w:pStyle w:val="6"/>
        <w:numPr>
          <w:ilvl w:val="2"/>
          <w:numId w:val="3"/>
        </w:numPr>
        <w:spacing w:after="200" w:line="560" w:lineRule="exact"/>
        <w:ind w:left="0" w:firstLine="0"/>
        <w:rPr>
          <w:color w:val="000000" w:themeColor="text1"/>
          <w14:textFill>
            <w14:solidFill>
              <w14:schemeClr w14:val="tx1"/>
            </w14:solidFill>
          </w14:textFill>
        </w:rPr>
      </w:pPr>
      <w:bookmarkStart w:id="335" w:name="_Toc316292260"/>
      <w:bookmarkStart w:id="336" w:name="_Toc315871728"/>
      <w:r>
        <w:rPr>
          <w:rFonts w:hint="eastAsia"/>
          <w:color w:val="000000" w:themeColor="text1"/>
          <w14:textFill>
            <w14:solidFill>
              <w14:schemeClr w14:val="tx1"/>
            </w14:solidFill>
          </w14:textFill>
        </w:rPr>
        <w:t>定标原则</w:t>
      </w:r>
      <w:bookmarkEnd w:id="334"/>
      <w:bookmarkEnd w:id="335"/>
      <w:bookmarkEnd w:id="336"/>
    </w:p>
    <w:p>
      <w:pPr>
        <w:spacing w:line="560" w:lineRule="exact"/>
        <w:ind w:firstLine="560" w:firstLineChars="200"/>
        <w:rPr>
          <w:rFonts w:ascii="宋体" w:hAnsi="宋体"/>
          <w:color w:val="000000" w:themeColor="text1"/>
          <w:sz w:val="28"/>
          <w:szCs w:val="28"/>
          <w14:textFill>
            <w14:solidFill>
              <w14:schemeClr w14:val="tx1"/>
            </w14:solidFill>
          </w14:textFill>
        </w:rPr>
      </w:pPr>
      <w:bookmarkStart w:id="337" w:name="_Toc316292261"/>
      <w:bookmarkStart w:id="338" w:name="_Toc217446062"/>
      <w:bookmarkStart w:id="339" w:name="_Toc315871729"/>
      <w:r>
        <w:rPr>
          <w:rFonts w:hint="eastAsia" w:ascii="宋体" w:hAnsi="宋体"/>
          <w:color w:val="000000" w:themeColor="text1"/>
          <w:sz w:val="28"/>
          <w:szCs w:val="28"/>
          <w14:textFill>
            <w14:solidFill>
              <w14:schemeClr w14:val="tx1"/>
            </w14:solidFill>
          </w14:textFill>
        </w:rPr>
        <w:t>本项目根据评标委员会确定的中标候选人名单，采购人按顺序确定1名中标人。中标候选供应商并列的，</w:t>
      </w:r>
      <w:r>
        <w:rPr>
          <w:rFonts w:hint="eastAsia" w:ascii="宋体"/>
          <w:color w:val="000000" w:themeColor="text1"/>
          <w:sz w:val="28"/>
          <w:szCs w:val="28"/>
          <w14:textFill>
            <w14:solidFill>
              <w14:schemeClr w14:val="tx1"/>
            </w14:solidFill>
          </w14:textFill>
        </w:rPr>
        <w:t>由采购人采取随机抽取的方式确定中标人</w:t>
      </w:r>
      <w:r>
        <w:rPr>
          <w:rFonts w:hint="eastAsia" w:ascii="宋体" w:hAnsi="宋体"/>
          <w:color w:val="000000" w:themeColor="text1"/>
          <w:sz w:val="28"/>
          <w:szCs w:val="28"/>
          <w14:textFill>
            <w14:solidFill>
              <w14:schemeClr w14:val="tx1"/>
            </w14:solidFill>
          </w14:textFill>
        </w:rPr>
        <w:t>。</w:t>
      </w:r>
    </w:p>
    <w:p>
      <w:pPr>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cs="Helvetica" w:asciiTheme="minorEastAsia" w:hAnsiTheme="minorEastAsia" w:eastAsiaTheme="minorEastAsia"/>
          <w:color w:val="000000" w:themeColor="text1"/>
          <w:kern w:val="0"/>
          <w:sz w:val="28"/>
          <w:szCs w:val="28"/>
          <w14:textFill>
            <w14:solidFill>
              <w14:schemeClr w14:val="tx1"/>
            </w14:solidFill>
          </w14:textFill>
        </w:rPr>
        <w:t>采购人在收到评标报告</w:t>
      </w:r>
      <w:r>
        <w:rPr>
          <w:rFonts w:hint="eastAsia" w:cs="宋体" w:asciiTheme="minorEastAsia" w:hAnsiTheme="minorEastAsia" w:eastAsiaTheme="minorEastAsia"/>
          <w:color w:val="000000" w:themeColor="text1"/>
          <w:kern w:val="0"/>
          <w:sz w:val="28"/>
          <w:szCs w:val="28"/>
          <w:lang w:val="en-US" w:eastAsia="zh-CN"/>
          <w14:textFill>
            <w14:solidFill>
              <w14:schemeClr w14:val="tx1"/>
            </w14:solidFill>
          </w14:textFill>
        </w:rPr>
        <w:t>3</w:t>
      </w:r>
      <w:r>
        <w:rPr>
          <w:rFonts w:hint="eastAsia" w:cs="Helvetica" w:asciiTheme="minorEastAsia" w:hAnsiTheme="minorEastAsia" w:eastAsiaTheme="minorEastAsia"/>
          <w:color w:val="000000" w:themeColor="text1"/>
          <w:kern w:val="0"/>
          <w:sz w:val="28"/>
          <w:szCs w:val="28"/>
          <w14:textFill>
            <w14:solidFill>
              <w14:schemeClr w14:val="tx1"/>
            </w14:solidFill>
          </w14:textFill>
        </w:rPr>
        <w:t>个工作日内未按评标报告推荐的中标候选人顺序确定中标人，又不能说明合法理由的，视同按评标报告推荐的顺序确定排名第一的中标候选人为中标人。</w:t>
      </w:r>
    </w:p>
    <w:p>
      <w:pPr>
        <w:pStyle w:val="6"/>
        <w:numPr>
          <w:ilvl w:val="2"/>
          <w:numId w:val="3"/>
        </w:numPr>
        <w:spacing w:after="200" w:line="560" w:lineRule="exact"/>
        <w:ind w:left="0" w:firstLine="0"/>
        <w:rPr>
          <w:color w:val="000000" w:themeColor="text1"/>
          <w14:textFill>
            <w14:solidFill>
              <w14:schemeClr w14:val="tx1"/>
            </w14:solidFill>
          </w14:textFill>
        </w:rPr>
      </w:pPr>
      <w:r>
        <w:rPr>
          <w:rFonts w:hint="eastAsia"/>
          <w:color w:val="000000" w:themeColor="text1"/>
          <w14:textFill>
            <w14:solidFill>
              <w14:schemeClr w14:val="tx1"/>
            </w14:solidFill>
          </w14:textFill>
        </w:rPr>
        <w:t>定标程序</w:t>
      </w:r>
      <w:bookmarkEnd w:id="337"/>
      <w:bookmarkEnd w:id="338"/>
      <w:bookmarkEnd w:id="339"/>
    </w:p>
    <w:bookmarkEnd w:id="279"/>
    <w:p>
      <w:pPr>
        <w:spacing w:line="560" w:lineRule="exact"/>
        <w:ind w:firstLine="560" w:firstLineChars="200"/>
        <w:rPr>
          <w:rFonts w:ascii="宋体" w:hAnsi="宋体"/>
          <w:color w:val="000000" w:themeColor="text1"/>
          <w:kern w:val="0"/>
          <w:sz w:val="28"/>
          <w:szCs w:val="28"/>
          <w14:textFill>
            <w14:solidFill>
              <w14:schemeClr w14:val="tx1"/>
            </w14:solidFill>
          </w14:textFill>
        </w:rPr>
      </w:pPr>
      <w:bookmarkStart w:id="340" w:name="_Toc316292262"/>
      <w:bookmarkStart w:id="341" w:name="_Toc315871730"/>
      <w:r>
        <w:rPr>
          <w:rFonts w:hint="eastAsia" w:ascii="宋体" w:hAnsi="宋体"/>
          <w:color w:val="000000" w:themeColor="text1"/>
          <w:kern w:val="0"/>
          <w:sz w:val="28"/>
          <w:szCs w:val="28"/>
          <w14:textFill>
            <w14:solidFill>
              <w14:schemeClr w14:val="tx1"/>
            </w14:solidFill>
          </w14:textFill>
        </w:rPr>
        <w:t>一、评审委员会将评审情况写出书面报告。</w:t>
      </w:r>
    </w:p>
    <w:p>
      <w:pPr>
        <w:spacing w:line="560" w:lineRule="exact"/>
        <w:ind w:firstLine="560" w:firstLineChars="200"/>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二、市公资交易中心在评审结束之日起2个工作日内将评审报告送采购人。</w:t>
      </w:r>
    </w:p>
    <w:p>
      <w:pPr>
        <w:pStyle w:val="2"/>
        <w:spacing w:line="56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三、采购人在收到评审报告后</w:t>
      </w:r>
      <w:r>
        <w:rPr>
          <w:rFonts w:hint="eastAsia" w:ascii="宋体" w:hAnsi="宋体"/>
          <w:color w:val="000000" w:themeColor="text1"/>
          <w:sz w:val="28"/>
          <w:szCs w:val="28"/>
          <w:lang w:val="en-US" w:eastAsia="zh-CN"/>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560" w:lineRule="exact"/>
        <w:ind w:firstLine="560" w:firstLineChars="200"/>
        <w:jc w:val="left"/>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四、根据采购人确定的中标（成交）人，市公资交易中心在“四川政府采购网”和“成都市公共资源交易服务中心”网站上发布中标（成交）公告，同时向中标（成交）人发出中标（成交）通知书。</w:t>
      </w:r>
    </w:p>
    <w:p>
      <w:pPr>
        <w:tabs>
          <w:tab w:val="left" w:pos="1155"/>
        </w:tabs>
        <w:spacing w:line="560" w:lineRule="exact"/>
        <w:ind w:firstLine="565" w:firstLineChars="202"/>
        <w:rPr>
          <w:rFonts w:ascii="宋体" w:hAnsi="宋体"/>
          <w:color w:val="000000" w:themeColor="text1"/>
          <w:kern w:val="0"/>
          <w:sz w:val="28"/>
          <w:szCs w:val="28"/>
          <w14:textFill>
            <w14:solidFill>
              <w14:schemeClr w14:val="tx1"/>
            </w14:solidFill>
          </w14:textFill>
        </w:rPr>
      </w:pPr>
      <w:r>
        <w:rPr>
          <w:rFonts w:hint="eastAsia" w:ascii="宋体" w:hAnsi="宋体"/>
          <w:color w:val="000000" w:themeColor="text1"/>
          <w:kern w:val="0"/>
          <w:sz w:val="28"/>
          <w:szCs w:val="28"/>
          <w14:textFill>
            <w14:solidFill>
              <w14:schemeClr w14:val="tx1"/>
            </w14:solidFill>
          </w14:textFill>
        </w:rPr>
        <w:t>五、采购人、市公资交易中心不解释中标（成交）或未中标（成交）原因，不退回投标文件和其他投标资料。</w:t>
      </w:r>
    </w:p>
    <w:p>
      <w:pPr>
        <w:pStyle w:val="5"/>
        <w:numPr>
          <w:ilvl w:val="1"/>
          <w:numId w:val="3"/>
        </w:numPr>
        <w:spacing w:before="0" w:after="0" w:line="560" w:lineRule="exact"/>
        <w:ind w:left="2269" w:hanging="2269"/>
        <w:rPr>
          <w:color w:val="000000" w:themeColor="text1"/>
          <w14:textFill>
            <w14:solidFill>
              <w14:schemeClr w14:val="tx1"/>
            </w14:solidFill>
          </w14:textFill>
        </w:rPr>
      </w:pPr>
      <w:bookmarkStart w:id="342" w:name="_Toc24014"/>
      <w:bookmarkStart w:id="343" w:name="_Toc75336315"/>
      <w:bookmarkStart w:id="344" w:name="_Toc31963"/>
      <w:bookmarkStart w:id="345" w:name="_Toc1482"/>
      <w:bookmarkStart w:id="346" w:name="_Toc20789"/>
      <w:r>
        <w:rPr>
          <w:rFonts w:hint="eastAsia"/>
          <w:color w:val="000000" w:themeColor="text1"/>
          <w14:textFill>
            <w14:solidFill>
              <w14:schemeClr w14:val="tx1"/>
            </w14:solidFill>
          </w14:textFill>
        </w:rPr>
        <w:t>评标专家在政府采购活动中承担以下义务</w:t>
      </w:r>
      <w:bookmarkEnd w:id="340"/>
      <w:bookmarkEnd w:id="341"/>
      <w:bookmarkEnd w:id="342"/>
      <w:bookmarkEnd w:id="343"/>
      <w:bookmarkEnd w:id="344"/>
      <w:bookmarkEnd w:id="345"/>
      <w:bookmarkEnd w:id="346"/>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遵纪守法，客观、公正、廉洁地履行职责。</w:t>
      </w:r>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保守秘密。不得泄漏投标人的投标文件及知悉的商业秘密，不得向投标人透露评审情况。</w:t>
      </w:r>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发现投标人在政府采购活动中有不正当竞争或恶意串通等违规行为，及时向政府采购评审工作的组织者或财政部门报告并加以制止。</w:t>
      </w:r>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发现采购人、市公资交易中心及其工作人员在政府采购活动中有干预评审、发表倾向性和歧视性言论、受贿或者接受投标人的其他好处及其他违法违规行为，及时向财政部门报告。</w:t>
      </w:r>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解答有关方面对政府采购评审工作中有关问题的询问，配合采购人或者市公资交易中心答复投标人的询问、质疑，配合财政部门的投诉处理工作等事宜。</w:t>
      </w:r>
    </w:p>
    <w:p>
      <w:pPr>
        <w:numPr>
          <w:ilvl w:val="0"/>
          <w:numId w:val="44"/>
        </w:numPr>
        <w:tabs>
          <w:tab w:val="left" w:pos="1155"/>
        </w:tabs>
        <w:spacing w:after="200" w:line="560" w:lineRule="exact"/>
        <w:ind w:left="0" w:firstLine="525"/>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法律、法规和规章规定的其他义务。</w:t>
      </w:r>
    </w:p>
    <w:p>
      <w:pPr>
        <w:pStyle w:val="5"/>
        <w:numPr>
          <w:ilvl w:val="1"/>
          <w:numId w:val="3"/>
        </w:numPr>
        <w:spacing w:before="0" w:after="0" w:line="560" w:lineRule="exact"/>
        <w:ind w:left="2269" w:hanging="2269"/>
        <w:rPr>
          <w:color w:val="000000" w:themeColor="text1"/>
          <w14:textFill>
            <w14:solidFill>
              <w14:schemeClr w14:val="tx1"/>
            </w14:solidFill>
          </w14:textFill>
        </w:rPr>
      </w:pPr>
      <w:bookmarkStart w:id="347" w:name="_Toc7637"/>
      <w:bookmarkStart w:id="348" w:name="_Toc3861"/>
      <w:bookmarkStart w:id="349" w:name="_Toc9396"/>
      <w:bookmarkStart w:id="350" w:name="_Toc75336316"/>
      <w:bookmarkStart w:id="351" w:name="_Toc31664"/>
      <w:r>
        <w:rPr>
          <w:rFonts w:hint="eastAsia"/>
          <w:color w:val="000000" w:themeColor="text1"/>
          <w14:textFill>
            <w14:solidFill>
              <w14:schemeClr w14:val="tx1"/>
            </w14:solidFill>
          </w14:textFill>
        </w:rPr>
        <w:t>评标委员会及其成员不得有下列行为：</w:t>
      </w:r>
      <w:bookmarkEnd w:id="347"/>
      <w:bookmarkEnd w:id="348"/>
      <w:bookmarkEnd w:id="349"/>
      <w:bookmarkEnd w:id="350"/>
      <w:bookmarkEnd w:id="351"/>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一、确定参与评标至评标结束前私自接触投标人；</w:t>
      </w:r>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二、接受投标人提出的与投标文件不一致的澄清或者说明，除招标文件明确可以澄清的除外；</w:t>
      </w:r>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三、违反评标纪律发表倾向性意见或者征询采购人的倾向性意见；</w:t>
      </w:r>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四、对需要专业判断的主观评审因素协商评分；</w:t>
      </w:r>
    </w:p>
    <w:p>
      <w:pPr>
        <w:tabs>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五、在评标过程中擅离职守，影响评标程序正常进行的；</w:t>
      </w:r>
    </w:p>
    <w:p>
      <w:pPr>
        <w:tabs>
          <w:tab w:val="left" w:pos="1276"/>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六、记录、复制或者带走任何评标资料；</w:t>
      </w:r>
    </w:p>
    <w:p>
      <w:pPr>
        <w:tabs>
          <w:tab w:val="left" w:pos="993"/>
          <w:tab w:val="left" w:pos="1276"/>
          <w:tab w:val="left" w:pos="1418"/>
        </w:tabs>
        <w:spacing w:line="560" w:lineRule="exact"/>
        <w:ind w:firstLine="560" w:firstLineChars="20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七、其他不遵守评标纪律的行为。</w:t>
      </w:r>
    </w:p>
    <w:p>
      <w:pPr>
        <w:tabs>
          <w:tab w:val="left" w:pos="1155"/>
        </w:tabs>
        <w:spacing w:line="560" w:lineRule="exact"/>
        <w:ind w:left="142" w:firstLine="565" w:firstLineChars="202"/>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评标委员会成员有前款第一至五项行为之一的，其评审意见无效，并不得获取评审劳务报酬和报销异地评审差旅费。</w:t>
      </w:r>
    </w:p>
    <w:p>
      <w:pPr>
        <w:pStyle w:val="5"/>
        <w:numPr>
          <w:ilvl w:val="1"/>
          <w:numId w:val="3"/>
        </w:numPr>
        <w:spacing w:before="0" w:after="0" w:line="560" w:lineRule="exact"/>
        <w:ind w:left="2269" w:hanging="2127"/>
        <w:rPr>
          <w:color w:val="000000" w:themeColor="text1"/>
          <w14:textFill>
            <w14:solidFill>
              <w14:schemeClr w14:val="tx1"/>
            </w14:solidFill>
          </w14:textFill>
        </w:rPr>
      </w:pPr>
      <w:bookmarkStart w:id="352" w:name="_Toc15267"/>
      <w:bookmarkStart w:id="353" w:name="_Toc494464930"/>
      <w:bookmarkStart w:id="354" w:name="_Toc16147"/>
      <w:bookmarkStart w:id="355" w:name="_Toc22920"/>
      <w:bookmarkStart w:id="356" w:name="_Toc75336317"/>
      <w:bookmarkStart w:id="357" w:name="_Toc6837"/>
      <w:r>
        <w:rPr>
          <w:rFonts w:hint="eastAsia"/>
          <w:color w:val="000000" w:themeColor="text1"/>
          <w14:textFill>
            <w14:solidFill>
              <w14:schemeClr w14:val="tx1"/>
            </w14:solidFill>
          </w14:textFill>
        </w:rPr>
        <w:t>评审专家在政府采购活动中应当遵守以下工作纪律</w:t>
      </w:r>
      <w:bookmarkEnd w:id="352"/>
      <w:bookmarkEnd w:id="353"/>
      <w:bookmarkEnd w:id="354"/>
      <w:bookmarkEnd w:id="355"/>
      <w:bookmarkEnd w:id="356"/>
      <w:bookmarkEnd w:id="357"/>
    </w:p>
    <w:p>
      <w:pPr>
        <w:numPr>
          <w:ilvl w:val="0"/>
          <w:numId w:val="45"/>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遵行《中华人民共和国政府采购法》第十二条和《中华人民共和国政府采购法实施条例》第九条及政府采购相关法律法规关于回避的规定。</w:t>
      </w:r>
    </w:p>
    <w:p>
      <w:pPr>
        <w:numPr>
          <w:ilvl w:val="0"/>
          <w:numId w:val="45"/>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应邀按时参加评审和咨询活动，遵守评标区管理规定。</w:t>
      </w:r>
    </w:p>
    <w:p>
      <w:pPr>
        <w:numPr>
          <w:ilvl w:val="0"/>
          <w:numId w:val="45"/>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进入评标区之前应将所有的通信设备存入公资交易中心指定的存放处。</w:t>
      </w:r>
    </w:p>
    <w:p>
      <w:pPr>
        <w:numPr>
          <w:ilvl w:val="0"/>
          <w:numId w:val="45"/>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不得参加与自己有利害关系的政府采购项目的评审活动。对与自己有利害关系的评审项目，如受到邀请，应主动提出回避。财政部门、采购人或</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也可要求该评审专家回避。</w:t>
      </w:r>
    </w:p>
    <w:p>
      <w:pPr>
        <w:numPr>
          <w:ilvl w:val="0"/>
          <w:numId w:val="45"/>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评审过程中关闭通讯设备，不得与外界联系。因发生不可预见情况，确实需要与外界联系的，应告知评标区值守人员</w:t>
      </w:r>
      <w:r>
        <w:rPr>
          <w:rFonts w:hint="eastAsia" w:ascii="宋体" w:hAnsi="宋体"/>
          <w:color w:val="000000" w:themeColor="text1"/>
          <w:sz w:val="28"/>
          <w:szCs w:val="28"/>
          <w:lang w:val="en-US" w:eastAsia="zh-CN"/>
          <w14:textFill>
            <w14:solidFill>
              <w14:schemeClr w14:val="tx1"/>
            </w14:solidFill>
          </w14:textFill>
        </w:rPr>
        <w:t>处理</w:t>
      </w:r>
      <w:r>
        <w:rPr>
          <w:rFonts w:hint="eastAsia" w:ascii="宋体" w:hAnsi="宋体"/>
          <w:color w:val="000000" w:themeColor="text1"/>
          <w:sz w:val="28"/>
          <w:szCs w:val="28"/>
          <w14:textFill>
            <w14:solidFill>
              <w14:schemeClr w14:val="tx1"/>
            </w14:solidFill>
          </w14:textFill>
        </w:rPr>
        <w:t>。</w:t>
      </w:r>
    </w:p>
    <w:p>
      <w:pPr>
        <w:numPr>
          <w:ilvl w:val="0"/>
          <w:numId w:val="45"/>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5"/>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在评标过程中和评标结束后，不得记录、复制或带走任何评标资料，除因规定的义务外，不得向外界透露评标内容。</w:t>
      </w:r>
    </w:p>
    <w:p>
      <w:pPr>
        <w:numPr>
          <w:ilvl w:val="0"/>
          <w:numId w:val="45"/>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服从评标现场</w:t>
      </w:r>
      <w:r>
        <w:rPr>
          <w:rFonts w:hint="eastAsia" w:cs="Arial"/>
          <w:color w:val="000000" w:themeColor="text1"/>
          <w:sz w:val="28"/>
          <w:szCs w:val="28"/>
          <w14:textFill>
            <w14:solidFill>
              <w14:schemeClr w14:val="tx1"/>
            </w14:solidFill>
          </w14:textFill>
        </w:rPr>
        <w:t>市公资交易中心</w:t>
      </w:r>
      <w:r>
        <w:rPr>
          <w:rFonts w:hint="eastAsia" w:ascii="宋体" w:hAnsi="宋体"/>
          <w:color w:val="000000" w:themeColor="text1"/>
          <w:sz w:val="28"/>
          <w:szCs w:val="28"/>
          <w14:textFill>
            <w14:solidFill>
              <w14:schemeClr w14:val="tx1"/>
            </w14:solidFill>
          </w14:textFill>
        </w:rPr>
        <w:t>的现场秩序管理，接受评标现场监督人员的合法监督。</w:t>
      </w:r>
    </w:p>
    <w:p>
      <w:pPr>
        <w:numPr>
          <w:ilvl w:val="0"/>
          <w:numId w:val="45"/>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遵守有关廉洁自律规定，不得私下接触投标人，不得收受投标人及有关业务单位和个人的财物或好处，不得接受采购组织单位的请托。</w:t>
      </w:r>
    </w:p>
    <w:p>
      <w:pPr>
        <w:numPr>
          <w:ilvl w:val="0"/>
          <w:numId w:val="45"/>
        </w:numPr>
        <w:tabs>
          <w:tab w:val="left" w:pos="1155"/>
        </w:tabs>
        <w:spacing w:after="200" w:line="560" w:lineRule="exact"/>
        <w:ind w:left="0" w:firstLine="527"/>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有关部门（机构）制定的其他评审工作纪律。</w:t>
      </w:r>
      <w:bookmarkEnd w:id="0"/>
      <w:bookmarkEnd w:id="1"/>
      <w:bookmarkEnd w:id="2"/>
      <w:bookmarkEnd w:id="3"/>
      <w:bookmarkStart w:id="358" w:name="_Toc19415"/>
      <w:r>
        <w:rPr>
          <w:color w:val="000000" w:themeColor="text1"/>
          <w14:textFill>
            <w14:solidFill>
              <w14:schemeClr w14:val="tx1"/>
            </w14:solidFill>
          </w14:textFill>
        </w:rPr>
        <w:br w:type="page"/>
      </w:r>
    </w:p>
    <w:p>
      <w:pPr>
        <w:pStyle w:val="4"/>
        <w:numPr>
          <w:ilvl w:val="0"/>
          <w:numId w:val="3"/>
        </w:numPr>
        <w:spacing w:before="0" w:after="0" w:line="360" w:lineRule="auto"/>
        <w:rPr>
          <w:color w:val="000000" w:themeColor="text1"/>
          <w:sz w:val="24"/>
          <w14:textFill>
            <w14:solidFill>
              <w14:schemeClr w14:val="tx1"/>
            </w14:solidFill>
          </w14:textFill>
        </w:rPr>
      </w:pPr>
      <w:bookmarkStart w:id="359" w:name="_Toc1640"/>
      <w:bookmarkStart w:id="360" w:name="_Toc20535"/>
      <w:bookmarkStart w:id="361" w:name="_Toc27722"/>
      <w:bookmarkStart w:id="362" w:name="_Toc75336318"/>
      <w:r>
        <w:rPr>
          <w:rFonts w:hint="eastAsia"/>
          <w:color w:val="000000" w:themeColor="text1"/>
          <w14:textFill>
            <w14:solidFill>
              <w14:schemeClr w14:val="tx1"/>
            </w14:solidFill>
          </w14:textFill>
        </w:rPr>
        <w:t>拟签订合同文本</w:t>
      </w:r>
      <w:bookmarkEnd w:id="358"/>
      <w:bookmarkEnd w:id="359"/>
      <w:bookmarkEnd w:id="360"/>
      <w:bookmarkEnd w:id="361"/>
      <w:bookmarkEnd w:id="362"/>
    </w:p>
    <w:p>
      <w:pPr>
        <w:spacing w:line="400" w:lineRule="exact"/>
        <w:jc w:val="center"/>
        <w:rPr>
          <w:rFonts w:asciiTheme="minorEastAsia" w:hAnsiTheme="minorEastAsia" w:eastAsiaTheme="minorEastAsia"/>
          <w:b/>
          <w:color w:val="000000" w:themeColor="text1"/>
          <w:sz w:val="28"/>
          <w:szCs w:val="28"/>
          <w14:textFill>
            <w14:solidFill>
              <w14:schemeClr w14:val="tx1"/>
            </w14:solidFill>
          </w14:textFill>
        </w:rPr>
      </w:pPr>
      <w:bookmarkStart w:id="363" w:name="_Toc316475673"/>
      <w:bookmarkEnd w:id="363"/>
      <w:bookmarkStart w:id="364" w:name="_Toc316475669"/>
      <w:bookmarkEnd w:id="364"/>
      <w:bookmarkStart w:id="365" w:name="_Toc316475754"/>
      <w:bookmarkEnd w:id="365"/>
      <w:bookmarkStart w:id="366" w:name="_Toc316475676"/>
      <w:bookmarkEnd w:id="366"/>
      <w:bookmarkStart w:id="367" w:name="_Toc316475757"/>
      <w:bookmarkEnd w:id="367"/>
      <w:bookmarkStart w:id="368" w:name="_Toc316475756"/>
      <w:bookmarkEnd w:id="368"/>
      <w:bookmarkStart w:id="369" w:name="_Toc316475674"/>
      <w:bookmarkEnd w:id="369"/>
      <w:bookmarkStart w:id="370" w:name="_Toc316475761"/>
      <w:bookmarkEnd w:id="370"/>
      <w:bookmarkStart w:id="371" w:name="_Toc316475675"/>
      <w:bookmarkEnd w:id="371"/>
      <w:bookmarkStart w:id="372" w:name="_Toc316475670"/>
      <w:bookmarkEnd w:id="372"/>
      <w:bookmarkStart w:id="373" w:name="_Toc316475759"/>
      <w:bookmarkEnd w:id="373"/>
      <w:bookmarkStart w:id="374" w:name="_Toc316475671"/>
      <w:bookmarkEnd w:id="374"/>
      <w:bookmarkStart w:id="375" w:name="_Toc316475664"/>
      <w:bookmarkEnd w:id="375"/>
      <w:bookmarkStart w:id="376" w:name="_Toc316475672"/>
      <w:bookmarkEnd w:id="376"/>
      <w:bookmarkStart w:id="377" w:name="_Toc316475666"/>
      <w:bookmarkEnd w:id="377"/>
      <w:bookmarkStart w:id="378" w:name="_Toc316475758"/>
      <w:bookmarkEnd w:id="378"/>
      <w:bookmarkStart w:id="379" w:name="_Toc316475665"/>
      <w:bookmarkEnd w:id="379"/>
      <w:bookmarkStart w:id="380" w:name="_Toc316475755"/>
      <w:bookmarkEnd w:id="380"/>
      <w:bookmarkStart w:id="381" w:name="_Toc316475668"/>
      <w:bookmarkEnd w:id="381"/>
      <w:bookmarkStart w:id="382" w:name="_Toc316475753"/>
      <w:bookmarkEnd w:id="382"/>
      <w:bookmarkStart w:id="383" w:name="_Toc316475667"/>
      <w:bookmarkEnd w:id="383"/>
      <w:bookmarkStart w:id="384" w:name="_Toc316475764"/>
      <w:bookmarkEnd w:id="384"/>
      <w:bookmarkStart w:id="385" w:name="_Toc316475760"/>
      <w:bookmarkEnd w:id="385"/>
      <w:bookmarkStart w:id="386" w:name="_Toc316475763"/>
      <w:bookmarkEnd w:id="386"/>
      <w:bookmarkStart w:id="387" w:name="_Toc316475677"/>
      <w:bookmarkEnd w:id="387"/>
      <w:bookmarkStart w:id="388" w:name="_Toc316475762"/>
      <w:bookmarkEnd w:id="388"/>
      <w:bookmarkStart w:id="389" w:name="_Toc316475751"/>
      <w:bookmarkEnd w:id="389"/>
      <w:bookmarkStart w:id="390" w:name="_Toc316475752"/>
      <w:bookmarkEnd w:id="390"/>
      <w:bookmarkStart w:id="391" w:name="_Toc11710"/>
      <w:bookmarkStart w:id="392" w:name="_Toc3546"/>
    </w:p>
    <w:p>
      <w:p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合同编号：XXXX。</w:t>
      </w:r>
    </w:p>
    <w:p>
      <w:p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签订地点：XXXX。</w:t>
      </w:r>
    </w:p>
    <w:p>
      <w:p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签订时间：XXXX年XX月XX日。</w:t>
      </w:r>
    </w:p>
    <w:p>
      <w:pPr>
        <w:spacing w:line="360" w:lineRule="auto"/>
        <w:ind w:firstLine="560" w:firstLineChars="200"/>
        <w:rPr>
          <w:sz w:val="28"/>
          <w:szCs w:val="22"/>
        </w:rPr>
      </w:pPr>
      <w:r>
        <w:rPr>
          <w:rFonts w:hint="eastAsia"/>
          <w:sz w:val="28"/>
          <w:szCs w:val="22"/>
        </w:rPr>
        <w:t xml:space="preserve">采购人（甲方）：                              </w:t>
      </w:r>
    </w:p>
    <w:p>
      <w:pPr>
        <w:spacing w:line="360" w:lineRule="auto"/>
        <w:ind w:firstLine="560" w:firstLineChars="200"/>
        <w:rPr>
          <w:sz w:val="28"/>
          <w:szCs w:val="22"/>
        </w:rPr>
      </w:pPr>
      <w:r>
        <w:rPr>
          <w:rFonts w:hint="eastAsia"/>
          <w:sz w:val="28"/>
          <w:szCs w:val="22"/>
        </w:rPr>
        <w:t>供应商（乙</w:t>
      </w:r>
      <w:r>
        <w:rPr>
          <w:sz w:val="28"/>
          <w:szCs w:val="22"/>
        </w:rPr>
        <w:t>方</w:t>
      </w:r>
      <w:r>
        <w:rPr>
          <w:rFonts w:hint="eastAsia"/>
          <w:sz w:val="28"/>
          <w:szCs w:val="22"/>
        </w:rPr>
        <w:t>）</w:t>
      </w:r>
      <w:r>
        <w:rPr>
          <w:sz w:val="28"/>
          <w:szCs w:val="22"/>
        </w:rPr>
        <w:t xml:space="preserve">：                              </w:t>
      </w:r>
    </w:p>
    <w:p>
      <w:pPr>
        <w:spacing w:line="400" w:lineRule="exact"/>
        <w:rPr>
          <w:sz w:val="28"/>
          <w:szCs w:val="22"/>
        </w:rPr>
      </w:pPr>
    </w:p>
    <w:p>
      <w:pPr>
        <w:spacing w:line="360" w:lineRule="auto"/>
        <w:ind w:firstLine="560" w:firstLineChars="200"/>
        <w:rPr>
          <w:rFonts w:hAnsi="宋体"/>
          <w:sz w:val="28"/>
          <w:szCs w:val="22"/>
        </w:rPr>
      </w:pPr>
      <w:r>
        <w:rPr>
          <w:rFonts w:hAnsi="宋体"/>
          <w:sz w:val="28"/>
          <w:szCs w:val="22"/>
        </w:rPr>
        <w:t>依据《中华人民共和国</w:t>
      </w:r>
      <w:r>
        <w:rPr>
          <w:rFonts w:hint="eastAsia" w:hAnsi="宋体"/>
          <w:sz w:val="28"/>
          <w:szCs w:val="22"/>
        </w:rPr>
        <w:t>民法典</w:t>
      </w:r>
      <w:r>
        <w:rPr>
          <w:rFonts w:hAnsi="宋体"/>
          <w:sz w:val="28"/>
          <w:szCs w:val="22"/>
        </w:rPr>
        <w:t>》、《中华人民共和国政府采购法》</w:t>
      </w:r>
      <w:r>
        <w:rPr>
          <w:rFonts w:hint="eastAsia" w:hAnsi="宋体"/>
          <w:sz w:val="28"/>
          <w:szCs w:val="22"/>
        </w:rPr>
        <w:t>与项目行业有关的法律法规，以及</w:t>
      </w:r>
      <w:r>
        <w:rPr>
          <w:rFonts w:hint="eastAsia"/>
          <w:sz w:val="28"/>
          <w:szCs w:val="22"/>
        </w:rPr>
        <w:t>XXXX</w:t>
      </w:r>
      <w:r>
        <w:rPr>
          <w:rFonts w:hint="eastAsia" w:hAnsi="宋体"/>
          <w:sz w:val="28"/>
          <w:szCs w:val="22"/>
        </w:rPr>
        <w:t>项目（项目编号：</w:t>
      </w:r>
      <w:r>
        <w:rPr>
          <w:rFonts w:hint="eastAsia"/>
          <w:sz w:val="28"/>
          <w:szCs w:val="22"/>
        </w:rPr>
        <w:t>XXXX</w:t>
      </w:r>
      <w:r>
        <w:rPr>
          <w:rFonts w:hint="eastAsia" w:hAnsi="宋体"/>
          <w:sz w:val="28"/>
          <w:szCs w:val="22"/>
        </w:rPr>
        <w:t>）</w:t>
      </w:r>
      <w:r>
        <w:rPr>
          <w:rFonts w:hAnsi="宋体"/>
          <w:sz w:val="28"/>
          <w:szCs w:val="22"/>
        </w:rPr>
        <w:t>的</w:t>
      </w:r>
      <w:r>
        <w:rPr>
          <w:rFonts w:hint="eastAsia" w:hAnsi="宋体"/>
          <w:sz w:val="28"/>
          <w:szCs w:val="22"/>
        </w:rPr>
        <w:t>《比选文件》</w:t>
      </w:r>
      <w:r>
        <w:rPr>
          <w:rFonts w:hAnsi="宋体"/>
          <w:sz w:val="28"/>
          <w:szCs w:val="22"/>
        </w:rPr>
        <w:t>，</w:t>
      </w:r>
      <w:r>
        <w:rPr>
          <w:rFonts w:hint="eastAsia" w:hAnsi="宋体"/>
          <w:sz w:val="28"/>
          <w:szCs w:val="22"/>
        </w:rPr>
        <w:t>乙方的《响应文件》及《中标通知书》，甲、乙双方同意签订本合同。详细技术说明及其他有关合同项目的特定信息由合同附件予以说明，合同附件及本项目的《比选文件》、《响应文件》、《中标通知书》等均为本合同的组成部分。</w:t>
      </w:r>
    </w:p>
    <w:p>
      <w:pPr>
        <w:numPr>
          <w:ilvl w:val="0"/>
          <w:numId w:val="46"/>
        </w:numPr>
        <w:spacing w:line="360" w:lineRule="auto"/>
        <w:rPr>
          <w:rFonts w:hAnsi="宋体"/>
          <w:b/>
          <w:sz w:val="28"/>
          <w:szCs w:val="22"/>
        </w:rPr>
      </w:pPr>
      <w:r>
        <w:rPr>
          <w:rFonts w:hint="eastAsia" w:hAnsi="宋体"/>
          <w:b/>
          <w:sz w:val="28"/>
          <w:szCs w:val="22"/>
        </w:rPr>
        <w:t>项目基本情况</w:t>
      </w:r>
    </w:p>
    <w:p>
      <w:pPr>
        <w:numPr>
          <w:ilvl w:val="0"/>
          <w:numId w:val="46"/>
        </w:numPr>
        <w:spacing w:line="360" w:lineRule="auto"/>
        <w:rPr>
          <w:rFonts w:hAnsi="宋体"/>
          <w:b/>
          <w:sz w:val="28"/>
          <w:szCs w:val="22"/>
        </w:rPr>
      </w:pPr>
      <w:r>
        <w:rPr>
          <w:rFonts w:hint="eastAsia" w:hAnsi="宋体"/>
          <w:b/>
          <w:sz w:val="28"/>
          <w:szCs w:val="22"/>
        </w:rPr>
        <w:t>合同期限</w:t>
      </w:r>
    </w:p>
    <w:p>
      <w:pPr>
        <w:numPr>
          <w:ilvl w:val="0"/>
          <w:numId w:val="46"/>
        </w:numPr>
        <w:spacing w:line="360" w:lineRule="auto"/>
        <w:rPr>
          <w:rFonts w:hAnsi="宋体"/>
          <w:b/>
          <w:sz w:val="28"/>
          <w:szCs w:val="22"/>
        </w:rPr>
      </w:pPr>
      <w:bookmarkStart w:id="393" w:name="_Toc211911348"/>
      <w:bookmarkStart w:id="394" w:name="_Toc282696226"/>
      <w:bookmarkStart w:id="395" w:name="_Toc251768862"/>
      <w:bookmarkStart w:id="396" w:name="_Toc238984975"/>
      <w:bookmarkStart w:id="397" w:name="_Toc232492928"/>
      <w:bookmarkStart w:id="398" w:name="_Toc225244852"/>
      <w:bookmarkStart w:id="399" w:name="_Toc283019214"/>
      <w:bookmarkStart w:id="400" w:name="_Toc212019594"/>
      <w:bookmarkStart w:id="401" w:name="_Toc225670751"/>
      <w:bookmarkStart w:id="402" w:name="_Toc185395249"/>
      <w:bookmarkStart w:id="403" w:name="_Toc286993786"/>
      <w:bookmarkStart w:id="404" w:name="_Toc239233914"/>
      <w:bookmarkStart w:id="405" w:name="_Toc237145406"/>
      <w:bookmarkStart w:id="406" w:name="_Toc225654644"/>
      <w:bookmarkStart w:id="407" w:name="_Toc247334841"/>
      <w:bookmarkStart w:id="408" w:name="_Toc211854449"/>
      <w:bookmarkStart w:id="409" w:name="_Toc241833903"/>
      <w:bookmarkStart w:id="410" w:name="_Toc239568418"/>
      <w:r>
        <w:rPr>
          <w:rFonts w:hint="eastAsia" w:hAnsi="宋体"/>
          <w:b/>
          <w:sz w:val="28"/>
          <w:szCs w:val="22"/>
        </w:rPr>
        <w:t>服务内容与质量标准</w:t>
      </w:r>
    </w:p>
    <w:p>
      <w:pPr>
        <w:spacing w:line="360" w:lineRule="auto"/>
        <w:ind w:left="567"/>
        <w:rPr>
          <w:rFonts w:hAnsi="宋体"/>
          <w:sz w:val="28"/>
          <w:szCs w:val="22"/>
        </w:rPr>
      </w:pPr>
      <w:r>
        <w:rPr>
          <w:rFonts w:hint="eastAsia" w:hAnsi="宋体"/>
          <w:sz w:val="28"/>
          <w:szCs w:val="22"/>
        </w:rPr>
        <w:t>1．</w:t>
      </w:r>
      <w:r>
        <w:rPr>
          <w:rFonts w:hint="eastAsia"/>
          <w:sz w:val="28"/>
          <w:szCs w:val="22"/>
        </w:rPr>
        <w:t>XXXX；</w:t>
      </w:r>
    </w:p>
    <w:p>
      <w:pPr>
        <w:spacing w:line="360" w:lineRule="auto"/>
        <w:ind w:left="567"/>
        <w:rPr>
          <w:rFonts w:hAnsi="宋体"/>
          <w:sz w:val="28"/>
          <w:szCs w:val="22"/>
        </w:rPr>
      </w:pPr>
      <w:r>
        <w:rPr>
          <w:rFonts w:hint="eastAsia" w:hAnsi="宋体"/>
          <w:sz w:val="28"/>
          <w:szCs w:val="22"/>
        </w:rPr>
        <w:t>2．</w:t>
      </w:r>
      <w:r>
        <w:rPr>
          <w:rFonts w:hint="eastAsia"/>
          <w:sz w:val="28"/>
          <w:szCs w:val="22"/>
        </w:rPr>
        <w:t>XXXX；</w:t>
      </w:r>
    </w:p>
    <w:p>
      <w:pPr>
        <w:spacing w:line="360" w:lineRule="auto"/>
        <w:ind w:left="567"/>
        <w:rPr>
          <w:rFonts w:hAnsi="宋体"/>
          <w:sz w:val="28"/>
          <w:szCs w:val="22"/>
        </w:rPr>
      </w:pPr>
      <w:r>
        <w:rPr>
          <w:rFonts w:hint="eastAsia" w:hAnsi="宋体"/>
          <w:sz w:val="28"/>
          <w:szCs w:val="22"/>
        </w:rPr>
        <w:t>3．</w:t>
      </w:r>
      <w:r>
        <w:rPr>
          <w:rFonts w:hint="eastAsia"/>
          <w:sz w:val="28"/>
          <w:szCs w:val="22"/>
        </w:rPr>
        <w:t>XXXX．</w:t>
      </w:r>
    </w:p>
    <w:p>
      <w:pPr>
        <w:spacing w:line="360" w:lineRule="auto"/>
        <w:ind w:firstLine="630"/>
        <w:rPr>
          <w:rFonts w:hAnsi="宋体"/>
          <w:sz w:val="28"/>
          <w:szCs w:val="22"/>
        </w:rPr>
      </w:pPr>
      <w:r>
        <w:rPr>
          <w:rFonts w:hAnsi="宋体"/>
          <w:sz w:val="28"/>
          <w:szCs w:val="22"/>
        </w:rPr>
        <w:t>…</w:t>
      </w:r>
    </w:p>
    <w:p>
      <w:pPr>
        <w:numPr>
          <w:ilvl w:val="0"/>
          <w:numId w:val="46"/>
        </w:numPr>
        <w:spacing w:line="360" w:lineRule="auto"/>
        <w:rPr>
          <w:rFonts w:hAnsi="宋体"/>
          <w:b/>
          <w:sz w:val="28"/>
          <w:szCs w:val="22"/>
        </w:rPr>
      </w:pPr>
      <w:r>
        <w:rPr>
          <w:rFonts w:hint="eastAsia" w:hAnsi="宋体"/>
          <w:b/>
          <w:sz w:val="28"/>
          <w:szCs w:val="22"/>
        </w:rPr>
        <w:t>服务费用及支付方式</w:t>
      </w:r>
    </w:p>
    <w:p>
      <w:pPr>
        <w:numPr>
          <w:ilvl w:val="0"/>
          <w:numId w:val="47"/>
        </w:numPr>
        <w:spacing w:line="360" w:lineRule="auto"/>
        <w:ind w:left="0" w:firstLine="567"/>
        <w:rPr>
          <w:rFonts w:hAnsi="宋体"/>
          <w:b/>
          <w:sz w:val="28"/>
          <w:szCs w:val="22"/>
        </w:rPr>
      </w:pPr>
      <w:r>
        <w:rPr>
          <w:rFonts w:hint="eastAsia" w:hAnsi="宋体"/>
          <w:b/>
          <w:sz w:val="28"/>
          <w:szCs w:val="22"/>
        </w:rPr>
        <w:t>本项目服务费用由以下组成：</w:t>
      </w:r>
    </w:p>
    <w:p>
      <w:pPr>
        <w:spacing w:line="360" w:lineRule="auto"/>
        <w:ind w:firstLine="560" w:firstLineChars="200"/>
        <w:rPr>
          <w:rFonts w:hAnsi="宋体"/>
          <w:sz w:val="28"/>
          <w:szCs w:val="22"/>
        </w:rPr>
      </w:pPr>
      <w:r>
        <w:rPr>
          <w:rFonts w:hint="eastAsia" w:hAnsi="宋体"/>
          <w:sz w:val="28"/>
          <w:szCs w:val="22"/>
        </w:rPr>
        <w:t>1．</w:t>
      </w:r>
      <w:r>
        <w:rPr>
          <w:rFonts w:hint="eastAsia"/>
          <w:sz w:val="28"/>
          <w:szCs w:val="22"/>
        </w:rPr>
        <w:t>XX</w:t>
      </w:r>
      <w:r>
        <w:rPr>
          <w:rFonts w:hint="eastAsia" w:hAnsi="宋体"/>
          <w:sz w:val="28"/>
          <w:szCs w:val="22"/>
        </w:rPr>
        <w:t>万元；</w:t>
      </w:r>
    </w:p>
    <w:p>
      <w:pPr>
        <w:spacing w:line="480" w:lineRule="exact"/>
        <w:ind w:firstLine="560" w:firstLineChars="200"/>
        <w:rPr>
          <w:rFonts w:hAnsi="宋体"/>
          <w:sz w:val="28"/>
          <w:szCs w:val="22"/>
        </w:rPr>
      </w:pPr>
      <w:r>
        <w:rPr>
          <w:rFonts w:hint="eastAsia" w:hAnsi="宋体"/>
          <w:sz w:val="28"/>
          <w:szCs w:val="22"/>
        </w:rPr>
        <w:t>2．</w:t>
      </w:r>
      <w:r>
        <w:rPr>
          <w:rFonts w:hint="eastAsia"/>
          <w:sz w:val="28"/>
          <w:szCs w:val="22"/>
        </w:rPr>
        <w:t>XX</w:t>
      </w:r>
      <w:r>
        <w:rPr>
          <w:rFonts w:hint="eastAsia" w:hAnsi="宋体"/>
          <w:sz w:val="28"/>
          <w:szCs w:val="22"/>
        </w:rPr>
        <w:t>万元；</w:t>
      </w:r>
    </w:p>
    <w:p>
      <w:pPr>
        <w:spacing w:line="480" w:lineRule="exact"/>
        <w:ind w:firstLine="560" w:firstLineChars="200"/>
        <w:rPr>
          <w:rFonts w:hAnsi="宋体"/>
          <w:sz w:val="28"/>
          <w:szCs w:val="22"/>
        </w:rPr>
      </w:pPr>
      <w:r>
        <w:rPr>
          <w:rFonts w:hint="eastAsia" w:hAnsi="宋体"/>
          <w:sz w:val="28"/>
          <w:szCs w:val="22"/>
        </w:rPr>
        <w:t>3．</w:t>
      </w:r>
      <w:r>
        <w:rPr>
          <w:rFonts w:hint="eastAsia"/>
          <w:sz w:val="28"/>
          <w:szCs w:val="22"/>
        </w:rPr>
        <w:t>XX</w:t>
      </w:r>
      <w:r>
        <w:rPr>
          <w:rFonts w:hint="eastAsia" w:hAnsi="宋体"/>
          <w:sz w:val="28"/>
          <w:szCs w:val="22"/>
        </w:rPr>
        <w:t>万元。</w:t>
      </w:r>
    </w:p>
    <w:p>
      <w:pPr>
        <w:spacing w:line="480" w:lineRule="exact"/>
        <w:ind w:firstLine="560" w:firstLineChars="200"/>
        <w:rPr>
          <w:rFonts w:hAnsi="宋体"/>
          <w:sz w:val="28"/>
          <w:szCs w:val="22"/>
        </w:rPr>
      </w:pPr>
      <w:r>
        <w:rPr>
          <w:rFonts w:hAnsi="宋体"/>
          <w:sz w:val="28"/>
          <w:szCs w:val="22"/>
        </w:rPr>
        <w:t>……</w:t>
      </w:r>
    </w:p>
    <w:p>
      <w:pPr>
        <w:numPr>
          <w:ilvl w:val="0"/>
          <w:numId w:val="48"/>
        </w:numPr>
        <w:spacing w:line="480" w:lineRule="exact"/>
        <w:ind w:firstLine="551" w:firstLineChars="196"/>
        <w:rPr>
          <w:rFonts w:hAnsi="宋体"/>
          <w:b/>
          <w:sz w:val="28"/>
          <w:szCs w:val="22"/>
        </w:rPr>
      </w:pPr>
      <w:r>
        <w:rPr>
          <w:rFonts w:hint="eastAsia" w:hAnsi="宋体"/>
          <w:b/>
          <w:sz w:val="28"/>
          <w:szCs w:val="22"/>
        </w:rPr>
        <w:t xml:space="preserve">服务费支付方式： </w:t>
      </w:r>
    </w:p>
    <w:p>
      <w:pPr>
        <w:pStyle w:val="23"/>
        <w:snapToGrid w:val="0"/>
        <w:spacing w:line="360" w:lineRule="auto"/>
        <w:ind w:firstLine="560" w:firstLineChars="200"/>
        <w:rPr>
          <w:rFonts w:ascii="Times New Roman" w:hAnsi="宋体"/>
          <w:sz w:val="28"/>
          <w:szCs w:val="22"/>
        </w:rPr>
      </w:pPr>
      <w:r>
        <w:rPr>
          <w:rFonts w:hint="eastAsia" w:ascii="Times New Roman" w:hAnsi="宋体"/>
          <w:sz w:val="28"/>
          <w:szCs w:val="22"/>
        </w:rPr>
        <w:t>除上述费用外，甲方无需为履行本合同支付任何其他费用。</w:t>
      </w:r>
    </w:p>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Pr>
        <w:numPr>
          <w:ilvl w:val="0"/>
          <w:numId w:val="46"/>
        </w:numPr>
        <w:spacing w:line="360" w:lineRule="auto"/>
        <w:rPr>
          <w:rFonts w:hAnsi="宋体"/>
          <w:b/>
          <w:sz w:val="28"/>
          <w:szCs w:val="22"/>
        </w:rPr>
      </w:pPr>
      <w:r>
        <w:rPr>
          <w:rFonts w:hint="eastAsia" w:hAnsi="宋体"/>
          <w:b/>
          <w:sz w:val="28"/>
          <w:szCs w:val="22"/>
        </w:rPr>
        <w:t>知识产权</w:t>
      </w:r>
    </w:p>
    <w:p>
      <w:pPr>
        <w:pStyle w:val="23"/>
        <w:snapToGrid w:val="0"/>
        <w:spacing w:line="360" w:lineRule="auto"/>
        <w:ind w:firstLine="560" w:firstLineChars="200"/>
        <w:rPr>
          <w:rFonts w:ascii="Times New Roman" w:hAnsi="宋体"/>
          <w:sz w:val="28"/>
          <w:szCs w:val="22"/>
        </w:rPr>
      </w:pPr>
      <w:r>
        <w:rPr>
          <w:rFonts w:hint="eastAsia" w:ascii="Times New Roman" w:hAnsi="宋体"/>
          <w:sz w:val="28"/>
          <w:szCs w:val="22"/>
        </w:rPr>
        <w:t>1、乙方应保证所提供的服务或其任何一部分均不会侵犯任何第三方的专利权、商标权或著作权。</w:t>
      </w:r>
    </w:p>
    <w:p>
      <w:pPr>
        <w:pStyle w:val="23"/>
        <w:snapToGrid w:val="0"/>
        <w:spacing w:line="360" w:lineRule="auto"/>
        <w:ind w:firstLine="560" w:firstLineChars="200"/>
        <w:rPr>
          <w:rFonts w:ascii="Times New Roman" w:hAnsi="宋体"/>
          <w:sz w:val="28"/>
          <w:szCs w:val="22"/>
        </w:rPr>
      </w:pPr>
      <w:r>
        <w:rPr>
          <w:rFonts w:hint="eastAsia" w:ascii="Times New Roman" w:hAnsi="宋体"/>
          <w:sz w:val="28"/>
          <w:szCs w:val="22"/>
        </w:rPr>
        <w:t>2、乙方在履行本合同的过程中所形成的全部知识产权，归甲方所有。</w:t>
      </w:r>
    </w:p>
    <w:p>
      <w:pPr>
        <w:numPr>
          <w:ilvl w:val="0"/>
          <w:numId w:val="46"/>
        </w:numPr>
        <w:spacing w:line="360" w:lineRule="auto"/>
        <w:rPr>
          <w:rFonts w:hAnsi="宋体"/>
          <w:b/>
          <w:sz w:val="28"/>
          <w:szCs w:val="22"/>
        </w:rPr>
      </w:pPr>
      <w:r>
        <w:rPr>
          <w:rFonts w:hint="eastAsia" w:hAnsi="宋体"/>
          <w:b/>
          <w:sz w:val="28"/>
          <w:szCs w:val="22"/>
        </w:rPr>
        <w:t>无产权瑕疵条款</w:t>
      </w:r>
    </w:p>
    <w:p>
      <w:pPr>
        <w:pStyle w:val="23"/>
        <w:snapToGrid w:val="0"/>
        <w:spacing w:line="360" w:lineRule="auto"/>
        <w:ind w:firstLine="560" w:firstLineChars="200"/>
        <w:rPr>
          <w:rFonts w:ascii="Times New Roman" w:hAnsi="宋体"/>
          <w:sz w:val="28"/>
          <w:szCs w:val="22"/>
        </w:rPr>
      </w:pPr>
      <w:r>
        <w:rPr>
          <w:rFonts w:hint="eastAsia" w:ascii="Times New Roman" w:hAnsi="宋体"/>
          <w:sz w:val="28"/>
          <w:szCs w:val="22"/>
        </w:rPr>
        <w:t>乙方保证所提供的服务的所有权完全属于乙方且无任何抵押、查封等产权瑕疵。如有产权瑕疵的，视为乙方违约。乙方应负担由此而产生的一切损失。</w:t>
      </w:r>
    </w:p>
    <w:p>
      <w:pPr>
        <w:numPr>
          <w:ilvl w:val="0"/>
          <w:numId w:val="46"/>
        </w:numPr>
        <w:spacing w:line="360" w:lineRule="auto"/>
        <w:rPr>
          <w:rFonts w:hAnsi="宋体"/>
          <w:b/>
          <w:sz w:val="28"/>
          <w:szCs w:val="22"/>
        </w:rPr>
      </w:pPr>
      <w:r>
        <w:rPr>
          <w:rFonts w:hint="eastAsia" w:hAnsi="宋体"/>
          <w:b/>
          <w:sz w:val="28"/>
          <w:szCs w:val="22"/>
        </w:rPr>
        <w:t>甲方的权利和义务</w:t>
      </w:r>
    </w:p>
    <w:p>
      <w:pPr>
        <w:pStyle w:val="23"/>
        <w:snapToGrid w:val="0"/>
        <w:spacing w:line="360" w:lineRule="auto"/>
        <w:ind w:firstLine="560" w:firstLineChars="200"/>
        <w:rPr>
          <w:rFonts w:ascii="Times New Roman" w:hAnsi="宋体"/>
          <w:sz w:val="28"/>
          <w:szCs w:val="22"/>
        </w:rPr>
      </w:pPr>
      <w:r>
        <w:rPr>
          <w:rFonts w:hint="eastAsia" w:ascii="Times New Roman" w:hAnsi="宋体"/>
          <w:sz w:val="28"/>
          <w:szCs w:val="22"/>
        </w:rPr>
        <w:t>1、甲方有权对合同规定范围内乙方的服务行为进行监督和检查，拥有监管权。有权定期核对乙方提供服务所配备的人员数量。对甲方认为不合理的部分有权下达整改通知书，并要求乙方限期整改。</w:t>
      </w:r>
    </w:p>
    <w:p>
      <w:pPr>
        <w:pStyle w:val="23"/>
        <w:snapToGrid w:val="0"/>
        <w:spacing w:line="360" w:lineRule="auto"/>
        <w:ind w:firstLine="560" w:firstLineChars="200"/>
        <w:rPr>
          <w:rFonts w:ascii="Times New Roman" w:hAnsi="宋体"/>
          <w:sz w:val="28"/>
          <w:szCs w:val="22"/>
        </w:rPr>
      </w:pPr>
      <w:r>
        <w:rPr>
          <w:rFonts w:hint="eastAsia" w:ascii="Times New Roman" w:hAnsi="宋体"/>
          <w:sz w:val="28"/>
          <w:szCs w:val="22"/>
        </w:rPr>
        <w:t>2、甲方有权依据甲方制定的考评办法对乙方提供的服务进行定期考评。当考评结果未达到标准时，有权依据考评办法约定的数额扣除履约保证金。</w:t>
      </w:r>
    </w:p>
    <w:p>
      <w:pPr>
        <w:pStyle w:val="23"/>
        <w:snapToGrid w:val="0"/>
        <w:spacing w:line="360" w:lineRule="auto"/>
        <w:ind w:firstLine="560" w:firstLineChars="200"/>
        <w:rPr>
          <w:rFonts w:ascii="Times New Roman" w:hAnsi="宋体"/>
          <w:sz w:val="28"/>
          <w:szCs w:val="22"/>
        </w:rPr>
      </w:pPr>
      <w:r>
        <w:rPr>
          <w:rFonts w:hint="eastAsia" w:ascii="Times New Roman" w:hAnsi="宋体"/>
          <w:sz w:val="28"/>
          <w:szCs w:val="22"/>
        </w:rPr>
        <w:t>3、负责检查监督乙方供货工作的实施及制度的执行情况。</w:t>
      </w:r>
    </w:p>
    <w:p>
      <w:pPr>
        <w:pStyle w:val="23"/>
        <w:snapToGrid w:val="0"/>
        <w:spacing w:line="360" w:lineRule="auto"/>
        <w:ind w:firstLine="560" w:firstLineChars="200"/>
        <w:rPr>
          <w:rFonts w:ascii="Times New Roman" w:hAnsi="宋体"/>
          <w:sz w:val="28"/>
          <w:szCs w:val="22"/>
        </w:rPr>
      </w:pPr>
      <w:r>
        <w:rPr>
          <w:rFonts w:hint="eastAsia" w:ascii="Times New Roman" w:hAnsi="宋体"/>
          <w:sz w:val="28"/>
          <w:szCs w:val="22"/>
        </w:rPr>
        <w:t>4、根据本合同规定，按时向乙方支付应付供货费用。</w:t>
      </w:r>
    </w:p>
    <w:p>
      <w:pPr>
        <w:pStyle w:val="23"/>
        <w:snapToGrid w:val="0"/>
        <w:spacing w:line="360" w:lineRule="auto"/>
        <w:ind w:firstLine="560" w:firstLineChars="200"/>
        <w:rPr>
          <w:rFonts w:ascii="Times New Roman" w:hAnsi="宋体"/>
          <w:sz w:val="28"/>
          <w:szCs w:val="22"/>
        </w:rPr>
      </w:pPr>
      <w:r>
        <w:rPr>
          <w:rFonts w:hint="eastAsia" w:ascii="Times New Roman" w:hAnsi="宋体"/>
          <w:sz w:val="28"/>
          <w:szCs w:val="22"/>
        </w:rPr>
        <w:t>5、国家法律、法规所规定由甲方承担的其它责任。</w:t>
      </w:r>
    </w:p>
    <w:p>
      <w:pPr>
        <w:pStyle w:val="23"/>
        <w:snapToGrid w:val="0"/>
        <w:spacing w:line="360" w:lineRule="auto"/>
        <w:ind w:firstLine="560" w:firstLineChars="200"/>
        <w:rPr>
          <w:rFonts w:ascii="Times New Roman" w:hAnsi="宋体"/>
          <w:sz w:val="28"/>
          <w:szCs w:val="22"/>
        </w:rPr>
      </w:pPr>
      <w:r>
        <w:rPr>
          <w:rFonts w:hint="eastAsia" w:ascii="Times New Roman" w:hAnsi="宋体"/>
          <w:sz w:val="28"/>
          <w:szCs w:val="22"/>
        </w:rPr>
        <w:t>.......</w:t>
      </w:r>
    </w:p>
    <w:p>
      <w:pPr>
        <w:numPr>
          <w:ilvl w:val="0"/>
          <w:numId w:val="46"/>
        </w:numPr>
        <w:spacing w:line="360" w:lineRule="auto"/>
        <w:rPr>
          <w:rFonts w:hAnsi="宋体"/>
          <w:b/>
          <w:sz w:val="28"/>
          <w:szCs w:val="22"/>
        </w:rPr>
      </w:pPr>
      <w:r>
        <w:rPr>
          <w:rFonts w:hint="eastAsia" w:hAnsi="宋体"/>
          <w:b/>
          <w:sz w:val="28"/>
          <w:szCs w:val="22"/>
        </w:rPr>
        <w:t>乙方的权利和义务</w:t>
      </w:r>
    </w:p>
    <w:p>
      <w:pPr>
        <w:pStyle w:val="23"/>
        <w:snapToGrid w:val="0"/>
        <w:spacing w:line="360" w:lineRule="auto"/>
        <w:ind w:firstLine="560" w:firstLineChars="200"/>
        <w:rPr>
          <w:rFonts w:ascii="Times New Roman" w:hAnsi="宋体"/>
          <w:sz w:val="28"/>
          <w:szCs w:val="22"/>
        </w:rPr>
      </w:pPr>
      <w:r>
        <w:rPr>
          <w:rFonts w:hint="eastAsia" w:ascii="Times New Roman" w:hAnsi="宋体"/>
          <w:sz w:val="28"/>
          <w:szCs w:val="22"/>
        </w:rPr>
        <w:t>1、对本合同规定的委托服务范围内的项目享有服务的权利和义务。</w:t>
      </w:r>
    </w:p>
    <w:p>
      <w:pPr>
        <w:pStyle w:val="23"/>
        <w:snapToGrid w:val="0"/>
        <w:spacing w:line="360" w:lineRule="auto"/>
        <w:ind w:firstLine="560" w:firstLineChars="200"/>
        <w:rPr>
          <w:rFonts w:ascii="Times New Roman" w:hAnsi="宋体"/>
          <w:sz w:val="28"/>
          <w:szCs w:val="22"/>
        </w:rPr>
      </w:pPr>
      <w:r>
        <w:rPr>
          <w:rFonts w:hint="eastAsia" w:ascii="Times New Roman" w:hAnsi="宋体"/>
          <w:sz w:val="28"/>
          <w:szCs w:val="22"/>
        </w:rPr>
        <w:t>2、根据本合同的规定向甲方收取费用。</w:t>
      </w:r>
    </w:p>
    <w:p>
      <w:pPr>
        <w:pStyle w:val="23"/>
        <w:snapToGrid w:val="0"/>
        <w:spacing w:line="360" w:lineRule="auto"/>
        <w:ind w:firstLine="560" w:firstLineChars="200"/>
        <w:rPr>
          <w:rFonts w:ascii="Times New Roman" w:hAnsi="宋体"/>
          <w:sz w:val="28"/>
          <w:szCs w:val="22"/>
        </w:rPr>
      </w:pPr>
      <w:r>
        <w:rPr>
          <w:rFonts w:hint="eastAsia" w:ascii="Times New Roman" w:hAnsi="宋体"/>
          <w:sz w:val="28"/>
          <w:szCs w:val="22"/>
        </w:rPr>
        <w:t>3、严格按项目要求履行本合同。</w:t>
      </w:r>
    </w:p>
    <w:p>
      <w:pPr>
        <w:pStyle w:val="23"/>
        <w:snapToGrid w:val="0"/>
        <w:spacing w:line="360" w:lineRule="auto"/>
        <w:ind w:firstLine="560" w:firstLineChars="200"/>
        <w:rPr>
          <w:rFonts w:ascii="Times New Roman" w:hAnsi="宋体"/>
          <w:sz w:val="28"/>
          <w:szCs w:val="22"/>
        </w:rPr>
      </w:pPr>
      <w:r>
        <w:rPr>
          <w:rFonts w:hint="eastAsia" w:ascii="Times New Roman" w:hAnsi="宋体"/>
          <w:sz w:val="28"/>
          <w:szCs w:val="22"/>
        </w:rPr>
        <w:t>4、及时向甲方通告本项目服务范围内有关服务的重大事项，及时配合处理投诉。</w:t>
      </w:r>
    </w:p>
    <w:p>
      <w:pPr>
        <w:pStyle w:val="23"/>
        <w:snapToGrid w:val="0"/>
        <w:spacing w:line="360" w:lineRule="auto"/>
        <w:ind w:firstLine="560" w:firstLineChars="200"/>
        <w:rPr>
          <w:rFonts w:ascii="Times New Roman" w:hAnsi="宋体"/>
          <w:sz w:val="28"/>
          <w:szCs w:val="22"/>
        </w:rPr>
      </w:pPr>
      <w:r>
        <w:rPr>
          <w:rFonts w:hint="eastAsia" w:ascii="Times New Roman" w:hAnsi="宋体"/>
          <w:sz w:val="28"/>
          <w:szCs w:val="22"/>
        </w:rPr>
        <w:t>5、接受项目行业部门及政府有关部门的指导，接受甲方的监督。</w:t>
      </w:r>
    </w:p>
    <w:p>
      <w:pPr>
        <w:pStyle w:val="23"/>
        <w:snapToGrid w:val="0"/>
        <w:spacing w:line="360" w:lineRule="auto"/>
        <w:ind w:firstLine="560" w:firstLineChars="200"/>
        <w:rPr>
          <w:rFonts w:ascii="Times New Roman" w:hAnsi="宋体"/>
          <w:sz w:val="28"/>
          <w:szCs w:val="22"/>
        </w:rPr>
      </w:pPr>
      <w:r>
        <w:rPr>
          <w:rFonts w:hint="eastAsia" w:ascii="Times New Roman" w:hAnsi="宋体"/>
          <w:sz w:val="28"/>
          <w:szCs w:val="22"/>
        </w:rPr>
        <w:t>6、国家法律、法规所规定由乙方承担的其它责任。</w:t>
      </w:r>
    </w:p>
    <w:p>
      <w:pPr>
        <w:pStyle w:val="23"/>
        <w:snapToGrid w:val="0"/>
        <w:spacing w:line="360" w:lineRule="auto"/>
        <w:ind w:firstLine="560" w:firstLineChars="200"/>
        <w:rPr>
          <w:rFonts w:ascii="Times New Roman" w:hAnsi="宋体"/>
          <w:sz w:val="28"/>
          <w:szCs w:val="22"/>
        </w:rPr>
      </w:pPr>
      <w:r>
        <w:rPr>
          <w:rFonts w:hint="eastAsia" w:ascii="Times New Roman" w:hAnsi="宋体"/>
          <w:sz w:val="28"/>
          <w:szCs w:val="22"/>
        </w:rPr>
        <w:t>......</w:t>
      </w:r>
    </w:p>
    <w:p>
      <w:pPr>
        <w:numPr>
          <w:ilvl w:val="0"/>
          <w:numId w:val="46"/>
        </w:numPr>
        <w:spacing w:line="360" w:lineRule="auto"/>
        <w:rPr>
          <w:rFonts w:hAnsi="宋体"/>
          <w:b/>
          <w:sz w:val="28"/>
          <w:szCs w:val="22"/>
        </w:rPr>
      </w:pPr>
      <w:r>
        <w:rPr>
          <w:rFonts w:hint="eastAsia" w:hAnsi="宋体"/>
          <w:b/>
          <w:sz w:val="28"/>
          <w:szCs w:val="22"/>
        </w:rPr>
        <w:t>违约责任</w:t>
      </w:r>
    </w:p>
    <w:p>
      <w:pPr>
        <w:pStyle w:val="23"/>
        <w:snapToGrid w:val="0"/>
        <w:spacing w:line="360" w:lineRule="auto"/>
        <w:ind w:firstLine="560" w:firstLineChars="200"/>
        <w:rPr>
          <w:rFonts w:ascii="Times New Roman" w:hAnsi="宋体"/>
          <w:sz w:val="28"/>
          <w:szCs w:val="22"/>
        </w:rPr>
      </w:pPr>
      <w:r>
        <w:rPr>
          <w:rFonts w:hint="eastAsia" w:ascii="Times New Roman" w:hAnsi="宋体"/>
          <w:sz w:val="28"/>
          <w:szCs w:val="22"/>
        </w:rPr>
        <w:t>1、甲乙双方必须遵守本合同并执行合同中的各项规定，保证本合同的正常履行。</w:t>
      </w:r>
    </w:p>
    <w:p>
      <w:pPr>
        <w:pStyle w:val="23"/>
        <w:snapToGrid w:val="0"/>
        <w:spacing w:line="360" w:lineRule="auto"/>
        <w:ind w:firstLine="560" w:firstLineChars="200"/>
        <w:rPr>
          <w:rFonts w:ascii="Times New Roman" w:hAnsi="宋体"/>
          <w:sz w:val="28"/>
          <w:szCs w:val="22"/>
        </w:rPr>
      </w:pPr>
      <w:r>
        <w:rPr>
          <w:rFonts w:hint="eastAsia" w:ascii="Times New Roman" w:hAnsi="宋体"/>
          <w:sz w:val="28"/>
          <w:szCs w:val="22"/>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numPr>
          <w:ilvl w:val="0"/>
          <w:numId w:val="46"/>
        </w:numPr>
        <w:spacing w:line="360" w:lineRule="auto"/>
        <w:rPr>
          <w:rFonts w:hAnsi="宋体"/>
          <w:b/>
          <w:sz w:val="28"/>
          <w:szCs w:val="22"/>
        </w:rPr>
      </w:pPr>
      <w:r>
        <w:rPr>
          <w:rFonts w:hint="eastAsia" w:hAnsi="宋体"/>
          <w:b/>
          <w:sz w:val="28"/>
          <w:szCs w:val="22"/>
        </w:rPr>
        <w:t>不可抗力事件处理</w:t>
      </w:r>
    </w:p>
    <w:p>
      <w:pPr>
        <w:pStyle w:val="23"/>
        <w:snapToGrid w:val="0"/>
        <w:spacing w:line="360" w:lineRule="auto"/>
        <w:ind w:firstLine="560" w:firstLineChars="200"/>
        <w:rPr>
          <w:rFonts w:ascii="Times New Roman" w:hAnsi="宋体"/>
          <w:sz w:val="28"/>
          <w:szCs w:val="22"/>
        </w:rPr>
      </w:pPr>
      <w:r>
        <w:rPr>
          <w:rFonts w:hint="eastAsia" w:ascii="Times New Roman" w:hAnsi="宋体"/>
          <w:sz w:val="28"/>
          <w:szCs w:val="22"/>
        </w:rPr>
        <w:t>1、在合同有效期内，任何一方因不可抗力事件导致不能履行合同，则合同履行期可延长，其延长期与不可抗力影响期相同。</w:t>
      </w:r>
    </w:p>
    <w:p>
      <w:pPr>
        <w:pStyle w:val="23"/>
        <w:snapToGrid w:val="0"/>
        <w:spacing w:line="360" w:lineRule="auto"/>
        <w:ind w:firstLine="560" w:firstLineChars="200"/>
        <w:rPr>
          <w:rFonts w:ascii="Times New Roman" w:hAnsi="宋体"/>
          <w:sz w:val="28"/>
          <w:szCs w:val="22"/>
        </w:rPr>
      </w:pPr>
      <w:r>
        <w:rPr>
          <w:rFonts w:hint="eastAsia" w:ascii="Times New Roman" w:hAnsi="宋体"/>
          <w:sz w:val="28"/>
          <w:szCs w:val="22"/>
        </w:rPr>
        <w:t>2、不可抗力事件发生后，应立即通知对方，并寄送有关权威机构出具的证明。</w:t>
      </w:r>
    </w:p>
    <w:p>
      <w:pPr>
        <w:pStyle w:val="23"/>
        <w:snapToGrid w:val="0"/>
        <w:spacing w:line="360" w:lineRule="auto"/>
        <w:ind w:firstLine="560" w:firstLineChars="200"/>
        <w:rPr>
          <w:rFonts w:ascii="Times New Roman" w:hAnsi="宋体"/>
          <w:sz w:val="28"/>
          <w:szCs w:val="22"/>
        </w:rPr>
      </w:pPr>
      <w:r>
        <w:rPr>
          <w:rFonts w:hint="eastAsia" w:ascii="Times New Roman" w:hAnsi="宋体"/>
          <w:sz w:val="28"/>
          <w:szCs w:val="22"/>
        </w:rPr>
        <w:t>3、不可抗力事件延续30天以上，双方应通过友好协商，确定是否继续履行合同。</w:t>
      </w:r>
    </w:p>
    <w:p>
      <w:pPr>
        <w:numPr>
          <w:ilvl w:val="0"/>
          <w:numId w:val="46"/>
        </w:numPr>
        <w:spacing w:line="360" w:lineRule="auto"/>
        <w:rPr>
          <w:rFonts w:hAnsi="宋体"/>
          <w:b/>
          <w:sz w:val="28"/>
          <w:szCs w:val="22"/>
        </w:rPr>
      </w:pPr>
      <w:bookmarkStart w:id="411" w:name="_Toc237145411"/>
      <w:bookmarkStart w:id="412" w:name="_Toc238984980"/>
      <w:bookmarkStart w:id="413" w:name="_Toc212019599"/>
      <w:bookmarkStart w:id="414" w:name="_Toc185395254"/>
      <w:bookmarkStart w:id="415" w:name="_Toc239568423"/>
      <w:bookmarkStart w:id="416" w:name="_Toc239233919"/>
      <w:bookmarkStart w:id="417" w:name="_Toc225670756"/>
      <w:bookmarkStart w:id="418" w:name="_Toc247334846"/>
      <w:bookmarkStart w:id="419" w:name="_Toc241833908"/>
      <w:bookmarkStart w:id="420" w:name="_Toc225244857"/>
      <w:bookmarkStart w:id="421" w:name="_Toc211911353"/>
      <w:bookmarkStart w:id="422" w:name="_Toc211854454"/>
      <w:bookmarkStart w:id="423" w:name="_Toc286993792"/>
      <w:bookmarkStart w:id="424" w:name="_Toc232492933"/>
      <w:bookmarkStart w:id="425" w:name="_Toc225654649"/>
      <w:bookmarkStart w:id="426" w:name="_Toc251768867"/>
      <w:r>
        <w:rPr>
          <w:rFonts w:hint="eastAsia" w:hAnsi="宋体"/>
          <w:b/>
          <w:sz w:val="28"/>
          <w:szCs w:val="22"/>
        </w:rPr>
        <w:t>解决合同纠纷的方式</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p>
      <w:pPr>
        <w:pStyle w:val="23"/>
        <w:snapToGrid w:val="0"/>
        <w:spacing w:line="360" w:lineRule="auto"/>
        <w:ind w:firstLine="560" w:firstLineChars="200"/>
        <w:rPr>
          <w:rFonts w:ascii="Times New Roman" w:hAnsi="宋体"/>
          <w:sz w:val="28"/>
          <w:szCs w:val="22"/>
        </w:rPr>
      </w:pPr>
      <w:r>
        <w:rPr>
          <w:rFonts w:hint="eastAsia" w:ascii="Times New Roman" w:hAnsi="宋体"/>
          <w:sz w:val="28"/>
          <w:szCs w:val="22"/>
        </w:rPr>
        <w:t>1、在执行本合同中发生的或与本合同有关的争端，双方应通过友好协商解决，经协商在10天内不能达成协议时，应提交项目所在地仲裁委员会仲裁。</w:t>
      </w:r>
    </w:p>
    <w:p>
      <w:pPr>
        <w:pStyle w:val="23"/>
        <w:snapToGrid w:val="0"/>
        <w:spacing w:line="360" w:lineRule="auto"/>
        <w:ind w:firstLine="560" w:firstLineChars="200"/>
        <w:rPr>
          <w:rFonts w:ascii="Times New Roman" w:hAnsi="宋体"/>
          <w:sz w:val="28"/>
          <w:szCs w:val="22"/>
        </w:rPr>
      </w:pPr>
      <w:r>
        <w:rPr>
          <w:rFonts w:hint="eastAsia" w:ascii="Times New Roman" w:hAnsi="宋体"/>
          <w:sz w:val="28"/>
          <w:szCs w:val="22"/>
        </w:rPr>
        <w:t>本合同适用法律为中华人民共和国法律。</w:t>
      </w:r>
    </w:p>
    <w:p>
      <w:pPr>
        <w:pStyle w:val="23"/>
        <w:snapToGrid w:val="0"/>
        <w:spacing w:line="360" w:lineRule="auto"/>
        <w:ind w:firstLine="560" w:firstLineChars="200"/>
        <w:rPr>
          <w:rFonts w:ascii="Times New Roman" w:hAnsi="宋体"/>
          <w:sz w:val="28"/>
          <w:szCs w:val="22"/>
        </w:rPr>
      </w:pPr>
      <w:r>
        <w:rPr>
          <w:rFonts w:hint="eastAsia" w:ascii="Times New Roman" w:hAnsi="宋体"/>
          <w:sz w:val="28"/>
          <w:szCs w:val="22"/>
        </w:rPr>
        <w:t>2、仲裁裁决应为最终决定，并对双方具有约束力。</w:t>
      </w:r>
    </w:p>
    <w:p>
      <w:pPr>
        <w:pStyle w:val="23"/>
        <w:snapToGrid w:val="0"/>
        <w:spacing w:line="360" w:lineRule="auto"/>
        <w:ind w:firstLine="560" w:firstLineChars="200"/>
        <w:rPr>
          <w:rFonts w:ascii="Times New Roman" w:hAnsi="宋体"/>
          <w:sz w:val="28"/>
          <w:szCs w:val="22"/>
        </w:rPr>
      </w:pPr>
      <w:r>
        <w:rPr>
          <w:rFonts w:hint="eastAsia" w:ascii="Times New Roman" w:hAnsi="宋体"/>
          <w:sz w:val="28"/>
          <w:szCs w:val="22"/>
        </w:rPr>
        <w:t xml:space="preserve">3、除另有裁决外，仲裁费应由败诉方负担。 </w:t>
      </w:r>
    </w:p>
    <w:p>
      <w:pPr>
        <w:pStyle w:val="23"/>
        <w:snapToGrid w:val="0"/>
        <w:spacing w:line="360" w:lineRule="auto"/>
        <w:ind w:firstLine="560" w:firstLineChars="200"/>
        <w:rPr>
          <w:rFonts w:ascii="Times New Roman" w:hAnsi="宋体"/>
          <w:sz w:val="28"/>
          <w:szCs w:val="22"/>
        </w:rPr>
      </w:pPr>
      <w:r>
        <w:rPr>
          <w:rFonts w:hint="eastAsia" w:ascii="Times New Roman" w:hAnsi="宋体"/>
          <w:sz w:val="28"/>
          <w:szCs w:val="22"/>
        </w:rPr>
        <w:t xml:space="preserve">4、在仲裁期间，除正在进行仲裁部分外，合同其他部分继续执行。  </w:t>
      </w:r>
    </w:p>
    <w:p>
      <w:pPr>
        <w:numPr>
          <w:ilvl w:val="0"/>
          <w:numId w:val="46"/>
        </w:numPr>
        <w:spacing w:line="360" w:lineRule="auto"/>
        <w:rPr>
          <w:rFonts w:hAnsi="宋体"/>
          <w:b/>
          <w:sz w:val="28"/>
          <w:szCs w:val="22"/>
        </w:rPr>
      </w:pPr>
      <w:bookmarkStart w:id="427" w:name="_Toc239568424"/>
      <w:bookmarkStart w:id="428" w:name="_Toc225670757"/>
      <w:bookmarkStart w:id="429" w:name="_Toc282696231"/>
      <w:bookmarkStart w:id="430" w:name="_Toc225654650"/>
      <w:bookmarkStart w:id="431" w:name="_Toc238984981"/>
      <w:bookmarkStart w:id="432" w:name="_Toc286993793"/>
      <w:bookmarkStart w:id="433" w:name="_Toc239233920"/>
      <w:bookmarkStart w:id="434" w:name="_Toc225244858"/>
      <w:bookmarkStart w:id="435" w:name="_Toc212019600"/>
      <w:bookmarkStart w:id="436" w:name="_Toc232492934"/>
      <w:bookmarkStart w:id="437" w:name="_Toc251768868"/>
      <w:bookmarkStart w:id="438" w:name="_Toc283019219"/>
      <w:bookmarkStart w:id="439" w:name="_Toc185395255"/>
      <w:bookmarkStart w:id="440" w:name="_Toc211911354"/>
      <w:bookmarkStart w:id="441" w:name="_Toc211854455"/>
      <w:bookmarkStart w:id="442" w:name="_Toc241833909"/>
      <w:bookmarkStart w:id="443" w:name="_Toc247334847"/>
      <w:bookmarkStart w:id="444" w:name="_Toc237145412"/>
      <w:r>
        <w:rPr>
          <w:rFonts w:hint="eastAsia" w:hAnsi="宋体"/>
          <w:b/>
          <w:sz w:val="28"/>
          <w:szCs w:val="22"/>
        </w:rPr>
        <w:t>合同</w:t>
      </w:r>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rPr>
          <w:rFonts w:hint="eastAsia" w:hAnsi="宋体"/>
          <w:b/>
          <w:sz w:val="28"/>
          <w:szCs w:val="22"/>
        </w:rPr>
        <w:t>生效及其他</w:t>
      </w:r>
    </w:p>
    <w:p>
      <w:pPr>
        <w:pStyle w:val="23"/>
        <w:snapToGrid w:val="0"/>
        <w:spacing w:line="360" w:lineRule="auto"/>
        <w:ind w:firstLine="560" w:firstLineChars="200"/>
        <w:rPr>
          <w:rFonts w:ascii="Times New Roman" w:hAnsi="宋体"/>
          <w:sz w:val="28"/>
          <w:szCs w:val="22"/>
        </w:rPr>
      </w:pPr>
      <w:r>
        <w:rPr>
          <w:rFonts w:hint="eastAsia" w:ascii="Times New Roman" w:hAnsi="宋体"/>
          <w:sz w:val="28"/>
          <w:szCs w:val="22"/>
        </w:rPr>
        <w:t>1、合同经双方法定代表人或授权委托代理人签字并加盖单位公章后生效。</w:t>
      </w:r>
    </w:p>
    <w:p>
      <w:pPr>
        <w:pStyle w:val="23"/>
        <w:snapToGrid w:val="0"/>
        <w:spacing w:line="360" w:lineRule="auto"/>
        <w:ind w:firstLine="560" w:firstLineChars="200"/>
        <w:rPr>
          <w:rFonts w:ascii="Times New Roman" w:hAnsi="宋体"/>
          <w:sz w:val="28"/>
          <w:szCs w:val="22"/>
        </w:rPr>
      </w:pPr>
      <w:r>
        <w:rPr>
          <w:rFonts w:hint="eastAsia" w:ascii="Times New Roman" w:hAnsi="宋体"/>
          <w:sz w:val="28"/>
          <w:szCs w:val="22"/>
        </w:rPr>
        <w:t>2、合同执行中涉及采购资金和采购内容修改或补充的，须经政府采购监管部门审批，并签书面补充协议报政府采购监督管理部门备案，方可作为主合同不可分割的一部分。</w:t>
      </w:r>
    </w:p>
    <w:p>
      <w:pPr>
        <w:pStyle w:val="23"/>
        <w:snapToGrid w:val="0"/>
        <w:spacing w:line="360" w:lineRule="auto"/>
        <w:ind w:firstLine="560" w:firstLineChars="200"/>
        <w:rPr>
          <w:rFonts w:ascii="Times New Roman" w:hAnsi="宋体"/>
          <w:sz w:val="28"/>
          <w:szCs w:val="22"/>
        </w:rPr>
      </w:pPr>
      <w:r>
        <w:rPr>
          <w:rFonts w:hint="eastAsia" w:ascii="Times New Roman" w:hAnsi="宋体"/>
          <w:sz w:val="28"/>
          <w:szCs w:val="22"/>
        </w:rPr>
        <w:t>3、本合同一式柒份，自双方签章之日起起效。甲方伍份，乙方壹份，政府采购代理机构壹份，具有同等法律效力。</w:t>
      </w:r>
    </w:p>
    <w:p>
      <w:pPr>
        <w:pStyle w:val="23"/>
        <w:snapToGrid w:val="0"/>
        <w:spacing w:line="360" w:lineRule="auto"/>
        <w:ind w:firstLine="560" w:firstLineChars="200"/>
        <w:rPr>
          <w:rFonts w:ascii="Times New Roman" w:hAnsi="宋体"/>
          <w:sz w:val="28"/>
          <w:szCs w:val="22"/>
        </w:rPr>
      </w:pPr>
      <w:r>
        <w:rPr>
          <w:rFonts w:hint="eastAsia" w:ascii="Times New Roman" w:hAnsi="宋体"/>
          <w:sz w:val="28"/>
          <w:szCs w:val="22"/>
        </w:rPr>
        <w:t>4、本合同附件包括项目磋商文件、项目修改澄清文件、项目响应文件、中标通知书及前述文件中提到的附件。本合同附件内容与本合同不一致的，以本合同约定为准；附件内容之间不一致的，由甲方按照最优于甲方签订本合同目的的原则选择确认适用内容。</w:t>
      </w:r>
    </w:p>
    <w:p>
      <w:pPr>
        <w:pStyle w:val="23"/>
        <w:snapToGrid w:val="0"/>
        <w:spacing w:line="360" w:lineRule="auto"/>
        <w:ind w:firstLine="480" w:firstLineChars="200"/>
        <w:rPr>
          <w:rFonts w:ascii="Times New Roman" w:hAnsi="Times New Roman"/>
          <w:sz w:val="24"/>
          <w:szCs w:val="24"/>
        </w:rPr>
      </w:pPr>
    </w:p>
    <w:p>
      <w:pPr>
        <w:pStyle w:val="23"/>
        <w:snapToGrid w:val="0"/>
        <w:spacing w:line="360" w:lineRule="auto"/>
        <w:rPr>
          <w:rFonts w:ascii="Times New Roman" w:hAnsi="Times New Roman"/>
          <w:sz w:val="28"/>
          <w:szCs w:val="28"/>
        </w:rPr>
      </w:pPr>
      <w:r>
        <w:rPr>
          <w:rFonts w:ascii="Times New Roman" w:hAnsi="宋体"/>
          <w:sz w:val="28"/>
          <w:szCs w:val="28"/>
        </w:rPr>
        <w:t>甲方：（盖章）</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hint="eastAsia" w:ascii="Times New Roman" w:hAnsi="Times New Roman"/>
          <w:sz w:val="28"/>
          <w:szCs w:val="28"/>
          <w:lang w:val="en-US" w:eastAsia="zh-CN"/>
        </w:rPr>
        <w:t xml:space="preserve">             </w:t>
      </w:r>
      <w:r>
        <w:rPr>
          <w:rFonts w:ascii="Times New Roman" w:hAnsi="宋体"/>
          <w:sz w:val="28"/>
          <w:szCs w:val="28"/>
        </w:rPr>
        <w:t>乙方：（盖章）</w:t>
      </w:r>
    </w:p>
    <w:p>
      <w:pPr>
        <w:pStyle w:val="23"/>
        <w:snapToGrid w:val="0"/>
        <w:spacing w:line="360" w:lineRule="auto"/>
        <w:rPr>
          <w:rFonts w:ascii="Times New Roman" w:hAnsi="Times New Roman"/>
          <w:sz w:val="28"/>
          <w:szCs w:val="28"/>
        </w:rPr>
      </w:pPr>
      <w:r>
        <w:rPr>
          <w:rFonts w:ascii="Times New Roman" w:hAnsi="宋体"/>
          <w:sz w:val="28"/>
          <w:szCs w:val="28"/>
        </w:rPr>
        <w:t>法定代表人（授权代表）：</w:t>
      </w:r>
      <w:r>
        <w:rPr>
          <w:rFonts w:hint="eastAsia" w:ascii="Times New Roman" w:hAnsi="宋体"/>
          <w:sz w:val="28"/>
          <w:szCs w:val="28"/>
          <w:lang w:val="en-US" w:eastAsia="zh-CN"/>
        </w:rPr>
        <w:t xml:space="preserve">          </w:t>
      </w:r>
      <w:r>
        <w:rPr>
          <w:rFonts w:ascii="Times New Roman" w:hAnsi="宋体"/>
          <w:sz w:val="28"/>
          <w:szCs w:val="28"/>
        </w:rPr>
        <w:t>法定代表人（授权代表）：</w:t>
      </w:r>
    </w:p>
    <w:p>
      <w:pPr>
        <w:pStyle w:val="23"/>
        <w:snapToGrid w:val="0"/>
        <w:spacing w:line="360" w:lineRule="auto"/>
        <w:rPr>
          <w:rFonts w:ascii="Times New Roman" w:hAnsi="Times New Roman"/>
          <w:sz w:val="28"/>
          <w:szCs w:val="28"/>
        </w:rPr>
      </w:pPr>
      <w:r>
        <w:rPr>
          <w:rFonts w:ascii="Times New Roman" w:hAnsi="宋体"/>
          <w:sz w:val="28"/>
          <w:szCs w:val="28"/>
        </w:rPr>
        <w:t>地址：</w:t>
      </w:r>
      <w:r>
        <w:rPr>
          <w:rFonts w:hint="eastAsia" w:ascii="Times New Roman" w:hAnsi="宋体"/>
          <w:sz w:val="28"/>
          <w:szCs w:val="28"/>
          <w:lang w:val="en-US" w:eastAsia="zh-CN"/>
        </w:rPr>
        <w:t xml:space="preserve">                            </w:t>
      </w:r>
      <w:r>
        <w:rPr>
          <w:rFonts w:ascii="Times New Roman" w:hAnsi="宋体"/>
          <w:sz w:val="28"/>
          <w:szCs w:val="28"/>
        </w:rPr>
        <w:t>地址：</w:t>
      </w:r>
    </w:p>
    <w:p>
      <w:pPr>
        <w:pStyle w:val="23"/>
        <w:snapToGrid w:val="0"/>
        <w:spacing w:line="360" w:lineRule="auto"/>
        <w:rPr>
          <w:rFonts w:ascii="Times New Roman" w:hAnsi="Times New Roman"/>
          <w:sz w:val="28"/>
          <w:szCs w:val="28"/>
        </w:rPr>
      </w:pPr>
      <w:r>
        <w:rPr>
          <w:rFonts w:ascii="Times New Roman" w:hAnsi="宋体"/>
          <w:sz w:val="28"/>
          <w:szCs w:val="28"/>
        </w:rPr>
        <w:t>开户银行：</w:t>
      </w:r>
      <w:r>
        <w:rPr>
          <w:rFonts w:hint="eastAsia" w:ascii="Times New Roman" w:hAnsi="宋体"/>
          <w:sz w:val="28"/>
          <w:szCs w:val="28"/>
          <w:lang w:val="en-US" w:eastAsia="zh-CN"/>
        </w:rPr>
        <w:t xml:space="preserve">                        </w:t>
      </w:r>
      <w:r>
        <w:rPr>
          <w:rFonts w:ascii="Times New Roman" w:hAnsi="宋体"/>
          <w:sz w:val="28"/>
          <w:szCs w:val="28"/>
        </w:rPr>
        <w:t>开户银行：</w:t>
      </w:r>
    </w:p>
    <w:p>
      <w:pPr>
        <w:pStyle w:val="23"/>
        <w:snapToGrid w:val="0"/>
        <w:spacing w:line="360" w:lineRule="auto"/>
        <w:rPr>
          <w:rFonts w:ascii="Times New Roman" w:hAnsi="Times New Roman"/>
          <w:sz w:val="28"/>
          <w:szCs w:val="28"/>
        </w:rPr>
      </w:pPr>
      <w:r>
        <w:rPr>
          <w:rFonts w:ascii="Times New Roman" w:hAnsi="宋体"/>
          <w:sz w:val="28"/>
          <w:szCs w:val="28"/>
        </w:rPr>
        <w:t>账号：</w:t>
      </w:r>
      <w:r>
        <w:rPr>
          <w:rFonts w:hint="eastAsia" w:ascii="Times New Roman" w:hAnsi="宋体"/>
          <w:sz w:val="28"/>
          <w:szCs w:val="28"/>
          <w:lang w:val="en-US" w:eastAsia="zh-CN"/>
        </w:rPr>
        <w:t xml:space="preserve">                            </w:t>
      </w:r>
      <w:r>
        <w:rPr>
          <w:rFonts w:ascii="Times New Roman" w:hAnsi="宋体"/>
          <w:sz w:val="28"/>
          <w:szCs w:val="28"/>
        </w:rPr>
        <w:t>账号：</w:t>
      </w:r>
    </w:p>
    <w:p>
      <w:pPr>
        <w:pStyle w:val="23"/>
        <w:snapToGrid w:val="0"/>
        <w:spacing w:line="360" w:lineRule="auto"/>
        <w:rPr>
          <w:rFonts w:ascii="Times New Roman" w:hAnsi="Times New Roman"/>
          <w:sz w:val="28"/>
          <w:szCs w:val="28"/>
        </w:rPr>
      </w:pPr>
      <w:r>
        <w:rPr>
          <w:rFonts w:ascii="Times New Roman" w:hAnsi="宋体"/>
          <w:sz w:val="28"/>
          <w:szCs w:val="28"/>
        </w:rPr>
        <w:t>电话：</w:t>
      </w:r>
      <w:r>
        <w:rPr>
          <w:rFonts w:hint="eastAsia" w:ascii="Times New Roman" w:hAnsi="宋体"/>
          <w:sz w:val="28"/>
          <w:szCs w:val="28"/>
          <w:lang w:val="en-US" w:eastAsia="zh-CN"/>
        </w:rPr>
        <w:t xml:space="preserve">                            </w:t>
      </w:r>
      <w:r>
        <w:rPr>
          <w:rFonts w:ascii="Times New Roman" w:hAnsi="宋体"/>
          <w:sz w:val="28"/>
          <w:szCs w:val="28"/>
        </w:rPr>
        <w:t>电话：</w:t>
      </w:r>
    </w:p>
    <w:p>
      <w:pPr>
        <w:pStyle w:val="23"/>
        <w:snapToGrid w:val="0"/>
        <w:spacing w:line="360" w:lineRule="auto"/>
        <w:rPr>
          <w:rFonts w:ascii="Times New Roman" w:hAnsi="Times New Roman"/>
          <w:sz w:val="28"/>
          <w:szCs w:val="28"/>
        </w:rPr>
      </w:pPr>
      <w:r>
        <w:rPr>
          <w:rFonts w:ascii="Times New Roman" w:hAnsi="宋体"/>
          <w:sz w:val="28"/>
          <w:szCs w:val="28"/>
        </w:rPr>
        <w:t>传真：</w:t>
      </w:r>
      <w:r>
        <w:rPr>
          <w:rFonts w:hint="eastAsia" w:ascii="Times New Roman" w:hAnsi="宋体"/>
          <w:sz w:val="28"/>
          <w:szCs w:val="28"/>
          <w:lang w:val="en-US" w:eastAsia="zh-CN"/>
        </w:rPr>
        <w:t xml:space="preserve">                            </w:t>
      </w:r>
      <w:r>
        <w:rPr>
          <w:rFonts w:ascii="Times New Roman" w:hAnsi="宋体"/>
          <w:sz w:val="28"/>
          <w:szCs w:val="28"/>
        </w:rPr>
        <w:t>传真：</w:t>
      </w: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pStyle w:val="2"/>
        <w:rPr>
          <w:color w:val="000000" w:themeColor="text1"/>
          <w14:textFill>
            <w14:solidFill>
              <w14:schemeClr w14:val="tx1"/>
            </w14:solidFill>
          </w14:textFill>
        </w:rPr>
      </w:pPr>
    </w:p>
    <w:p>
      <w:pPr>
        <w:rPr>
          <w:rFonts w:hint="eastAsia" w:ascii="宋体" w:hAnsi="宋体" w:cs="Tahoma"/>
          <w:b/>
          <w:color w:val="000000" w:themeColor="text1"/>
          <w:sz w:val="30"/>
          <w:szCs w:val="30"/>
          <w14:textFill>
            <w14:solidFill>
              <w14:schemeClr w14:val="tx1"/>
            </w14:solidFill>
          </w14:textFill>
        </w:rPr>
      </w:pPr>
    </w:p>
    <w:p>
      <w:pPr>
        <w:rPr>
          <w:rFonts w:hint="eastAsia" w:ascii="宋体" w:hAnsi="宋体" w:cs="Tahoma"/>
          <w:b/>
          <w:color w:val="000000" w:themeColor="text1"/>
          <w:sz w:val="30"/>
          <w:szCs w:val="30"/>
          <w14:textFill>
            <w14:solidFill>
              <w14:schemeClr w14:val="tx1"/>
            </w14:solidFill>
          </w14:textFill>
        </w:rPr>
      </w:pPr>
    </w:p>
    <w:bookmarkEnd w:id="391"/>
    <w:bookmarkEnd w:id="392"/>
    <w:p>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w:t>
      </w:r>
    </w:p>
    <w:p>
      <w:pPr>
        <w:widowControl/>
        <w:jc w:val="left"/>
      </w:pPr>
      <w:r>
        <w:rPr>
          <w:rFonts w:ascii="宋体" w:hAnsi="宋体" w:cs="宋体"/>
          <w:kern w:val="0"/>
          <w:sz w:val="24"/>
          <w:szCs w:val="24"/>
        </w:rPr>
        <w:drawing>
          <wp:inline distT="0" distB="0" distL="114300" distR="114300">
            <wp:extent cx="6334125" cy="7953375"/>
            <wp:effectExtent l="0" t="0" r="9525" b="9525"/>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6"/>
                    <a:stretch>
                      <a:fillRect/>
                    </a:stretch>
                  </pic:blipFill>
                  <pic:spPr>
                    <a:xfrm>
                      <a:off x="0" y="0"/>
                      <a:ext cx="6334125" cy="79533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91250" cy="8305800"/>
            <wp:effectExtent l="0" t="0" r="0" b="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7"/>
                    <a:stretch>
                      <a:fillRect/>
                    </a:stretch>
                  </pic:blipFill>
                  <pic:spPr>
                    <a:xfrm>
                      <a:off x="0" y="0"/>
                      <a:ext cx="61912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62675" cy="8239125"/>
            <wp:effectExtent l="0" t="0" r="9525" b="952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6162675" cy="82391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72225" cy="8143875"/>
            <wp:effectExtent l="0" t="0" r="9525" b="952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9"/>
                    <a:stretch>
                      <a:fillRect/>
                    </a:stretch>
                  </pic:blipFill>
                  <pic:spPr>
                    <a:xfrm>
                      <a:off x="0" y="0"/>
                      <a:ext cx="6372225" cy="81438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48425" cy="8315325"/>
            <wp:effectExtent l="0" t="0" r="9525" b="952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0"/>
                    <a:stretch>
                      <a:fillRect/>
                    </a:stretch>
                  </pic:blipFill>
                  <pic:spPr>
                    <a:xfrm>
                      <a:off x="0" y="0"/>
                      <a:ext cx="6448425" cy="83153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00775" cy="8334375"/>
            <wp:effectExtent l="0" t="0" r="9525" b="952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1"/>
                    <a:stretch>
                      <a:fillRect/>
                    </a:stretch>
                  </pic:blipFill>
                  <pic:spPr>
                    <a:xfrm>
                      <a:off x="0" y="0"/>
                      <a:ext cx="6200775" cy="83343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91250" cy="8248650"/>
            <wp:effectExtent l="0" t="0" r="0" b="0"/>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2"/>
                    <a:stretch>
                      <a:fillRect/>
                    </a:stretch>
                  </pic:blipFill>
                  <pic:spPr>
                    <a:xfrm>
                      <a:off x="0" y="0"/>
                      <a:ext cx="6191250" cy="82486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96025" cy="8286750"/>
            <wp:effectExtent l="0" t="0" r="9525" b="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3"/>
                    <a:stretch>
                      <a:fillRect/>
                    </a:stretch>
                  </pic:blipFill>
                  <pic:spPr>
                    <a:xfrm>
                      <a:off x="0" y="0"/>
                      <a:ext cx="6296025" cy="82867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15050" cy="8305800"/>
            <wp:effectExtent l="0" t="0" r="0" b="0"/>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14"/>
                    <a:stretch>
                      <a:fillRect/>
                    </a:stretch>
                  </pic:blipFill>
                  <pic:spPr>
                    <a:xfrm>
                      <a:off x="0" y="0"/>
                      <a:ext cx="61150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81750" cy="8343900"/>
            <wp:effectExtent l="0" t="0" r="0" b="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15"/>
                    <a:stretch>
                      <a:fillRect/>
                    </a:stretch>
                  </pic:blipFill>
                  <pic:spPr>
                    <a:xfrm>
                      <a:off x="0" y="0"/>
                      <a:ext cx="638175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72200" cy="8343900"/>
            <wp:effectExtent l="0" t="0" r="0" b="0"/>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6"/>
                    <a:stretch>
                      <a:fillRect/>
                    </a:stretch>
                  </pic:blipFill>
                  <pic:spPr>
                    <a:xfrm>
                      <a:off x="0" y="0"/>
                      <a:ext cx="617220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05550" cy="8258175"/>
            <wp:effectExtent l="0" t="0" r="0" b="9525"/>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17"/>
                    <a:stretch>
                      <a:fillRect/>
                    </a:stretch>
                  </pic:blipFill>
                  <pic:spPr>
                    <a:xfrm>
                      <a:off x="0" y="0"/>
                      <a:ext cx="6305550" cy="82581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286500" cy="8248650"/>
            <wp:effectExtent l="0" t="0" r="0" b="0"/>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18"/>
                    <a:stretch>
                      <a:fillRect/>
                    </a:stretch>
                  </pic:blipFill>
                  <pic:spPr>
                    <a:xfrm>
                      <a:off x="0" y="0"/>
                      <a:ext cx="6286500" cy="824865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105525" cy="8277225"/>
            <wp:effectExtent l="0" t="0" r="9525" b="9525"/>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19"/>
                    <a:stretch>
                      <a:fillRect/>
                    </a:stretch>
                  </pic:blipFill>
                  <pic:spPr>
                    <a:xfrm>
                      <a:off x="0" y="0"/>
                      <a:ext cx="6105525" cy="827722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05550" cy="8343900"/>
            <wp:effectExtent l="0" t="0" r="0"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20"/>
                    <a:stretch>
                      <a:fillRect/>
                    </a:stretch>
                  </pic:blipFill>
                  <pic:spPr>
                    <a:xfrm>
                      <a:off x="0" y="0"/>
                      <a:ext cx="6305550" cy="83439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353175" cy="8458200"/>
            <wp:effectExtent l="0" t="0" r="9525" b="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21"/>
                    <a:stretch>
                      <a:fillRect/>
                    </a:stretch>
                  </pic:blipFill>
                  <pic:spPr>
                    <a:xfrm>
                      <a:off x="0" y="0"/>
                      <a:ext cx="6353175" cy="84582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57950" cy="8305800"/>
            <wp:effectExtent l="0" t="0" r="0" b="0"/>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22"/>
                    <a:stretch>
                      <a:fillRect/>
                    </a:stretch>
                  </pic:blipFill>
                  <pic:spPr>
                    <a:xfrm>
                      <a:off x="0" y="0"/>
                      <a:ext cx="6457950" cy="8305800"/>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6486525" cy="8296275"/>
            <wp:effectExtent l="0" t="0" r="9525" b="9525"/>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23"/>
                    <a:stretch>
                      <a:fillRect/>
                    </a:stretch>
                  </pic:blipFill>
                  <pic:spPr>
                    <a:xfrm>
                      <a:off x="0" y="0"/>
                      <a:ext cx="6486525" cy="8296275"/>
                    </a:xfrm>
                    <a:prstGeom prst="rect">
                      <a:avLst/>
                    </a:prstGeom>
                    <a:noFill/>
                    <a:ln w="9525">
                      <a:noFill/>
                    </a:ln>
                  </pic:spPr>
                </pic:pic>
              </a:graphicData>
            </a:graphic>
          </wp:inline>
        </w:drawing>
      </w:r>
    </w:p>
    <w:p>
      <w:pPr>
        <w:widowControl/>
        <w:jc w:val="left"/>
      </w:pPr>
      <w:r>
        <w:rPr>
          <w:rFonts w:ascii="宋体" w:hAnsi="宋体" w:cs="宋体"/>
          <w:kern w:val="0"/>
          <w:sz w:val="24"/>
          <w:szCs w:val="24"/>
        </w:rPr>
        <w:drawing>
          <wp:inline distT="0" distB="0" distL="114300" distR="114300">
            <wp:extent cx="5971540" cy="3562985"/>
            <wp:effectExtent l="0" t="0" r="10160" b="18415"/>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24"/>
                    <a:stretch>
                      <a:fillRect/>
                    </a:stretch>
                  </pic:blipFill>
                  <pic:spPr>
                    <a:xfrm>
                      <a:off x="0" y="0"/>
                      <a:ext cx="5971540" cy="3562985"/>
                    </a:xfrm>
                    <a:prstGeom prst="rect">
                      <a:avLst/>
                    </a:prstGeom>
                    <a:noFill/>
                    <a:ln w="9525">
                      <a:noFill/>
                    </a:ln>
                  </pic:spPr>
                </pic:pic>
              </a:graphicData>
            </a:graphic>
          </wp:inline>
        </w:drawing>
      </w:r>
    </w:p>
    <w:p>
      <w:pPr>
        <w:pStyle w:val="23"/>
        <w:rPr>
          <w:rFonts w:hint="default"/>
          <w:lang w:val="en-US" w:eastAsia="zh-CN"/>
        </w:rPr>
      </w:pPr>
    </w:p>
    <w:p>
      <w:pPr>
        <w:pStyle w:val="2"/>
        <w:rPr>
          <w:color w:val="000000" w:themeColor="text1"/>
          <w14:textFill>
            <w14:solidFill>
              <w14:schemeClr w14:val="tx1"/>
            </w14:solidFill>
          </w14:textFill>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rial Narrow">
    <w:altName w:val="Arial"/>
    <w:panose1 w:val="020B0606020202030204"/>
    <w:charset w:val="00"/>
    <w:family w:val="swiss"/>
    <w:pitch w:val="default"/>
    <w:sig w:usb0="00000000" w:usb1="00000000" w:usb2="00000000" w:usb3="00000000" w:csb0="2000009F" w:csb1="DFD70000"/>
  </w:font>
  <w:font w:name="楷体_GB2312">
    <w:altName w:val="楷体"/>
    <w:panose1 w:val="02010609030101010101"/>
    <w:charset w:val="86"/>
    <w:family w:val="modern"/>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Times New (W1)">
    <w:altName w:val="Times New Roman"/>
    <w:panose1 w:val="00000000000000000000"/>
    <w:charset w:val="00"/>
    <w:family w:val="roman"/>
    <w:pitch w:val="default"/>
    <w:sig w:usb0="00000000" w:usb1="00000000" w:usb2="00000000" w:usb3="00000000" w:csb0="00000000" w:csb1="00000000"/>
  </w:font>
  <w:font w:name="Arial (W1)">
    <w:altName w:val="Arial"/>
    <w:panose1 w:val="00000000000000000000"/>
    <w:charset w:val="00"/>
    <w:family w:val="swiss"/>
    <w:pitch w:val="default"/>
    <w:sig w:usb0="00000000" w:usb1="00000000" w:usb2="00000008" w:usb3="00000000" w:csb0="000001FF" w:csb1="00000000"/>
  </w:font>
  <w:font w:name="隶书">
    <w:altName w:val="微软雅黑"/>
    <w:panose1 w:val="02010509060101010101"/>
    <w:charset w:val="86"/>
    <w:family w:val="modern"/>
    <w:pitch w:val="default"/>
    <w:sig w:usb0="00000000" w:usb1="00000000" w:usb2="00000000" w:usb3="00000000" w:csb0="00040000" w:csb1="00000000"/>
  </w:font>
  <w:font w:name="Helvetica">
    <w:altName w:val="Arial"/>
    <w:panose1 w:val="020B0504020202020204"/>
    <w:charset w:val="00"/>
    <w:family w:val="swiss"/>
    <w:pitch w:val="default"/>
    <w:sig w:usb0="00000000" w:usb1="00000000" w:usb2="00000009" w:usb3="00000000" w:csb0="0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lETlDRECAAAJBAAADgAAAAAAAAABACAA&#10;AAAfAQAAZHJzL2Uyb0RvYy54bWxQSwUGAAAAAAYABgBZAQAAogUAAAAA&#10;">
              <v:fill on="f" focussize="0,0"/>
              <v:stroke on="f" weight="0.5pt"/>
              <v:imagedata o:title=""/>
              <o:lock v:ext="edit" aspectratio="f"/>
              <v:textbox inset="0mm,0mm,0mm,0mm" style="mso-fit-shape-to-text:t;">
                <w:txbxContent>
                  <w:p>
                    <w:pPr>
                      <w:snapToGrid w:val="0"/>
                      <w:ind w:firstLine="36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3"/>
    <w:multiLevelType w:val="multilevel"/>
    <w:tmpl w:val="00000013"/>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2"/>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5">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6">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42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8"/>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9"/>
      <w:lvlText w:val="%1.%2.%3.%4.%5.%6."/>
      <w:lvlJc w:val="left"/>
      <w:pPr>
        <w:tabs>
          <w:tab w:val="left" w:pos="1702"/>
        </w:tabs>
        <w:ind w:left="1702" w:hanging="1134"/>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9">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413"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0">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000002B"/>
    <w:multiLevelType w:val="multilevel"/>
    <w:tmpl w:val="0000002B"/>
    <w:lvl w:ilvl="0" w:tentative="0">
      <w:start w:val="1"/>
      <w:numFmt w:val="chineseCountingThousand"/>
      <w:lvlText w:val="%1、"/>
      <w:lvlJc w:val="left"/>
      <w:pPr>
        <w:ind w:left="988"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13">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4">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5">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6">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0000003E"/>
    <w:multiLevelType w:val="multilevel"/>
    <w:tmpl w:val="0000003E"/>
    <w:lvl w:ilvl="0" w:tentative="0">
      <w:start w:val="1"/>
      <w:numFmt w:val="chineseCountingThousand"/>
      <w:suff w:val="nothing"/>
      <w:lvlText w:val="%1、"/>
      <w:lvlJc w:val="left"/>
      <w:pPr>
        <w:ind w:left="1272" w:hanging="420"/>
      </w:pPr>
      <w:rPr>
        <w:b/>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8">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00000043"/>
    <w:multiLevelType w:val="multilevel"/>
    <w:tmpl w:val="00000043"/>
    <w:lvl w:ilvl="0" w:tentative="0">
      <w:start w:val="1"/>
      <w:numFmt w:val="chineseCountingThousand"/>
      <w:lvlText w:val="%1、"/>
      <w:lvlJc w:val="left"/>
      <w:pPr>
        <w:ind w:left="1413" w:hanging="420"/>
      </w:pPr>
      <w:rPr>
        <w:sz w:val="28"/>
        <w:szCs w:val="28"/>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20">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1">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22">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3">
    <w:nsid w:val="144C623B"/>
    <w:multiLevelType w:val="multilevel"/>
    <w:tmpl w:val="144C623B"/>
    <w:lvl w:ilvl="0" w:tentative="0">
      <w:start w:val="1"/>
      <w:numFmt w:val="chineseCountingThousand"/>
      <w:lvlText w:val="%1、"/>
      <w:lvlJc w:val="left"/>
      <w:pPr>
        <w:ind w:left="966" w:hanging="420"/>
      </w:pPr>
      <w:rPr>
        <w:b w:val="0"/>
        <w:sz w:val="28"/>
        <w:szCs w:val="28"/>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4">
    <w:nsid w:val="163F29DE"/>
    <w:multiLevelType w:val="multilevel"/>
    <w:tmpl w:val="163F29DE"/>
    <w:lvl w:ilvl="0" w:tentative="0">
      <w:start w:val="1"/>
      <w:numFmt w:val="chineseCountingThousand"/>
      <w:lvlText w:val="%1、"/>
      <w:lvlJc w:val="left"/>
      <w:pPr>
        <w:ind w:left="1413" w:hanging="420"/>
      </w:pPr>
      <w:rPr>
        <w:rFonts w:ascii="宋体" w:hAnsi="宋体" w:eastAsia="宋体"/>
        <w:sz w:val="28"/>
        <w:szCs w:val="28"/>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25">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6">
    <w:nsid w:val="1BF40959"/>
    <w:multiLevelType w:val="singleLevel"/>
    <w:tmpl w:val="1BF40959"/>
    <w:lvl w:ilvl="0" w:tentative="0">
      <w:start w:val="2"/>
      <w:numFmt w:val="chineseCounting"/>
      <w:suff w:val="nothing"/>
      <w:lvlText w:val="（%1）"/>
      <w:lvlJc w:val="left"/>
      <w:rPr>
        <w:rFonts w:hint="eastAsia"/>
      </w:rPr>
    </w:lvl>
  </w:abstractNum>
  <w:abstractNum w:abstractNumId="27">
    <w:nsid w:val="1D9C2199"/>
    <w:multiLevelType w:val="multilevel"/>
    <w:tmpl w:val="1D9C2199"/>
    <w:lvl w:ilvl="0" w:tentative="0">
      <w:start w:val="1"/>
      <w:numFmt w:val="chineseCountingThousand"/>
      <w:suff w:val="nothing"/>
      <w:lvlText w:val="(%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9">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0">
    <w:nsid w:val="2C2C4B8D"/>
    <w:multiLevelType w:val="singleLevel"/>
    <w:tmpl w:val="2C2C4B8D"/>
    <w:lvl w:ilvl="0" w:tentative="0">
      <w:start w:val="1"/>
      <w:numFmt w:val="japaneseCounting"/>
      <w:lvlText w:val="第%1条"/>
      <w:lvlJc w:val="left"/>
      <w:pPr>
        <w:tabs>
          <w:tab w:val="left" w:pos="1521"/>
        </w:tabs>
        <w:ind w:left="1521" w:hanging="1095"/>
      </w:pPr>
      <w:rPr>
        <w:rFonts w:hint="eastAsia"/>
      </w:rPr>
    </w:lvl>
  </w:abstractNum>
  <w:abstractNum w:abstractNumId="31">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2">
    <w:nsid w:val="32732520"/>
    <w:multiLevelType w:val="multilevel"/>
    <w:tmpl w:val="32732520"/>
    <w:lvl w:ilvl="0" w:tentative="0">
      <w:start w:val="1"/>
      <w:numFmt w:val="chineseCountingThousand"/>
      <w:lvlText w:val="(%1)"/>
      <w:lvlJc w:val="left"/>
      <w:pPr>
        <w:ind w:left="96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3424055C"/>
    <w:multiLevelType w:val="multilevel"/>
    <w:tmpl w:val="3424055C"/>
    <w:lvl w:ilvl="0" w:tentative="0">
      <w:start w:val="1"/>
      <w:numFmt w:val="chineseCountingThousand"/>
      <w:lvlText w:val="%1、"/>
      <w:lvlJc w:val="left"/>
      <w:pPr>
        <w:ind w:left="1413" w:hanging="420"/>
      </w:pPr>
      <w:rPr>
        <w:rFonts w:ascii="宋体" w:hAnsi="宋体" w:eastAsia="宋体"/>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5">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6">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7">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8">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9">
    <w:nsid w:val="51F311B1"/>
    <w:multiLevelType w:val="multilevel"/>
    <w:tmpl w:val="51F311B1"/>
    <w:lvl w:ilvl="0" w:tentative="0">
      <w:start w:val="1"/>
      <w:numFmt w:val="chineseCountingThousand"/>
      <w:lvlText w:val="%1、"/>
      <w:lvlJc w:val="left"/>
      <w:pPr>
        <w:ind w:left="96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40">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1">
    <w:nsid w:val="60642B38"/>
    <w:multiLevelType w:val="multilevel"/>
    <w:tmpl w:val="60642B38"/>
    <w:lvl w:ilvl="0" w:tentative="0">
      <w:start w:val="1"/>
      <w:numFmt w:val="chineseCountingThousand"/>
      <w:lvlText w:val="%1、"/>
      <w:lvlJc w:val="left"/>
      <w:pPr>
        <w:ind w:left="840" w:hanging="420"/>
      </w:pPr>
      <w:rPr>
        <w:rFonts w:asciiTheme="minorEastAsia" w:hAnsiTheme="minorEastAsia" w:eastAsiaTheme="minorEastAsia"/>
        <w:b w:val="0"/>
        <w:sz w:val="28"/>
        <w:szCs w:val="28"/>
      </w:r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2">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3">
    <w:nsid w:val="638064AA"/>
    <w:multiLevelType w:val="multilevel"/>
    <w:tmpl w:val="638064AA"/>
    <w:lvl w:ilvl="0" w:tentative="0">
      <w:start w:val="1"/>
      <w:numFmt w:val="japaneseCounting"/>
      <w:lvlText w:val="%1、"/>
      <w:lvlJc w:val="left"/>
      <w:pPr>
        <w:ind w:left="1998"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4">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5">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6">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7">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8"/>
  </w:num>
  <w:num w:numId="2">
    <w:abstractNumId w:val="4"/>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5"/>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num>
  <w:num w:numId="47">
    <w:abstractNumId w:val="27"/>
  </w:num>
  <w:num w:numId="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0%e3%80%95235%e5%8f%b7/"/>
  </w:docVars>
  <w:rsids>
    <w:rsidRoot w:val="0092431B"/>
    <w:rsid w:val="00011E2C"/>
    <w:rsid w:val="00017C65"/>
    <w:rsid w:val="00046547"/>
    <w:rsid w:val="00070D3F"/>
    <w:rsid w:val="00071BA9"/>
    <w:rsid w:val="00074CCC"/>
    <w:rsid w:val="0008193D"/>
    <w:rsid w:val="00086C1B"/>
    <w:rsid w:val="000E01D4"/>
    <w:rsid w:val="000F0BF5"/>
    <w:rsid w:val="000F5214"/>
    <w:rsid w:val="00123F07"/>
    <w:rsid w:val="001278CD"/>
    <w:rsid w:val="00130037"/>
    <w:rsid w:val="00141865"/>
    <w:rsid w:val="00142C44"/>
    <w:rsid w:val="00147768"/>
    <w:rsid w:val="0015151D"/>
    <w:rsid w:val="00154397"/>
    <w:rsid w:val="00160B4D"/>
    <w:rsid w:val="001651AC"/>
    <w:rsid w:val="00171582"/>
    <w:rsid w:val="00171DDA"/>
    <w:rsid w:val="00175DA2"/>
    <w:rsid w:val="001922D3"/>
    <w:rsid w:val="001A7DBE"/>
    <w:rsid w:val="001B34A4"/>
    <w:rsid w:val="001C2698"/>
    <w:rsid w:val="001C49E9"/>
    <w:rsid w:val="001C4FFA"/>
    <w:rsid w:val="001D392C"/>
    <w:rsid w:val="001D53CF"/>
    <w:rsid w:val="001E13EE"/>
    <w:rsid w:val="00214F93"/>
    <w:rsid w:val="002169A9"/>
    <w:rsid w:val="002303BC"/>
    <w:rsid w:val="002304CC"/>
    <w:rsid w:val="00236C36"/>
    <w:rsid w:val="002441B7"/>
    <w:rsid w:val="00245AD2"/>
    <w:rsid w:val="00257EE4"/>
    <w:rsid w:val="0026015E"/>
    <w:rsid w:val="00266EFB"/>
    <w:rsid w:val="00276EDB"/>
    <w:rsid w:val="00285456"/>
    <w:rsid w:val="002865CD"/>
    <w:rsid w:val="002933F7"/>
    <w:rsid w:val="002A5802"/>
    <w:rsid w:val="002D67AE"/>
    <w:rsid w:val="00302FC9"/>
    <w:rsid w:val="003074A8"/>
    <w:rsid w:val="00320ABF"/>
    <w:rsid w:val="00354C2E"/>
    <w:rsid w:val="00394287"/>
    <w:rsid w:val="003A0F3D"/>
    <w:rsid w:val="003A29C7"/>
    <w:rsid w:val="003E2251"/>
    <w:rsid w:val="003F007F"/>
    <w:rsid w:val="003F2950"/>
    <w:rsid w:val="003F3F72"/>
    <w:rsid w:val="004105BD"/>
    <w:rsid w:val="00410F3C"/>
    <w:rsid w:val="00416C31"/>
    <w:rsid w:val="0042015A"/>
    <w:rsid w:val="004215D4"/>
    <w:rsid w:val="0045547F"/>
    <w:rsid w:val="004870EE"/>
    <w:rsid w:val="004A2ABE"/>
    <w:rsid w:val="004A610A"/>
    <w:rsid w:val="004B036B"/>
    <w:rsid w:val="004B365B"/>
    <w:rsid w:val="004C1B1A"/>
    <w:rsid w:val="004C3093"/>
    <w:rsid w:val="004D49CB"/>
    <w:rsid w:val="004E1C00"/>
    <w:rsid w:val="004E28BE"/>
    <w:rsid w:val="004E603E"/>
    <w:rsid w:val="00500F25"/>
    <w:rsid w:val="0050248B"/>
    <w:rsid w:val="00506303"/>
    <w:rsid w:val="00520253"/>
    <w:rsid w:val="00545144"/>
    <w:rsid w:val="00563198"/>
    <w:rsid w:val="0057488F"/>
    <w:rsid w:val="005816DE"/>
    <w:rsid w:val="00592A25"/>
    <w:rsid w:val="005B2D1F"/>
    <w:rsid w:val="005E4485"/>
    <w:rsid w:val="00606AFB"/>
    <w:rsid w:val="00610A61"/>
    <w:rsid w:val="006202D9"/>
    <w:rsid w:val="006216DE"/>
    <w:rsid w:val="00634D91"/>
    <w:rsid w:val="00652875"/>
    <w:rsid w:val="00652F59"/>
    <w:rsid w:val="006623DB"/>
    <w:rsid w:val="006B1930"/>
    <w:rsid w:val="006C0684"/>
    <w:rsid w:val="006D0D2A"/>
    <w:rsid w:val="006F0629"/>
    <w:rsid w:val="006F7ACA"/>
    <w:rsid w:val="0070048F"/>
    <w:rsid w:val="00702324"/>
    <w:rsid w:val="00727684"/>
    <w:rsid w:val="0073282C"/>
    <w:rsid w:val="007429D6"/>
    <w:rsid w:val="00752731"/>
    <w:rsid w:val="00764541"/>
    <w:rsid w:val="007672B0"/>
    <w:rsid w:val="00786E88"/>
    <w:rsid w:val="00794228"/>
    <w:rsid w:val="007B71E6"/>
    <w:rsid w:val="007C3748"/>
    <w:rsid w:val="007C4260"/>
    <w:rsid w:val="007D62B3"/>
    <w:rsid w:val="007E1B96"/>
    <w:rsid w:val="007E3575"/>
    <w:rsid w:val="007F2C12"/>
    <w:rsid w:val="007F6DFD"/>
    <w:rsid w:val="00804CED"/>
    <w:rsid w:val="0081056F"/>
    <w:rsid w:val="00824DA8"/>
    <w:rsid w:val="008253BA"/>
    <w:rsid w:val="00826151"/>
    <w:rsid w:val="008410FC"/>
    <w:rsid w:val="0086125A"/>
    <w:rsid w:val="00862CEA"/>
    <w:rsid w:val="00862D3A"/>
    <w:rsid w:val="00866D2A"/>
    <w:rsid w:val="00873952"/>
    <w:rsid w:val="00876051"/>
    <w:rsid w:val="008907C8"/>
    <w:rsid w:val="00891F19"/>
    <w:rsid w:val="008B55CA"/>
    <w:rsid w:val="008B6817"/>
    <w:rsid w:val="008E5E8F"/>
    <w:rsid w:val="0091297F"/>
    <w:rsid w:val="0092431B"/>
    <w:rsid w:val="00941F87"/>
    <w:rsid w:val="00950315"/>
    <w:rsid w:val="00955F71"/>
    <w:rsid w:val="00963021"/>
    <w:rsid w:val="00970330"/>
    <w:rsid w:val="00976A7C"/>
    <w:rsid w:val="0098159B"/>
    <w:rsid w:val="00981912"/>
    <w:rsid w:val="009A253C"/>
    <w:rsid w:val="009E237A"/>
    <w:rsid w:val="00A00871"/>
    <w:rsid w:val="00A03833"/>
    <w:rsid w:val="00A068BA"/>
    <w:rsid w:val="00A30ECF"/>
    <w:rsid w:val="00A36BBE"/>
    <w:rsid w:val="00A41BDF"/>
    <w:rsid w:val="00A5235E"/>
    <w:rsid w:val="00A531AE"/>
    <w:rsid w:val="00A57F15"/>
    <w:rsid w:val="00A7160C"/>
    <w:rsid w:val="00A739BA"/>
    <w:rsid w:val="00A7544D"/>
    <w:rsid w:val="00A93C9B"/>
    <w:rsid w:val="00AA3745"/>
    <w:rsid w:val="00AB7617"/>
    <w:rsid w:val="00AD025E"/>
    <w:rsid w:val="00AD5E60"/>
    <w:rsid w:val="00AF35A3"/>
    <w:rsid w:val="00AF3933"/>
    <w:rsid w:val="00B11843"/>
    <w:rsid w:val="00B2194B"/>
    <w:rsid w:val="00B50CEA"/>
    <w:rsid w:val="00B547D5"/>
    <w:rsid w:val="00B74664"/>
    <w:rsid w:val="00BC59BF"/>
    <w:rsid w:val="00BD6746"/>
    <w:rsid w:val="00BD729B"/>
    <w:rsid w:val="00BE1211"/>
    <w:rsid w:val="00BF1E2E"/>
    <w:rsid w:val="00BF24C0"/>
    <w:rsid w:val="00BF6991"/>
    <w:rsid w:val="00C16572"/>
    <w:rsid w:val="00C1668D"/>
    <w:rsid w:val="00C3572D"/>
    <w:rsid w:val="00C5371B"/>
    <w:rsid w:val="00C54D07"/>
    <w:rsid w:val="00C56E01"/>
    <w:rsid w:val="00C62AD4"/>
    <w:rsid w:val="00C675B8"/>
    <w:rsid w:val="00C832DD"/>
    <w:rsid w:val="00CA1273"/>
    <w:rsid w:val="00CD0154"/>
    <w:rsid w:val="00CD0E71"/>
    <w:rsid w:val="00CF56C7"/>
    <w:rsid w:val="00D12885"/>
    <w:rsid w:val="00D46841"/>
    <w:rsid w:val="00D50B2B"/>
    <w:rsid w:val="00D51C67"/>
    <w:rsid w:val="00D623BF"/>
    <w:rsid w:val="00D8071E"/>
    <w:rsid w:val="00DA547E"/>
    <w:rsid w:val="00DB22F1"/>
    <w:rsid w:val="00DD16AF"/>
    <w:rsid w:val="00DD19A0"/>
    <w:rsid w:val="00DE7F5C"/>
    <w:rsid w:val="00DF697E"/>
    <w:rsid w:val="00E029F6"/>
    <w:rsid w:val="00E11CC4"/>
    <w:rsid w:val="00E17E77"/>
    <w:rsid w:val="00E23EC4"/>
    <w:rsid w:val="00E37CF0"/>
    <w:rsid w:val="00E42AA9"/>
    <w:rsid w:val="00E473C0"/>
    <w:rsid w:val="00E547E7"/>
    <w:rsid w:val="00E5519E"/>
    <w:rsid w:val="00E64EF7"/>
    <w:rsid w:val="00E73B22"/>
    <w:rsid w:val="00E77CBB"/>
    <w:rsid w:val="00E87C88"/>
    <w:rsid w:val="00E922B6"/>
    <w:rsid w:val="00E93BF2"/>
    <w:rsid w:val="00EA45D0"/>
    <w:rsid w:val="00EB41D4"/>
    <w:rsid w:val="00EB47BF"/>
    <w:rsid w:val="00EB5AAC"/>
    <w:rsid w:val="00EE763D"/>
    <w:rsid w:val="00F00D97"/>
    <w:rsid w:val="00F24CB6"/>
    <w:rsid w:val="00F26EBF"/>
    <w:rsid w:val="00F304E0"/>
    <w:rsid w:val="00F525FC"/>
    <w:rsid w:val="00F677CE"/>
    <w:rsid w:val="00F67D54"/>
    <w:rsid w:val="00F72EEB"/>
    <w:rsid w:val="00F769E9"/>
    <w:rsid w:val="00F8165B"/>
    <w:rsid w:val="00F92D6A"/>
    <w:rsid w:val="00F939A1"/>
    <w:rsid w:val="00F94DA1"/>
    <w:rsid w:val="00F97CCF"/>
    <w:rsid w:val="00FD0C41"/>
    <w:rsid w:val="00FD590A"/>
    <w:rsid w:val="00FE04E4"/>
    <w:rsid w:val="00FE39D8"/>
    <w:rsid w:val="02442F78"/>
    <w:rsid w:val="026671A5"/>
    <w:rsid w:val="02AB4AAB"/>
    <w:rsid w:val="03BE576C"/>
    <w:rsid w:val="052A3193"/>
    <w:rsid w:val="07076AEB"/>
    <w:rsid w:val="08AD2E7A"/>
    <w:rsid w:val="0B55569D"/>
    <w:rsid w:val="0C780383"/>
    <w:rsid w:val="0C7E4504"/>
    <w:rsid w:val="0CA91046"/>
    <w:rsid w:val="0CEF2F34"/>
    <w:rsid w:val="0F3E02A8"/>
    <w:rsid w:val="10C5260F"/>
    <w:rsid w:val="11B83243"/>
    <w:rsid w:val="12207B56"/>
    <w:rsid w:val="125408AC"/>
    <w:rsid w:val="12EE5104"/>
    <w:rsid w:val="13921D11"/>
    <w:rsid w:val="14203D8D"/>
    <w:rsid w:val="14D724EB"/>
    <w:rsid w:val="153E333A"/>
    <w:rsid w:val="15C0666D"/>
    <w:rsid w:val="16356A5B"/>
    <w:rsid w:val="186B4B94"/>
    <w:rsid w:val="1A2E22AE"/>
    <w:rsid w:val="1D181413"/>
    <w:rsid w:val="1F8B2CDE"/>
    <w:rsid w:val="20AA391D"/>
    <w:rsid w:val="227F265D"/>
    <w:rsid w:val="23175285"/>
    <w:rsid w:val="23614C8B"/>
    <w:rsid w:val="24D977F1"/>
    <w:rsid w:val="28AC424E"/>
    <w:rsid w:val="29494864"/>
    <w:rsid w:val="2954154E"/>
    <w:rsid w:val="2C7668E5"/>
    <w:rsid w:val="2CFC73FB"/>
    <w:rsid w:val="2E1D63E1"/>
    <w:rsid w:val="2E5D0A1D"/>
    <w:rsid w:val="31421BC5"/>
    <w:rsid w:val="32EA4D97"/>
    <w:rsid w:val="3353781C"/>
    <w:rsid w:val="34D92ABF"/>
    <w:rsid w:val="34EB3887"/>
    <w:rsid w:val="35044605"/>
    <w:rsid w:val="35DB509E"/>
    <w:rsid w:val="388835C2"/>
    <w:rsid w:val="3ADC3990"/>
    <w:rsid w:val="3B333228"/>
    <w:rsid w:val="3BAF69B4"/>
    <w:rsid w:val="3D7610F4"/>
    <w:rsid w:val="3EAB6B52"/>
    <w:rsid w:val="3ED42B19"/>
    <w:rsid w:val="3EE91F86"/>
    <w:rsid w:val="3F0E61B1"/>
    <w:rsid w:val="40651297"/>
    <w:rsid w:val="4163038A"/>
    <w:rsid w:val="41A42E1F"/>
    <w:rsid w:val="433C692E"/>
    <w:rsid w:val="43442F88"/>
    <w:rsid w:val="43CE0B9E"/>
    <w:rsid w:val="460578FB"/>
    <w:rsid w:val="48DC0A0C"/>
    <w:rsid w:val="4D5D5AE7"/>
    <w:rsid w:val="4EF65FB6"/>
    <w:rsid w:val="4F332287"/>
    <w:rsid w:val="5024203C"/>
    <w:rsid w:val="510140F0"/>
    <w:rsid w:val="51D77F29"/>
    <w:rsid w:val="570C591B"/>
    <w:rsid w:val="571E21B7"/>
    <w:rsid w:val="57A074CF"/>
    <w:rsid w:val="57EC1461"/>
    <w:rsid w:val="5BD95B6F"/>
    <w:rsid w:val="5D430826"/>
    <w:rsid w:val="5EC2111E"/>
    <w:rsid w:val="5EF34D49"/>
    <w:rsid w:val="5F7D21C1"/>
    <w:rsid w:val="60567E0E"/>
    <w:rsid w:val="612A0C0A"/>
    <w:rsid w:val="635B65F2"/>
    <w:rsid w:val="642165CD"/>
    <w:rsid w:val="64820BE0"/>
    <w:rsid w:val="64F27DDD"/>
    <w:rsid w:val="64F569E3"/>
    <w:rsid w:val="65CF29F8"/>
    <w:rsid w:val="66A6072D"/>
    <w:rsid w:val="690A57A3"/>
    <w:rsid w:val="69130239"/>
    <w:rsid w:val="694124D4"/>
    <w:rsid w:val="6AFC3D72"/>
    <w:rsid w:val="6B22365D"/>
    <w:rsid w:val="6ED66414"/>
    <w:rsid w:val="6F421870"/>
    <w:rsid w:val="6FA90A73"/>
    <w:rsid w:val="6FDC4E31"/>
    <w:rsid w:val="710014C3"/>
    <w:rsid w:val="71540AFA"/>
    <w:rsid w:val="74934C91"/>
    <w:rsid w:val="7627463E"/>
    <w:rsid w:val="770A4BD9"/>
    <w:rsid w:val="78197826"/>
    <w:rsid w:val="7A2B1797"/>
    <w:rsid w:val="7B1C3B6E"/>
    <w:rsid w:val="7DEE74EC"/>
    <w:rsid w:val="7EFD47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99"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name="heading 8"/>
    <w:lsdException w:qFormat="1" w:uiPriority="0" w:name="heading 9"/>
    <w:lsdException w:qFormat="1"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name="toc 3"/>
    <w:lsdException w:qFormat="1" w:uiPriority="0" w:name="toc 4"/>
    <w:lsdException w:qFormat="1" w:uiPriority="0" w:name="toc 5"/>
    <w:lsdException w:qFormat="1" w:uiPriority="0" w:name="toc 6"/>
    <w:lsdException w:qFormat="1" w:uiPriority="0" w:name="toc 7"/>
    <w:lsdException w:qFormat="1" w:uiPriority="0" w:name="toc 8"/>
    <w:lsdException w:qFormat="1" w:uiPriority="0" w:name="toc 9"/>
    <w:lsdException w:qFormat="1" w:uiPriority="0" w:semiHidden="0" w:name="Normal Indent"/>
    <w:lsdException w:qFormat="1" w:uiPriority="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qFormat="1" w:uiPriority="0"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iPriority="0" w:name="Body Text First Indent"/>
    <w:lsdException w:uiPriority="99" w:name="Body Text First Indent 2"/>
    <w:lsdException w:unhideWhenUsed="0" w:uiPriority="99" w:semiHidden="0" w:name="Note Heading"/>
    <w:lsdException w:qFormat="1" w:uiPriority="0" w:name="Body Text 2"/>
    <w:lsdException w:qFormat="1" w:uiPriority="0" w:name="Body Text 3"/>
    <w:lsdException w:qFormat="1" w:uiPriority="0" w:name="Body Text Indent 2"/>
    <w:lsdException w:qFormat="1" w:uiPriority="0" w:name="Body Text Indent 3"/>
    <w:lsdException w:qFormat="1" w:uiPriority="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link w:val="50"/>
    <w:qFormat/>
    <w:uiPriority w:val="99"/>
    <w:pPr>
      <w:keepNext/>
      <w:keepLines/>
      <w:spacing w:before="340" w:after="330" w:line="400" w:lineRule="exact"/>
      <w:jc w:val="center"/>
      <w:outlineLvl w:val="0"/>
    </w:pPr>
    <w:rPr>
      <w:rFonts w:ascii="宋体" w:hAnsi="宋体" w:cs="宋体"/>
      <w:b/>
      <w:bCs/>
      <w:spacing w:val="-20"/>
      <w:kern w:val="44"/>
      <w:sz w:val="32"/>
      <w:szCs w:val="32"/>
    </w:rPr>
  </w:style>
  <w:style w:type="paragraph" w:styleId="5">
    <w:name w:val="heading 2"/>
    <w:basedOn w:val="1"/>
    <w:next w:val="1"/>
    <w:link w:val="51"/>
    <w:unhideWhenUsed/>
    <w:qFormat/>
    <w:uiPriority w:val="99"/>
    <w:pPr>
      <w:keepNext/>
      <w:keepLines/>
      <w:spacing w:before="260" w:after="260" w:line="360" w:lineRule="auto"/>
      <w:jc w:val="left"/>
      <w:outlineLvl w:val="1"/>
    </w:pPr>
    <w:rPr>
      <w:rFonts w:ascii="宋体" w:hAnsi="宋体" w:cs="宋体"/>
      <w:b/>
      <w:bCs/>
      <w:sz w:val="28"/>
      <w:szCs w:val="28"/>
    </w:rPr>
  </w:style>
  <w:style w:type="paragraph" w:styleId="6">
    <w:name w:val="heading 3"/>
    <w:basedOn w:val="1"/>
    <w:next w:val="1"/>
    <w:link w:val="52"/>
    <w:unhideWhenUsed/>
    <w:qFormat/>
    <w:uiPriority w:val="99"/>
    <w:pPr>
      <w:keepNext/>
      <w:keepLines/>
      <w:spacing w:line="360" w:lineRule="auto"/>
      <w:outlineLvl w:val="2"/>
    </w:pPr>
    <w:rPr>
      <w:rFonts w:ascii="宋体" w:hAnsi="宋体" w:cs="宋体"/>
      <w:b/>
      <w:bCs/>
      <w:color w:val="000000"/>
      <w:kern w:val="0"/>
      <w:sz w:val="28"/>
      <w:szCs w:val="28"/>
    </w:rPr>
  </w:style>
  <w:style w:type="paragraph" w:styleId="7">
    <w:name w:val="heading 4"/>
    <w:basedOn w:val="1"/>
    <w:next w:val="1"/>
    <w:link w:val="53"/>
    <w:unhideWhenUsed/>
    <w:qFormat/>
    <w:uiPriority w:val="9"/>
    <w:pPr>
      <w:keepNext/>
      <w:keepLines/>
      <w:spacing w:before="120" w:after="120" w:line="360" w:lineRule="auto"/>
      <w:jc w:val="left"/>
      <w:outlineLvl w:val="3"/>
    </w:pPr>
    <w:rPr>
      <w:rFonts w:ascii="Arial" w:hAnsi="Arial"/>
      <w:b/>
      <w:bCs/>
      <w:kern w:val="0"/>
      <w:sz w:val="28"/>
      <w:szCs w:val="28"/>
    </w:rPr>
  </w:style>
  <w:style w:type="paragraph" w:styleId="8">
    <w:name w:val="heading 5"/>
    <w:basedOn w:val="1"/>
    <w:next w:val="1"/>
    <w:link w:val="54"/>
    <w:unhideWhenUsed/>
    <w:qFormat/>
    <w:uiPriority w:val="0"/>
    <w:pPr>
      <w:numPr>
        <w:ilvl w:val="4"/>
        <w:numId w:val="1"/>
      </w:numPr>
      <w:tabs>
        <w:tab w:val="left" w:pos="1134"/>
      </w:tabs>
      <w:spacing w:before="280" w:after="290" w:line="360" w:lineRule="auto"/>
      <w:outlineLvl w:val="4"/>
    </w:pPr>
    <w:rPr>
      <w:b/>
      <w:bCs/>
      <w:kern w:val="0"/>
      <w:sz w:val="28"/>
      <w:szCs w:val="28"/>
    </w:rPr>
  </w:style>
  <w:style w:type="paragraph" w:styleId="9">
    <w:name w:val="heading 6"/>
    <w:basedOn w:val="1"/>
    <w:next w:val="1"/>
    <w:link w:val="55"/>
    <w:unhideWhenUsed/>
    <w:qFormat/>
    <w:uiPriority w:val="0"/>
    <w:pPr>
      <w:keepNext/>
      <w:keepLines/>
      <w:numPr>
        <w:ilvl w:val="5"/>
        <w:numId w:val="1"/>
      </w:numPr>
      <w:spacing w:before="240" w:after="64" w:line="314" w:lineRule="auto"/>
      <w:outlineLvl w:val="5"/>
    </w:pPr>
    <w:rPr>
      <w:rFonts w:ascii="Arial" w:hAnsi="Arial"/>
      <w:b/>
      <w:bCs/>
      <w:kern w:val="0"/>
      <w:sz w:val="28"/>
      <w:szCs w:val="18"/>
    </w:rPr>
  </w:style>
  <w:style w:type="paragraph" w:styleId="10">
    <w:name w:val="heading 7"/>
    <w:basedOn w:val="1"/>
    <w:next w:val="1"/>
    <w:link w:val="56"/>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1">
    <w:name w:val="heading 8"/>
    <w:basedOn w:val="1"/>
    <w:next w:val="1"/>
    <w:link w:val="57"/>
    <w:semiHidden/>
    <w:unhideWhenUsed/>
    <w:qFormat/>
    <w:uiPriority w:val="0"/>
    <w:pPr>
      <w:keepNext/>
      <w:keepLines/>
      <w:spacing w:before="240" w:after="64" w:line="314" w:lineRule="auto"/>
      <w:outlineLvl w:val="7"/>
    </w:pPr>
    <w:rPr>
      <w:rFonts w:ascii="Arial" w:hAnsi="Arial" w:eastAsia="黑体"/>
      <w:kern w:val="0"/>
      <w:sz w:val="24"/>
      <w:szCs w:val="24"/>
    </w:rPr>
  </w:style>
  <w:style w:type="paragraph" w:styleId="12">
    <w:name w:val="heading 9"/>
    <w:basedOn w:val="1"/>
    <w:next w:val="1"/>
    <w:link w:val="58"/>
    <w:semiHidden/>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3"/>
    <w:link w:val="183"/>
    <w:unhideWhenUsed/>
    <w:qFormat/>
    <w:uiPriority w:val="0"/>
    <w:pPr>
      <w:spacing w:after="120"/>
    </w:pPr>
    <w:rPr>
      <w:rFonts w:ascii="Times New Roman" w:hAnsi="Times New Roman"/>
      <w:kern w:val="0"/>
      <w:sz w:val="20"/>
      <w:szCs w:val="20"/>
    </w:rPr>
  </w:style>
  <w:style w:type="paragraph" w:styleId="3">
    <w:name w:val="Body Text First Indent"/>
    <w:basedOn w:val="2"/>
    <w:link w:val="72"/>
    <w:semiHidden/>
    <w:unhideWhenUsed/>
    <w:qFormat/>
    <w:uiPriority w:val="0"/>
    <w:pPr>
      <w:ind w:firstLine="420" w:firstLineChars="100"/>
    </w:pPr>
    <w:rPr>
      <w:sz w:val="18"/>
      <w:szCs w:val="18"/>
    </w:rPr>
  </w:style>
  <w:style w:type="paragraph" w:styleId="13">
    <w:name w:val="toc 7"/>
    <w:basedOn w:val="1"/>
    <w:next w:val="1"/>
    <w:semiHidden/>
    <w:unhideWhenUsed/>
    <w:qFormat/>
    <w:uiPriority w:val="0"/>
    <w:pPr>
      <w:ind w:left="2520" w:leftChars="1200"/>
    </w:pPr>
    <w:rPr>
      <w:rFonts w:ascii="Times New Roman" w:hAnsi="Times New Roman"/>
      <w:szCs w:val="24"/>
    </w:rPr>
  </w:style>
  <w:style w:type="paragraph" w:styleId="14">
    <w:name w:val="Normal Indent"/>
    <w:basedOn w:val="1"/>
    <w:link w:val="63"/>
    <w:unhideWhenUsed/>
    <w:qFormat/>
    <w:uiPriority w:val="0"/>
    <w:pPr>
      <w:spacing w:after="180" w:line="307" w:lineRule="auto"/>
      <w:ind w:firstLine="420"/>
    </w:pPr>
    <w:rPr>
      <w:rFonts w:asciiTheme="minorHAnsi" w:hAnsiTheme="minorHAnsi" w:eastAsiaTheme="minorEastAsia" w:cstheme="minorBidi"/>
    </w:rPr>
  </w:style>
  <w:style w:type="paragraph" w:styleId="15">
    <w:name w:val="caption"/>
    <w:basedOn w:val="1"/>
    <w:next w:val="1"/>
    <w:semiHidden/>
    <w:unhideWhenUsed/>
    <w:qFormat/>
    <w:uiPriority w:val="0"/>
    <w:pPr>
      <w:spacing w:before="152" w:after="160" w:line="360" w:lineRule="auto"/>
    </w:pPr>
    <w:rPr>
      <w:rFonts w:ascii="Arial" w:hAnsi="Arial" w:eastAsia="黑体" w:cs="Arial"/>
      <w:sz w:val="20"/>
      <w:szCs w:val="20"/>
    </w:rPr>
  </w:style>
  <w:style w:type="paragraph" w:styleId="16">
    <w:name w:val="Document Map"/>
    <w:basedOn w:val="1"/>
    <w:link w:val="77"/>
    <w:unhideWhenUsed/>
    <w:qFormat/>
    <w:uiPriority w:val="99"/>
    <w:pPr>
      <w:shd w:val="clear" w:color="auto" w:fill="000080"/>
    </w:pPr>
    <w:rPr>
      <w:rFonts w:ascii="Times New Roman" w:hAnsi="Times New Roman"/>
      <w:kern w:val="0"/>
      <w:sz w:val="18"/>
      <w:szCs w:val="18"/>
    </w:rPr>
  </w:style>
  <w:style w:type="paragraph" w:styleId="17">
    <w:name w:val="annotation text"/>
    <w:basedOn w:val="1"/>
    <w:link w:val="196"/>
    <w:unhideWhenUsed/>
    <w:qFormat/>
    <w:uiPriority w:val="99"/>
    <w:pPr>
      <w:jc w:val="left"/>
    </w:pPr>
  </w:style>
  <w:style w:type="paragraph" w:styleId="18">
    <w:name w:val="Body Text 3"/>
    <w:basedOn w:val="1"/>
    <w:link w:val="74"/>
    <w:semiHidden/>
    <w:unhideWhenUsed/>
    <w:qFormat/>
    <w:uiPriority w:val="0"/>
    <w:pPr>
      <w:jc w:val="center"/>
    </w:pPr>
    <w:rPr>
      <w:rFonts w:ascii="Times New Roman" w:hAnsi="Times New Roman" w:eastAsia="黑体"/>
      <w:sz w:val="44"/>
      <w:szCs w:val="24"/>
    </w:rPr>
  </w:style>
  <w:style w:type="paragraph" w:styleId="19">
    <w:name w:val="Body Text Indent"/>
    <w:basedOn w:val="1"/>
    <w:link w:val="69"/>
    <w:semiHidden/>
    <w:unhideWhenUsed/>
    <w:qFormat/>
    <w:uiPriority w:val="0"/>
    <w:pPr>
      <w:spacing w:after="120"/>
      <w:ind w:left="420" w:leftChars="200"/>
    </w:pPr>
    <w:rPr>
      <w:rFonts w:ascii="Times New Roman" w:hAnsi="Times New Roman"/>
      <w:kern w:val="0"/>
      <w:sz w:val="20"/>
      <w:szCs w:val="24"/>
    </w:rPr>
  </w:style>
  <w:style w:type="paragraph" w:styleId="20">
    <w:name w:val="Block Text"/>
    <w:basedOn w:val="1"/>
    <w:semiHidden/>
    <w:unhideWhenUsed/>
    <w:qFormat/>
    <w:uiPriority w:val="0"/>
    <w:pPr>
      <w:ind w:left="-540" w:leftChars="-257" w:right="-334" w:rightChars="-159" w:firstLine="540" w:firstLineChars="180"/>
    </w:pPr>
    <w:rPr>
      <w:rFonts w:ascii="Times New Roman" w:hAnsi="Times New Roman"/>
      <w:sz w:val="30"/>
      <w:szCs w:val="24"/>
    </w:rPr>
  </w:style>
  <w:style w:type="paragraph" w:styleId="21">
    <w:name w:val="toc 5"/>
    <w:basedOn w:val="1"/>
    <w:next w:val="1"/>
    <w:semiHidden/>
    <w:unhideWhenUsed/>
    <w:qFormat/>
    <w:uiPriority w:val="0"/>
    <w:pPr>
      <w:ind w:left="1680" w:leftChars="800"/>
    </w:pPr>
    <w:rPr>
      <w:rFonts w:ascii="Times New Roman" w:hAnsi="Times New Roman"/>
      <w:sz w:val="18"/>
      <w:szCs w:val="18"/>
    </w:rPr>
  </w:style>
  <w:style w:type="paragraph" w:styleId="22">
    <w:name w:val="toc 3"/>
    <w:basedOn w:val="1"/>
    <w:next w:val="1"/>
    <w:semiHidden/>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3">
    <w:name w:val="Plain Text"/>
    <w:basedOn w:val="1"/>
    <w:link w:val="187"/>
    <w:unhideWhenUsed/>
    <w:qFormat/>
    <w:uiPriority w:val="99"/>
    <w:rPr>
      <w:rFonts w:ascii="宋体" w:hAnsi="Courier New"/>
      <w:kern w:val="0"/>
      <w:sz w:val="20"/>
      <w:szCs w:val="18"/>
    </w:rPr>
  </w:style>
  <w:style w:type="paragraph" w:styleId="24">
    <w:name w:val="toc 8"/>
    <w:basedOn w:val="1"/>
    <w:next w:val="1"/>
    <w:semiHidden/>
    <w:unhideWhenUsed/>
    <w:qFormat/>
    <w:uiPriority w:val="0"/>
    <w:pPr>
      <w:ind w:left="2940" w:leftChars="1400"/>
    </w:pPr>
    <w:rPr>
      <w:rFonts w:ascii="Times New Roman" w:hAnsi="Times New Roman"/>
      <w:szCs w:val="24"/>
    </w:rPr>
  </w:style>
  <w:style w:type="paragraph" w:styleId="25">
    <w:name w:val="Date"/>
    <w:basedOn w:val="1"/>
    <w:next w:val="1"/>
    <w:link w:val="71"/>
    <w:unhideWhenUsed/>
    <w:qFormat/>
    <w:uiPriority w:val="99"/>
    <w:pPr>
      <w:ind w:left="100" w:leftChars="2500"/>
    </w:pPr>
    <w:rPr>
      <w:rFonts w:ascii="Times New Roman" w:hAnsi="Times New Roman"/>
      <w:kern w:val="0"/>
      <w:sz w:val="24"/>
      <w:szCs w:val="24"/>
    </w:rPr>
  </w:style>
  <w:style w:type="paragraph" w:styleId="26">
    <w:name w:val="Body Text Indent 2"/>
    <w:basedOn w:val="1"/>
    <w:link w:val="75"/>
    <w:semiHidden/>
    <w:unhideWhenUsed/>
    <w:qFormat/>
    <w:uiPriority w:val="0"/>
    <w:pPr>
      <w:spacing w:after="120" w:line="480" w:lineRule="auto"/>
      <w:ind w:left="420" w:leftChars="200"/>
    </w:pPr>
    <w:rPr>
      <w:rFonts w:ascii="Times New Roman" w:hAnsi="Times New Roman"/>
      <w:kern w:val="0"/>
      <w:sz w:val="20"/>
      <w:szCs w:val="20"/>
    </w:rPr>
  </w:style>
  <w:style w:type="paragraph" w:styleId="27">
    <w:name w:val="Balloon Text"/>
    <w:basedOn w:val="1"/>
    <w:link w:val="80"/>
    <w:unhideWhenUsed/>
    <w:qFormat/>
    <w:uiPriority w:val="99"/>
    <w:rPr>
      <w:rFonts w:ascii="Times New Roman" w:hAnsi="Times New Roman"/>
      <w:kern w:val="0"/>
      <w:sz w:val="18"/>
      <w:szCs w:val="18"/>
    </w:rPr>
  </w:style>
  <w:style w:type="paragraph" w:styleId="28">
    <w:name w:val="footer"/>
    <w:basedOn w:val="1"/>
    <w:link w:val="67"/>
    <w:unhideWhenUsed/>
    <w:qFormat/>
    <w:uiPriority w:val="99"/>
    <w:pPr>
      <w:tabs>
        <w:tab w:val="center" w:pos="4153"/>
        <w:tab w:val="right" w:pos="8306"/>
      </w:tabs>
      <w:snapToGrid w:val="0"/>
      <w:jc w:val="left"/>
    </w:pPr>
    <w:rPr>
      <w:kern w:val="0"/>
      <w:sz w:val="18"/>
      <w:szCs w:val="18"/>
    </w:rPr>
  </w:style>
  <w:style w:type="paragraph" w:styleId="29">
    <w:name w:val="header"/>
    <w:basedOn w:val="1"/>
    <w:link w:val="66"/>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0">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1">
    <w:name w:val="toc 4"/>
    <w:basedOn w:val="1"/>
    <w:next w:val="1"/>
    <w:semiHidden/>
    <w:unhideWhenUsed/>
    <w:qFormat/>
    <w:uiPriority w:val="0"/>
    <w:pPr>
      <w:ind w:left="1260" w:leftChars="600"/>
    </w:pPr>
    <w:rPr>
      <w:rFonts w:ascii="Times New Roman" w:hAnsi="Times New Roman"/>
      <w:sz w:val="18"/>
      <w:szCs w:val="18"/>
    </w:rPr>
  </w:style>
  <w:style w:type="paragraph" w:styleId="32">
    <w:name w:val="Subtitle"/>
    <w:basedOn w:val="1"/>
    <w:next w:val="1"/>
    <w:link w:val="70"/>
    <w:qFormat/>
    <w:uiPriority w:val="0"/>
    <w:pPr>
      <w:spacing w:before="240" w:after="60" w:line="312" w:lineRule="auto"/>
      <w:jc w:val="center"/>
      <w:outlineLvl w:val="1"/>
    </w:pPr>
    <w:rPr>
      <w:rFonts w:ascii="Cambria" w:hAnsi="Cambria"/>
      <w:b/>
      <w:bCs/>
      <w:kern w:val="28"/>
      <w:sz w:val="32"/>
      <w:szCs w:val="32"/>
    </w:rPr>
  </w:style>
  <w:style w:type="paragraph" w:styleId="33">
    <w:name w:val="footnote text"/>
    <w:basedOn w:val="1"/>
    <w:link w:val="64"/>
    <w:semiHidden/>
    <w:unhideWhenUsed/>
    <w:qFormat/>
    <w:uiPriority w:val="0"/>
    <w:pPr>
      <w:snapToGrid w:val="0"/>
      <w:jc w:val="left"/>
    </w:pPr>
    <w:rPr>
      <w:sz w:val="18"/>
      <w:szCs w:val="18"/>
    </w:rPr>
  </w:style>
  <w:style w:type="paragraph" w:styleId="34">
    <w:name w:val="toc 6"/>
    <w:basedOn w:val="1"/>
    <w:next w:val="1"/>
    <w:semiHidden/>
    <w:unhideWhenUsed/>
    <w:qFormat/>
    <w:uiPriority w:val="0"/>
    <w:pPr>
      <w:ind w:left="2100" w:leftChars="1000"/>
    </w:pPr>
    <w:rPr>
      <w:rFonts w:ascii="Times New Roman" w:hAnsi="Times New Roman"/>
      <w:szCs w:val="24"/>
    </w:rPr>
  </w:style>
  <w:style w:type="paragraph" w:styleId="35">
    <w:name w:val="Body Text Indent 3"/>
    <w:basedOn w:val="1"/>
    <w:link w:val="76"/>
    <w:semiHidden/>
    <w:unhideWhenUsed/>
    <w:qFormat/>
    <w:uiPriority w:val="0"/>
    <w:pPr>
      <w:spacing w:line="360" w:lineRule="auto"/>
      <w:ind w:left="153" w:leftChars="85" w:firstLine="560" w:firstLineChars="200"/>
    </w:pPr>
    <w:rPr>
      <w:rFonts w:ascii="宋体" w:hAnsi="宋体"/>
      <w:kern w:val="0"/>
      <w:sz w:val="28"/>
      <w:szCs w:val="28"/>
    </w:rPr>
  </w:style>
  <w:style w:type="paragraph" w:styleId="36">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7">
    <w:name w:val="toc 9"/>
    <w:basedOn w:val="1"/>
    <w:next w:val="1"/>
    <w:semiHidden/>
    <w:unhideWhenUsed/>
    <w:qFormat/>
    <w:uiPriority w:val="0"/>
    <w:pPr>
      <w:ind w:left="3360" w:leftChars="1600"/>
    </w:pPr>
    <w:rPr>
      <w:rFonts w:ascii="Times New Roman" w:hAnsi="Times New Roman"/>
      <w:szCs w:val="24"/>
    </w:rPr>
  </w:style>
  <w:style w:type="paragraph" w:styleId="38">
    <w:name w:val="Body Text 2"/>
    <w:basedOn w:val="1"/>
    <w:link w:val="73"/>
    <w:semiHidden/>
    <w:unhideWhenUsed/>
    <w:qFormat/>
    <w:uiPriority w:val="0"/>
    <w:pPr>
      <w:spacing w:after="120" w:line="480" w:lineRule="auto"/>
    </w:pPr>
    <w:rPr>
      <w:rFonts w:ascii="Times New Roman" w:hAnsi="Times New Roman"/>
      <w:kern w:val="0"/>
      <w:sz w:val="18"/>
      <w:szCs w:val="18"/>
    </w:rPr>
  </w:style>
  <w:style w:type="paragraph" w:styleId="39">
    <w:name w:val="HTML Preformatted"/>
    <w:basedOn w:val="1"/>
    <w:link w:val="209"/>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0" w:firstLineChars="200"/>
      <w:jc w:val="left"/>
    </w:pPr>
    <w:rPr>
      <w:rFonts w:ascii="Arial" w:hAnsi="Arial" w:cs="Arial"/>
      <w:kern w:val="0"/>
      <w:sz w:val="24"/>
      <w:szCs w:val="28"/>
    </w:rPr>
  </w:style>
  <w:style w:type="paragraph" w:styleId="40">
    <w:name w:val="Normal (Web)"/>
    <w:basedOn w:val="1"/>
    <w:unhideWhenUsed/>
    <w:qFormat/>
    <w:uiPriority w:val="99"/>
    <w:pPr>
      <w:widowControl/>
      <w:spacing w:before="100" w:beforeAutospacing="1" w:after="100" w:afterAutospacing="1"/>
      <w:jc w:val="left"/>
    </w:pPr>
    <w:rPr>
      <w:rFonts w:ascii="宋体" w:hAnsi="宋体"/>
      <w:color w:val="000000"/>
      <w:kern w:val="0"/>
      <w:sz w:val="24"/>
      <w:szCs w:val="24"/>
    </w:rPr>
  </w:style>
  <w:style w:type="paragraph" w:styleId="41">
    <w:name w:val="index 1"/>
    <w:basedOn w:val="1"/>
    <w:next w:val="1"/>
    <w:semiHidden/>
    <w:unhideWhenUsed/>
    <w:qFormat/>
    <w:uiPriority w:val="0"/>
    <w:pPr>
      <w:ind w:firstLine="560" w:firstLineChars="200"/>
    </w:pPr>
    <w:rPr>
      <w:rFonts w:ascii="宋体" w:hAnsi="宋体" w:cs="宋体"/>
      <w:sz w:val="28"/>
      <w:szCs w:val="28"/>
    </w:rPr>
  </w:style>
  <w:style w:type="paragraph" w:styleId="42">
    <w:name w:val="annotation subject"/>
    <w:basedOn w:val="17"/>
    <w:next w:val="17"/>
    <w:link w:val="79"/>
    <w:unhideWhenUsed/>
    <w:qFormat/>
    <w:uiPriority w:val="99"/>
    <w:rPr>
      <w:b/>
      <w:bCs/>
    </w:rPr>
  </w:style>
  <w:style w:type="table" w:styleId="44">
    <w:name w:val="Table Grid"/>
    <w:basedOn w:val="43"/>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46">
    <w:name w:val="FollowedHyperlink"/>
    <w:basedOn w:val="45"/>
    <w:semiHidden/>
    <w:unhideWhenUsed/>
    <w:qFormat/>
    <w:uiPriority w:val="99"/>
    <w:rPr>
      <w:color w:val="800080" w:themeColor="followedHyperlink"/>
      <w:u w:val="single"/>
      <w14:textFill>
        <w14:solidFill>
          <w14:schemeClr w14:val="folHlink"/>
        </w14:solidFill>
      </w14:textFill>
    </w:rPr>
  </w:style>
  <w:style w:type="character" w:styleId="47">
    <w:name w:val="Hyperlink"/>
    <w:unhideWhenUsed/>
    <w:qFormat/>
    <w:uiPriority w:val="99"/>
    <w:rPr>
      <w:color w:val="0000FF"/>
      <w:u w:val="single"/>
    </w:rPr>
  </w:style>
  <w:style w:type="character" w:styleId="48">
    <w:name w:val="annotation reference"/>
    <w:unhideWhenUsed/>
    <w:qFormat/>
    <w:uiPriority w:val="99"/>
    <w:rPr>
      <w:sz w:val="21"/>
      <w:szCs w:val="21"/>
    </w:rPr>
  </w:style>
  <w:style w:type="character" w:styleId="49">
    <w:name w:val="footnote reference"/>
    <w:semiHidden/>
    <w:unhideWhenUsed/>
    <w:qFormat/>
    <w:uiPriority w:val="0"/>
    <w:rPr>
      <w:vertAlign w:val="superscript"/>
    </w:rPr>
  </w:style>
  <w:style w:type="character" w:customStyle="1" w:styleId="50">
    <w:name w:val="标题 1 字符"/>
    <w:basedOn w:val="45"/>
    <w:link w:val="4"/>
    <w:qFormat/>
    <w:uiPriority w:val="99"/>
    <w:rPr>
      <w:rFonts w:ascii="宋体" w:hAnsi="宋体" w:eastAsia="宋体" w:cs="宋体"/>
      <w:b/>
      <w:bCs/>
      <w:spacing w:val="-20"/>
      <w:kern w:val="44"/>
      <w:sz w:val="32"/>
      <w:szCs w:val="32"/>
    </w:rPr>
  </w:style>
  <w:style w:type="character" w:customStyle="1" w:styleId="51">
    <w:name w:val="标题 2 字符"/>
    <w:basedOn w:val="45"/>
    <w:link w:val="5"/>
    <w:qFormat/>
    <w:uiPriority w:val="99"/>
    <w:rPr>
      <w:rFonts w:ascii="宋体" w:hAnsi="宋体" w:eastAsia="宋体" w:cs="宋体"/>
      <w:b/>
      <w:bCs/>
      <w:sz w:val="28"/>
      <w:szCs w:val="28"/>
    </w:rPr>
  </w:style>
  <w:style w:type="character" w:customStyle="1" w:styleId="52">
    <w:name w:val="标题 3 字符"/>
    <w:basedOn w:val="45"/>
    <w:link w:val="6"/>
    <w:qFormat/>
    <w:uiPriority w:val="99"/>
    <w:rPr>
      <w:rFonts w:ascii="宋体" w:hAnsi="宋体" w:eastAsia="宋体" w:cs="宋体"/>
      <w:b/>
      <w:bCs/>
      <w:color w:val="000000"/>
      <w:kern w:val="0"/>
      <w:sz w:val="28"/>
      <w:szCs w:val="28"/>
    </w:rPr>
  </w:style>
  <w:style w:type="character" w:customStyle="1" w:styleId="53">
    <w:name w:val="标题 4 字符"/>
    <w:basedOn w:val="45"/>
    <w:link w:val="7"/>
    <w:qFormat/>
    <w:uiPriority w:val="9"/>
    <w:rPr>
      <w:rFonts w:ascii="Arial" w:hAnsi="Arial" w:eastAsia="宋体" w:cs="Times New Roman"/>
      <w:b/>
      <w:bCs/>
      <w:kern w:val="0"/>
      <w:sz w:val="28"/>
      <w:szCs w:val="28"/>
    </w:rPr>
  </w:style>
  <w:style w:type="character" w:customStyle="1" w:styleId="54">
    <w:name w:val="标题 5 字符"/>
    <w:basedOn w:val="45"/>
    <w:link w:val="8"/>
    <w:qFormat/>
    <w:uiPriority w:val="0"/>
    <w:rPr>
      <w:rFonts w:ascii="Calibri" w:hAnsi="Calibri" w:eastAsia="宋体" w:cs="Times New Roman"/>
      <w:b/>
      <w:bCs/>
      <w:kern w:val="0"/>
      <w:sz w:val="28"/>
      <w:szCs w:val="28"/>
    </w:rPr>
  </w:style>
  <w:style w:type="character" w:customStyle="1" w:styleId="55">
    <w:name w:val="标题 6 字符"/>
    <w:basedOn w:val="45"/>
    <w:link w:val="9"/>
    <w:qFormat/>
    <w:uiPriority w:val="0"/>
    <w:rPr>
      <w:rFonts w:ascii="Arial" w:hAnsi="Arial" w:eastAsia="宋体" w:cs="Times New Roman"/>
      <w:b/>
      <w:bCs/>
      <w:kern w:val="0"/>
      <w:sz w:val="28"/>
      <w:szCs w:val="18"/>
    </w:rPr>
  </w:style>
  <w:style w:type="character" w:customStyle="1" w:styleId="56">
    <w:name w:val="标题 7 字符"/>
    <w:basedOn w:val="45"/>
    <w:link w:val="10"/>
    <w:qFormat/>
    <w:uiPriority w:val="0"/>
    <w:rPr>
      <w:rFonts w:ascii="Arial Narrow" w:hAnsi="Arial Narrow" w:eastAsia="宋体" w:cs="Times New Roman"/>
      <w:b/>
      <w:bCs/>
      <w:iCs/>
      <w:kern w:val="0"/>
      <w:sz w:val="20"/>
      <w:szCs w:val="24"/>
      <w:lang w:eastAsia="en-US"/>
    </w:rPr>
  </w:style>
  <w:style w:type="character" w:customStyle="1" w:styleId="57">
    <w:name w:val="标题 8 字符"/>
    <w:basedOn w:val="45"/>
    <w:link w:val="11"/>
    <w:semiHidden/>
    <w:qFormat/>
    <w:uiPriority w:val="0"/>
    <w:rPr>
      <w:rFonts w:ascii="Arial" w:hAnsi="Arial" w:eastAsia="黑体" w:cs="Times New Roman"/>
      <w:kern w:val="0"/>
      <w:sz w:val="24"/>
      <w:szCs w:val="24"/>
    </w:rPr>
  </w:style>
  <w:style w:type="character" w:customStyle="1" w:styleId="58">
    <w:name w:val="标题 9 字符"/>
    <w:basedOn w:val="45"/>
    <w:link w:val="12"/>
    <w:semiHidden/>
    <w:qFormat/>
    <w:uiPriority w:val="0"/>
    <w:rPr>
      <w:rFonts w:ascii="Arial" w:hAnsi="Arial" w:eastAsia="黑体" w:cs="Times New Roman"/>
      <w:kern w:val="0"/>
      <w:sz w:val="20"/>
      <w:szCs w:val="21"/>
    </w:rPr>
  </w:style>
  <w:style w:type="character" w:customStyle="1" w:styleId="59">
    <w:name w:val="标题 1 Char1"/>
    <w:qFormat/>
    <w:uiPriority w:val="0"/>
    <w:rPr>
      <w:b/>
      <w:bCs/>
      <w:kern w:val="44"/>
      <w:sz w:val="44"/>
      <w:szCs w:val="44"/>
    </w:rPr>
  </w:style>
  <w:style w:type="character" w:customStyle="1" w:styleId="60">
    <w:name w:val="标题 2 Char1"/>
    <w:basedOn w:val="45"/>
    <w:semiHidden/>
    <w:qFormat/>
    <w:uiPriority w:val="99"/>
    <w:rPr>
      <w:rFonts w:asciiTheme="majorHAnsi" w:hAnsiTheme="majorHAnsi" w:eastAsiaTheme="majorEastAsia" w:cstheme="majorBidi"/>
      <w:b/>
      <w:bCs/>
      <w:kern w:val="2"/>
      <w:sz w:val="32"/>
      <w:szCs w:val="32"/>
    </w:rPr>
  </w:style>
  <w:style w:type="character" w:customStyle="1" w:styleId="61">
    <w:name w:val="标题 3 Char1"/>
    <w:basedOn w:val="45"/>
    <w:semiHidden/>
    <w:qFormat/>
    <w:uiPriority w:val="99"/>
    <w:rPr>
      <w:rFonts w:ascii="Calibri" w:hAnsi="Calibri"/>
      <w:b/>
      <w:bCs/>
      <w:kern w:val="2"/>
      <w:sz w:val="32"/>
      <w:szCs w:val="32"/>
    </w:rPr>
  </w:style>
  <w:style w:type="character" w:customStyle="1" w:styleId="62">
    <w:name w:val="标题 4 Char1"/>
    <w:basedOn w:val="45"/>
    <w:semiHidden/>
    <w:qFormat/>
    <w:uiPriority w:val="9"/>
    <w:rPr>
      <w:rFonts w:asciiTheme="majorHAnsi" w:hAnsiTheme="majorHAnsi" w:eastAsiaTheme="majorEastAsia" w:cstheme="majorBidi"/>
      <w:b/>
      <w:bCs/>
      <w:kern w:val="2"/>
      <w:sz w:val="28"/>
      <w:szCs w:val="28"/>
    </w:rPr>
  </w:style>
  <w:style w:type="character" w:customStyle="1" w:styleId="63">
    <w:name w:val="正文缩进 字符"/>
    <w:link w:val="14"/>
    <w:qFormat/>
    <w:locked/>
    <w:uiPriority w:val="0"/>
  </w:style>
  <w:style w:type="character" w:customStyle="1" w:styleId="64">
    <w:name w:val="脚注文本 字符"/>
    <w:basedOn w:val="45"/>
    <w:link w:val="33"/>
    <w:semiHidden/>
    <w:qFormat/>
    <w:uiPriority w:val="0"/>
    <w:rPr>
      <w:rFonts w:ascii="Calibri" w:hAnsi="Calibri" w:eastAsia="宋体" w:cs="Times New Roman"/>
      <w:sz w:val="18"/>
      <w:szCs w:val="18"/>
    </w:rPr>
  </w:style>
  <w:style w:type="character" w:customStyle="1" w:styleId="65">
    <w:name w:val="批注文字 Char"/>
    <w:basedOn w:val="45"/>
    <w:semiHidden/>
    <w:qFormat/>
    <w:uiPriority w:val="99"/>
    <w:rPr>
      <w:rFonts w:ascii="Calibri" w:hAnsi="Calibri" w:eastAsia="宋体" w:cs="Times New Roman"/>
    </w:rPr>
  </w:style>
  <w:style w:type="character" w:customStyle="1" w:styleId="66">
    <w:name w:val="页眉 字符"/>
    <w:basedOn w:val="45"/>
    <w:link w:val="29"/>
    <w:qFormat/>
    <w:uiPriority w:val="99"/>
    <w:rPr>
      <w:rFonts w:ascii="Calibri" w:hAnsi="Calibri" w:eastAsia="宋体" w:cs="Times New Roman"/>
      <w:kern w:val="0"/>
      <w:sz w:val="18"/>
      <w:szCs w:val="18"/>
    </w:rPr>
  </w:style>
  <w:style w:type="character" w:customStyle="1" w:styleId="67">
    <w:name w:val="页脚 字符"/>
    <w:basedOn w:val="45"/>
    <w:link w:val="28"/>
    <w:qFormat/>
    <w:uiPriority w:val="99"/>
    <w:rPr>
      <w:rFonts w:ascii="Calibri" w:hAnsi="Calibri" w:eastAsia="宋体" w:cs="Times New Roman"/>
      <w:kern w:val="0"/>
      <w:sz w:val="18"/>
      <w:szCs w:val="18"/>
    </w:rPr>
  </w:style>
  <w:style w:type="character" w:customStyle="1" w:styleId="68">
    <w:name w:val="正文文本 Char"/>
    <w:basedOn w:val="45"/>
    <w:qFormat/>
    <w:uiPriority w:val="99"/>
    <w:rPr>
      <w:rFonts w:ascii="Calibri" w:hAnsi="Calibri" w:eastAsia="宋体" w:cs="Times New Roman"/>
    </w:rPr>
  </w:style>
  <w:style w:type="character" w:customStyle="1" w:styleId="69">
    <w:name w:val="正文文本缩进 字符"/>
    <w:basedOn w:val="45"/>
    <w:link w:val="19"/>
    <w:semiHidden/>
    <w:qFormat/>
    <w:uiPriority w:val="0"/>
    <w:rPr>
      <w:rFonts w:ascii="Times New Roman" w:hAnsi="Times New Roman" w:eastAsia="宋体" w:cs="Times New Roman"/>
      <w:kern w:val="0"/>
      <w:sz w:val="20"/>
      <w:szCs w:val="24"/>
    </w:rPr>
  </w:style>
  <w:style w:type="character" w:customStyle="1" w:styleId="70">
    <w:name w:val="副标题 字符"/>
    <w:basedOn w:val="45"/>
    <w:link w:val="32"/>
    <w:qFormat/>
    <w:uiPriority w:val="0"/>
    <w:rPr>
      <w:rFonts w:ascii="Cambria" w:hAnsi="Cambria" w:eastAsia="宋体" w:cs="Times New Roman"/>
      <w:b/>
      <w:bCs/>
      <w:kern w:val="28"/>
      <w:sz w:val="32"/>
      <w:szCs w:val="32"/>
    </w:rPr>
  </w:style>
  <w:style w:type="character" w:customStyle="1" w:styleId="71">
    <w:name w:val="日期 字符"/>
    <w:basedOn w:val="45"/>
    <w:link w:val="25"/>
    <w:qFormat/>
    <w:uiPriority w:val="99"/>
    <w:rPr>
      <w:rFonts w:ascii="Times New Roman" w:hAnsi="Times New Roman" w:eastAsia="宋体" w:cs="Times New Roman"/>
      <w:kern w:val="0"/>
      <w:sz w:val="24"/>
      <w:szCs w:val="24"/>
    </w:rPr>
  </w:style>
  <w:style w:type="character" w:customStyle="1" w:styleId="72">
    <w:name w:val="正文首行缩进 字符"/>
    <w:basedOn w:val="68"/>
    <w:link w:val="3"/>
    <w:semiHidden/>
    <w:qFormat/>
    <w:uiPriority w:val="0"/>
    <w:rPr>
      <w:rFonts w:ascii="Times New Roman" w:hAnsi="Times New Roman" w:eastAsia="宋体" w:cs="Times New Roman"/>
      <w:kern w:val="0"/>
      <w:sz w:val="18"/>
      <w:szCs w:val="18"/>
    </w:rPr>
  </w:style>
  <w:style w:type="character" w:customStyle="1" w:styleId="73">
    <w:name w:val="正文文本 2 字符"/>
    <w:basedOn w:val="45"/>
    <w:link w:val="38"/>
    <w:semiHidden/>
    <w:qFormat/>
    <w:uiPriority w:val="0"/>
    <w:rPr>
      <w:rFonts w:ascii="Times New Roman" w:hAnsi="Times New Roman" w:eastAsia="宋体" w:cs="Times New Roman"/>
      <w:kern w:val="0"/>
      <w:sz w:val="18"/>
      <w:szCs w:val="18"/>
    </w:rPr>
  </w:style>
  <w:style w:type="character" w:customStyle="1" w:styleId="74">
    <w:name w:val="正文文本 3 字符"/>
    <w:basedOn w:val="45"/>
    <w:link w:val="18"/>
    <w:semiHidden/>
    <w:qFormat/>
    <w:uiPriority w:val="0"/>
    <w:rPr>
      <w:rFonts w:ascii="Times New Roman" w:hAnsi="Times New Roman" w:eastAsia="黑体" w:cs="Times New Roman"/>
      <w:sz w:val="44"/>
      <w:szCs w:val="24"/>
    </w:rPr>
  </w:style>
  <w:style w:type="character" w:customStyle="1" w:styleId="75">
    <w:name w:val="正文文本缩进 2 字符"/>
    <w:basedOn w:val="45"/>
    <w:link w:val="26"/>
    <w:semiHidden/>
    <w:qFormat/>
    <w:uiPriority w:val="0"/>
    <w:rPr>
      <w:rFonts w:ascii="Times New Roman" w:hAnsi="Times New Roman" w:eastAsia="宋体" w:cs="Times New Roman"/>
      <w:kern w:val="0"/>
      <w:sz w:val="20"/>
      <w:szCs w:val="20"/>
    </w:rPr>
  </w:style>
  <w:style w:type="character" w:customStyle="1" w:styleId="76">
    <w:name w:val="正文文本缩进 3 字符"/>
    <w:basedOn w:val="45"/>
    <w:link w:val="35"/>
    <w:semiHidden/>
    <w:qFormat/>
    <w:uiPriority w:val="0"/>
    <w:rPr>
      <w:rFonts w:ascii="宋体" w:hAnsi="宋体" w:eastAsia="宋体" w:cs="Times New Roman"/>
      <w:kern w:val="0"/>
      <w:sz w:val="28"/>
      <w:szCs w:val="28"/>
    </w:rPr>
  </w:style>
  <w:style w:type="character" w:customStyle="1" w:styleId="77">
    <w:name w:val="文档结构图 字符"/>
    <w:basedOn w:val="45"/>
    <w:link w:val="16"/>
    <w:qFormat/>
    <w:uiPriority w:val="99"/>
    <w:rPr>
      <w:rFonts w:ascii="Times New Roman" w:hAnsi="Times New Roman" w:eastAsia="宋体" w:cs="Times New Roman"/>
      <w:kern w:val="0"/>
      <w:sz w:val="18"/>
      <w:szCs w:val="18"/>
      <w:shd w:val="clear" w:color="auto" w:fill="000080"/>
    </w:rPr>
  </w:style>
  <w:style w:type="character" w:customStyle="1" w:styleId="78">
    <w:name w:val="纯文本 Char"/>
    <w:basedOn w:val="45"/>
    <w:semiHidden/>
    <w:qFormat/>
    <w:uiPriority w:val="99"/>
    <w:rPr>
      <w:rFonts w:ascii="宋体" w:hAnsi="Courier New" w:eastAsia="宋体" w:cs="Courier New"/>
      <w:szCs w:val="21"/>
    </w:rPr>
  </w:style>
  <w:style w:type="character" w:customStyle="1" w:styleId="79">
    <w:name w:val="批注主题 字符"/>
    <w:basedOn w:val="65"/>
    <w:link w:val="42"/>
    <w:qFormat/>
    <w:uiPriority w:val="99"/>
    <w:rPr>
      <w:rFonts w:ascii="Calibri" w:hAnsi="Calibri" w:eastAsia="宋体" w:cs="Times New Roman"/>
      <w:b/>
      <w:bCs/>
    </w:rPr>
  </w:style>
  <w:style w:type="character" w:customStyle="1" w:styleId="80">
    <w:name w:val="批注框文本 字符"/>
    <w:basedOn w:val="45"/>
    <w:link w:val="27"/>
    <w:qFormat/>
    <w:uiPriority w:val="99"/>
    <w:rPr>
      <w:rFonts w:ascii="Times New Roman" w:hAnsi="Times New Roman" w:eastAsia="宋体" w:cs="Times New Roman"/>
      <w:kern w:val="0"/>
      <w:sz w:val="18"/>
      <w:szCs w:val="18"/>
    </w:rPr>
  </w:style>
  <w:style w:type="paragraph" w:styleId="81">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82">
    <w:name w:val="Revision"/>
    <w:semiHidden/>
    <w:qFormat/>
    <w:uiPriority w:val="99"/>
    <w:rPr>
      <w:rFonts w:ascii="Calibri" w:hAnsi="Calibri" w:eastAsia="宋体" w:cs="Times New Roman"/>
      <w:kern w:val="2"/>
      <w:sz w:val="21"/>
      <w:szCs w:val="22"/>
      <w:lang w:val="en-US" w:eastAsia="zh-CN" w:bidi="ar-SA"/>
    </w:rPr>
  </w:style>
  <w:style w:type="character" w:customStyle="1" w:styleId="83">
    <w:name w:val="列出段落 字符"/>
    <w:link w:val="84"/>
    <w:qFormat/>
    <w:locked/>
    <w:uiPriority w:val="0"/>
    <w:rPr>
      <w:rFonts w:ascii="Calibri" w:hAnsi="Calibri" w:cs="Calibri"/>
    </w:rPr>
  </w:style>
  <w:style w:type="paragraph" w:styleId="84">
    <w:name w:val="List Paragraph"/>
    <w:basedOn w:val="1"/>
    <w:link w:val="83"/>
    <w:qFormat/>
    <w:uiPriority w:val="0"/>
    <w:pPr>
      <w:ind w:firstLine="420" w:firstLineChars="200"/>
    </w:pPr>
    <w:rPr>
      <w:rFonts w:cs="Calibri" w:eastAsiaTheme="minorEastAsia"/>
    </w:rPr>
  </w:style>
  <w:style w:type="paragraph" w:customStyle="1" w:styleId="85">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6">
    <w:name w:val="MM Title"/>
    <w:basedOn w:val="1"/>
    <w:qFormat/>
    <w:uiPriority w:val="0"/>
    <w:pPr>
      <w:spacing w:before="240" w:after="60"/>
      <w:jc w:val="center"/>
      <w:outlineLvl w:val="0"/>
    </w:pPr>
    <w:rPr>
      <w:rFonts w:ascii="Arial" w:hAnsi="Arial" w:cs="Arial"/>
      <w:b/>
      <w:bCs/>
      <w:sz w:val="32"/>
      <w:szCs w:val="32"/>
    </w:rPr>
  </w:style>
  <w:style w:type="paragraph" w:customStyle="1" w:styleId="87">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88">
    <w:name w:val="gb_master正文"/>
    <w:basedOn w:val="1"/>
    <w:qFormat/>
    <w:uiPriority w:val="0"/>
    <w:pPr>
      <w:ind w:firstLine="200" w:firstLineChars="200"/>
    </w:pPr>
    <w:rPr>
      <w:rFonts w:ascii="Times New Roman" w:hAnsi="Times New Roman"/>
      <w:szCs w:val="24"/>
    </w:rPr>
  </w:style>
  <w:style w:type="paragraph" w:customStyle="1" w:styleId="89">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90">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1">
    <w:name w:val="Char2 Char Char Char"/>
    <w:basedOn w:val="1"/>
    <w:qFormat/>
    <w:uiPriority w:val="0"/>
    <w:rPr>
      <w:rFonts w:ascii="仿宋_GB2312" w:hAnsi="Times New Roman"/>
      <w:b/>
      <w:sz w:val="30"/>
      <w:szCs w:val="32"/>
    </w:rPr>
  </w:style>
  <w:style w:type="paragraph" w:customStyle="1" w:styleId="92">
    <w:name w:val="样式 样式 样式 标题 2 + 宋体 五号 非加粗 黑色 + 段前: 6 磅 段后: 0 磅 行距: 单倍行距 + 段前: 12..."/>
    <w:basedOn w:val="1"/>
    <w:qFormat/>
    <w:uiPriority w:val="0"/>
    <w:pPr>
      <w:keepNext/>
      <w:keepLines/>
      <w:numPr>
        <w:ilvl w:val="1"/>
        <w:numId w:val="2"/>
      </w:numPr>
      <w:adjustRightInd w:val="0"/>
      <w:spacing w:before="240"/>
      <w:jc w:val="left"/>
      <w:outlineLvl w:val="1"/>
    </w:pPr>
    <w:rPr>
      <w:rFonts w:ascii="宋体" w:hAnsi="宋体" w:cs="宋体"/>
      <w:color w:val="000000"/>
      <w:kern w:val="0"/>
      <w:szCs w:val="20"/>
    </w:rPr>
  </w:style>
  <w:style w:type="paragraph" w:customStyle="1" w:styleId="93">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4">
    <w:name w:val="默认段落字体 Para Char"/>
    <w:basedOn w:val="1"/>
    <w:qFormat/>
    <w:uiPriority w:val="0"/>
    <w:rPr>
      <w:rFonts w:ascii="Tahoma" w:hAnsi="Tahoma"/>
      <w:sz w:val="24"/>
      <w:szCs w:val="20"/>
    </w:rPr>
  </w:style>
  <w:style w:type="paragraph" w:customStyle="1" w:styleId="95">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6">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7">
    <w:name w:val="样式 正文缩进 + (中文) 仿宋_GB2312 小四 Char"/>
    <w:basedOn w:val="14"/>
    <w:qFormat/>
    <w:uiPriority w:val="0"/>
    <w:pPr>
      <w:spacing w:after="0" w:line="360" w:lineRule="auto"/>
      <w:ind w:firstLine="480" w:firstLineChars="200"/>
    </w:pPr>
    <w:rPr>
      <w:rFonts w:ascii="宋体" w:hAnsi="宋体"/>
      <w:sz w:val="24"/>
      <w:szCs w:val="24"/>
    </w:rPr>
  </w:style>
  <w:style w:type="paragraph" w:customStyle="1" w:styleId="98">
    <w:name w:val="表格文字"/>
    <w:basedOn w:val="1"/>
    <w:qFormat/>
    <w:uiPriority w:val="0"/>
    <w:pPr>
      <w:spacing w:beforeLines="25"/>
    </w:pPr>
    <w:rPr>
      <w:rFonts w:ascii="Times New (W1)" w:hAnsi="Times New (W1)"/>
      <w:spacing w:val="10"/>
      <w:szCs w:val="24"/>
    </w:rPr>
  </w:style>
  <w:style w:type="paragraph" w:customStyle="1" w:styleId="99">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00">
    <w:name w:val="默认段落字体 Para Char Char"/>
    <w:basedOn w:val="1"/>
    <w:qFormat/>
    <w:uiPriority w:val="0"/>
    <w:rPr>
      <w:rFonts w:ascii="Times New Roman" w:hAnsi="Times New Roman"/>
      <w:szCs w:val="24"/>
    </w:rPr>
  </w:style>
  <w:style w:type="paragraph" w:customStyle="1" w:styleId="101">
    <w:name w:val="MM Topic 6"/>
    <w:basedOn w:val="9"/>
    <w:qFormat/>
    <w:uiPriority w:val="0"/>
    <w:pPr>
      <w:tabs>
        <w:tab w:val="left" w:pos="3260"/>
        <w:tab w:val="clear" w:pos="1702"/>
      </w:tabs>
    </w:pPr>
    <w:rPr>
      <w:rFonts w:eastAsia="黑体"/>
    </w:rPr>
  </w:style>
  <w:style w:type="paragraph" w:customStyle="1" w:styleId="102">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3">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4">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5">
    <w:name w:val="标题 5 + 首行缩进:  2 字符"/>
    <w:basedOn w:val="8"/>
    <w:next w:val="19"/>
    <w:qFormat/>
    <w:uiPriority w:val="0"/>
    <w:pPr>
      <w:tabs>
        <w:tab w:val="left" w:pos="992"/>
        <w:tab w:val="clear" w:pos="1134"/>
      </w:tabs>
      <w:snapToGrid w:val="0"/>
      <w:spacing w:before="0" w:beforeLines="50" w:after="0" w:afterLines="50"/>
      <w:ind w:left="3570" w:firstLine="482" w:firstLineChars="200"/>
    </w:pPr>
    <w:rPr>
      <w:color w:val="000000"/>
      <w:szCs w:val="20"/>
    </w:rPr>
  </w:style>
  <w:style w:type="paragraph" w:customStyle="1" w:styleId="106">
    <w:name w:val="Char2 Char Char Char Char Char Char"/>
    <w:basedOn w:val="1"/>
    <w:qFormat/>
    <w:uiPriority w:val="0"/>
    <w:rPr>
      <w:rFonts w:ascii="仿宋_GB2312" w:hAnsi="Times New Roman"/>
      <w:b/>
      <w:sz w:val="30"/>
      <w:szCs w:val="32"/>
    </w:rPr>
  </w:style>
  <w:style w:type="paragraph" w:customStyle="1" w:styleId="107">
    <w:name w:val="MM Topic 2"/>
    <w:basedOn w:val="5"/>
    <w:qFormat/>
    <w:uiPriority w:val="0"/>
    <w:pPr>
      <w:tabs>
        <w:tab w:val="left" w:pos="992"/>
      </w:tabs>
    </w:pPr>
    <w:rPr>
      <w:rFonts w:cs="Times New Roman"/>
    </w:rPr>
  </w:style>
  <w:style w:type="paragraph" w:customStyle="1" w:styleId="108">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09">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10">
    <w:name w:val="MM Topic 8"/>
    <w:basedOn w:val="11"/>
    <w:qFormat/>
    <w:uiPriority w:val="0"/>
    <w:pPr>
      <w:tabs>
        <w:tab w:val="left" w:pos="4394"/>
      </w:tabs>
    </w:pPr>
  </w:style>
  <w:style w:type="paragraph" w:customStyle="1" w:styleId="111">
    <w:name w:val="Char1 Char Char Char Char Char Char"/>
    <w:basedOn w:val="1"/>
    <w:qFormat/>
    <w:uiPriority w:val="0"/>
    <w:rPr>
      <w:rFonts w:ascii="Tahoma" w:hAnsi="Tahoma"/>
      <w:sz w:val="24"/>
      <w:szCs w:val="20"/>
    </w:rPr>
  </w:style>
  <w:style w:type="paragraph" w:customStyle="1" w:styleId="112">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3">
    <w:name w:val="样式 小四2"/>
    <w:basedOn w:val="1"/>
    <w:qFormat/>
    <w:uiPriority w:val="0"/>
    <w:rPr>
      <w:rFonts w:ascii="宋体" w:hAnsi="宋体"/>
      <w:sz w:val="24"/>
      <w:szCs w:val="24"/>
    </w:rPr>
  </w:style>
  <w:style w:type="paragraph" w:customStyle="1" w:styleId="114">
    <w:name w:val="正文1"/>
    <w:qFormat/>
    <w:uiPriority w:val="0"/>
    <w:pPr>
      <w:widowControl w:val="0"/>
      <w:adjustRightInd w:val="0"/>
      <w:spacing w:line="312" w:lineRule="atLeast"/>
      <w:jc w:val="both"/>
    </w:pPr>
    <w:rPr>
      <w:rFonts w:ascii="宋体" w:hAnsi="Times New Roman" w:eastAsia="宋体" w:cs="Times New Roman"/>
      <w:kern w:val="0"/>
      <w:sz w:val="34"/>
      <w:szCs w:val="20"/>
      <w:lang w:val="en-US" w:eastAsia="zh-CN" w:bidi="ar-SA"/>
    </w:rPr>
  </w:style>
  <w:style w:type="paragraph" w:customStyle="1" w:styleId="115">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6">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7">
    <w:name w:val="文章正文"/>
    <w:basedOn w:val="1"/>
    <w:qFormat/>
    <w:uiPriority w:val="0"/>
    <w:pPr>
      <w:spacing w:line="360" w:lineRule="auto"/>
      <w:ind w:firstLine="420"/>
    </w:pPr>
    <w:rPr>
      <w:rFonts w:ascii="Times New Roman" w:hAnsi="Times New Roman"/>
      <w:sz w:val="24"/>
      <w:szCs w:val="24"/>
    </w:rPr>
  </w:style>
  <w:style w:type="paragraph" w:customStyle="1" w:styleId="118">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9">
    <w:name w:val="文章正文 Char Char1"/>
    <w:basedOn w:val="1"/>
    <w:qFormat/>
    <w:uiPriority w:val="0"/>
    <w:pPr>
      <w:spacing w:line="360" w:lineRule="auto"/>
      <w:ind w:firstLine="420"/>
    </w:pPr>
    <w:rPr>
      <w:rFonts w:ascii="Times New Roman" w:hAnsi="Times New Roman"/>
      <w:sz w:val="24"/>
      <w:szCs w:val="24"/>
    </w:rPr>
  </w:style>
  <w:style w:type="paragraph" w:customStyle="1" w:styleId="120">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1">
    <w:name w:val="样式"/>
    <w:link w:val="228"/>
    <w:qFormat/>
    <w:uiPriority w:val="0"/>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22">
    <w:name w:val="图"/>
    <w:basedOn w:val="1"/>
    <w:qFormat/>
    <w:uiPriority w:val="0"/>
    <w:pPr>
      <w:widowControl/>
      <w:adjustRightInd w:val="0"/>
      <w:snapToGrid w:val="0"/>
      <w:jc w:val="center"/>
    </w:pPr>
    <w:rPr>
      <w:rFonts w:ascii="宋体" w:hAnsi="宋体"/>
      <w:bCs/>
      <w:szCs w:val="24"/>
    </w:rPr>
  </w:style>
  <w:style w:type="paragraph" w:customStyle="1" w:styleId="123">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4">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5">
    <w:name w:val="MM Topic 1"/>
    <w:basedOn w:val="4"/>
    <w:qFormat/>
    <w:uiPriority w:val="0"/>
    <w:pPr>
      <w:tabs>
        <w:tab w:val="left" w:pos="425"/>
      </w:tabs>
    </w:pPr>
    <w:rPr>
      <w:rFonts w:cs="Times New Roman"/>
      <w:sz w:val="44"/>
    </w:rPr>
  </w:style>
  <w:style w:type="paragraph" w:customStyle="1" w:styleId="126">
    <w:name w:val="正文格式"/>
    <w:basedOn w:val="1"/>
    <w:qFormat/>
    <w:uiPriority w:val="0"/>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127">
    <w:name w:val="样式 标题 5 + 倾斜"/>
    <w:basedOn w:val="8"/>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character" w:customStyle="1" w:styleId="128">
    <w:name w:val="彩色列表 - 强调文字颜色 1 Char"/>
    <w:link w:val="129"/>
    <w:qFormat/>
    <w:locked/>
    <w:uiPriority w:val="0"/>
    <w:rPr>
      <w:rFonts w:ascii="Calibri" w:hAnsi="Calibri" w:cs="Calibri"/>
    </w:rPr>
  </w:style>
  <w:style w:type="paragraph" w:customStyle="1" w:styleId="129">
    <w:name w:val="彩色列表 - 强调文字颜色 11"/>
    <w:basedOn w:val="1"/>
    <w:link w:val="128"/>
    <w:qFormat/>
    <w:uiPriority w:val="0"/>
    <w:pPr>
      <w:ind w:firstLine="420" w:firstLineChars="200"/>
    </w:pPr>
    <w:rPr>
      <w:rFonts w:cs="Calibri" w:eastAsiaTheme="minorEastAsia"/>
    </w:rPr>
  </w:style>
  <w:style w:type="paragraph" w:customStyle="1" w:styleId="130">
    <w:name w:val="我的正文"/>
    <w:basedOn w:val="1"/>
    <w:qFormat/>
    <w:uiPriority w:val="0"/>
    <w:pPr>
      <w:spacing w:line="360" w:lineRule="auto"/>
      <w:ind w:firstLine="420" w:firstLineChars="200"/>
    </w:pPr>
    <w:rPr>
      <w:rFonts w:ascii="宋体" w:hAnsi="宋体"/>
      <w:szCs w:val="24"/>
    </w:rPr>
  </w:style>
  <w:style w:type="paragraph" w:customStyle="1" w:styleId="131">
    <w:name w:val="MM Topic 7"/>
    <w:basedOn w:val="10"/>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32">
    <w:name w:val="标书（正文）"/>
    <w:basedOn w:val="1"/>
    <w:qFormat/>
    <w:uiPriority w:val="0"/>
    <w:pPr>
      <w:spacing w:line="360" w:lineRule="auto"/>
      <w:ind w:firstLine="560" w:firstLineChars="200"/>
    </w:pPr>
    <w:rPr>
      <w:rFonts w:ascii="宋体" w:hAnsi="宋体"/>
      <w:kern w:val="10"/>
      <w:sz w:val="28"/>
      <w:szCs w:val="28"/>
    </w:rPr>
  </w:style>
  <w:style w:type="paragraph" w:customStyle="1" w:styleId="133">
    <w:name w:val="样式 标题 3 + (西文) 仿宋_GB2312 (中文) 仿宋_GB2312 四号"/>
    <w:basedOn w:val="6"/>
    <w:qFormat/>
    <w:uiPriority w:val="0"/>
    <w:p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4">
    <w:name w:val="论文正文"/>
    <w:basedOn w:val="1"/>
    <w:qFormat/>
    <w:uiPriority w:val="0"/>
    <w:pPr>
      <w:spacing w:line="360" w:lineRule="auto"/>
      <w:ind w:firstLine="700" w:firstLineChars="250"/>
    </w:pPr>
    <w:rPr>
      <w:rFonts w:ascii="宋体" w:hAnsi="宋体"/>
      <w:bCs/>
      <w:sz w:val="28"/>
      <w:szCs w:val="28"/>
    </w:rPr>
  </w:style>
  <w:style w:type="paragraph" w:customStyle="1" w:styleId="135">
    <w:name w:val="样式1"/>
    <w:basedOn w:val="1"/>
    <w:qFormat/>
    <w:uiPriority w:val="0"/>
    <w:rPr>
      <w:rFonts w:ascii="Times New Roman" w:hAnsi="Times New Roman" w:eastAsia="隶书"/>
      <w:i/>
      <w:dstrike/>
      <w:sz w:val="28"/>
      <w:szCs w:val="18"/>
    </w:rPr>
  </w:style>
  <w:style w:type="paragraph" w:customStyle="1" w:styleId="136">
    <w:name w:val="表格"/>
    <w:basedOn w:val="1"/>
    <w:qFormat/>
    <w:uiPriority w:val="0"/>
    <w:pPr>
      <w:spacing w:line="400" w:lineRule="exact"/>
    </w:pPr>
    <w:rPr>
      <w:rFonts w:ascii="Times New Roman" w:hAnsi="Times New Roman"/>
      <w:sz w:val="24"/>
      <w:szCs w:val="24"/>
    </w:rPr>
  </w:style>
  <w:style w:type="paragraph" w:customStyle="1" w:styleId="137">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8">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9">
    <w:name w:val="Char Char Char Char Char Char Char Char Char Char Char Char Char"/>
    <w:basedOn w:val="16"/>
    <w:qFormat/>
    <w:uiPriority w:val="0"/>
    <w:rPr>
      <w:rFonts w:ascii="Tahoma" w:hAnsi="Tahoma"/>
      <w:sz w:val="24"/>
      <w:szCs w:val="24"/>
    </w:rPr>
  </w:style>
  <w:style w:type="paragraph" w:customStyle="1" w:styleId="140">
    <w:name w:val="MM Topic 3"/>
    <w:basedOn w:val="6"/>
    <w:qFormat/>
    <w:uiPriority w:val="0"/>
    <w:pPr>
      <w:tabs>
        <w:tab w:val="left" w:pos="1418"/>
      </w:tabs>
    </w:pPr>
    <w:rPr>
      <w:rFonts w:cs="Times New Roman"/>
    </w:rPr>
  </w:style>
  <w:style w:type="paragraph" w:customStyle="1" w:styleId="141">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42">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3">
    <w:name w:val="Char Char Char Char"/>
    <w:basedOn w:val="1"/>
    <w:qFormat/>
    <w:uiPriority w:val="0"/>
    <w:rPr>
      <w:rFonts w:ascii="Tahoma" w:hAnsi="Tahoma"/>
      <w:sz w:val="24"/>
      <w:szCs w:val="20"/>
    </w:rPr>
  </w:style>
  <w:style w:type="paragraph" w:customStyle="1" w:styleId="144">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5">
    <w:name w:val="MM Topic 9"/>
    <w:basedOn w:val="12"/>
    <w:qFormat/>
    <w:uiPriority w:val="0"/>
    <w:pPr>
      <w:tabs>
        <w:tab w:val="left" w:pos="5102"/>
      </w:tabs>
    </w:pPr>
  </w:style>
  <w:style w:type="paragraph" w:customStyle="1" w:styleId="146">
    <w:name w:val="MM Topic 5"/>
    <w:basedOn w:val="8"/>
    <w:qFormat/>
    <w:uiPriority w:val="0"/>
    <w:pPr>
      <w:tabs>
        <w:tab w:val="left" w:pos="2551"/>
        <w:tab w:val="clear" w:pos="1134"/>
        <w:tab w:val="clear" w:pos="1560"/>
      </w:tabs>
      <w:ind w:left="0" w:firstLine="0"/>
    </w:pPr>
  </w:style>
  <w:style w:type="paragraph" w:customStyle="1" w:styleId="147">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8">
    <w:name w:val="MM Topic 4"/>
    <w:basedOn w:val="7"/>
    <w:qFormat/>
    <w:uiPriority w:val="0"/>
    <w:pPr>
      <w:tabs>
        <w:tab w:val="left" w:pos="1984"/>
      </w:tabs>
    </w:pPr>
  </w:style>
  <w:style w:type="paragraph" w:customStyle="1" w:styleId="149">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0">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51">
    <w:name w:val="样式 标题 2H2第一章 标题 2Heading 2 HiddenHeading 2 CCBSheading 2h2..."/>
    <w:basedOn w:val="5"/>
    <w:qFormat/>
    <w:uiPriority w:val="0"/>
    <w:pPr>
      <w:tabs>
        <w:tab w:val="left" w:pos="-2493"/>
      </w:tabs>
    </w:pPr>
    <w:rPr>
      <w:rFonts w:cs="Times New Roman"/>
      <w:szCs w:val="20"/>
    </w:rPr>
  </w:style>
  <w:style w:type="paragraph" w:customStyle="1" w:styleId="152">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53">
    <w:name w:val="列出段落2"/>
    <w:basedOn w:val="1"/>
    <w:qFormat/>
    <w:uiPriority w:val="0"/>
    <w:pPr>
      <w:ind w:firstLine="420" w:firstLineChars="200"/>
    </w:pPr>
  </w:style>
  <w:style w:type="paragraph" w:customStyle="1" w:styleId="154">
    <w:name w:val="列出段落4"/>
    <w:basedOn w:val="1"/>
    <w:qFormat/>
    <w:uiPriority w:val="0"/>
    <w:pPr>
      <w:ind w:firstLine="420" w:firstLineChars="200"/>
    </w:pPr>
    <w:rPr>
      <w:rFonts w:ascii="Times New Roman" w:hAnsi="Times New Roman"/>
      <w:szCs w:val="24"/>
    </w:rPr>
  </w:style>
  <w:style w:type="paragraph" w:customStyle="1" w:styleId="155">
    <w:name w:val="列出段落1"/>
    <w:basedOn w:val="1"/>
    <w:qFormat/>
    <w:uiPriority w:val="0"/>
    <w:pPr>
      <w:ind w:firstLine="420" w:firstLineChars="200"/>
    </w:pPr>
  </w:style>
  <w:style w:type="paragraph" w:customStyle="1" w:styleId="156">
    <w:name w:val="彩色列表 - 强调文字颜色 12"/>
    <w:basedOn w:val="1"/>
    <w:qFormat/>
    <w:uiPriority w:val="0"/>
    <w:pPr>
      <w:ind w:firstLine="420" w:firstLineChars="200"/>
    </w:pPr>
  </w:style>
  <w:style w:type="character" w:customStyle="1" w:styleId="157">
    <w:name w:val="Char Char8"/>
    <w:qFormat/>
    <w:uiPriority w:val="0"/>
    <w:rPr>
      <w:rFonts w:hint="eastAsia" w:ascii="宋体" w:hAnsi="宋体" w:eastAsia="宋体"/>
      <w:kern w:val="2"/>
      <w:sz w:val="28"/>
      <w:szCs w:val="28"/>
    </w:rPr>
  </w:style>
  <w:style w:type="character" w:customStyle="1" w:styleId="158">
    <w:name w:val="Char Char5"/>
    <w:qFormat/>
    <w:uiPriority w:val="0"/>
    <w:rPr>
      <w:kern w:val="2"/>
      <w:sz w:val="21"/>
      <w:szCs w:val="24"/>
    </w:rPr>
  </w:style>
  <w:style w:type="character" w:customStyle="1" w:styleId="159">
    <w:name w:val="列出段落 Char Char"/>
    <w:qFormat/>
    <w:uiPriority w:val="0"/>
    <w:rPr>
      <w:rFonts w:hint="default" w:ascii="Calibri" w:hAnsi="Calibri" w:cs="Calibri"/>
      <w:kern w:val="2"/>
      <w:sz w:val="21"/>
      <w:szCs w:val="22"/>
    </w:rPr>
  </w:style>
  <w:style w:type="character" w:customStyle="1" w:styleId="160">
    <w:name w:val="正文文本 Char Char"/>
    <w:qFormat/>
    <w:uiPriority w:val="0"/>
    <w:rPr>
      <w:kern w:val="2"/>
      <w:sz w:val="21"/>
      <w:szCs w:val="24"/>
    </w:rPr>
  </w:style>
  <w:style w:type="character" w:customStyle="1" w:styleId="161">
    <w:name w:val="Char Char11"/>
    <w:qFormat/>
    <w:uiPriority w:val="0"/>
    <w:rPr>
      <w:rFonts w:hint="default" w:ascii="Arial Narrow" w:hAnsi="Arial Narrow"/>
      <w:b/>
      <w:bCs/>
      <w:iCs/>
      <w:szCs w:val="24"/>
      <w:lang w:eastAsia="en-US"/>
    </w:rPr>
  </w:style>
  <w:style w:type="character" w:customStyle="1" w:styleId="162">
    <w:name w:val="标书（正文） Char Char"/>
    <w:qFormat/>
    <w:uiPriority w:val="0"/>
    <w:rPr>
      <w:rFonts w:hint="eastAsia" w:ascii="宋体" w:hAnsi="宋体" w:eastAsia="宋体"/>
      <w:b/>
      <w:kern w:val="10"/>
      <w:sz w:val="21"/>
      <w:szCs w:val="21"/>
      <w:lang w:val="en-US" w:eastAsia="zh-CN" w:bidi="ar-SA"/>
    </w:rPr>
  </w:style>
  <w:style w:type="character" w:customStyle="1" w:styleId="163">
    <w:name w:val="line2"/>
    <w:basedOn w:val="45"/>
    <w:qFormat/>
    <w:uiPriority w:val="0"/>
  </w:style>
  <w:style w:type="character" w:customStyle="1" w:styleId="164">
    <w:name w:val="Char Char10"/>
    <w:qFormat/>
    <w:uiPriority w:val="0"/>
    <w:rPr>
      <w:kern w:val="2"/>
      <w:sz w:val="24"/>
      <w:szCs w:val="24"/>
    </w:rPr>
  </w:style>
  <w:style w:type="character" w:customStyle="1" w:styleId="165">
    <w:name w:val="MM Topic 4 Char Char"/>
    <w:qFormat/>
    <w:uiPriority w:val="0"/>
    <w:rPr>
      <w:rFonts w:hint="default" w:ascii="Arial" w:hAnsi="Arial" w:cs="Arial"/>
      <w:b/>
      <w:bCs/>
      <w:kern w:val="2"/>
      <w:sz w:val="28"/>
      <w:szCs w:val="28"/>
    </w:rPr>
  </w:style>
  <w:style w:type="character" w:customStyle="1" w:styleId="166">
    <w:name w:val="标书正文:  0.74 厘米 Char Char"/>
    <w:qFormat/>
    <w:uiPriority w:val="0"/>
    <w:rPr>
      <w:kern w:val="2"/>
      <w:sz w:val="24"/>
    </w:rPr>
  </w:style>
  <w:style w:type="character" w:customStyle="1" w:styleId="167">
    <w:name w:val="访问过的超链接1"/>
    <w:qFormat/>
    <w:uiPriority w:val="99"/>
    <w:rPr>
      <w:color w:val="800080"/>
      <w:u w:val="single"/>
    </w:rPr>
  </w:style>
  <w:style w:type="character" w:customStyle="1" w:styleId="168">
    <w:name w:val="标题 3 Char Char Char"/>
    <w:qFormat/>
    <w:uiPriority w:val="0"/>
    <w:rPr>
      <w:rFonts w:hint="eastAsia" w:ascii="宋体" w:hAnsi="宋体" w:eastAsia="宋体"/>
      <w:b/>
      <w:kern w:val="2"/>
      <w:sz w:val="32"/>
      <w:lang w:val="en-US" w:eastAsia="zh-CN" w:bidi="ar-SA"/>
    </w:rPr>
  </w:style>
  <w:style w:type="character" w:customStyle="1" w:styleId="169">
    <w:name w:val="（符号）邀请函中一、"/>
    <w:qFormat/>
    <w:uiPriority w:val="0"/>
    <w:rPr>
      <w:rFonts w:hint="eastAsia" w:ascii="黑体" w:hAnsi="黑体" w:eastAsia="黑体"/>
      <w:b/>
      <w:bCs/>
      <w:sz w:val="24"/>
    </w:rPr>
  </w:style>
  <w:style w:type="character" w:customStyle="1" w:styleId="170">
    <w:name w:val="tt Char"/>
    <w:qFormat/>
    <w:uiPriority w:val="0"/>
    <w:rPr>
      <w:rFonts w:hint="default" w:ascii="Arial" w:hAnsi="Arial" w:eastAsia="黑体" w:cs="Arial"/>
      <w:kern w:val="2"/>
      <w:sz w:val="21"/>
      <w:szCs w:val="21"/>
    </w:rPr>
  </w:style>
  <w:style w:type="character" w:customStyle="1" w:styleId="171">
    <w:name w:val="Char Char9"/>
    <w:qFormat/>
    <w:uiPriority w:val="0"/>
    <w:rPr>
      <w:kern w:val="2"/>
      <w:sz w:val="18"/>
      <w:szCs w:val="18"/>
    </w:rPr>
  </w:style>
  <w:style w:type="character" w:customStyle="1" w:styleId="172">
    <w:name w:val="MM Topic 3 Char Char"/>
    <w:qFormat/>
    <w:uiPriority w:val="0"/>
    <w:rPr>
      <w:rFonts w:hint="eastAsia" w:ascii="宋体" w:hAnsi="宋体" w:eastAsia="宋体"/>
      <w:b/>
      <w:bCs/>
      <w:color w:val="000000"/>
      <w:kern w:val="2"/>
      <w:sz w:val="28"/>
      <w:szCs w:val="28"/>
    </w:rPr>
  </w:style>
  <w:style w:type="character" w:customStyle="1" w:styleId="173">
    <w:name w:val="样式 小四2 Char Char"/>
    <w:qFormat/>
    <w:uiPriority w:val="0"/>
    <w:rPr>
      <w:rFonts w:hint="eastAsia" w:ascii="宋体" w:hAnsi="宋体" w:eastAsia="宋体"/>
      <w:kern w:val="2"/>
      <w:sz w:val="24"/>
      <w:szCs w:val="24"/>
    </w:rPr>
  </w:style>
  <w:style w:type="character" w:customStyle="1" w:styleId="174">
    <w:name w:val="Char Char7"/>
    <w:qFormat/>
    <w:uiPriority w:val="0"/>
    <w:rPr>
      <w:kern w:val="2"/>
      <w:sz w:val="18"/>
      <w:szCs w:val="18"/>
    </w:rPr>
  </w:style>
  <w:style w:type="character" w:customStyle="1" w:styleId="175">
    <w:name w:val="Char Char3"/>
    <w:qFormat/>
    <w:uiPriority w:val="0"/>
    <w:rPr>
      <w:b/>
      <w:bCs/>
      <w:kern w:val="2"/>
      <w:sz w:val="18"/>
      <w:szCs w:val="18"/>
    </w:rPr>
  </w:style>
  <w:style w:type="character" w:customStyle="1" w:styleId="176">
    <w:name w:val="apple-style-span"/>
    <w:basedOn w:val="45"/>
    <w:qFormat/>
    <w:uiPriority w:val="0"/>
  </w:style>
  <w:style w:type="character" w:customStyle="1" w:styleId="177">
    <w:name w:val="Char Char4"/>
    <w:qFormat/>
    <w:uiPriority w:val="0"/>
    <w:rPr>
      <w:kern w:val="2"/>
      <w:sz w:val="18"/>
      <w:szCs w:val="18"/>
    </w:rPr>
  </w:style>
  <w:style w:type="character" w:customStyle="1" w:styleId="178">
    <w:name w:val="副标题 Char1"/>
    <w:qFormat/>
    <w:uiPriority w:val="11"/>
    <w:rPr>
      <w:rFonts w:hint="default" w:ascii="Cambria" w:hAnsi="Cambria" w:cs="Times New Roman"/>
      <w:b/>
      <w:bCs/>
      <w:kern w:val="28"/>
      <w:sz w:val="32"/>
      <w:szCs w:val="32"/>
    </w:rPr>
  </w:style>
  <w:style w:type="character" w:customStyle="1" w:styleId="179">
    <w:name w:val="small"/>
    <w:basedOn w:val="45"/>
    <w:qFormat/>
    <w:uiPriority w:val="0"/>
  </w:style>
  <w:style w:type="character" w:customStyle="1" w:styleId="180">
    <w:name w:val="Legal Level 1.1.1. Char"/>
    <w:qFormat/>
    <w:uiPriority w:val="0"/>
    <w:rPr>
      <w:rFonts w:hint="default" w:ascii="Arial" w:hAnsi="Arial" w:eastAsia="黑体" w:cs="Arial"/>
      <w:kern w:val="2"/>
      <w:sz w:val="24"/>
      <w:szCs w:val="24"/>
    </w:rPr>
  </w:style>
  <w:style w:type="character" w:customStyle="1" w:styleId="181">
    <w:name w:val="文章正文 Char Char"/>
    <w:qFormat/>
    <w:uiPriority w:val="0"/>
    <w:rPr>
      <w:rFonts w:hint="eastAsia" w:ascii="宋体" w:hAnsi="宋体" w:eastAsia="宋体"/>
      <w:kern w:val="2"/>
      <w:sz w:val="24"/>
      <w:szCs w:val="24"/>
      <w:lang w:val="en-US" w:eastAsia="zh-CN" w:bidi="ar-SA"/>
    </w:rPr>
  </w:style>
  <w:style w:type="character" w:customStyle="1" w:styleId="182">
    <w:name w:val="正文文本 Char1"/>
    <w:qFormat/>
    <w:uiPriority w:val="0"/>
    <w:rPr>
      <w:rFonts w:hint="default" w:ascii="Times New Roman" w:hAnsi="Times New Roman" w:eastAsia="宋体" w:cs="Times New Roman"/>
      <w:kern w:val="0"/>
      <w:sz w:val="18"/>
      <w:szCs w:val="18"/>
    </w:rPr>
  </w:style>
  <w:style w:type="character" w:customStyle="1" w:styleId="183">
    <w:name w:val="正文文本 字符"/>
    <w:basedOn w:val="45"/>
    <w:link w:val="2"/>
    <w:qFormat/>
    <w:locked/>
    <w:uiPriority w:val="0"/>
    <w:rPr>
      <w:rFonts w:ascii="Times New Roman" w:hAnsi="Times New Roman" w:eastAsia="宋体" w:cs="Times New Roman"/>
      <w:kern w:val="0"/>
      <w:sz w:val="20"/>
      <w:szCs w:val="20"/>
    </w:rPr>
  </w:style>
  <w:style w:type="character" w:customStyle="1" w:styleId="184">
    <w:name w:val="CD正文 Char Char"/>
    <w:qFormat/>
    <w:uiPriority w:val="0"/>
    <w:rPr>
      <w:rFonts w:hint="eastAsia" w:ascii="宋体" w:hAnsi="宋体" w:eastAsia="宋体"/>
      <w:kern w:val="2"/>
      <w:sz w:val="30"/>
      <w:szCs w:val="28"/>
      <w:lang w:val="en-US" w:eastAsia="zh-CN" w:bidi="ar-SA"/>
    </w:rPr>
  </w:style>
  <w:style w:type="character" w:customStyle="1" w:styleId="185">
    <w:name w:val="Char Char2"/>
    <w:qFormat/>
    <w:uiPriority w:val="0"/>
    <w:rPr>
      <w:kern w:val="2"/>
      <w:sz w:val="18"/>
      <w:szCs w:val="18"/>
    </w:rPr>
  </w:style>
  <w:style w:type="character" w:customStyle="1" w:styleId="186">
    <w:name w:val="表正文 Char1"/>
    <w:qFormat/>
    <w:uiPriority w:val="0"/>
    <w:rPr>
      <w:rFonts w:hint="eastAsia" w:ascii="宋体" w:hAnsi="宋体" w:eastAsia="宋体"/>
      <w:kern w:val="2"/>
      <w:sz w:val="21"/>
      <w:lang w:val="en-US" w:eastAsia="zh-CN" w:bidi="ar-SA"/>
    </w:rPr>
  </w:style>
  <w:style w:type="character" w:customStyle="1" w:styleId="187">
    <w:name w:val="纯文本 字符"/>
    <w:link w:val="23"/>
    <w:qFormat/>
    <w:locked/>
    <w:uiPriority w:val="99"/>
    <w:rPr>
      <w:rFonts w:ascii="宋体" w:hAnsi="Courier New" w:eastAsia="宋体" w:cs="Times New Roman"/>
      <w:kern w:val="0"/>
      <w:sz w:val="20"/>
      <w:szCs w:val="18"/>
    </w:rPr>
  </w:style>
  <w:style w:type="character" w:customStyle="1" w:styleId="188">
    <w:name w:val="Char Char Char"/>
    <w:qFormat/>
    <w:uiPriority w:val="0"/>
    <w:rPr>
      <w:rFonts w:hint="eastAsia" w:ascii="宋体" w:hAnsi="宋体" w:eastAsia="宋体"/>
      <w:kern w:val="2"/>
      <w:sz w:val="18"/>
      <w:szCs w:val="18"/>
      <w:lang w:val="en-US" w:eastAsia="zh-CN" w:bidi="ar-SA"/>
    </w:rPr>
  </w:style>
  <w:style w:type="character" w:customStyle="1" w:styleId="189">
    <w:name w:val="Char Char6"/>
    <w:qFormat/>
    <w:uiPriority w:val="0"/>
    <w:rPr>
      <w:kern w:val="2"/>
      <w:sz w:val="21"/>
      <w:szCs w:val="24"/>
    </w:rPr>
  </w:style>
  <w:style w:type="character" w:customStyle="1" w:styleId="190">
    <w:name w:val="正文文本缩进 2 Char1"/>
    <w:basedOn w:val="45"/>
    <w:semiHidden/>
    <w:qFormat/>
    <w:uiPriority w:val="99"/>
    <w:rPr>
      <w:rFonts w:hint="default" w:ascii="Calibri" w:hAnsi="Calibri" w:cs="Calibri"/>
      <w:kern w:val="2"/>
      <w:sz w:val="21"/>
      <w:szCs w:val="22"/>
    </w:rPr>
  </w:style>
  <w:style w:type="character" w:customStyle="1" w:styleId="191">
    <w:name w:val="正文文本缩进 Char1"/>
    <w:basedOn w:val="45"/>
    <w:semiHidden/>
    <w:qFormat/>
    <w:uiPriority w:val="99"/>
    <w:rPr>
      <w:rFonts w:hint="default" w:ascii="Calibri" w:hAnsi="Calibri" w:cs="Calibri"/>
      <w:kern w:val="2"/>
      <w:sz w:val="21"/>
      <w:szCs w:val="22"/>
    </w:rPr>
  </w:style>
  <w:style w:type="character" w:customStyle="1" w:styleId="192">
    <w:name w:val="页脚 Char1"/>
    <w:basedOn w:val="45"/>
    <w:semiHidden/>
    <w:qFormat/>
    <w:uiPriority w:val="99"/>
    <w:rPr>
      <w:rFonts w:hint="default" w:ascii="Calibri" w:hAnsi="Calibri" w:cs="Calibri"/>
      <w:kern w:val="2"/>
      <w:sz w:val="18"/>
      <w:szCs w:val="18"/>
    </w:rPr>
  </w:style>
  <w:style w:type="character" w:customStyle="1" w:styleId="193">
    <w:name w:val="正文文本 3 Char1"/>
    <w:basedOn w:val="45"/>
    <w:semiHidden/>
    <w:qFormat/>
    <w:uiPriority w:val="99"/>
    <w:rPr>
      <w:rFonts w:hint="default" w:ascii="Calibri" w:hAnsi="Calibri" w:cs="Calibri"/>
      <w:kern w:val="2"/>
      <w:sz w:val="16"/>
      <w:szCs w:val="16"/>
    </w:rPr>
  </w:style>
  <w:style w:type="character" w:customStyle="1" w:styleId="194">
    <w:name w:val="正文文本缩进 3 Char1"/>
    <w:basedOn w:val="45"/>
    <w:semiHidden/>
    <w:qFormat/>
    <w:uiPriority w:val="99"/>
    <w:rPr>
      <w:rFonts w:hint="default" w:ascii="Calibri" w:hAnsi="Calibri" w:cs="Calibri"/>
      <w:kern w:val="2"/>
      <w:sz w:val="16"/>
      <w:szCs w:val="16"/>
    </w:rPr>
  </w:style>
  <w:style w:type="character" w:customStyle="1" w:styleId="195">
    <w:name w:val="批注框文本 Char1"/>
    <w:basedOn w:val="45"/>
    <w:semiHidden/>
    <w:qFormat/>
    <w:uiPriority w:val="99"/>
    <w:rPr>
      <w:rFonts w:hint="default" w:ascii="Calibri" w:hAnsi="Calibri" w:cs="Calibri"/>
      <w:kern w:val="2"/>
      <w:sz w:val="18"/>
      <w:szCs w:val="18"/>
    </w:rPr>
  </w:style>
  <w:style w:type="character" w:customStyle="1" w:styleId="196">
    <w:name w:val="批注文字 字符"/>
    <w:basedOn w:val="45"/>
    <w:link w:val="17"/>
    <w:qFormat/>
    <w:locked/>
    <w:uiPriority w:val="99"/>
    <w:rPr>
      <w:rFonts w:ascii="Calibri" w:hAnsi="Calibri" w:eastAsia="宋体" w:cs="Times New Roman"/>
    </w:rPr>
  </w:style>
  <w:style w:type="character" w:customStyle="1" w:styleId="197">
    <w:name w:val="文档结构图 Char1"/>
    <w:basedOn w:val="45"/>
    <w:semiHidden/>
    <w:qFormat/>
    <w:uiPriority w:val="99"/>
    <w:rPr>
      <w:rFonts w:hint="eastAsia" w:ascii="宋体" w:hAnsi="Calibri" w:eastAsia="宋体"/>
      <w:kern w:val="2"/>
      <w:sz w:val="18"/>
      <w:szCs w:val="18"/>
    </w:rPr>
  </w:style>
  <w:style w:type="character" w:customStyle="1" w:styleId="198">
    <w:name w:val="页眉 Char1"/>
    <w:basedOn w:val="45"/>
    <w:semiHidden/>
    <w:qFormat/>
    <w:uiPriority w:val="99"/>
    <w:rPr>
      <w:rFonts w:hint="default" w:ascii="Calibri" w:hAnsi="Calibri" w:cs="Calibri"/>
      <w:kern w:val="2"/>
      <w:sz w:val="18"/>
      <w:szCs w:val="18"/>
    </w:rPr>
  </w:style>
  <w:style w:type="character" w:customStyle="1" w:styleId="199">
    <w:name w:val="日期 Char1"/>
    <w:basedOn w:val="45"/>
    <w:semiHidden/>
    <w:qFormat/>
    <w:uiPriority w:val="99"/>
    <w:rPr>
      <w:rFonts w:hint="default" w:ascii="Calibri" w:hAnsi="Calibri" w:cs="Calibri"/>
      <w:kern w:val="2"/>
      <w:sz w:val="21"/>
      <w:szCs w:val="22"/>
    </w:rPr>
  </w:style>
  <w:style w:type="character" w:customStyle="1" w:styleId="200">
    <w:name w:val="正文文本 Char3"/>
    <w:basedOn w:val="45"/>
    <w:semiHidden/>
    <w:qFormat/>
    <w:uiPriority w:val="99"/>
    <w:rPr>
      <w:rFonts w:hint="default" w:ascii="Calibri" w:hAnsi="Calibri" w:cs="Calibri"/>
      <w:kern w:val="2"/>
      <w:sz w:val="21"/>
      <w:szCs w:val="22"/>
    </w:rPr>
  </w:style>
  <w:style w:type="character" w:customStyle="1" w:styleId="201">
    <w:name w:val="纯文本 Char2"/>
    <w:basedOn w:val="45"/>
    <w:semiHidden/>
    <w:qFormat/>
    <w:uiPriority w:val="99"/>
    <w:rPr>
      <w:rFonts w:hint="eastAsia" w:ascii="宋体" w:hAnsi="Courier New" w:eastAsia="宋体" w:cs="Courier New"/>
      <w:kern w:val="2"/>
      <w:sz w:val="21"/>
      <w:szCs w:val="21"/>
    </w:rPr>
  </w:style>
  <w:style w:type="character" w:customStyle="1" w:styleId="202">
    <w:name w:val="正文首行缩进 Char1"/>
    <w:basedOn w:val="200"/>
    <w:semiHidden/>
    <w:qFormat/>
    <w:uiPriority w:val="99"/>
    <w:rPr>
      <w:rFonts w:hint="default" w:ascii="Calibri" w:hAnsi="Calibri" w:cs="Calibri"/>
      <w:kern w:val="2"/>
      <w:sz w:val="21"/>
      <w:szCs w:val="22"/>
    </w:rPr>
  </w:style>
  <w:style w:type="character" w:customStyle="1" w:styleId="203">
    <w:name w:val="正文文本 2 Char1"/>
    <w:basedOn w:val="45"/>
    <w:semiHidden/>
    <w:qFormat/>
    <w:uiPriority w:val="99"/>
    <w:rPr>
      <w:rFonts w:hint="default" w:ascii="Calibri" w:hAnsi="Calibri" w:cs="Calibri"/>
      <w:kern w:val="2"/>
      <w:sz w:val="21"/>
      <w:szCs w:val="22"/>
    </w:rPr>
  </w:style>
  <w:style w:type="character" w:customStyle="1" w:styleId="204">
    <w:name w:val="副标题 Char2"/>
    <w:basedOn w:val="45"/>
    <w:qFormat/>
    <w:uiPriority w:val="11"/>
    <w:rPr>
      <w:rFonts w:hint="default" w:asciiTheme="majorHAnsi" w:hAnsiTheme="majorHAnsi" w:cstheme="majorBidi"/>
      <w:b/>
      <w:bCs/>
      <w:kern w:val="28"/>
      <w:sz w:val="32"/>
      <w:szCs w:val="32"/>
    </w:rPr>
  </w:style>
  <w:style w:type="character" w:customStyle="1" w:styleId="205">
    <w:name w:val="正文缩进 Char"/>
    <w:qFormat/>
    <w:uiPriority w:val="0"/>
    <w:rPr>
      <w:kern w:val="2"/>
      <w:sz w:val="21"/>
    </w:rPr>
  </w:style>
  <w:style w:type="paragraph" w:customStyle="1" w:styleId="206">
    <w:name w:val="CD正文"/>
    <w:basedOn w:val="117"/>
    <w:qFormat/>
    <w:uiPriority w:val="0"/>
  </w:style>
  <w:style w:type="paragraph" w:customStyle="1" w:styleId="207">
    <w:name w:val="项目符号：一级"/>
    <w:basedOn w:val="126"/>
    <w:next w:val="126"/>
    <w:qFormat/>
    <w:uiPriority w:val="0"/>
  </w:style>
  <w:style w:type="paragraph" w:customStyle="1" w:styleId="208">
    <w:name w:val="Default"/>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character" w:customStyle="1" w:styleId="209">
    <w:name w:val="HTML 预设格式 字符"/>
    <w:basedOn w:val="45"/>
    <w:link w:val="39"/>
    <w:qFormat/>
    <w:uiPriority w:val="0"/>
    <w:rPr>
      <w:rFonts w:ascii="Arial" w:hAnsi="Arial" w:eastAsia="宋体" w:cs="Arial"/>
      <w:kern w:val="0"/>
      <w:sz w:val="24"/>
      <w:szCs w:val="28"/>
    </w:rPr>
  </w:style>
  <w:style w:type="paragraph" w:customStyle="1" w:styleId="210">
    <w:name w:val="修订1"/>
    <w:semiHidden/>
    <w:qFormat/>
    <w:uiPriority w:val="99"/>
    <w:pPr>
      <w:spacing w:after="200" w:line="276" w:lineRule="auto"/>
    </w:pPr>
    <w:rPr>
      <w:rFonts w:ascii="Calibri" w:hAnsi="Calibri" w:eastAsia="宋体" w:cs="Times New Roman"/>
      <w:kern w:val="2"/>
      <w:sz w:val="21"/>
      <w:szCs w:val="22"/>
      <w:lang w:val="en-US" w:eastAsia="zh-CN" w:bidi="ar-SA"/>
    </w:rPr>
  </w:style>
  <w:style w:type="paragraph" w:customStyle="1" w:styleId="211">
    <w:name w:val="1 Char2"/>
    <w:basedOn w:val="1"/>
    <w:semiHidden/>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212">
    <w:name w:val="Normal_59"/>
    <w:qFormat/>
    <w:uiPriority w:val="0"/>
    <w:pPr>
      <w:spacing w:before="120" w:after="240" w:line="276" w:lineRule="auto"/>
      <w:jc w:val="both"/>
    </w:pPr>
    <w:rPr>
      <w:rFonts w:ascii="Times New Roman" w:hAnsi="Times New Roman" w:eastAsia="Calibri" w:cs="Times New Roman"/>
      <w:kern w:val="0"/>
      <w:sz w:val="22"/>
      <w:szCs w:val="22"/>
      <w:lang w:val="ru-RU" w:eastAsia="en-US" w:bidi="ar-SA"/>
    </w:rPr>
  </w:style>
  <w:style w:type="paragraph" w:customStyle="1" w:styleId="213">
    <w:name w:val="Char1 Char Char Char Char Char Char_0"/>
    <w:basedOn w:val="1"/>
    <w:qFormat/>
    <w:uiPriority w:val="0"/>
    <w:rPr>
      <w:rFonts w:ascii="Tahoma" w:hAnsi="Tahoma"/>
      <w:sz w:val="24"/>
      <w:szCs w:val="20"/>
    </w:rPr>
  </w:style>
  <w:style w:type="paragraph" w:customStyle="1" w:styleId="214">
    <w:name w:val="列出段落11"/>
    <w:basedOn w:val="1"/>
    <w:qFormat/>
    <w:uiPriority w:val="99"/>
    <w:pPr>
      <w:ind w:firstLine="420" w:firstLineChars="200"/>
    </w:pPr>
    <w:rPr>
      <w:rFonts w:ascii="Times New Roman" w:hAnsi="Times New Roman"/>
    </w:rPr>
  </w:style>
  <w:style w:type="paragraph" w:customStyle="1" w:styleId="215">
    <w:name w:val="样式 标题 2 + Times New Roman 四号 非加粗 段前: 5 磅 段后: 0 磅 行距: 固定值 20..."/>
    <w:basedOn w:val="5"/>
    <w:semiHidden/>
    <w:qFormat/>
    <w:uiPriority w:val="0"/>
    <w:pPr>
      <w:spacing w:before="100" w:line="400" w:lineRule="exact"/>
      <w:jc w:val="both"/>
    </w:pPr>
    <w:rPr>
      <w:rFonts w:ascii="Times New Roman" w:hAnsi="Times New Roman" w:eastAsia="黑体"/>
      <w:b w:val="0"/>
      <w:szCs w:val="32"/>
    </w:rPr>
  </w:style>
  <w:style w:type="paragraph" w:customStyle="1" w:styleId="216">
    <w:name w:val="列出段落111"/>
    <w:basedOn w:val="1"/>
    <w:semiHidden/>
    <w:qFormat/>
    <w:uiPriority w:val="99"/>
    <w:pPr>
      <w:ind w:firstLine="420" w:firstLineChars="200"/>
    </w:pPr>
    <w:rPr>
      <w:rFonts w:ascii="Times New Roman" w:hAnsi="Times New Roman"/>
    </w:rPr>
  </w:style>
  <w:style w:type="character" w:customStyle="1" w:styleId="217">
    <w:name w:val="正文文本 Char2"/>
    <w:basedOn w:val="45"/>
    <w:qFormat/>
    <w:locked/>
    <w:uiPriority w:val="99"/>
    <w:rPr>
      <w:rFonts w:hint="default" w:ascii="Times New Roman" w:hAnsi="Times New Roman" w:eastAsia="宋体" w:cs="Times New Roman"/>
      <w:kern w:val="0"/>
      <w:sz w:val="20"/>
      <w:szCs w:val="20"/>
    </w:rPr>
  </w:style>
  <w:style w:type="character" w:customStyle="1" w:styleId="218">
    <w:name w:val="p121"/>
    <w:qFormat/>
    <w:uiPriority w:val="0"/>
    <w:rPr>
      <w:sz w:val="24"/>
    </w:rPr>
  </w:style>
  <w:style w:type="character" w:customStyle="1" w:styleId="219">
    <w:name w:val="列出段落 Char1"/>
    <w:qFormat/>
    <w:locked/>
    <w:uiPriority w:val="0"/>
    <w:rPr>
      <w:rFonts w:hint="default" w:ascii="Calibri" w:hAnsi="Calibri" w:cs="Calibri"/>
    </w:rPr>
  </w:style>
  <w:style w:type="paragraph" w:customStyle="1" w:styleId="220">
    <w:name w:val="修订11"/>
    <w:qFormat/>
    <w:uiPriority w:val="99"/>
    <w:pPr>
      <w:spacing w:after="200" w:line="276" w:lineRule="auto"/>
    </w:pPr>
    <w:rPr>
      <w:rFonts w:ascii="Calibri" w:hAnsi="Calibri" w:eastAsia="宋体" w:cs="Times New Roman"/>
      <w:kern w:val="2"/>
      <w:sz w:val="21"/>
      <w:szCs w:val="22"/>
      <w:lang w:val="en-US" w:eastAsia="zh-CN" w:bidi="ar-SA"/>
    </w:rPr>
  </w:style>
  <w:style w:type="paragraph" w:customStyle="1" w:styleId="221">
    <w:name w:val="列表段落1"/>
    <w:basedOn w:val="1"/>
    <w:qFormat/>
    <w:uiPriority w:val="99"/>
    <w:pPr>
      <w:ind w:firstLine="420" w:firstLineChars="200"/>
    </w:pPr>
    <w:rPr>
      <w:rFonts w:ascii="宋体" w:hAnsi="宋体" w:cs="宋体"/>
      <w:sz w:val="28"/>
      <w:szCs w:val="28"/>
    </w:rPr>
  </w:style>
  <w:style w:type="character" w:customStyle="1" w:styleId="222">
    <w:name w:val="NormalCharacter"/>
    <w:qFormat/>
    <w:uiPriority w:val="0"/>
  </w:style>
  <w:style w:type="paragraph" w:customStyle="1" w:styleId="223">
    <w:name w:val="BodyText"/>
    <w:basedOn w:val="1"/>
    <w:qFormat/>
    <w:uiPriority w:val="0"/>
    <w:pPr>
      <w:widowControl/>
      <w:spacing w:after="120"/>
      <w:ind w:firstLine="560" w:firstLineChars="200"/>
      <w:textAlignment w:val="baseline"/>
    </w:pPr>
    <w:rPr>
      <w:rFonts w:ascii="宋体" w:hAnsi="宋体" w:cstheme="minorBidi"/>
      <w:sz w:val="28"/>
      <w:szCs w:val="28"/>
    </w:rPr>
  </w:style>
  <w:style w:type="character" w:customStyle="1" w:styleId="224">
    <w:name w:val="AnnotationReference"/>
    <w:qFormat/>
    <w:uiPriority w:val="0"/>
    <w:rPr>
      <w:sz w:val="21"/>
      <w:szCs w:val="21"/>
    </w:rPr>
  </w:style>
  <w:style w:type="paragraph" w:customStyle="1" w:styleId="225">
    <w:name w:val="179"/>
    <w:basedOn w:val="1"/>
    <w:qFormat/>
    <w:uiPriority w:val="0"/>
    <w:pPr>
      <w:widowControl/>
      <w:ind w:firstLine="420" w:firstLineChars="200"/>
      <w:textAlignment w:val="baseline"/>
    </w:pPr>
    <w:rPr>
      <w:rFonts w:ascii="宋体" w:hAnsi="宋体" w:cstheme="minorBidi"/>
      <w:sz w:val="28"/>
      <w:szCs w:val="28"/>
    </w:rPr>
  </w:style>
  <w:style w:type="paragraph" w:customStyle="1" w:styleId="226">
    <w:name w:val="Heading3"/>
    <w:basedOn w:val="1"/>
    <w:next w:val="1"/>
    <w:link w:val="227"/>
    <w:qFormat/>
    <w:uiPriority w:val="0"/>
    <w:pPr>
      <w:widowControl/>
      <w:spacing w:before="100" w:beforeAutospacing="1" w:after="100" w:afterAutospacing="1"/>
      <w:ind w:firstLine="560" w:firstLineChars="200"/>
      <w:jc w:val="left"/>
      <w:textAlignment w:val="baseline"/>
    </w:pPr>
    <w:rPr>
      <w:rFonts w:ascii="宋体" w:hAnsi="宋体" w:cs="宋体"/>
      <w:b/>
      <w:bCs/>
      <w:kern w:val="0"/>
      <w:sz w:val="27"/>
      <w:szCs w:val="27"/>
    </w:rPr>
  </w:style>
  <w:style w:type="character" w:customStyle="1" w:styleId="227">
    <w:name w:val="UserStyle_4"/>
    <w:link w:val="226"/>
    <w:qFormat/>
    <w:uiPriority w:val="0"/>
    <w:rPr>
      <w:rFonts w:ascii="宋体" w:hAnsi="宋体" w:eastAsia="宋体" w:cs="宋体"/>
      <w:b/>
      <w:bCs/>
      <w:kern w:val="0"/>
      <w:sz w:val="27"/>
      <w:szCs w:val="27"/>
    </w:rPr>
  </w:style>
  <w:style w:type="character" w:customStyle="1" w:styleId="228">
    <w:name w:val="样式 Char Char"/>
    <w:link w:val="121"/>
    <w:qFormat/>
    <w:locked/>
    <w:uiPriority w:val="0"/>
    <w:rPr>
      <w:rFonts w:ascii="宋体" w:hAnsi="宋体" w:eastAsia="宋体" w:cs="宋体"/>
      <w:kern w:val="0"/>
      <w:sz w:val="24"/>
      <w:szCs w:val="24"/>
    </w:rPr>
  </w:style>
  <w:style w:type="paragraph" w:customStyle="1" w:styleId="229">
    <w:name w:val="_Style 48"/>
    <w:basedOn w:val="1"/>
    <w:qFormat/>
    <w:uiPriority w:val="0"/>
    <w:pPr>
      <w:ind w:firstLine="420" w:firstLineChars="200"/>
    </w:pPr>
    <w:rPr>
      <w:rFonts w:ascii="宋体" w:hAnsi="宋体" w:cs="宋体"/>
      <w:sz w:val="28"/>
      <w:szCs w:val="28"/>
    </w:rPr>
  </w:style>
  <w:style w:type="character" w:customStyle="1" w:styleId="230">
    <w:name w:val="font61"/>
    <w:basedOn w:val="45"/>
    <w:qFormat/>
    <w:uiPriority w:val="0"/>
    <w:rPr>
      <w:rFonts w:hint="eastAsia" w:ascii="宋体" w:hAnsi="宋体" w:eastAsia="宋体" w:cs="宋体"/>
      <w:color w:val="000000"/>
      <w:sz w:val="18"/>
      <w:szCs w:val="18"/>
      <w:u w:val="none"/>
    </w:rPr>
  </w:style>
  <w:style w:type="character" w:customStyle="1" w:styleId="231">
    <w:name w:val="font91"/>
    <w:basedOn w:val="45"/>
    <w:qFormat/>
    <w:uiPriority w:val="0"/>
    <w:rPr>
      <w:rFonts w:hint="eastAsia" w:ascii="宋体" w:hAnsi="宋体" w:eastAsia="宋体" w:cs="宋体"/>
      <w:color w:val="000000"/>
      <w:sz w:val="18"/>
      <w:szCs w:val="18"/>
      <w:u w:val="none"/>
    </w:rPr>
  </w:style>
  <w:style w:type="character" w:customStyle="1" w:styleId="232">
    <w:name w:val="font41"/>
    <w:basedOn w:val="45"/>
    <w:qFormat/>
    <w:uiPriority w:val="0"/>
    <w:rPr>
      <w:rFonts w:hint="eastAsia" w:ascii="宋体" w:hAnsi="宋体" w:eastAsia="宋体" w:cs="宋体"/>
      <w:color w:val="000000"/>
      <w:sz w:val="21"/>
      <w:szCs w:val="21"/>
      <w:u w:val="none"/>
    </w:rPr>
  </w:style>
  <w:style w:type="character" w:customStyle="1" w:styleId="233">
    <w:name w:val="font31"/>
    <w:basedOn w:val="45"/>
    <w:qFormat/>
    <w:uiPriority w:val="0"/>
    <w:rPr>
      <w:rFonts w:hint="eastAsia" w:ascii="宋体" w:hAnsi="宋体" w:eastAsia="宋体" w:cs="宋体"/>
      <w:b/>
      <w:color w:val="000000"/>
      <w:sz w:val="18"/>
      <w:szCs w:val="18"/>
      <w:u w:val="none"/>
    </w:rPr>
  </w:style>
  <w:style w:type="character" w:customStyle="1" w:styleId="234">
    <w:name w:val="font101"/>
    <w:basedOn w:val="45"/>
    <w:qFormat/>
    <w:uiPriority w:val="0"/>
    <w:rPr>
      <w:rFonts w:hint="eastAsia" w:ascii="宋体" w:hAnsi="宋体" w:eastAsia="宋体" w:cs="宋体"/>
      <w:color w:val="FF0000"/>
      <w:sz w:val="18"/>
      <w:szCs w:val="18"/>
      <w:u w:val="none"/>
    </w:rPr>
  </w:style>
  <w:style w:type="character" w:customStyle="1" w:styleId="235">
    <w:name w:val="font51"/>
    <w:basedOn w:val="45"/>
    <w:qFormat/>
    <w:uiPriority w:val="0"/>
    <w:rPr>
      <w:rFonts w:ascii="Calibri" w:hAnsi="Calibri" w:cs="Calibri"/>
      <w:color w:val="000000"/>
      <w:sz w:val="21"/>
      <w:szCs w:val="21"/>
      <w:u w:val="none"/>
    </w:rPr>
  </w:style>
  <w:style w:type="paragraph" w:customStyle="1" w:styleId="236">
    <w:name w:val="Table Paragraph"/>
    <w:basedOn w:val="1"/>
    <w:qFormat/>
    <w:uiPriority w:val="1"/>
    <w:pPr>
      <w:ind w:firstLine="560" w:firstLineChars="200"/>
    </w:pPr>
    <w:rPr>
      <w:rFonts w:ascii="宋体" w:hAnsi="宋体" w:cs="宋体"/>
      <w:sz w:val="28"/>
      <w:szCs w:val="28"/>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AFD546-4EAE-4183-BBB2-0A4AB21A8CF2}">
  <ds:schemaRefs/>
</ds:datastoreItem>
</file>

<file path=docProps/app.xml><?xml version="1.0" encoding="utf-8"?>
<Properties xmlns="http://schemas.openxmlformats.org/officeDocument/2006/extended-properties" xmlns:vt="http://schemas.openxmlformats.org/officeDocument/2006/docPropsVTypes">
  <Template>Normal</Template>
  <Pages>98</Pages>
  <Words>34518</Words>
  <Characters>35744</Characters>
  <Lines>399</Lines>
  <Paragraphs>112</Paragraphs>
  <TotalTime>32</TotalTime>
  <ScaleCrop>false</ScaleCrop>
  <LinksUpToDate>false</LinksUpToDate>
  <CharactersWithSpaces>36399</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2021-06-29T06:31:00Z</dcterms:created>
  <dc:creator>罗川</dc:creator>
  <cp:lastModifiedBy>LI</cp:lastModifiedBy>
  <cp:lastPrinted>2021-06-29T06:32:00Z</cp:lastPrinted>
  <dcterms:modified xsi:type="dcterms:W3CDTF">2021-09-22T08:09:17Z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