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120"/>
          <w:szCs w:val="120"/>
        </w:rPr>
      </w:pPr>
      <w:r>
        <w:rPr>
          <w:rFonts w:hint="eastAsia" w:ascii="华文中宋" w:hAnsi="华文中宋" w:eastAsia="华文中宋"/>
          <w:spacing w:val="-20"/>
          <w:sz w:val="120"/>
          <w:szCs w:val="120"/>
        </w:rPr>
        <w:t>询价通知书</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35" w:leftChars="223" w:hanging="1700" w:hangingChars="500"/>
        <w:rPr>
          <w:rFonts w:ascii="华文中宋" w:hAnsi="华文中宋" w:eastAsia="华文中宋"/>
          <w:spacing w:val="20"/>
          <w:sz w:val="30"/>
          <w:szCs w:val="30"/>
        </w:rPr>
      </w:pPr>
    </w:p>
    <w:p>
      <w:pPr>
        <w:spacing w:line="360" w:lineRule="auto"/>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彭州市行政审批局新增区域采购台式计算机等办公设备项目</w:t>
      </w: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 xml:space="preserve">项目编号: </w:t>
      </w:r>
      <w:r>
        <w:rPr>
          <w:rFonts w:hint="eastAsia" w:ascii="华文中宋" w:hAnsi="华文中宋" w:eastAsia="华文中宋"/>
          <w:sz w:val="32"/>
          <w:szCs w:val="32"/>
          <w:lang w:val="en-US" w:eastAsia="zh-CN"/>
        </w:rPr>
        <w:t>彭州市政采（2021）A0010号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彭州市行政审批局、</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7</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_Toc4692 </w:instrText>
      </w:r>
      <w:r>
        <w:rPr>
          <w:rFonts w:ascii="宋体" w:hAnsi="宋体"/>
          <w:szCs w:val="36"/>
        </w:rPr>
        <w:fldChar w:fldCharType="separate"/>
      </w:r>
      <w:r>
        <w:rPr>
          <w:rFonts w:hint="default" w:ascii="Times New Roman" w:hAnsi="Times New Roman" w:eastAsia="宋体"/>
          <w:i w:val="0"/>
          <w:szCs w:val="32"/>
        </w:rPr>
        <w:t xml:space="preserve">第1章 </w:t>
      </w:r>
      <w:r>
        <w:rPr>
          <w:rFonts w:hint="eastAsia"/>
        </w:rPr>
        <w:t>询价邀请</w:t>
      </w:r>
      <w:r>
        <w:tab/>
      </w:r>
      <w:r>
        <w:fldChar w:fldCharType="begin"/>
      </w:r>
      <w:r>
        <w:instrText xml:space="preserve"> PAGEREF _Toc4692 \h </w:instrText>
      </w:r>
      <w:r>
        <w:fldChar w:fldCharType="separate"/>
      </w:r>
      <w:r>
        <w:t>4</w:t>
      </w:r>
      <w:r>
        <w:fldChar w:fldCharType="end"/>
      </w:r>
      <w:r>
        <w:rPr>
          <w:rFonts w:ascii="宋体" w:hAnsi="宋体"/>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_Toc22823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_Toc22823 \h </w:instrText>
      </w:r>
      <w:r>
        <w:fldChar w:fldCharType="separate"/>
      </w:r>
      <w:r>
        <w:t>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_Toc1273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_Toc1273 \h </w:instrText>
      </w:r>
      <w:r>
        <w:fldChar w:fldCharType="separate"/>
      </w:r>
      <w:r>
        <w:t>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_Toc9103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_Toc9103 \h </w:instrText>
      </w:r>
      <w:r>
        <w:fldChar w:fldCharType="separate"/>
      </w:r>
      <w:r>
        <w:t>11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_Toc14554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询价通知书</w:t>
      </w:r>
      <w:r>
        <w:tab/>
      </w:r>
      <w:r>
        <w:fldChar w:fldCharType="begin"/>
      </w:r>
      <w:r>
        <w:instrText xml:space="preserve"> PAGEREF _Toc14554 \h </w:instrText>
      </w:r>
      <w:r>
        <w:fldChar w:fldCharType="separate"/>
      </w:r>
      <w:r>
        <w:t>12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_Toc24646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响应文件</w:t>
      </w:r>
      <w:r>
        <w:tab/>
      </w:r>
      <w:r>
        <w:fldChar w:fldCharType="begin"/>
      </w:r>
      <w:r>
        <w:instrText xml:space="preserve"> PAGEREF _Toc24646 \h </w:instrText>
      </w:r>
      <w:r>
        <w:fldChar w:fldCharType="separate"/>
      </w:r>
      <w:r>
        <w:t>14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_Toc17612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_Toc17612 \h </w:instrText>
      </w:r>
      <w:r>
        <w:fldChar w:fldCharType="separate"/>
      </w:r>
      <w:r>
        <w:t>20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_Toc5323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t>成交通知书</w:t>
      </w:r>
      <w:r>
        <w:tab/>
      </w:r>
      <w:r>
        <w:fldChar w:fldCharType="begin"/>
      </w:r>
      <w:r>
        <w:instrText xml:space="preserve"> PAGEREF _Toc5323 \h </w:instrText>
      </w:r>
      <w:r>
        <w:fldChar w:fldCharType="separate"/>
      </w:r>
      <w:r>
        <w:t>21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_Toc16975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rPr>
          <w:rFonts w:hint="eastAsia"/>
        </w:rPr>
        <w:t>签订及履行合同和验收</w:t>
      </w:r>
      <w:r>
        <w:tab/>
      </w:r>
      <w:r>
        <w:fldChar w:fldCharType="begin"/>
      </w:r>
      <w:r>
        <w:instrText xml:space="preserve"> PAGEREF _Toc16975 \h </w:instrText>
      </w:r>
      <w:r>
        <w:fldChar w:fldCharType="separate"/>
      </w:r>
      <w:r>
        <w:t>22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_Toc24240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询价</w:t>
      </w:r>
      <w:r>
        <w:t>采购</w:t>
      </w:r>
      <w:r>
        <w:rPr>
          <w:rFonts w:hint="eastAsia"/>
        </w:rPr>
        <w:t>工作纪律及要求</w:t>
      </w:r>
      <w:r>
        <w:tab/>
      </w:r>
      <w:r>
        <w:fldChar w:fldCharType="begin"/>
      </w:r>
      <w:r>
        <w:instrText xml:space="preserve"> PAGEREF _Toc24240 \h </w:instrText>
      </w:r>
      <w:r>
        <w:fldChar w:fldCharType="separate"/>
      </w:r>
      <w:r>
        <w:t>24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_Toc25201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询问、质疑和投诉</w:t>
      </w:r>
      <w:r>
        <w:tab/>
      </w:r>
      <w:r>
        <w:fldChar w:fldCharType="begin"/>
      </w:r>
      <w:r>
        <w:instrText xml:space="preserve"> PAGEREF _Toc25201 \h </w:instrText>
      </w:r>
      <w:r>
        <w:fldChar w:fldCharType="separate"/>
      </w:r>
      <w:r>
        <w:t>26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_Toc13679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中小企业政府采购信用融资</w:t>
      </w:r>
      <w:r>
        <w:tab/>
      </w:r>
      <w:r>
        <w:fldChar w:fldCharType="begin"/>
      </w:r>
      <w:r>
        <w:instrText xml:space="preserve"> PAGEREF _Toc13679 \h </w:instrText>
      </w:r>
      <w:r>
        <w:fldChar w:fldCharType="separate"/>
      </w:r>
      <w:r>
        <w:t>27</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_Toc9959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响应文件格式</w:t>
      </w:r>
      <w:r>
        <w:tab/>
      </w:r>
      <w:r>
        <w:fldChar w:fldCharType="begin"/>
      </w:r>
      <w:r>
        <w:instrText xml:space="preserve"> PAGEREF _Toc9959 \h </w:instrText>
      </w:r>
      <w:r>
        <w:fldChar w:fldCharType="separate"/>
      </w:r>
      <w:r>
        <w:t>29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_Toc17307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响应文件格式</w:t>
      </w:r>
      <w:r>
        <w:tab/>
      </w:r>
      <w:r>
        <w:fldChar w:fldCharType="begin"/>
      </w:r>
      <w:r>
        <w:instrText xml:space="preserve"> PAGEREF _Toc17307 \h </w:instrText>
      </w:r>
      <w:r>
        <w:fldChar w:fldCharType="separate"/>
      </w:r>
      <w:r>
        <w:t>29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_Toc18650 </w:instrText>
      </w:r>
      <w:r>
        <w:rPr>
          <w:rFonts w:ascii="宋体" w:hAnsi="宋体"/>
          <w:bCs w:val="0"/>
          <w:szCs w:val="36"/>
        </w:rPr>
        <w:fldChar w:fldCharType="separate"/>
      </w:r>
      <w:r>
        <w:rPr>
          <w:rFonts w:hint="eastAsia" w:ascii="宋体" w:hAnsi="宋体" w:cs="宋体"/>
        </w:rPr>
        <w:t>监狱企业生产的产品</w:t>
      </w:r>
      <w:r>
        <w:rPr>
          <w:rFonts w:hint="eastAsia" w:ascii="宋体" w:hAnsi="宋体"/>
        </w:rPr>
        <w:t>总价合计：</w:t>
      </w:r>
      <w:r>
        <w:rPr>
          <w:rFonts w:ascii="宋体" w:hAnsi="宋体"/>
        </w:rPr>
        <w:t>XXXXXXXXXXXXX</w:t>
      </w:r>
      <w:r>
        <w:rPr>
          <w:rFonts w:hint="eastAsia" w:ascii="宋体" w:hAnsi="宋体"/>
        </w:rPr>
        <w:t>元</w:t>
      </w:r>
      <w:r>
        <w:tab/>
      </w:r>
      <w:r>
        <w:fldChar w:fldCharType="begin"/>
      </w:r>
      <w:r>
        <w:instrText xml:space="preserve"> PAGEREF _Toc18650 \h </w:instrText>
      </w:r>
      <w:r>
        <w:fldChar w:fldCharType="separate"/>
      </w:r>
      <w:r>
        <w:t>42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_Toc23288 </w:instrText>
      </w:r>
      <w:r>
        <w:rPr>
          <w:rFonts w:ascii="宋体" w:hAnsi="宋体"/>
          <w:bCs w:val="0"/>
          <w:szCs w:val="36"/>
        </w:rPr>
        <w:fldChar w:fldCharType="separate"/>
      </w:r>
      <w:r>
        <w:rPr>
          <w:rFonts w:hint="eastAsia" w:ascii="宋体" w:hAnsi="宋体" w:cs="宋体"/>
        </w:rPr>
        <w:t>残疾人福利性单位生产的产品总价合计</w:t>
      </w:r>
      <w:r>
        <w:rPr>
          <w:rFonts w:hint="eastAsia" w:ascii="宋体" w:hAnsi="宋体"/>
        </w:rPr>
        <w:t>：</w:t>
      </w:r>
      <w:r>
        <w:rPr>
          <w:rFonts w:ascii="宋体" w:hAnsi="宋体"/>
        </w:rPr>
        <w:t>XXXXXXXXXXXXX</w:t>
      </w:r>
      <w:r>
        <w:rPr>
          <w:rFonts w:hint="eastAsia" w:ascii="宋体" w:hAnsi="宋体"/>
        </w:rPr>
        <w:t>元</w:t>
      </w:r>
      <w:r>
        <w:tab/>
      </w:r>
      <w:r>
        <w:fldChar w:fldCharType="begin"/>
      </w:r>
      <w:r>
        <w:instrText xml:space="preserve"> PAGEREF _Toc23288 \h </w:instrText>
      </w:r>
      <w:r>
        <w:fldChar w:fldCharType="separate"/>
      </w:r>
      <w:r>
        <w:t>43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_Toc25405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_Toc25405 \h </w:instrText>
      </w:r>
      <w:r>
        <w:fldChar w:fldCharType="separate"/>
      </w:r>
      <w:r>
        <w:t>43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_Toc25090 </w:instrText>
      </w:r>
      <w:r>
        <w:rPr>
          <w:rFonts w:ascii="宋体" w:hAnsi="宋体"/>
          <w:bCs w:val="0"/>
          <w:szCs w:val="36"/>
        </w:rPr>
        <w:fldChar w:fldCharType="separate"/>
      </w:r>
      <w:r>
        <w:rPr>
          <w:rFonts w:hint="default" w:ascii="Times New Roman" w:hAnsi="Times New Roman" w:eastAsia="宋体" w:cs="Times New Roman"/>
          <w:i w:val="0"/>
          <w:szCs w:val="28"/>
        </w:rPr>
        <w:t xml:space="preserve">4.1 </w:t>
      </w:r>
      <w:r>
        <w:rPr>
          <w:rFonts w:hint="eastAsia"/>
        </w:rPr>
        <w:t>项目概况</w:t>
      </w:r>
      <w:r>
        <w:tab/>
      </w:r>
      <w:r>
        <w:fldChar w:fldCharType="begin"/>
      </w:r>
      <w:r>
        <w:instrText xml:space="preserve"> PAGEREF _Toc25090 \h </w:instrText>
      </w:r>
      <w:r>
        <w:fldChar w:fldCharType="separate"/>
      </w:r>
      <w:r>
        <w:t>43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_Toc25763 </w:instrText>
      </w:r>
      <w:r>
        <w:rPr>
          <w:rFonts w:ascii="宋体" w:hAnsi="宋体"/>
          <w:bCs w:val="0"/>
          <w:szCs w:val="36"/>
        </w:rPr>
        <w:fldChar w:fldCharType="separate"/>
      </w:r>
      <w:r>
        <w:rPr>
          <w:rFonts w:hint="default" w:ascii="Times New Roman" w:hAnsi="Times New Roman" w:eastAsia="宋体" w:cs="Times New Roman"/>
          <w:i w:val="0"/>
          <w:szCs w:val="28"/>
        </w:rPr>
        <w:t xml:space="preserve">4.2 </w:t>
      </w:r>
      <w:r>
        <w:rPr>
          <w:rFonts w:hint="eastAsia"/>
        </w:rPr>
        <w:t>技术参数</w:t>
      </w:r>
      <w:r>
        <w:t>及要求</w:t>
      </w:r>
      <w:r>
        <w:tab/>
      </w:r>
      <w:r>
        <w:fldChar w:fldCharType="begin"/>
      </w:r>
      <w:r>
        <w:instrText xml:space="preserve"> PAGEREF _Toc25763 \h </w:instrText>
      </w:r>
      <w:r>
        <w:fldChar w:fldCharType="separate"/>
      </w:r>
      <w:r>
        <w:t>43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_Toc20195 </w:instrText>
      </w:r>
      <w:r>
        <w:rPr>
          <w:rFonts w:ascii="宋体" w:hAnsi="宋体"/>
          <w:bCs w:val="0"/>
          <w:szCs w:val="36"/>
        </w:rPr>
        <w:fldChar w:fldCharType="separate"/>
      </w:r>
      <w:r>
        <w:rPr>
          <w:rFonts w:hint="default" w:ascii="Times New Roman" w:hAnsi="Times New Roman" w:eastAsia="宋体" w:cs="Times New Roman"/>
          <w:i w:val="0"/>
          <w:szCs w:val="28"/>
        </w:rPr>
        <w:t xml:space="preserve">4.3 </w:t>
      </w:r>
      <w:r>
        <w:rPr>
          <w:rFonts w:hint="eastAsia"/>
        </w:rPr>
        <w:t>核</w:t>
      </w:r>
      <w:r>
        <w:rPr>
          <w:rFonts w:hint="eastAsia"/>
          <w:bCs/>
        </w:rPr>
        <w:t>心产品</w:t>
      </w:r>
      <w:r>
        <w:tab/>
      </w:r>
      <w:r>
        <w:fldChar w:fldCharType="begin"/>
      </w:r>
      <w:r>
        <w:instrText xml:space="preserve"> PAGEREF _Toc20195 \h </w:instrText>
      </w:r>
      <w:r>
        <w:fldChar w:fldCharType="separate"/>
      </w:r>
      <w:r>
        <w:t>44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_Toc11499 </w:instrText>
      </w:r>
      <w:r>
        <w:rPr>
          <w:rFonts w:ascii="宋体" w:hAnsi="宋体"/>
          <w:bCs w:val="0"/>
          <w:szCs w:val="36"/>
        </w:rPr>
        <w:fldChar w:fldCharType="separate"/>
      </w:r>
      <w:r>
        <w:rPr>
          <w:rFonts w:hint="default" w:ascii="Times New Roman" w:hAnsi="Times New Roman" w:eastAsia="宋体" w:cs="Times New Roman"/>
          <w:bCs/>
          <w:i w:val="0"/>
          <w:szCs w:val="28"/>
        </w:rPr>
        <w:t xml:space="preserve">4.4 </w:t>
      </w:r>
      <w:r>
        <w:rPr>
          <w:rFonts w:hint="eastAsia"/>
          <w:bCs/>
          <w:lang w:eastAsia="zh-CN"/>
        </w:rPr>
        <w:t>项目需求</w:t>
      </w:r>
      <w:r>
        <w:tab/>
      </w:r>
      <w:r>
        <w:fldChar w:fldCharType="begin"/>
      </w:r>
      <w:r>
        <w:instrText xml:space="preserve"> PAGEREF _Toc11499 \h </w:instrText>
      </w:r>
      <w:r>
        <w:fldChar w:fldCharType="separate"/>
      </w:r>
      <w:r>
        <w:t>44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_Toc8941 </w:instrText>
      </w:r>
      <w:r>
        <w:rPr>
          <w:rFonts w:ascii="宋体" w:hAnsi="宋体"/>
          <w:bCs w:val="0"/>
          <w:szCs w:val="36"/>
        </w:rPr>
        <w:fldChar w:fldCharType="separate"/>
      </w:r>
      <w:r>
        <w:rPr>
          <w:rFonts w:hint="default" w:ascii="Times New Roman" w:hAnsi="Times New Roman" w:eastAsia="宋体" w:cs="Times New Roman"/>
          <w:bCs/>
          <w:i w:val="0"/>
          <w:szCs w:val="28"/>
          <w:lang w:eastAsia="zh-CN"/>
        </w:rPr>
        <w:t xml:space="preserve">4.5 </w:t>
      </w:r>
      <w:r>
        <w:rPr>
          <w:rFonts w:hint="eastAsia"/>
          <w:bCs/>
          <w:lang w:eastAsia="zh-CN"/>
        </w:rPr>
        <w:t>商务条款</w:t>
      </w:r>
      <w:r>
        <w:tab/>
      </w:r>
      <w:r>
        <w:fldChar w:fldCharType="begin"/>
      </w:r>
      <w:r>
        <w:instrText xml:space="preserve"> PAGEREF _Toc8941 \h </w:instrText>
      </w:r>
      <w:r>
        <w:fldChar w:fldCharType="separate"/>
      </w:r>
      <w:r>
        <w:t>45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_Toc7494 </w:instrText>
      </w:r>
      <w:r>
        <w:rPr>
          <w:rFonts w:ascii="宋体" w:hAnsi="宋体"/>
          <w:bCs w:val="0"/>
          <w:szCs w:val="36"/>
        </w:rPr>
        <w:fldChar w:fldCharType="separate"/>
      </w:r>
      <w:r>
        <w:rPr>
          <w:rFonts w:hint="default" w:ascii="Times New Roman" w:hAnsi="Times New Roman" w:eastAsia="宋体" w:cs="Times New Roman"/>
          <w:i w:val="0"/>
          <w:szCs w:val="28"/>
        </w:rPr>
        <w:t xml:space="preserve">4.6 </w:t>
      </w:r>
      <w:r>
        <w:rPr>
          <w:rFonts w:hint="eastAsia"/>
          <w:szCs w:val="32"/>
        </w:rPr>
        <w:t>采购标的其他技术、服务等要求</w:t>
      </w:r>
      <w:r>
        <w:tab/>
      </w:r>
      <w:r>
        <w:fldChar w:fldCharType="begin"/>
      </w:r>
      <w:r>
        <w:instrText xml:space="preserve"> PAGEREF _Toc7494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_Toc13074 </w:instrText>
      </w:r>
      <w:r>
        <w:rPr>
          <w:rFonts w:ascii="宋体" w:hAnsi="宋体"/>
          <w:bCs w:val="0"/>
          <w:szCs w:val="36"/>
        </w:rPr>
        <w:fldChar w:fldCharType="separate"/>
      </w:r>
      <w:r>
        <w:rPr>
          <w:rFonts w:hint="default" w:ascii="Times New Roman" w:hAnsi="Times New Roman" w:eastAsia="宋体" w:cs="Times New Roman"/>
          <w:i w:val="0"/>
          <w:szCs w:val="28"/>
        </w:rPr>
        <w:t xml:space="preserve">4.7 </w:t>
      </w:r>
      <w:r>
        <w:rPr>
          <w:rFonts w:hint="eastAsia"/>
          <w:szCs w:val="32"/>
        </w:rPr>
        <w:t>违约责任</w:t>
      </w:r>
      <w:r>
        <w:tab/>
      </w:r>
      <w:r>
        <w:fldChar w:fldCharType="begin"/>
      </w:r>
      <w:r>
        <w:instrText xml:space="preserve"> PAGEREF _Toc13074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_Toc21849 </w:instrText>
      </w:r>
      <w:r>
        <w:rPr>
          <w:rFonts w:ascii="宋体" w:hAnsi="宋体"/>
          <w:bCs w:val="0"/>
          <w:szCs w:val="36"/>
        </w:rPr>
        <w:fldChar w:fldCharType="separate"/>
      </w:r>
      <w:r>
        <w:rPr>
          <w:rFonts w:hint="default" w:ascii="Times New Roman" w:hAnsi="Times New Roman" w:eastAsia="宋体" w:cs="Times New Roman"/>
          <w:i w:val="0"/>
          <w:szCs w:val="28"/>
        </w:rPr>
        <w:t xml:space="preserve">4.8 </w:t>
      </w:r>
      <w:r>
        <w:rPr>
          <w:rFonts w:hint="eastAsia"/>
        </w:rPr>
        <w:t>报价要求</w:t>
      </w:r>
      <w:r>
        <w:tab/>
      </w:r>
      <w:r>
        <w:fldChar w:fldCharType="begin"/>
      </w:r>
      <w:r>
        <w:instrText xml:space="preserve"> PAGEREF _Toc21849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_Toc11506 </w:instrText>
      </w:r>
      <w:r>
        <w:rPr>
          <w:rFonts w:ascii="宋体" w:hAnsi="宋体"/>
          <w:bCs w:val="0"/>
          <w:szCs w:val="36"/>
        </w:rPr>
        <w:fldChar w:fldCharType="separate"/>
      </w:r>
      <w:r>
        <w:rPr>
          <w:rFonts w:hint="default" w:ascii="Times New Roman" w:hAnsi="Times New Roman" w:eastAsia="宋体" w:cs="Times New Roman"/>
          <w:i w:val="0"/>
          <w:szCs w:val="28"/>
        </w:rPr>
        <w:t xml:space="preserve">4.9 </w:t>
      </w:r>
      <w:r>
        <w:rPr>
          <w:rFonts w:hint="eastAsia"/>
        </w:rPr>
        <w:t>满足采购需求的最低要求</w:t>
      </w:r>
      <w:r>
        <w:tab/>
      </w:r>
      <w:r>
        <w:fldChar w:fldCharType="begin"/>
      </w:r>
      <w:r>
        <w:instrText xml:space="preserve"> PAGEREF _Toc11506 \h </w:instrText>
      </w:r>
      <w:r>
        <w:fldChar w:fldCharType="separate"/>
      </w:r>
      <w:r>
        <w:t>49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_Toc28302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询价办法</w:t>
      </w:r>
      <w:r>
        <w:tab/>
      </w:r>
      <w:r>
        <w:fldChar w:fldCharType="begin"/>
      </w:r>
      <w:r>
        <w:instrText xml:space="preserve"> PAGEREF _Toc28302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_Toc1394 </w:instrText>
      </w:r>
      <w:r>
        <w:rPr>
          <w:rFonts w:ascii="宋体" w:hAnsi="宋体"/>
          <w:bCs w:val="0"/>
          <w:szCs w:val="36"/>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_Toc1394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_Toc20178 </w:instrText>
      </w:r>
      <w:r>
        <w:rPr>
          <w:rFonts w:ascii="宋体" w:hAnsi="宋体"/>
          <w:bCs w:val="0"/>
          <w:szCs w:val="36"/>
        </w:rPr>
        <w:fldChar w:fldCharType="separate"/>
      </w:r>
      <w:r>
        <w:rPr>
          <w:rFonts w:hint="default" w:ascii="Times New Roman" w:hAnsi="Times New Roman" w:eastAsia="宋体" w:cs="Times New Roman"/>
          <w:i w:val="0"/>
          <w:szCs w:val="28"/>
        </w:rPr>
        <w:t xml:space="preserve">5.2 </w:t>
      </w:r>
      <w:r>
        <w:rPr>
          <w:rFonts w:hint="eastAsia"/>
        </w:rPr>
        <w:t>询价</w:t>
      </w:r>
      <w:r>
        <w:t>采购活动</w:t>
      </w:r>
      <w:r>
        <w:rPr>
          <w:rFonts w:hint="eastAsia"/>
        </w:rPr>
        <w:t>程序</w:t>
      </w:r>
      <w:r>
        <w:tab/>
      </w:r>
      <w:r>
        <w:fldChar w:fldCharType="begin"/>
      </w:r>
      <w:r>
        <w:instrText xml:space="preserve"> PAGEREF _Toc20178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_Toc9468 </w:instrText>
      </w:r>
      <w:r>
        <w:rPr>
          <w:rFonts w:ascii="宋体" w:hAnsi="宋体"/>
          <w:bCs w:val="0"/>
          <w:szCs w:val="36"/>
        </w:rPr>
        <w:fldChar w:fldCharType="separate"/>
      </w:r>
      <w:r>
        <w:rPr>
          <w:rFonts w:hint="default" w:ascii="Times New Roman" w:hAnsi="Times New Roman" w:eastAsia="宋体" w:cs="Times New Roman"/>
          <w:i w:val="0"/>
        </w:rPr>
        <w:t xml:space="preserve">5.2.1 </w:t>
      </w:r>
      <w:r>
        <w:rPr>
          <w:rFonts w:hint="eastAsia"/>
        </w:rPr>
        <w:t>递交响应文件</w:t>
      </w:r>
      <w:r>
        <w:tab/>
      </w:r>
      <w:r>
        <w:fldChar w:fldCharType="begin"/>
      </w:r>
      <w:r>
        <w:instrText xml:space="preserve"> PAGEREF _Toc9468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_Toc13902 </w:instrText>
      </w:r>
      <w:r>
        <w:rPr>
          <w:rFonts w:ascii="宋体" w:hAnsi="宋体"/>
          <w:bCs w:val="0"/>
          <w:szCs w:val="36"/>
        </w:rPr>
        <w:fldChar w:fldCharType="separate"/>
      </w:r>
      <w:r>
        <w:rPr>
          <w:rFonts w:hint="default" w:ascii="Times New Roman" w:hAnsi="Times New Roman" w:eastAsia="宋体" w:cs="Times New Roman"/>
          <w:i w:val="0"/>
        </w:rPr>
        <w:t xml:space="preserve">5.2.2 </w:t>
      </w:r>
      <w:r>
        <w:rPr>
          <w:rFonts w:hint="eastAsia"/>
          <w:highlight w:val="none"/>
        </w:rPr>
        <w:t>确定邀请参加询价</w:t>
      </w:r>
      <w:r>
        <w:rPr>
          <w:highlight w:val="none"/>
        </w:rPr>
        <w:t>采购活动</w:t>
      </w:r>
      <w:r>
        <w:rPr>
          <w:rFonts w:hint="eastAsia"/>
          <w:highlight w:val="none"/>
        </w:rPr>
        <w:t>的供应商数量</w:t>
      </w:r>
      <w:r>
        <w:tab/>
      </w:r>
      <w:r>
        <w:fldChar w:fldCharType="begin"/>
      </w:r>
      <w:r>
        <w:instrText xml:space="preserve"> PAGEREF _Toc13902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_Toc1755 </w:instrText>
      </w:r>
      <w:r>
        <w:rPr>
          <w:rFonts w:ascii="宋体" w:hAnsi="宋体"/>
          <w:bCs w:val="0"/>
          <w:szCs w:val="36"/>
        </w:rPr>
        <w:fldChar w:fldCharType="separate"/>
      </w:r>
      <w:r>
        <w:rPr>
          <w:rFonts w:hint="default" w:ascii="Times New Roman" w:hAnsi="Times New Roman" w:eastAsia="宋体" w:cs="Times New Roman"/>
          <w:i w:val="0"/>
        </w:rPr>
        <w:t xml:space="preserve">5.2.3 </w:t>
      </w:r>
      <w:r>
        <w:rPr>
          <w:rFonts w:hint="eastAsia"/>
        </w:rPr>
        <w:t>成立询价小组</w:t>
      </w:r>
      <w:r>
        <w:tab/>
      </w:r>
      <w:r>
        <w:fldChar w:fldCharType="begin"/>
      </w:r>
      <w:r>
        <w:instrText xml:space="preserve"> PAGEREF _Toc1755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_Toc2013 </w:instrText>
      </w:r>
      <w:r>
        <w:rPr>
          <w:rFonts w:ascii="宋体" w:hAnsi="宋体"/>
          <w:bCs w:val="0"/>
          <w:szCs w:val="36"/>
        </w:rPr>
        <w:fldChar w:fldCharType="separate"/>
      </w:r>
      <w:r>
        <w:rPr>
          <w:rFonts w:hint="default" w:ascii="Times New Roman" w:hAnsi="Times New Roman" w:eastAsia="宋体" w:cs="Times New Roman"/>
          <w:i w:val="0"/>
        </w:rPr>
        <w:t xml:space="preserve">5.2.4 </w:t>
      </w:r>
      <w:r>
        <w:rPr>
          <w:rFonts w:hint="eastAsia"/>
        </w:rPr>
        <w:t>资格审查</w:t>
      </w:r>
      <w:r>
        <w:tab/>
      </w:r>
      <w:r>
        <w:fldChar w:fldCharType="begin"/>
      </w:r>
      <w:r>
        <w:instrText xml:space="preserve"> PAGEREF _Toc2013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_Toc27723 </w:instrText>
      </w:r>
      <w:r>
        <w:rPr>
          <w:rFonts w:ascii="宋体" w:hAnsi="宋体"/>
          <w:bCs w:val="0"/>
          <w:szCs w:val="36"/>
        </w:rPr>
        <w:fldChar w:fldCharType="separate"/>
      </w:r>
      <w:r>
        <w:rPr>
          <w:rFonts w:hint="default" w:ascii="Times New Roman" w:hAnsi="Times New Roman" w:eastAsia="宋体" w:cs="Times New Roman"/>
          <w:i w:val="0"/>
        </w:rPr>
        <w:t xml:space="preserve">5.2.5 </w:t>
      </w:r>
      <w:r>
        <w:rPr>
          <w:rFonts w:hint="eastAsia"/>
        </w:rPr>
        <w:t>符合性审查</w:t>
      </w:r>
      <w:r>
        <w:tab/>
      </w:r>
      <w:r>
        <w:fldChar w:fldCharType="begin"/>
      </w:r>
      <w:r>
        <w:instrText xml:space="preserve"> PAGEREF _Toc27723 \h </w:instrText>
      </w:r>
      <w:r>
        <w:fldChar w:fldCharType="separate"/>
      </w:r>
      <w:r>
        <w:t>55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_Toc2642 </w:instrText>
      </w:r>
      <w:r>
        <w:rPr>
          <w:rFonts w:ascii="宋体" w:hAnsi="宋体"/>
          <w:bCs w:val="0"/>
          <w:szCs w:val="36"/>
        </w:rPr>
        <w:fldChar w:fldCharType="separate"/>
      </w:r>
      <w:r>
        <w:rPr>
          <w:rFonts w:hint="default" w:ascii="Times New Roman" w:hAnsi="Times New Roman" w:eastAsia="宋体" w:cs="Times New Roman"/>
          <w:i w:val="0"/>
        </w:rPr>
        <w:t xml:space="preserve">5.2.6 </w:t>
      </w:r>
      <w:r>
        <w:rPr>
          <w:rFonts w:hint="eastAsia"/>
        </w:rPr>
        <w:t>报价及</w:t>
      </w:r>
      <w:r>
        <w:t>报价</w:t>
      </w:r>
      <w:r>
        <w:rPr>
          <w:rFonts w:hint="eastAsia"/>
        </w:rPr>
        <w:t>审查</w:t>
      </w:r>
      <w:r>
        <w:tab/>
      </w:r>
      <w:r>
        <w:fldChar w:fldCharType="begin"/>
      </w:r>
      <w:r>
        <w:instrText xml:space="preserve"> PAGEREF _Toc2642 \h </w:instrText>
      </w:r>
      <w:r>
        <w:fldChar w:fldCharType="separate"/>
      </w:r>
      <w:r>
        <w:t>57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_Toc2359 </w:instrText>
      </w:r>
      <w:r>
        <w:rPr>
          <w:rFonts w:ascii="宋体" w:hAnsi="宋体"/>
          <w:bCs w:val="0"/>
          <w:szCs w:val="36"/>
        </w:rPr>
        <w:fldChar w:fldCharType="separate"/>
      </w:r>
      <w:r>
        <w:rPr>
          <w:rFonts w:hint="default" w:ascii="Times New Roman" w:hAnsi="Times New Roman" w:eastAsia="宋体" w:cs="Times New Roman"/>
          <w:i w:val="0"/>
        </w:rPr>
        <w:t xml:space="preserve">5.2.7 </w:t>
      </w:r>
      <w:r>
        <w:rPr>
          <w:rFonts w:hint="eastAsia"/>
        </w:rPr>
        <w:t>解释、澄清、说明的有关问题</w:t>
      </w:r>
      <w:r>
        <w:tab/>
      </w:r>
      <w:r>
        <w:fldChar w:fldCharType="begin"/>
      </w:r>
      <w:r>
        <w:instrText xml:space="preserve"> PAGEREF _Toc2359 \h </w:instrText>
      </w:r>
      <w:r>
        <w:fldChar w:fldCharType="separate"/>
      </w:r>
      <w:r>
        <w:t>59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_Toc4298 </w:instrText>
      </w:r>
      <w:r>
        <w:rPr>
          <w:rFonts w:ascii="宋体" w:hAnsi="宋体"/>
          <w:bCs w:val="0"/>
          <w:szCs w:val="36"/>
        </w:rPr>
        <w:fldChar w:fldCharType="separate"/>
      </w:r>
      <w:r>
        <w:rPr>
          <w:rFonts w:hint="default" w:ascii="Times New Roman" w:hAnsi="Times New Roman" w:eastAsia="宋体" w:cs="Times New Roman"/>
          <w:i w:val="0"/>
        </w:rPr>
        <w:t xml:space="preserve">5.2.8 </w:t>
      </w:r>
      <w:r>
        <w:rPr>
          <w:rFonts w:hint="eastAsia"/>
        </w:rPr>
        <w:t>比较与评价</w:t>
      </w:r>
      <w:r>
        <w:tab/>
      </w:r>
      <w:r>
        <w:fldChar w:fldCharType="begin"/>
      </w:r>
      <w:r>
        <w:instrText xml:space="preserve"> PAGEREF _Toc4298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_Toc32700 </w:instrText>
      </w:r>
      <w:r>
        <w:rPr>
          <w:rFonts w:ascii="宋体" w:hAnsi="宋体"/>
          <w:bCs w:val="0"/>
          <w:szCs w:val="36"/>
        </w:rPr>
        <w:fldChar w:fldCharType="separate"/>
      </w:r>
      <w:r>
        <w:rPr>
          <w:rFonts w:hint="default" w:ascii="Times New Roman" w:hAnsi="Times New Roman" w:eastAsia="宋体" w:cs="Times New Roman"/>
          <w:i w:val="0"/>
        </w:rPr>
        <w:t xml:space="preserve">5.2.9 </w:t>
      </w:r>
      <w:r>
        <w:rPr>
          <w:rFonts w:hint="eastAsia"/>
        </w:rPr>
        <w:t>询价小组复核</w:t>
      </w:r>
      <w:r>
        <w:tab/>
      </w:r>
      <w:r>
        <w:fldChar w:fldCharType="begin"/>
      </w:r>
      <w:r>
        <w:instrText xml:space="preserve"> PAGEREF _Toc32700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_Toc10902 </w:instrText>
      </w:r>
      <w:r>
        <w:rPr>
          <w:rFonts w:ascii="宋体" w:hAnsi="宋体"/>
          <w:bCs w:val="0"/>
          <w:szCs w:val="36"/>
        </w:rPr>
        <w:fldChar w:fldCharType="separate"/>
      </w:r>
      <w:r>
        <w:rPr>
          <w:rFonts w:hint="default" w:ascii="Times New Roman" w:hAnsi="Times New Roman" w:eastAsia="宋体" w:cs="Times New Roman"/>
          <w:i w:val="0"/>
        </w:rPr>
        <w:t xml:space="preserve">5.2.10 </w:t>
      </w:r>
      <w:r>
        <w:rPr>
          <w:rFonts w:hint="eastAsia"/>
        </w:rPr>
        <w:t>推荐成交候选供应商</w:t>
      </w:r>
      <w:r>
        <w:tab/>
      </w:r>
      <w:r>
        <w:fldChar w:fldCharType="begin"/>
      </w:r>
      <w:r>
        <w:instrText xml:space="preserve"> PAGEREF _Toc10902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_Toc26855 </w:instrText>
      </w:r>
      <w:r>
        <w:rPr>
          <w:rFonts w:ascii="宋体" w:hAnsi="宋体"/>
          <w:bCs w:val="0"/>
          <w:szCs w:val="36"/>
        </w:rPr>
        <w:fldChar w:fldCharType="separate"/>
      </w:r>
      <w:r>
        <w:rPr>
          <w:rFonts w:hint="default" w:ascii="Times New Roman" w:hAnsi="Times New Roman" w:eastAsia="宋体" w:cs="Times New Roman"/>
          <w:i w:val="0"/>
        </w:rPr>
        <w:t xml:space="preserve">5.2.11 </w:t>
      </w:r>
      <w:r>
        <w:rPr>
          <w:rFonts w:hint="eastAsia"/>
        </w:rPr>
        <w:t>编写评审报告</w:t>
      </w:r>
      <w:r>
        <w:tab/>
      </w:r>
      <w:r>
        <w:fldChar w:fldCharType="begin"/>
      </w:r>
      <w:r>
        <w:instrText xml:space="preserve"> PAGEREF _Toc26855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_Toc16267 </w:instrText>
      </w:r>
      <w:r>
        <w:rPr>
          <w:rFonts w:ascii="宋体" w:hAnsi="宋体"/>
          <w:bCs w:val="0"/>
          <w:szCs w:val="36"/>
        </w:rPr>
        <w:fldChar w:fldCharType="separate"/>
      </w:r>
      <w:r>
        <w:rPr>
          <w:rFonts w:hint="default" w:ascii="Times New Roman" w:hAnsi="Times New Roman" w:eastAsia="宋体" w:cs="Times New Roman"/>
          <w:i w:val="0"/>
          <w:szCs w:val="28"/>
        </w:rPr>
        <w:t xml:space="preserve">5.3 </w:t>
      </w:r>
      <w:r>
        <w:rPr>
          <w:rFonts w:hint="eastAsia"/>
        </w:rPr>
        <w:t>争议处理规则</w:t>
      </w:r>
      <w:r>
        <w:tab/>
      </w:r>
      <w:r>
        <w:fldChar w:fldCharType="begin"/>
      </w:r>
      <w:r>
        <w:instrText xml:space="preserve"> PAGEREF _Toc16267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_Toc23627 </w:instrText>
      </w:r>
      <w:r>
        <w:rPr>
          <w:rFonts w:ascii="宋体" w:hAnsi="宋体"/>
          <w:bCs w:val="0"/>
          <w:szCs w:val="36"/>
        </w:rPr>
        <w:fldChar w:fldCharType="separate"/>
      </w:r>
      <w:r>
        <w:rPr>
          <w:rFonts w:hint="default" w:ascii="Times New Roman" w:hAnsi="Times New Roman" w:eastAsia="宋体" w:cs="Times New Roman"/>
          <w:i w:val="0"/>
          <w:szCs w:val="28"/>
        </w:rPr>
        <w:t xml:space="preserve">5.4 </w:t>
      </w:r>
      <w:r>
        <w:rPr>
          <w:rFonts w:hint="eastAsia"/>
        </w:rPr>
        <w:t>采购失败情形</w:t>
      </w:r>
      <w:r>
        <w:tab/>
      </w:r>
      <w:r>
        <w:fldChar w:fldCharType="begin"/>
      </w:r>
      <w:r>
        <w:instrText xml:space="preserve"> PAGEREF _Toc23627 \h </w:instrText>
      </w:r>
      <w:r>
        <w:fldChar w:fldCharType="separate"/>
      </w:r>
      <w:r>
        <w:t>62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_Toc25526 </w:instrText>
      </w:r>
      <w:r>
        <w:rPr>
          <w:rFonts w:ascii="宋体" w:hAnsi="宋体"/>
          <w:bCs w:val="0"/>
          <w:szCs w:val="36"/>
        </w:rPr>
        <w:fldChar w:fldCharType="separate"/>
      </w:r>
      <w:r>
        <w:rPr>
          <w:rFonts w:hint="default" w:ascii="Times New Roman" w:hAnsi="Times New Roman" w:eastAsia="宋体" w:cs="Times New Roman"/>
          <w:i w:val="0"/>
          <w:szCs w:val="28"/>
        </w:rPr>
        <w:t xml:space="preserve">5.5 </w:t>
      </w:r>
      <w:r>
        <w:rPr>
          <w:rFonts w:hint="eastAsia"/>
        </w:rPr>
        <w:t>确定成交供应商</w:t>
      </w:r>
      <w:r>
        <w:tab/>
      </w:r>
      <w:r>
        <w:fldChar w:fldCharType="begin"/>
      </w:r>
      <w:r>
        <w:instrText xml:space="preserve"> PAGEREF _Toc25526 \h </w:instrText>
      </w:r>
      <w:r>
        <w:fldChar w:fldCharType="separate"/>
      </w:r>
      <w:r>
        <w:t>62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_Toc13666 </w:instrText>
      </w:r>
      <w:r>
        <w:rPr>
          <w:rFonts w:ascii="宋体" w:hAnsi="宋体"/>
          <w:bCs w:val="0"/>
          <w:szCs w:val="36"/>
        </w:rPr>
        <w:fldChar w:fldCharType="separate"/>
      </w:r>
      <w:r>
        <w:rPr>
          <w:rFonts w:hint="default" w:ascii="Times New Roman" w:hAnsi="Times New Roman" w:eastAsia="宋体" w:cs="Times New Roman"/>
          <w:i w:val="0"/>
          <w:szCs w:val="28"/>
        </w:rPr>
        <w:t xml:space="preserve">5.6 </w:t>
      </w:r>
      <w:r>
        <w:rPr>
          <w:rFonts w:hint="eastAsia"/>
        </w:rPr>
        <w:t>询价小组成员义务</w:t>
      </w:r>
      <w:r>
        <w:tab/>
      </w:r>
      <w:r>
        <w:fldChar w:fldCharType="begin"/>
      </w:r>
      <w:r>
        <w:instrText xml:space="preserve"> PAGEREF _Toc13666 \h </w:instrText>
      </w:r>
      <w:r>
        <w:fldChar w:fldCharType="separate"/>
      </w:r>
      <w:r>
        <w:t>64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_Toc17861 </w:instrText>
      </w:r>
      <w:r>
        <w:rPr>
          <w:rFonts w:ascii="宋体" w:hAnsi="宋体"/>
          <w:bCs w:val="0"/>
          <w:szCs w:val="36"/>
        </w:rPr>
        <w:fldChar w:fldCharType="separate"/>
      </w:r>
      <w:r>
        <w:rPr>
          <w:rFonts w:hint="default" w:ascii="Times New Roman" w:hAnsi="Times New Roman" w:eastAsia="宋体" w:cs="Times New Roman"/>
          <w:i w:val="0"/>
          <w:szCs w:val="28"/>
        </w:rPr>
        <w:t xml:space="preserve">5.7 </w:t>
      </w:r>
      <w:r>
        <w:rPr>
          <w:rFonts w:hint="eastAsia"/>
        </w:rPr>
        <w:t>询价采购</w:t>
      </w:r>
      <w:r>
        <w:t>活动</w:t>
      </w:r>
      <w:r>
        <w:rPr>
          <w:rFonts w:hint="eastAsia"/>
        </w:rPr>
        <w:t>纪律</w:t>
      </w:r>
      <w:r>
        <w:tab/>
      </w:r>
      <w:r>
        <w:fldChar w:fldCharType="begin"/>
      </w:r>
      <w:r>
        <w:instrText xml:space="preserve"> PAGEREF _Toc17861 \h </w:instrText>
      </w:r>
      <w:r>
        <w:fldChar w:fldCharType="separate"/>
      </w:r>
      <w:r>
        <w:t>64</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_Toc3286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政府</w:t>
      </w:r>
      <w:r>
        <w:t>采购</w:t>
      </w:r>
      <w:r>
        <w:rPr>
          <w:rFonts w:hint="eastAsia"/>
        </w:rPr>
        <w:t>合同草案</w:t>
      </w:r>
      <w:r>
        <w:tab/>
      </w:r>
      <w:r>
        <w:fldChar w:fldCharType="begin"/>
      </w:r>
      <w:r>
        <w:instrText xml:space="preserve"> PAGEREF _Toc3286 \h </w:instrText>
      </w:r>
      <w:r>
        <w:fldChar w:fldCharType="separate"/>
      </w:r>
      <w:r>
        <w:t>66</w:t>
      </w:r>
      <w:r>
        <w:fldChar w:fldCharType="end"/>
      </w:r>
      <w:r>
        <w:rPr>
          <w:rFonts w:ascii="宋体" w:hAnsi="宋体"/>
          <w:bCs w:val="0"/>
          <w:szCs w:val="36"/>
        </w:rP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4692"/>
      <w:r>
        <w:rPr>
          <w:rFonts w:hint="eastAsia"/>
        </w:rPr>
        <w:t>询价邀请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u w:val="single"/>
          <w:lang w:val="en-US" w:eastAsia="zh-CN"/>
        </w:rPr>
        <w:t>彭州</w:t>
      </w:r>
      <w:r>
        <w:rPr>
          <w:rFonts w:hint="eastAsia" w:ascii="宋体" w:hAnsi="宋体"/>
          <w:b/>
          <w:sz w:val="28"/>
          <w:szCs w:val="28"/>
          <w:u w:val="single"/>
        </w:rPr>
        <w:t>市公共资源交易服务中心</w:t>
      </w:r>
      <w:r>
        <w:rPr>
          <w:rFonts w:hint="eastAsia" w:ascii="宋体" w:hAnsi="宋体"/>
          <w:sz w:val="28"/>
          <w:szCs w:val="28"/>
        </w:rPr>
        <w:t>(以下简称“市公资交易中心”)受</w:t>
      </w:r>
      <w:r>
        <w:rPr>
          <w:rFonts w:hint="eastAsia" w:ascii="宋体" w:hAnsi="宋体"/>
          <w:b/>
          <w:bCs/>
          <w:sz w:val="28"/>
          <w:szCs w:val="28"/>
          <w:u w:val="single"/>
        </w:rPr>
        <w:t>彭州市行政审批局</w:t>
      </w:r>
      <w:r>
        <w:rPr>
          <w:rFonts w:hint="eastAsia" w:ascii="宋体" w:hAnsi="宋体"/>
          <w:sz w:val="28"/>
          <w:szCs w:val="28"/>
        </w:rPr>
        <w:t>委托,拟对</w:t>
      </w:r>
      <w:r>
        <w:rPr>
          <w:rFonts w:hint="eastAsia" w:ascii="宋体" w:hAnsi="宋体"/>
          <w:b/>
          <w:bCs/>
          <w:sz w:val="28"/>
          <w:szCs w:val="28"/>
          <w:u w:val="single"/>
          <w:lang w:eastAsia="zh-CN"/>
        </w:rPr>
        <w:t>彭州市行政审批局新增区域采购台式计算机等办公设备项目</w:t>
      </w:r>
      <w:r>
        <w:rPr>
          <w:rFonts w:hint="eastAsia" w:ascii="宋体" w:hAnsi="宋体"/>
          <w:sz w:val="28"/>
          <w:szCs w:val="28"/>
        </w:rPr>
        <w:t>采用询价采购方式进行采购，欢迎供应商参加该项目的询价采购活动。</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val="en-US" w:eastAsia="zh-CN"/>
        </w:rPr>
        <w:t>彭州市政采（2021）A0010号</w:t>
      </w:r>
    </w:p>
    <w:p>
      <w:pPr>
        <w:spacing w:line="600" w:lineRule="exact"/>
        <w:ind w:firstLine="562" w:firstLineChars="200"/>
        <w:rPr>
          <w:rFonts w:ascii="宋体" w:hAnsi="宋体"/>
          <w:b/>
          <w:sz w:val="28"/>
          <w:szCs w:val="28"/>
        </w:rPr>
      </w:pPr>
      <w:r>
        <w:rPr>
          <w:rFonts w:hint="eastAsia" w:ascii="宋体" w:hAnsi="宋体"/>
          <w:b/>
          <w:sz w:val="28"/>
          <w:szCs w:val="28"/>
        </w:rPr>
        <w:t>（采购项目编号：510182202100120）</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eastAsia="zh-CN"/>
        </w:rPr>
        <w:t>彭州市行政审批局新增区域采购台式计算机等办公设备项目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rPr>
        <w:fldChar w:fldCharType="begin"/>
      </w:r>
      <w:r>
        <w:rPr>
          <w:rFonts w:hint="eastAsia" w:ascii="宋体" w:hAnsi="宋体"/>
          <w:sz w:val="28"/>
          <w:szCs w:val="28"/>
        </w:rPr>
        <w:instrText xml:space="preserve"> HYPERLINK "https://pay.zcygov.cn/purchaseplan_front/" \l "/plan/list/detail?id=1000000000005594163&amp;encrypt=d8204a7b07914467fe7fb499461dcba7" \t "https://www.zcygov.cn/bidding-entrust/" \l "/purchaseFileMake/_blank" </w:instrText>
      </w:r>
      <w:r>
        <w:rPr>
          <w:rFonts w:hint="eastAsia" w:ascii="宋体" w:hAnsi="宋体"/>
          <w:sz w:val="28"/>
          <w:szCs w:val="28"/>
        </w:rPr>
        <w:fldChar w:fldCharType="separate"/>
      </w:r>
      <w:r>
        <w:rPr>
          <w:rFonts w:hint="eastAsia" w:ascii="宋体" w:hAnsi="宋体"/>
          <w:sz w:val="28"/>
          <w:szCs w:val="28"/>
        </w:rPr>
        <w:t>(2021)0384号</w:t>
      </w:r>
      <w:r>
        <w:rPr>
          <w:rFonts w:hint="eastAsia" w:ascii="宋体" w:hAnsi="宋体"/>
          <w:sz w:val="28"/>
          <w:szCs w:val="28"/>
        </w:rPr>
        <w:fldChar w:fldCharType="end"/>
      </w:r>
      <w:r>
        <w:rPr>
          <w:rFonts w:hint="eastAsia" w:ascii="宋体" w:hAnsi="宋体"/>
          <w:sz w:val="28"/>
          <w:szCs w:val="28"/>
        </w:rPr>
        <w:t>；预算品目：</w:t>
      </w:r>
      <w:r>
        <w:rPr>
          <w:rFonts w:hint="eastAsia" w:ascii="宋体" w:hAnsi="宋体"/>
          <w:sz w:val="28"/>
          <w:szCs w:val="28"/>
          <w:lang w:val="en-US" w:eastAsia="zh-CN"/>
        </w:rPr>
        <w:t>A020207-LED显示屏</w:t>
      </w:r>
      <w:r>
        <w:rPr>
          <w:rFonts w:hint="eastAsia" w:ascii="宋体" w:hAnsi="宋体"/>
          <w:sz w:val="28"/>
          <w:szCs w:val="28"/>
        </w:rPr>
        <w:t>；预算金额：</w:t>
      </w:r>
      <w:r>
        <w:rPr>
          <w:rFonts w:hint="eastAsia" w:ascii="宋体" w:hAnsi="宋体"/>
          <w:sz w:val="28"/>
          <w:szCs w:val="28"/>
          <w:lang w:val="en-US" w:eastAsia="zh-CN"/>
        </w:rPr>
        <w:t>60.4</w:t>
      </w:r>
      <w:r>
        <w:rPr>
          <w:rFonts w:hint="eastAsia" w:ascii="宋体" w:hAnsi="宋体"/>
          <w:sz w:val="28"/>
          <w:szCs w:val="28"/>
        </w:rPr>
        <w:t>万元，最高限价：</w:t>
      </w:r>
      <w:r>
        <w:rPr>
          <w:rFonts w:hint="eastAsia" w:ascii="宋体" w:hAnsi="宋体"/>
          <w:sz w:val="28"/>
          <w:szCs w:val="28"/>
          <w:lang w:val="en-US" w:eastAsia="zh-CN"/>
        </w:rPr>
        <w:t>60.4</w:t>
      </w:r>
      <w:r>
        <w:rPr>
          <w:rFonts w:hint="eastAsia" w:ascii="宋体" w:hAnsi="宋体"/>
          <w:sz w:val="28"/>
          <w:szCs w:val="28"/>
        </w:rPr>
        <w:t>万元。</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ind w:firstLine="560" w:firstLineChars="200"/>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本项目</w:t>
      </w:r>
      <w:r>
        <w:rPr>
          <w:rFonts w:hint="eastAsia" w:asciiTheme="minorEastAsia" w:hAnsiTheme="minorEastAsia" w:eastAsiaTheme="minorEastAsia"/>
          <w:sz w:val="28"/>
          <w:szCs w:val="28"/>
          <w:lang w:val="en-US" w:eastAsia="zh-CN"/>
        </w:rPr>
        <w:t>预算金额为60.4万元，</w:t>
      </w:r>
      <w:r>
        <w:rPr>
          <w:rFonts w:hint="eastAsia" w:asciiTheme="minorEastAsia" w:hAnsiTheme="minorEastAsia" w:eastAsiaTheme="minorEastAsia"/>
          <w:sz w:val="28"/>
          <w:szCs w:val="28"/>
        </w:rPr>
        <w:t>拟通过</w:t>
      </w:r>
      <w:r>
        <w:rPr>
          <w:rFonts w:hint="eastAsia" w:asciiTheme="minorEastAsia" w:hAnsiTheme="minorEastAsia" w:eastAsiaTheme="minorEastAsia"/>
          <w:sz w:val="28"/>
          <w:szCs w:val="28"/>
          <w:lang w:val="en-US" w:eastAsia="zh-CN"/>
        </w:rPr>
        <w:t>询价的</w:t>
      </w:r>
      <w:r>
        <w:rPr>
          <w:rFonts w:hint="eastAsia" w:asciiTheme="minorEastAsia" w:hAnsiTheme="minorEastAsia" w:eastAsiaTheme="minorEastAsia"/>
          <w:sz w:val="28"/>
          <w:szCs w:val="28"/>
        </w:rPr>
        <w:t>方式确定1位</w:t>
      </w:r>
      <w:r>
        <w:rPr>
          <w:rFonts w:hint="eastAsia" w:asciiTheme="minorEastAsia" w:hAnsiTheme="minorEastAsia" w:eastAsiaTheme="minorEastAsia"/>
          <w:sz w:val="28"/>
          <w:szCs w:val="28"/>
          <w:lang w:val="en-US" w:eastAsia="zh-CN"/>
        </w:rPr>
        <w:t>供应商</w:t>
      </w:r>
      <w:r>
        <w:rPr>
          <w:rFonts w:hint="eastAsia" w:asciiTheme="minorEastAsia" w:hAnsiTheme="minorEastAsia" w:eastAsiaTheme="minorEastAsia"/>
          <w:sz w:val="28"/>
          <w:szCs w:val="28"/>
        </w:rPr>
        <w:t>为彭州市</w:t>
      </w:r>
      <w:r>
        <w:rPr>
          <w:rFonts w:hint="eastAsia" w:asciiTheme="minorEastAsia" w:hAnsiTheme="minorEastAsia" w:eastAsiaTheme="minorEastAsia"/>
          <w:sz w:val="28"/>
          <w:szCs w:val="28"/>
          <w:lang w:val="en-US" w:eastAsia="zh-CN"/>
        </w:rPr>
        <w:t>行政审批局新增区域（政务大厅三楼F区两个会议室以及大数据和民生服务中心办公室）提供总共30平方米的室内LED大屏（一共3个LED大屏，每个LED大屏分别为10平方米）</w:t>
      </w:r>
      <w:r>
        <w:rPr>
          <w:rFonts w:hint="eastAsia" w:asciiTheme="minorEastAsia" w:hAnsiTheme="minorEastAsia" w:eastAsiaTheme="minorEastAsia"/>
          <w:sz w:val="28"/>
          <w:szCs w:val="28"/>
          <w:lang w:eastAsia="zh-CN"/>
        </w:rPr>
        <w:t>，并配套提供</w:t>
      </w:r>
      <w:r>
        <w:rPr>
          <w:rFonts w:hint="eastAsia" w:asciiTheme="minorEastAsia" w:hAnsiTheme="minorEastAsia" w:eastAsiaTheme="minorEastAsia"/>
          <w:sz w:val="28"/>
          <w:szCs w:val="28"/>
          <w:lang w:val="en-US" w:eastAsia="zh-CN"/>
        </w:rPr>
        <w:t>LED显示屏能正常运行的相关接收卡、控制器、配电柜等设备，以保证系统能够正常搭建并运行。</w:t>
      </w:r>
    </w:p>
    <w:p>
      <w:pPr>
        <w:pStyle w:val="2"/>
      </w:pPr>
    </w:p>
    <w:tbl>
      <w:tblPr>
        <w:tblStyle w:val="46"/>
        <w:tblW w:w="9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132"/>
        <w:gridCol w:w="5455"/>
        <w:gridCol w:w="859"/>
        <w:gridCol w:w="871"/>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pStyle w:val="143"/>
              <w:jc w:val="center"/>
              <w:rPr>
                <w:rFonts w:hint="eastAsia"/>
                <w:vertAlign w:val="baseline"/>
                <w:lang w:eastAsia="zh-CN"/>
              </w:rPr>
            </w:pPr>
            <w:r>
              <w:rPr>
                <w:rFonts w:hint="eastAsia"/>
                <w:vertAlign w:val="baseline"/>
                <w:lang w:eastAsia="zh-CN"/>
              </w:rPr>
              <w:t>序号</w:t>
            </w:r>
          </w:p>
        </w:tc>
        <w:tc>
          <w:tcPr>
            <w:tcW w:w="1132" w:type="dxa"/>
          </w:tcPr>
          <w:p>
            <w:pPr>
              <w:pStyle w:val="143"/>
              <w:jc w:val="center"/>
              <w:rPr>
                <w:rFonts w:hint="eastAsia"/>
                <w:vertAlign w:val="baseline"/>
                <w:lang w:eastAsia="zh-CN"/>
              </w:rPr>
            </w:pPr>
            <w:r>
              <w:rPr>
                <w:rFonts w:hint="eastAsia"/>
                <w:vertAlign w:val="baseline"/>
                <w:lang w:eastAsia="zh-CN"/>
              </w:rPr>
              <w:t>名称</w:t>
            </w:r>
          </w:p>
        </w:tc>
        <w:tc>
          <w:tcPr>
            <w:tcW w:w="5455" w:type="dxa"/>
          </w:tcPr>
          <w:p>
            <w:pPr>
              <w:pStyle w:val="143"/>
              <w:jc w:val="center"/>
              <w:rPr>
                <w:rFonts w:hint="eastAsia"/>
                <w:vertAlign w:val="baseline"/>
                <w:lang w:eastAsia="zh-CN"/>
              </w:rPr>
            </w:pPr>
            <w:r>
              <w:rPr>
                <w:rFonts w:hint="eastAsia"/>
                <w:vertAlign w:val="baseline"/>
                <w:lang w:eastAsia="zh-CN"/>
              </w:rPr>
              <w:t>参数</w:t>
            </w:r>
          </w:p>
        </w:tc>
        <w:tc>
          <w:tcPr>
            <w:tcW w:w="859" w:type="dxa"/>
          </w:tcPr>
          <w:p>
            <w:pPr>
              <w:pStyle w:val="143"/>
              <w:jc w:val="center"/>
              <w:rPr>
                <w:rFonts w:hint="eastAsia"/>
                <w:vertAlign w:val="baseline"/>
                <w:lang w:eastAsia="zh-CN"/>
              </w:rPr>
            </w:pPr>
            <w:r>
              <w:rPr>
                <w:rFonts w:hint="eastAsia"/>
                <w:vertAlign w:val="baseline"/>
                <w:lang w:eastAsia="zh-CN"/>
              </w:rPr>
              <w:t>数量</w:t>
            </w:r>
          </w:p>
        </w:tc>
        <w:tc>
          <w:tcPr>
            <w:tcW w:w="871" w:type="dxa"/>
          </w:tcPr>
          <w:p>
            <w:pPr>
              <w:pStyle w:val="143"/>
              <w:jc w:val="center"/>
              <w:rPr>
                <w:rFonts w:hint="eastAsia"/>
                <w:vertAlign w:val="baseline"/>
                <w:lang w:eastAsia="zh-CN"/>
              </w:rPr>
            </w:pPr>
            <w:r>
              <w:rPr>
                <w:rFonts w:hint="eastAsia"/>
                <w:vertAlign w:val="baseline"/>
                <w:lang w:eastAsia="zh-CN"/>
              </w:rPr>
              <w:t>单位</w:t>
            </w:r>
          </w:p>
        </w:tc>
        <w:tc>
          <w:tcPr>
            <w:tcW w:w="871" w:type="dxa"/>
          </w:tcPr>
          <w:p>
            <w:pPr>
              <w:pStyle w:val="143"/>
              <w:jc w:val="center"/>
              <w:rPr>
                <w:rFonts w:hint="eastAsia"/>
                <w:vertAlign w:val="baseline"/>
                <w:lang w:eastAsia="zh-CN"/>
              </w:rPr>
            </w:pPr>
            <w:r>
              <w:rPr>
                <w:rFonts w:hint="eastAsia"/>
                <w:vertAlign w:val="baseline"/>
                <w:lang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pPr>
              <w:pStyle w:val="143"/>
              <w:jc w:val="center"/>
              <w:rPr>
                <w:rFonts w:hint="default"/>
                <w:vertAlign w:val="baseline"/>
                <w:lang w:val="en-US" w:eastAsia="zh-CN"/>
              </w:rPr>
            </w:pPr>
            <w:r>
              <w:rPr>
                <w:rFonts w:hint="eastAsia"/>
                <w:vertAlign w:val="baseline"/>
                <w:lang w:val="en-US" w:eastAsia="zh-CN"/>
              </w:rPr>
              <w:t>1</w:t>
            </w:r>
          </w:p>
        </w:tc>
        <w:tc>
          <w:tcPr>
            <w:tcW w:w="1132" w:type="dxa"/>
            <w:vAlign w:val="center"/>
          </w:tcPr>
          <w:p>
            <w:pPr>
              <w:pStyle w:val="143"/>
              <w:jc w:val="center"/>
              <w:rPr>
                <w:rFonts w:hint="eastAsia"/>
                <w:vertAlign w:val="baseline"/>
                <w:lang w:eastAsia="zh-CN"/>
              </w:rPr>
            </w:pPr>
            <w:r>
              <w:rPr>
                <w:rFonts w:hint="eastAsia"/>
                <w:vertAlign w:val="baseline"/>
                <w:lang w:eastAsia="zh-CN"/>
              </w:rPr>
              <w:t>LED大屏</w:t>
            </w:r>
          </w:p>
        </w:tc>
        <w:tc>
          <w:tcPr>
            <w:tcW w:w="5455" w:type="dxa"/>
          </w:tcPr>
          <w:p>
            <w:pPr>
              <w:pStyle w:val="143"/>
              <w:jc w:val="both"/>
              <w:rPr>
                <w:rFonts w:hint="eastAsia"/>
                <w:vertAlign w:val="baseline"/>
                <w:lang w:eastAsia="zh-CN"/>
              </w:rPr>
            </w:pPr>
            <w:r>
              <w:rPr>
                <w:rFonts w:hint="eastAsia"/>
                <w:vertAlign w:val="baseline"/>
                <w:lang w:eastAsia="zh-CN"/>
              </w:rPr>
              <w:t>1.LED封装：采用自主封装1515 全彩灯珠；</w:t>
            </w:r>
          </w:p>
          <w:p>
            <w:pPr>
              <w:pStyle w:val="143"/>
              <w:jc w:val="both"/>
              <w:rPr>
                <w:rFonts w:hint="eastAsia"/>
                <w:vertAlign w:val="baseline"/>
                <w:lang w:eastAsia="zh-CN"/>
              </w:rPr>
            </w:pPr>
            <w:r>
              <w:rPr>
                <w:rFonts w:hint="eastAsia"/>
                <w:vertAlign w:val="baseline"/>
                <w:lang w:val="en-US" w:eastAsia="zh-CN"/>
              </w:rPr>
              <w:t>2.</w:t>
            </w:r>
            <w:r>
              <w:rPr>
                <w:rFonts w:hint="eastAsia"/>
                <w:vertAlign w:val="baseline"/>
                <w:lang w:eastAsia="zh-CN"/>
              </w:rPr>
              <w:t>水平可视角度：140度、垂直可视角度：140度；</w:t>
            </w:r>
          </w:p>
          <w:p>
            <w:pPr>
              <w:pStyle w:val="143"/>
              <w:jc w:val="both"/>
              <w:rPr>
                <w:rFonts w:hint="eastAsia"/>
                <w:vertAlign w:val="baseline"/>
                <w:lang w:eastAsia="zh-CN"/>
              </w:rPr>
            </w:pPr>
            <w:r>
              <w:rPr>
                <w:rFonts w:hint="eastAsia"/>
                <w:vertAlign w:val="baseline"/>
                <w:lang w:val="en-US" w:eastAsia="zh-CN"/>
              </w:rPr>
              <w:t>3.</w:t>
            </w:r>
            <w:r>
              <w:rPr>
                <w:rFonts w:hint="eastAsia"/>
                <w:vertAlign w:val="baseline"/>
                <w:lang w:eastAsia="zh-CN"/>
              </w:rPr>
              <w:t>白平衡亮度：≥600cd/㎡，模组平整度＜0.5mm；</w:t>
            </w:r>
          </w:p>
          <w:p>
            <w:pPr>
              <w:pStyle w:val="143"/>
              <w:jc w:val="both"/>
              <w:rPr>
                <w:rFonts w:hint="eastAsia"/>
                <w:vertAlign w:val="baseline"/>
                <w:lang w:eastAsia="zh-CN"/>
              </w:rPr>
            </w:pPr>
            <w:r>
              <w:rPr>
                <w:rFonts w:hint="eastAsia"/>
                <w:vertAlign w:val="baseline"/>
                <w:lang w:eastAsia="zh-CN"/>
              </w:rPr>
              <w:t>4.像素点间距：≤2mm；</w:t>
            </w:r>
            <w:r>
              <w:rPr>
                <w:rFonts w:hint="eastAsia"/>
                <w:vertAlign w:val="baseline"/>
                <w:lang w:eastAsia="zh-CN"/>
              </w:rPr>
              <w:br w:type="textWrapping"/>
            </w:r>
            <w:r>
              <w:rPr>
                <w:rFonts w:hint="eastAsia"/>
                <w:vertAlign w:val="baseline"/>
                <w:lang w:eastAsia="zh-CN"/>
              </w:rPr>
              <w:t>5.像素密度：≥250000Dots/㎡；</w:t>
            </w:r>
          </w:p>
          <w:p>
            <w:pPr>
              <w:pStyle w:val="143"/>
              <w:jc w:val="both"/>
              <w:rPr>
                <w:rFonts w:hint="eastAsia"/>
                <w:vertAlign w:val="baseline"/>
                <w:lang w:eastAsia="zh-CN"/>
              </w:rPr>
            </w:pPr>
            <w:r>
              <w:rPr>
                <w:rFonts w:hint="eastAsia"/>
                <w:vertAlign w:val="baseline"/>
                <w:lang w:eastAsia="zh-CN"/>
              </w:rPr>
              <w:t>6.模组分辨率：160*80≥12800Dots；</w:t>
            </w:r>
          </w:p>
          <w:p>
            <w:pPr>
              <w:pStyle w:val="143"/>
              <w:jc w:val="both"/>
              <w:rPr>
                <w:rFonts w:hint="eastAsia"/>
                <w:vertAlign w:val="baseline"/>
                <w:lang w:eastAsia="zh-CN"/>
              </w:rPr>
            </w:pPr>
            <w:r>
              <w:rPr>
                <w:rFonts w:hint="eastAsia"/>
                <w:vertAlign w:val="baseline"/>
                <w:lang w:eastAsia="zh-CN"/>
              </w:rPr>
              <w:t>7.模组尺寸：≥320*160mm；</w:t>
            </w:r>
            <w:r>
              <w:rPr>
                <w:rFonts w:hint="eastAsia"/>
                <w:vertAlign w:val="baseline"/>
                <w:lang w:eastAsia="zh-CN"/>
              </w:rPr>
              <w:br w:type="textWrapping"/>
            </w:r>
            <w:r>
              <w:rPr>
                <w:rFonts w:hint="eastAsia"/>
                <w:vertAlign w:val="baseline"/>
                <w:lang w:eastAsia="zh-CN"/>
              </w:rPr>
              <w:t>8.最佳视距：≥2m；</w:t>
            </w:r>
            <w:r>
              <w:rPr>
                <w:rFonts w:hint="eastAsia"/>
                <w:vertAlign w:val="baseline"/>
                <w:lang w:eastAsia="zh-CN"/>
              </w:rPr>
              <w:br w:type="textWrapping"/>
            </w:r>
            <w:r>
              <w:rPr>
                <w:rFonts w:hint="eastAsia"/>
                <w:vertAlign w:val="baseline"/>
                <w:lang w:eastAsia="zh-CN"/>
              </w:rPr>
              <w:t>9.刷新率：≥1920HZ；</w:t>
            </w:r>
            <w:r>
              <w:rPr>
                <w:rFonts w:hint="eastAsia"/>
                <w:vertAlign w:val="baseline"/>
                <w:lang w:eastAsia="zh-CN"/>
              </w:rPr>
              <w:br w:type="textWrapping"/>
            </w:r>
            <w:r>
              <w:rPr>
                <w:rFonts w:hint="eastAsia"/>
                <w:vertAlign w:val="baseline"/>
                <w:lang w:eastAsia="zh-CN"/>
              </w:rPr>
              <w:t>10.对地漏电流：＜2mA；</w:t>
            </w:r>
            <w:r>
              <w:rPr>
                <w:rFonts w:hint="eastAsia"/>
                <w:vertAlign w:val="baseline"/>
                <w:lang w:eastAsia="zh-CN"/>
              </w:rPr>
              <w:br w:type="textWrapping"/>
            </w:r>
            <w:r>
              <w:rPr>
                <w:rFonts w:hint="eastAsia"/>
                <w:vertAlign w:val="baseline"/>
                <w:lang w:eastAsia="zh-CN"/>
              </w:rPr>
              <w:t>1</w:t>
            </w:r>
            <w:r>
              <w:rPr>
                <w:rFonts w:hint="eastAsia"/>
                <w:vertAlign w:val="baseline"/>
                <w:lang w:val="en-US" w:eastAsia="zh-CN"/>
              </w:rPr>
              <w:t>1</w:t>
            </w:r>
            <w:r>
              <w:rPr>
                <w:rFonts w:hint="eastAsia"/>
                <w:vertAlign w:val="baseline"/>
                <w:lang w:eastAsia="zh-CN"/>
              </w:rPr>
              <w:t>.平均功耗：≤10W/㎡；</w:t>
            </w:r>
            <w:r>
              <w:rPr>
                <w:rFonts w:hint="eastAsia"/>
                <w:vertAlign w:val="baseline"/>
                <w:lang w:eastAsia="zh-CN"/>
              </w:rPr>
              <w:br w:type="textWrapping"/>
            </w:r>
            <w:r>
              <w:rPr>
                <w:rFonts w:hint="eastAsia"/>
                <w:vertAlign w:val="baseline"/>
                <w:lang w:eastAsia="zh-CN"/>
              </w:rPr>
              <w:t>1</w:t>
            </w:r>
            <w:r>
              <w:rPr>
                <w:rFonts w:hint="eastAsia"/>
                <w:vertAlign w:val="baseline"/>
                <w:lang w:val="en-US" w:eastAsia="zh-CN"/>
              </w:rPr>
              <w:t>2</w:t>
            </w:r>
            <w:r>
              <w:rPr>
                <w:rFonts w:hint="eastAsia"/>
                <w:vertAlign w:val="baseline"/>
                <w:lang w:eastAsia="zh-CN"/>
              </w:rPr>
              <w:t>.平均无故障时间：≥1万小时；</w:t>
            </w:r>
            <w:r>
              <w:rPr>
                <w:rFonts w:hint="eastAsia"/>
                <w:vertAlign w:val="baseline"/>
                <w:lang w:eastAsia="zh-CN"/>
              </w:rPr>
              <w:br w:type="textWrapping"/>
            </w:r>
            <w:r>
              <w:rPr>
                <w:rFonts w:hint="eastAsia"/>
                <w:vertAlign w:val="baseline"/>
                <w:lang w:eastAsia="zh-CN"/>
              </w:rPr>
              <w:t>1</w:t>
            </w:r>
            <w:r>
              <w:rPr>
                <w:rFonts w:hint="eastAsia"/>
                <w:vertAlign w:val="baseline"/>
                <w:lang w:val="en-US" w:eastAsia="zh-CN"/>
              </w:rPr>
              <w:t>3</w:t>
            </w:r>
            <w:r>
              <w:rPr>
                <w:rFonts w:hint="eastAsia"/>
                <w:vertAlign w:val="baseline"/>
                <w:lang w:eastAsia="zh-CN"/>
              </w:rPr>
              <w:t>.使用寿命：≥10万小时。</w:t>
            </w:r>
          </w:p>
        </w:tc>
        <w:tc>
          <w:tcPr>
            <w:tcW w:w="859" w:type="dxa"/>
            <w:vAlign w:val="center"/>
          </w:tcPr>
          <w:p>
            <w:pPr>
              <w:pStyle w:val="143"/>
              <w:jc w:val="center"/>
              <w:rPr>
                <w:rFonts w:hint="default"/>
                <w:vertAlign w:val="baseline"/>
                <w:lang w:val="en-US" w:eastAsia="zh-CN"/>
              </w:rPr>
            </w:pPr>
            <w:r>
              <w:rPr>
                <w:rFonts w:hint="eastAsia"/>
                <w:vertAlign w:val="baseline"/>
                <w:lang w:val="en-US" w:eastAsia="zh-CN"/>
              </w:rPr>
              <w:t>30</w:t>
            </w:r>
          </w:p>
        </w:tc>
        <w:tc>
          <w:tcPr>
            <w:tcW w:w="871" w:type="dxa"/>
            <w:vAlign w:val="center"/>
          </w:tcPr>
          <w:p>
            <w:pPr>
              <w:pStyle w:val="143"/>
              <w:jc w:val="center"/>
              <w:rPr>
                <w:rFonts w:hint="default"/>
                <w:vertAlign w:val="baseline"/>
                <w:lang w:val="en-US" w:eastAsia="zh-CN"/>
              </w:rPr>
            </w:pPr>
            <w:r>
              <w:rPr>
                <w:rFonts w:hint="eastAsia"/>
                <w:vertAlign w:val="baseline"/>
                <w:lang w:eastAsia="zh-CN"/>
              </w:rPr>
              <w:t>平方</w:t>
            </w:r>
            <w:r>
              <w:rPr>
                <w:rFonts w:hint="eastAsia"/>
                <w:vertAlign w:val="baseline"/>
                <w:lang w:val="en-US" w:eastAsia="zh-CN"/>
              </w:rPr>
              <w:t>米</w:t>
            </w:r>
          </w:p>
        </w:tc>
        <w:tc>
          <w:tcPr>
            <w:tcW w:w="871" w:type="dxa"/>
            <w:vAlign w:val="center"/>
          </w:tcPr>
          <w:p>
            <w:pPr>
              <w:pStyle w:val="143"/>
              <w:jc w:val="center"/>
              <w:rPr>
                <w:rFonts w:hint="eastAsia"/>
                <w:vertAlign w:val="baseline"/>
                <w:lang w:eastAsia="zh-CN"/>
              </w:rPr>
            </w:pPr>
            <w:r>
              <w:rPr>
                <w:rFonts w:hint="eastAsia"/>
                <w:vertAlign w:val="baseline"/>
                <w:lang w:eastAsia="zh-CN"/>
              </w:rPr>
              <w:t>工业</w:t>
            </w:r>
          </w:p>
        </w:tc>
      </w:tr>
    </w:tbl>
    <w:p>
      <w:pPr>
        <w:tabs>
          <w:tab w:val="left" w:pos="851"/>
        </w:tabs>
        <w:snapToGrid w:val="0"/>
        <w:spacing w:line="640" w:lineRule="exact"/>
        <w:ind w:firstLine="560" w:firstLineChars="200"/>
        <w:rPr>
          <w:rFonts w:ascii="宋体" w:hAnsi="宋体"/>
          <w:sz w:val="28"/>
          <w:szCs w:val="28"/>
        </w:rPr>
      </w:pPr>
      <w:r>
        <w:rPr>
          <w:rFonts w:hint="eastAsia" w:ascii="宋体" w:hAnsi="宋体"/>
          <w:sz w:val="28"/>
          <w:szCs w:val="28"/>
        </w:rPr>
        <w:t>供应商必须对所有货物及服务内容进行报价，并响应询价通知书的要求，详细的技术、服务、商务及其他要求见第4章。</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禁止参加询价的供应商；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本次政府采购活动不接受供应商以联合体的形式参加询价采购</w:t>
      </w:r>
      <w:r>
        <w:rPr>
          <w:rFonts w:ascii="宋体" w:hAnsi="宋体"/>
          <w:sz w:val="28"/>
          <w:szCs w:val="28"/>
        </w:rPr>
        <w:t>活动</w:t>
      </w:r>
      <w:r>
        <w:rPr>
          <w:rFonts w:hint="eastAsia" w:ascii="宋体" w:hAnsi="宋体"/>
          <w:sz w:val="28"/>
          <w:szCs w:val="28"/>
        </w:rPr>
        <w:t>。</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询价通知书获取时间</w:t>
      </w:r>
    </w:p>
    <w:p>
      <w:pPr>
        <w:spacing w:line="600" w:lineRule="exact"/>
        <w:ind w:firstLine="560" w:firstLineChars="200"/>
        <w:rPr>
          <w:rFonts w:ascii="宋体" w:hAnsi="宋体"/>
          <w:sz w:val="28"/>
          <w:szCs w:val="28"/>
        </w:rPr>
      </w:pPr>
      <w:r>
        <w:rPr>
          <w:rFonts w:hint="eastAsia" w:ascii="宋体" w:hAnsi="宋体"/>
          <w:sz w:val="28"/>
          <w:szCs w:val="28"/>
        </w:rPr>
        <w:t>（一）询价</w:t>
      </w:r>
      <w:r>
        <w:rPr>
          <w:rFonts w:ascii="宋体" w:hAnsi="宋体"/>
          <w:sz w:val="28"/>
          <w:szCs w:val="28"/>
        </w:rPr>
        <w:t>通知书</w:t>
      </w:r>
      <w:r>
        <w:rPr>
          <w:rFonts w:hint="eastAsia" w:ascii="宋体" w:hAnsi="宋体"/>
          <w:sz w:val="28"/>
          <w:szCs w:val="28"/>
        </w:rPr>
        <w:t>获取时间：2021年</w:t>
      </w:r>
      <w:r>
        <w:rPr>
          <w:rFonts w:hint="eastAsia" w:ascii="宋体" w:hAnsi="宋体"/>
          <w:sz w:val="28"/>
          <w:szCs w:val="28"/>
          <w:lang w:val="en-US" w:eastAsia="zh-CN"/>
        </w:rPr>
        <w:t>7</w:t>
      </w:r>
      <w:r>
        <w:rPr>
          <w:rFonts w:hint="eastAsia" w:ascii="宋体" w:hAnsi="宋体"/>
          <w:sz w:val="28"/>
          <w:szCs w:val="28"/>
        </w:rPr>
        <w:t>月</w:t>
      </w:r>
      <w:r>
        <w:rPr>
          <w:rFonts w:hint="eastAsia" w:ascii="宋体" w:hAnsi="宋体"/>
          <w:sz w:val="28"/>
          <w:szCs w:val="28"/>
          <w:lang w:val="en-US" w:eastAsia="zh-CN"/>
        </w:rPr>
        <w:t>30</w:t>
      </w:r>
      <w:r>
        <w:rPr>
          <w:rFonts w:hint="eastAsia" w:ascii="宋体" w:hAnsi="宋体"/>
          <w:sz w:val="28"/>
          <w:szCs w:val="28"/>
        </w:rPr>
        <w:t>日至</w:t>
      </w:r>
      <w:r>
        <w:rPr>
          <w:rFonts w:hint="eastAsia" w:ascii="宋体" w:hAnsi="宋体"/>
          <w:sz w:val="28"/>
          <w:szCs w:val="28"/>
          <w:lang w:val="en-US" w:eastAsia="zh-CN"/>
        </w:rPr>
        <w:t>8</w:t>
      </w:r>
      <w:r>
        <w:rPr>
          <w:rFonts w:hint="eastAsia" w:ascii="宋体" w:hAnsi="宋体"/>
          <w:sz w:val="28"/>
          <w:szCs w:val="28"/>
        </w:rPr>
        <w:t>月</w:t>
      </w:r>
      <w:r>
        <w:rPr>
          <w:rFonts w:hint="eastAsia" w:ascii="宋体" w:hAnsi="宋体"/>
          <w:sz w:val="28"/>
          <w:szCs w:val="28"/>
          <w:lang w:val="en-US" w:eastAsia="zh-CN"/>
        </w:rPr>
        <w:t>5</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w:t>
      </w:r>
      <w:r>
        <w:rPr>
          <w:rFonts w:hint="eastAsia" w:ascii="宋体" w:hAnsi="宋体"/>
          <w:sz w:val="28"/>
          <w:szCs w:val="28"/>
          <w:lang w:val="en-US" w:eastAsia="zh-CN"/>
        </w:rPr>
        <w:t>7</w:t>
      </w:r>
      <w:r>
        <w:rPr>
          <w:rFonts w:hint="eastAsia" w:ascii="宋体" w:hAnsi="宋体"/>
          <w:sz w:val="28"/>
          <w:szCs w:val="28"/>
        </w:rPr>
        <w:t>月</w:t>
      </w:r>
      <w:r>
        <w:rPr>
          <w:rFonts w:hint="eastAsia" w:ascii="宋体" w:hAnsi="宋体"/>
          <w:sz w:val="28"/>
          <w:szCs w:val="28"/>
          <w:lang w:val="en-US" w:eastAsia="zh-CN"/>
        </w:rPr>
        <w:t>30</w:t>
      </w:r>
      <w:r>
        <w:rPr>
          <w:rFonts w:hint="eastAsia" w:ascii="宋体" w:hAnsi="宋体"/>
          <w:sz w:val="28"/>
          <w:szCs w:val="28"/>
        </w:rPr>
        <w:t>日至</w:t>
      </w:r>
      <w:r>
        <w:rPr>
          <w:rFonts w:hint="eastAsia" w:ascii="宋体" w:hAnsi="宋体"/>
          <w:sz w:val="28"/>
          <w:szCs w:val="28"/>
          <w:lang w:val="en-US" w:eastAsia="zh-CN"/>
        </w:rPr>
        <w:t>8</w:t>
      </w:r>
      <w:r>
        <w:rPr>
          <w:rFonts w:hint="eastAsia" w:ascii="宋体" w:hAnsi="宋体"/>
          <w:sz w:val="28"/>
          <w:szCs w:val="28"/>
        </w:rPr>
        <w:t>月</w:t>
      </w:r>
      <w:r>
        <w:rPr>
          <w:rFonts w:hint="eastAsia" w:ascii="宋体" w:hAnsi="宋体"/>
          <w:sz w:val="28"/>
          <w:szCs w:val="28"/>
          <w:lang w:val="en-US" w:eastAsia="zh-CN"/>
        </w:rPr>
        <w:t>5</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询价通知书</w:t>
      </w:r>
      <w:r>
        <w:rPr>
          <w:rFonts w:hint="eastAsia" w:ascii="宋体" w:hAnsi="宋体"/>
          <w:b/>
          <w:sz w:val="28"/>
        </w:rPr>
        <w:t>获取方式</w:t>
      </w:r>
    </w:p>
    <w:p>
      <w:pPr>
        <w:spacing w:line="360" w:lineRule="auto"/>
        <w:ind w:firstLine="560" w:firstLineChars="200"/>
        <w:rPr>
          <w:rFonts w:ascii="宋体" w:hAnsi="宋体"/>
          <w:sz w:val="28"/>
          <w:szCs w:val="28"/>
        </w:rPr>
      </w:pPr>
      <w:r>
        <w:rPr>
          <w:rFonts w:hint="eastAsia" w:ascii="宋体" w:hAnsi="宋体"/>
          <w:sz w:val="28"/>
          <w:szCs w:val="28"/>
        </w:rPr>
        <w:t>供应商要参加询价，应在成都市公共资源交易服务中心“政府采购云平台”获取询价通知书。登录成都市公共资源交易服务中心门户网站（https://www.cdggzy.com/）—用户中心—政府采购云平台—项目采购—获取询价通知书—申请获取询价通知书。</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（1）本项目询价通知书免费获取。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响应文件递交截止时间及开启时间（北京时间）、地点、方式</w:t>
      </w:r>
    </w:p>
    <w:p>
      <w:pPr>
        <w:pStyle w:val="80"/>
        <w:numPr>
          <w:ilvl w:val="0"/>
          <w:numId w:val="4"/>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响应文件递交截止时间及开启时间：2021</w:t>
      </w:r>
      <w:r>
        <w:rPr>
          <w:rFonts w:ascii="宋体" w:hAnsi="宋体" w:eastAsia="宋体"/>
          <w:b/>
          <w:sz w:val="28"/>
          <w:szCs w:val="28"/>
        </w:rPr>
        <w:t>年</w:t>
      </w:r>
      <w:r>
        <w:rPr>
          <w:rFonts w:hint="eastAsia" w:ascii="宋体" w:hAnsi="宋体" w:eastAsia="宋体"/>
          <w:sz w:val="28"/>
          <w:szCs w:val="28"/>
          <w:lang w:val="en-US" w:eastAsia="zh-CN"/>
        </w:rPr>
        <w:t>8</w:t>
      </w:r>
      <w:r>
        <w:rPr>
          <w:rFonts w:ascii="宋体" w:hAnsi="宋体" w:eastAsia="宋体"/>
          <w:b/>
          <w:sz w:val="28"/>
          <w:szCs w:val="28"/>
        </w:rPr>
        <w:t>月</w:t>
      </w:r>
      <w:r>
        <w:rPr>
          <w:rFonts w:hint="eastAsia" w:ascii="宋体" w:hAnsi="宋体" w:eastAsia="宋体"/>
          <w:sz w:val="28"/>
          <w:szCs w:val="28"/>
          <w:lang w:val="en-US" w:eastAsia="zh-CN"/>
        </w:rPr>
        <w:t>6</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lang w:val="en-US" w:eastAsia="zh-CN"/>
        </w:rPr>
        <w:t>30</w:t>
      </w:r>
      <w:r>
        <w:rPr>
          <w:rFonts w:hint="eastAsia" w:ascii="宋体" w:hAnsi="宋体" w:eastAsia="宋体"/>
          <w:b/>
          <w:sz w:val="28"/>
          <w:szCs w:val="28"/>
        </w:rPr>
        <w:t>。</w:t>
      </w:r>
    </w:p>
    <w:p>
      <w:pPr>
        <w:pStyle w:val="80"/>
        <w:numPr>
          <w:ilvl w:val="0"/>
          <w:numId w:val="4"/>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询价地点</w:t>
      </w:r>
    </w:p>
    <w:p>
      <w:pPr>
        <w:spacing w:line="360" w:lineRule="auto"/>
        <w:ind w:firstLine="580" w:firstLineChars="200"/>
        <w:rPr>
          <w:sz w:val="29"/>
          <w:szCs w:val="29"/>
        </w:rPr>
      </w:pPr>
      <w:r>
        <w:rPr>
          <w:rFonts w:hint="eastAsia"/>
          <w:sz w:val="29"/>
          <w:szCs w:val="29"/>
        </w:rPr>
        <w:t>本项目询价为不见面开标。</w:t>
      </w:r>
    </w:p>
    <w:p>
      <w:pPr>
        <w:spacing w:line="360" w:lineRule="auto"/>
        <w:ind w:firstLine="582" w:firstLineChars="200"/>
        <w:rPr>
          <w:b/>
          <w:sz w:val="29"/>
          <w:szCs w:val="29"/>
        </w:rPr>
      </w:pPr>
      <w:r>
        <w:rPr>
          <w:rFonts w:hint="eastAsia"/>
          <w:b/>
          <w:sz w:val="29"/>
          <w:szCs w:val="29"/>
        </w:rPr>
        <w:t>询价地点：政府采购云平台开标大厅。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ascii="宋体" w:hAnsi="宋体"/>
          <w:sz w:val="28"/>
          <w:szCs w:val="28"/>
        </w:rPr>
      </w:pPr>
      <w:r>
        <w:rPr>
          <w:rFonts w:hint="eastAsia" w:ascii="宋体" w:hAnsi="宋体"/>
          <w:sz w:val="28"/>
          <w:szCs w:val="28"/>
        </w:rPr>
        <w:t>（一）本项目接受中标的中小微企业以信用融资方式履约。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ascii="宋体" w:hAnsi="宋体"/>
          <w:sz w:val="28"/>
          <w:szCs w:val="28"/>
        </w:rPr>
      </w:pPr>
      <w:r>
        <w:rPr>
          <w:rFonts w:hint="eastAsia" w:ascii="宋体" w:hAnsi="宋体"/>
          <w:sz w:val="28"/>
          <w:szCs w:val="28"/>
        </w:rPr>
        <w:t>（三）本地财政部门电话：028-83888323。</w:t>
      </w:r>
    </w:p>
    <w:p>
      <w:pPr>
        <w:snapToGrid w:val="0"/>
        <w:spacing w:line="640" w:lineRule="exact"/>
        <w:ind w:firstLine="562" w:firstLineChars="200"/>
        <w:rPr>
          <w:rFonts w:ascii="宋体" w:hAnsi="宋体"/>
          <w:b/>
          <w:bCs/>
          <w:sz w:val="28"/>
          <w:szCs w:val="28"/>
        </w:rPr>
      </w:pPr>
      <w:r>
        <w:rPr>
          <w:rFonts w:hint="eastAsia" w:ascii="宋体" w:hAnsi="宋体"/>
          <w:b/>
          <w:sz w:val="28"/>
          <w:szCs w:val="28"/>
        </w:rPr>
        <w:t>十三、</w:t>
      </w:r>
      <w:r>
        <w:rPr>
          <w:rFonts w:hint="eastAsia" w:ascii="宋体" w:hAnsi="宋体"/>
          <w:b/>
          <w:bCs/>
          <w:sz w:val="28"/>
          <w:szCs w:val="28"/>
        </w:rPr>
        <w:t>本询价邀请在“四川政府采购网”和“成都市公共资源交易服务中心”网站上以公告形式发布</w:t>
      </w:r>
    </w:p>
    <w:p>
      <w:pPr>
        <w:snapToGrid w:val="0"/>
        <w:spacing w:line="640" w:lineRule="exact"/>
        <w:ind w:firstLine="562" w:firstLineChars="200"/>
        <w:rPr>
          <w:rFonts w:ascii="宋体" w:hAnsi="宋体"/>
          <w:sz w:val="28"/>
          <w:szCs w:val="28"/>
        </w:rPr>
      </w:pPr>
      <w:r>
        <w:rPr>
          <w:rFonts w:hint="eastAsia" w:ascii="宋体" w:hAnsi="宋体"/>
          <w:b/>
          <w:sz w:val="28"/>
          <w:szCs w:val="28"/>
        </w:rPr>
        <w:t>十四</w:t>
      </w:r>
      <w:r>
        <w:rPr>
          <w:rFonts w:ascii="宋体" w:hAnsi="宋体"/>
          <w:b/>
          <w:sz w:val="28"/>
          <w:szCs w:val="28"/>
        </w:rPr>
        <w:t>、</w:t>
      </w:r>
      <w:r>
        <w:rPr>
          <w:rFonts w:hint="eastAsia" w:ascii="宋体" w:hAnsi="宋体"/>
          <w:b/>
          <w:sz w:val="28"/>
          <w:szCs w:val="28"/>
        </w:rPr>
        <w:t>联系人及联系电话</w:t>
      </w:r>
    </w:p>
    <w:p>
      <w:pPr>
        <w:pStyle w:val="193"/>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宋体" w:hAnsi="宋体" w:eastAsia="宋体" w:cs="Times New Roman"/>
          <w:b/>
          <w:kern w:val="0"/>
          <w:sz w:val="28"/>
          <w:szCs w:val="28"/>
          <w:lang w:val="en-US" w:eastAsia="zh-CN" w:bidi="ar-SA"/>
        </w:rPr>
      </w:pPr>
      <w:r>
        <w:rPr>
          <w:rFonts w:hint="eastAsia" w:ascii="宋体" w:hAnsi="宋体"/>
          <w:b/>
          <w:kern w:val="0"/>
          <w:sz w:val="28"/>
          <w:szCs w:val="22"/>
        </w:rPr>
        <w:t>采购人：</w:t>
      </w:r>
      <w:r>
        <w:rPr>
          <w:rFonts w:hint="eastAsia" w:ascii="宋体" w:hAnsi="宋体" w:eastAsia="宋体" w:cs="Times New Roman"/>
          <w:b/>
          <w:kern w:val="0"/>
          <w:sz w:val="28"/>
          <w:szCs w:val="28"/>
          <w:lang w:val="en-US" w:eastAsia="zh-CN" w:bidi="ar-SA"/>
        </w:rPr>
        <w:t>彭州市行政审批局；</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  址：</w:t>
      </w:r>
      <w:r>
        <w:rPr>
          <w:rFonts w:hint="eastAsia" w:ascii="宋体" w:hAnsi="宋体"/>
          <w:kern w:val="0"/>
          <w:sz w:val="28"/>
          <w:szCs w:val="22"/>
          <w:lang w:val="en-US" w:eastAsia="zh-CN"/>
        </w:rPr>
        <w:t>彭州市天彭镇回龙西路18号</w:t>
      </w:r>
      <w:r>
        <w:rPr>
          <w:rFonts w:hint="eastAsia" w:ascii="宋体" w:hAnsi="宋体"/>
          <w:kern w:val="0"/>
          <w:sz w:val="28"/>
          <w:szCs w:val="22"/>
        </w:rPr>
        <w:t>；</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袁海鹰</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kern w:val="0"/>
          <w:sz w:val="28"/>
          <w:szCs w:val="22"/>
          <w:lang w:val="en-US" w:eastAsia="zh-CN"/>
        </w:rPr>
      </w:pPr>
      <w:r>
        <w:rPr>
          <w:rFonts w:hint="eastAsia" w:ascii="宋体" w:hAnsi="宋体"/>
          <w:kern w:val="0"/>
          <w:sz w:val="28"/>
          <w:szCs w:val="22"/>
          <w:lang w:val="en-US" w:eastAsia="zh-CN"/>
        </w:rPr>
        <w:t>联系电话：13551166818</w:t>
      </w:r>
    </w:p>
    <w:p>
      <w:pPr>
        <w:pStyle w:val="193"/>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b/>
          <w:kern w:val="0"/>
          <w:sz w:val="28"/>
          <w:szCs w:val="22"/>
        </w:rPr>
      </w:pPr>
      <w:r>
        <w:rPr>
          <w:rFonts w:hint="eastAsia" w:ascii="宋体" w:hAnsi="宋体"/>
          <w:b/>
          <w:sz w:val="28"/>
          <w:szCs w:val="28"/>
        </w:rPr>
        <w:t>集中采购代理机构：彭州市公共资源交易服务中心</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李仕静秋</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szCs w:val="22"/>
        </w:rPr>
        <w:t>联系电话：</w:t>
      </w:r>
      <w:r>
        <w:rPr>
          <w:rFonts w:hint="eastAsia" w:ascii="宋体" w:hAnsi="宋体"/>
          <w:kern w:val="0"/>
          <w:sz w:val="28"/>
        </w:rPr>
        <w:t>028-60432627</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rPr>
        <w:t>技术支持电话：4008817190</w:t>
      </w:r>
    </w:p>
    <w:p>
      <w:pPr>
        <w:keepNext w:val="0"/>
        <w:keepLines w:val="0"/>
        <w:pageBreakBefore w:val="0"/>
        <w:widowControl w:val="0"/>
        <w:kinsoku/>
        <w:wordWrap/>
        <w:overflowPunct/>
        <w:topLinePunct w:val="0"/>
        <w:autoSpaceDE/>
        <w:autoSpaceDN/>
        <w:bidi w:val="0"/>
        <w:adjustRightInd/>
        <w:snapToGrid/>
        <w:spacing w:line="560" w:lineRule="exact"/>
        <w:ind w:firstLine="568" w:firstLineChars="202"/>
        <w:textAlignment w:val="auto"/>
        <w:rPr>
          <w:rFonts w:hint="eastAsia"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集中采购监督机构：彭州市财政局</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rPr>
        <w:t>地 址：彭州市牡丹大道北二段486号</w:t>
      </w:r>
    </w:p>
    <w:p>
      <w:pPr>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firstLineChars="200"/>
        <w:textAlignment w:val="auto"/>
        <w:rPr>
          <w:rFonts w:ascii="宋体" w:hAnsi="宋体" w:cstheme="minorBidi"/>
          <w:b/>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22823"/>
      <w:bookmarkStart w:id="2" w:name="_Toc391885334"/>
      <w:bookmarkStart w:id="3" w:name="_Toc381263230"/>
      <w:bookmarkStart w:id="4" w:name="_Toc287623638"/>
      <w:r>
        <w:rPr>
          <w:rFonts w:hint="eastAsia"/>
        </w:rPr>
        <w:t>供应商须知</w:t>
      </w:r>
      <w:bookmarkEnd w:id="1"/>
      <w:bookmarkEnd w:id="2"/>
    </w:p>
    <w:p>
      <w:pPr>
        <w:pStyle w:val="4"/>
        <w:ind w:left="851" w:hanging="851"/>
      </w:pPr>
      <w:bookmarkStart w:id="5" w:name="_Toc1273"/>
      <w:r>
        <w:rPr>
          <w:rFonts w:hint="eastAsia"/>
        </w:rPr>
        <w:t>供应商须知前附表</w:t>
      </w:r>
      <w:bookmarkEnd w:id="5"/>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sz w:val="28"/>
                <w:szCs w:val="28"/>
                <w:lang w:val="en-US" w:eastAsia="zh-CN"/>
              </w:rPr>
              <w:t>60.4</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最高限价</w:t>
            </w:r>
          </w:p>
        </w:tc>
        <w:tc>
          <w:tcPr>
            <w:tcW w:w="6383" w:type="dxa"/>
            <w:vAlign w:val="center"/>
          </w:tcPr>
          <w:p>
            <w:pPr>
              <w:pStyle w:val="148"/>
              <w:spacing w:line="360" w:lineRule="auto"/>
              <w:ind w:left="38" w:hanging="24"/>
              <w:rPr>
                <w:b/>
                <w:lang w:val="zh-CN"/>
              </w:rPr>
            </w:pPr>
            <w:r>
              <w:rPr>
                <w:rFonts w:hint="eastAsia" w:cs="Times New Roman"/>
                <w:b/>
                <w:kern w:val="2"/>
              </w:rPr>
              <w:t>本项目最高限价为人民币</w:t>
            </w:r>
            <w:r>
              <w:rPr>
                <w:rFonts w:hint="eastAsia"/>
                <w:b/>
                <w:sz w:val="28"/>
                <w:szCs w:val="28"/>
                <w:lang w:val="en-US" w:eastAsia="zh-CN"/>
              </w:rPr>
              <w:t>60.4</w:t>
            </w:r>
            <w:r>
              <w:rPr>
                <w:rFonts w:hint="eastAsia" w:cs="Times New Roman"/>
                <w:b/>
                <w:kern w:val="2"/>
              </w:rPr>
              <w:t>万元，供应商报价高于最高限价的则其响应文件将按无效响应文件处理。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p>
        </w:tc>
        <w:tc>
          <w:tcPr>
            <w:tcW w:w="6383" w:type="dxa"/>
            <w:vAlign w:val="center"/>
          </w:tcPr>
          <w:p>
            <w:pPr>
              <w:adjustRightInd w:val="0"/>
              <w:snapToGrid w:val="0"/>
              <w:spacing w:line="400" w:lineRule="exact"/>
              <w:ind w:firstLine="480" w:firstLineChars="200"/>
              <w:rPr>
                <w:rFonts w:ascii="宋体" w:hAnsi="宋体" w:cs="宋体"/>
                <w:lang w:val="zh-CN"/>
              </w:rPr>
            </w:pPr>
            <w:r>
              <w:rPr>
                <w:rFonts w:hint="eastAsia" w:ascii="宋体" w:hAnsi="宋体" w:cs="宋体"/>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adjustRightInd w:val="0"/>
              <w:snapToGrid w:val="0"/>
              <w:spacing w:line="400" w:lineRule="exact"/>
              <w:ind w:firstLine="480" w:firstLineChars="200"/>
              <w:rPr>
                <w:rFonts w:ascii="宋体" w:hAnsi="宋体"/>
                <w:b/>
              </w:rPr>
            </w:pPr>
            <w:r>
              <w:rPr>
                <w:rFonts w:hint="eastAsia" w:ascii="宋体" w:hAnsi="宋体" w:cs="宋体"/>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1、根据财政部 工业和信息化部《关于印发&lt;政府采购促进中小企业发展管理办法&gt;的通知》（财库[2020]46号）的规定，对小微企业制造的货物的价格给予10%的价格扣除，用扣除后的价格参加评审。供应商提供的货物既有中小企业制造货物，也有大型企业制造货物的，不享受价格扣除。</w:t>
            </w:r>
          </w:p>
          <w:p>
            <w:pPr>
              <w:adjustRightInd w:val="0"/>
              <w:snapToGrid w:val="0"/>
              <w:spacing w:line="400" w:lineRule="exact"/>
              <w:ind w:firstLine="240" w:firstLineChars="100"/>
              <w:rPr>
                <w:rFonts w:ascii="宋体" w:hAnsi="宋体" w:cs="宋体"/>
              </w:rPr>
            </w:pPr>
            <w:r>
              <w:rPr>
                <w:rFonts w:hint="eastAsia" w:ascii="宋体" w:hAnsi="宋体" w:cs="宋体"/>
              </w:rPr>
              <w:t xml:space="preserve"> 2、供应商应提供《中小企业声明函》原件。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监狱企业价格扣除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１、根据《关于政府采购支持监狱企业发展有关问题的通知》（财库[2014]68号）的规定，监狱企业视同小型和微型企业，对监狱企业制造的货物的价格给予10%的价格扣除，用扣除后的价格参与评审。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２、产品中为监狱企业生产的产品应提供由省级以上监狱管理局、戒毒管理局（含新疆生产建设兵团）出具的供应商属于监狱企业的证明文件复印件。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p>
          <w:p>
            <w:pPr>
              <w:pStyle w:val="148"/>
              <w:spacing w:line="360" w:lineRule="auto"/>
              <w:rPr>
                <w:lang w:val="zh-CN"/>
              </w:rPr>
            </w:pPr>
            <w:r>
              <w:rPr>
                <w:rFonts w:hint="eastAsia"/>
                <w:lang w:val="zh-CN"/>
              </w:rPr>
              <w:t>残疾人福利性单位价格扣除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三部门联合发布关于促进残疾人就业政府采购政策的通知》（财库[2017]141号）的规定，残疾人福利性单位视同小型和微型企业，对残疾人福利性单位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2、供应商应提供《残疾人福利性单位声明函》原件。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询价保证金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本项目不收取询价保证金。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rPr>
              <w:t>详见供应商须知2.7.4。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响应文件的签章和加密</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响应文件的递交</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分钟内，使用对响应文件进行加密的CA证书在线完成对供应商递交至政府采购云平台的响应文件的解密。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对询价通知书中供应商参加本次政府采购活动应当具备的条件、项目技术、服务、商务及其他要求，评分细则及标准的询问、质疑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default" w:ascii="宋体" w:hAnsi="宋体" w:eastAsia="宋体"/>
                <w:lang w:val="en-US" w:eastAsia="zh-CN"/>
              </w:rPr>
            </w:pPr>
            <w:r>
              <w:rPr>
                <w:rFonts w:hint="eastAsia" w:ascii="宋体" w:hAnsi="宋体"/>
              </w:rPr>
              <w:t>向采购人提出，并由采购人按相关规定作出答复（详见供应商须知2.9）。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对询价通知书中的其他内容、采购过程及成交结果的询问、质疑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向市公资交易中心提出，并由市公资交易中心按相关规定作出答复（详见供应商须知2.9）。</w:t>
            </w:r>
            <w:r>
              <w:rPr>
                <w:rFonts w:hint="eastAsia" w:ascii="宋体" w:hAnsi="宋体"/>
                <w:lang w:val="en-US" w:eastAsia="zh-CN"/>
              </w:rPr>
              <w:t>联系电话：028-60432620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pacing w:line="360" w:lineRule="auto"/>
              <w:rPr>
                <w:rFonts w:hint="eastAsia" w:ascii="宋体" w:hAnsi="宋体" w:cs="宋体"/>
                <w:lang w:val="zh-CN"/>
              </w:rPr>
            </w:pPr>
            <w:r>
              <w:rPr>
                <w:rFonts w:hint="eastAsia" w:ascii="宋体" w:hAnsi="宋体" w:cs="宋体"/>
                <w:lang w:val="zh-CN"/>
              </w:rPr>
              <w:t>投诉受理单位：彭州市财政局。</w:t>
            </w:r>
          </w:p>
          <w:p>
            <w:pPr>
              <w:tabs>
                <w:tab w:val="left" w:pos="7665"/>
              </w:tabs>
              <w:spacing w:line="360" w:lineRule="auto"/>
              <w:rPr>
                <w:rFonts w:hint="eastAsia" w:ascii="宋体" w:hAnsi="宋体" w:cs="宋体"/>
                <w:lang w:val="zh-CN"/>
              </w:rPr>
            </w:pPr>
            <w:r>
              <w:rPr>
                <w:rFonts w:hint="eastAsia" w:ascii="宋体" w:hAnsi="宋体" w:cs="宋体"/>
                <w:lang w:val="zh-CN"/>
              </w:rPr>
              <w:t>联系电话：028-83888323。</w:t>
            </w:r>
          </w:p>
          <w:p>
            <w:pPr>
              <w:tabs>
                <w:tab w:val="left" w:pos="7665"/>
              </w:tabs>
              <w:spacing w:line="360" w:lineRule="auto"/>
              <w:rPr>
                <w:rFonts w:ascii="宋体" w:hAnsi="宋体"/>
              </w:rPr>
            </w:pPr>
            <w:r>
              <w:rPr>
                <w:rFonts w:hint="eastAsia" w:ascii="宋体" w:hAnsi="宋体" w:cs="宋体"/>
                <w:lang w:val="zh-CN"/>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资格性检查情况、响应文件符合性检查情况、评审结果等将在“成都市公共资源交易服务中心网”、“四川政府采购网”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w:t>
            </w:r>
            <w:r>
              <w:rPr>
                <w:rFonts w:hint="eastAsia" w:ascii="宋体" w:hAnsi="宋体"/>
                <w:lang w:val="en-US" w:eastAsia="zh-CN"/>
              </w:rPr>
              <w:t>彭州</w:t>
            </w:r>
            <w:r>
              <w:rPr>
                <w:rFonts w:hint="eastAsia" w:ascii="宋体" w:hAnsi="宋体"/>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pStyle w:val="2"/>
              <w:keepNext w:val="0"/>
              <w:keepLines w:val="0"/>
              <w:pageBreakBefore w:val="0"/>
              <w:widowControl w:val="0"/>
              <w:kinsoku/>
              <w:wordWrap/>
              <w:overflowPunct/>
              <w:topLinePunct w:val="0"/>
              <w:autoSpaceDE/>
              <w:autoSpaceDN/>
              <w:bidi w:val="0"/>
              <w:adjustRightInd/>
              <w:spacing w:after="0" w:line="560" w:lineRule="exact"/>
              <w:ind w:firstLine="480" w:firstLineChars="200"/>
              <w:textAlignment w:val="auto"/>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1.本项目接受中标的中小微企业以信用融资方式履约。</w:t>
            </w:r>
          </w:p>
          <w:p>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tabs>
                <w:tab w:val="left" w:pos="7665"/>
              </w:tabs>
              <w:snapToGrid w:val="0"/>
              <w:spacing w:before="152" w:after="160" w:line="360" w:lineRule="auto"/>
              <w:ind w:firstLine="480" w:firstLineChars="200"/>
              <w:rPr>
                <w:rFonts w:ascii="宋体" w:hAnsi="宋体"/>
              </w:rPr>
            </w:pPr>
            <w:r>
              <w:rPr>
                <w:rFonts w:hint="eastAsia" w:ascii="宋体" w:hAnsi="宋体" w:eastAsia="宋体" w:cs="Times New Roman"/>
                <w:kern w:val="0"/>
                <w:sz w:val="24"/>
                <w:szCs w:val="24"/>
                <w:lang w:val="en-US" w:eastAsia="zh-CN" w:bidi="ar-SA"/>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6" w:name="_Toc494356973"/>
      <w:bookmarkEnd w:id="6"/>
      <w:bookmarkStart w:id="7" w:name="_Toc494095619"/>
      <w:bookmarkEnd w:id="7"/>
      <w:bookmarkStart w:id="8" w:name="_Toc9103"/>
      <w:r>
        <w:rPr>
          <w:rFonts w:hint="eastAsia"/>
        </w:rPr>
        <w:t>总则</w:t>
      </w:r>
      <w:bookmarkEnd w:id="8"/>
    </w:p>
    <w:p>
      <w:pPr>
        <w:pStyle w:val="5"/>
        <w:spacing w:line="600" w:lineRule="exact"/>
        <w:rPr>
          <w:color w:val="auto"/>
        </w:rPr>
      </w:pPr>
      <w:r>
        <w:rPr>
          <w:rFonts w:hint="eastAsia"/>
          <w:color w:val="auto"/>
        </w:rPr>
        <w:t>适用范围</w:t>
      </w:r>
      <w:bookmarkEnd w:id="3"/>
      <w:bookmarkEnd w:id="4"/>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本询价通知书仅适用于本询价邀请中所叙述项目的采购。</w:t>
      </w:r>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的最终解释权由采购人或市公资交易中心享有。询价通知书中供应商参加本次政府采购活动应当具备的条件、技术、服务及其他要求、评分标准由采购人负责解释。除上述询价通知书内容，其他内容由市公资交易中心负责解释。</w:t>
      </w:r>
    </w:p>
    <w:p>
      <w:pPr>
        <w:pStyle w:val="5"/>
        <w:spacing w:line="600" w:lineRule="exact"/>
        <w:rPr>
          <w:color w:val="auto"/>
        </w:rPr>
      </w:pPr>
      <w:bookmarkStart w:id="9" w:name="_Toc287623639"/>
      <w:r>
        <w:rPr>
          <w:rFonts w:hint="eastAsia"/>
          <w:color w:val="auto"/>
        </w:rPr>
        <w:t>有关定义</w:t>
      </w:r>
      <w:bookmarkEnd w:id="9"/>
    </w:p>
    <w:p>
      <w:pPr>
        <w:widowControl w:val="0"/>
        <w:numPr>
          <w:ilvl w:val="0"/>
          <w:numId w:val="7"/>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彭州</w:t>
      </w:r>
      <w:r>
        <w:rPr>
          <w:rFonts w:hint="eastAsia" w:ascii="宋体" w:hAnsi="宋体"/>
          <w:sz w:val="28"/>
          <w:szCs w:val="28"/>
        </w:rPr>
        <w:t>市级机关、事业单位、团体组织。本次询价采购项目的采购人是</w:t>
      </w:r>
      <w:r>
        <w:rPr>
          <w:rFonts w:hint="eastAsia" w:ascii="宋体" w:hAnsi="宋体"/>
          <w:b/>
          <w:sz w:val="28"/>
          <w:szCs w:val="28"/>
          <w:u w:val="single"/>
          <w:lang w:eastAsia="zh-CN"/>
        </w:rPr>
        <w:t>彭州市行政审批局</w:t>
      </w:r>
      <w:r>
        <w:rPr>
          <w:rFonts w:hint="eastAsia" w:ascii="宋体" w:hAnsi="宋体"/>
          <w:sz w:val="28"/>
          <w:szCs w:val="28"/>
        </w:rPr>
        <w:t>。</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“供应商”系指拟参加询价采购和向采购人提供工程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询价通知书</w:t>
      </w:r>
      <w:r>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询价通知书中所称的“以上”、“以下”、“内”、“以内”，包括本数；所称的“不足”，不包括本数。</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不见面开标是指，市公资交易中心依托政府采购云平台组织询价采购活动，供应商在线参与询价</w:t>
      </w:r>
      <w:r>
        <w:rPr>
          <w:rFonts w:ascii="宋体" w:hAnsi="宋体"/>
          <w:sz w:val="28"/>
          <w:szCs w:val="28"/>
        </w:rPr>
        <w:t>采购活动</w:t>
      </w:r>
      <w:r>
        <w:rPr>
          <w:rFonts w:hint="eastAsia" w:ascii="宋体" w:hAnsi="宋体"/>
          <w:sz w:val="28"/>
          <w:szCs w:val="28"/>
        </w:rPr>
        <w:t>的一种组织形式。</w:t>
      </w:r>
    </w:p>
    <w:p>
      <w:pPr>
        <w:pStyle w:val="5"/>
        <w:spacing w:line="600" w:lineRule="exact"/>
        <w:rPr>
          <w:color w:val="auto"/>
        </w:rPr>
      </w:pPr>
      <w:r>
        <w:rPr>
          <w:rFonts w:hint="eastAsia"/>
          <w:color w:val="auto"/>
        </w:rPr>
        <w:t>合格的供应商</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合格的供应商应具备以下条件：符合询价邀请第五条规定的条件</w:t>
      </w:r>
      <w:r>
        <w:rPr>
          <w:rFonts w:hint="eastAsia" w:ascii="宋体" w:hAnsi="宋体"/>
          <w:spacing w:val="-4"/>
          <w:sz w:val="28"/>
          <w:szCs w:val="28"/>
        </w:rPr>
        <w:t>。</w:t>
      </w:r>
    </w:p>
    <w:p>
      <w:pPr>
        <w:pStyle w:val="5"/>
        <w:spacing w:line="600" w:lineRule="exact"/>
        <w:rPr>
          <w:color w:val="auto"/>
        </w:rPr>
      </w:pPr>
      <w:bookmarkStart w:id="10" w:name="_Toc287623640"/>
      <w:bookmarkStart w:id="11" w:name="_Toc320698717"/>
      <w:r>
        <w:rPr>
          <w:rFonts w:hint="eastAsia"/>
          <w:color w:val="auto"/>
        </w:rPr>
        <w:t>参加询价采购的费用</w:t>
      </w:r>
      <w:bookmarkEnd w:id="10"/>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供应商应自行承担参加询价采购活动的全部费用。</w:t>
      </w:r>
    </w:p>
    <w:p>
      <w:pPr>
        <w:pStyle w:val="5"/>
        <w:spacing w:line="600" w:lineRule="exact"/>
        <w:rPr>
          <w:color w:val="auto"/>
        </w:rPr>
      </w:pPr>
      <w:r>
        <w:rPr>
          <w:rFonts w:hint="eastAsia"/>
          <w:color w:val="auto"/>
        </w:rPr>
        <w:t>充分、公平竞争保障措施</w:t>
      </w:r>
    </w:p>
    <w:p>
      <w:pPr>
        <w:pStyle w:val="163"/>
        <w:tabs>
          <w:tab w:val="left" w:pos="851"/>
        </w:tabs>
        <w:snapToGrid w:val="0"/>
        <w:spacing w:line="640" w:lineRule="exact"/>
        <w:ind w:firstLine="565" w:firstLineChars="202"/>
        <w:rPr>
          <w:rFonts w:hAnsi="宋体"/>
          <w:sz w:val="28"/>
          <w:szCs w:val="28"/>
        </w:rPr>
      </w:pPr>
      <w:r>
        <w:rPr>
          <w:rFonts w:hint="eastAsia" w:hAnsi="宋体"/>
          <w:sz w:val="28"/>
          <w:szCs w:val="28"/>
        </w:rPr>
        <w:t>一、单位负责人为同一人或者存在直接控股、管理关系的不同供应商，不得参加同一项目的询价采购活动。</w:t>
      </w:r>
    </w:p>
    <w:p>
      <w:pPr>
        <w:widowControl w:val="0"/>
        <w:tabs>
          <w:tab w:val="left" w:pos="1134"/>
        </w:tabs>
        <w:snapToGrid w:val="0"/>
        <w:spacing w:line="640" w:lineRule="exact"/>
        <w:ind w:firstLine="560" w:firstLineChars="200"/>
        <w:jc w:val="both"/>
        <w:rPr>
          <w:rFonts w:ascii="宋体" w:hAnsi="宋体"/>
          <w:sz w:val="28"/>
          <w:szCs w:val="28"/>
        </w:rPr>
      </w:pPr>
      <w:r>
        <w:rPr>
          <w:rFonts w:hint="eastAsia" w:hAnsi="宋体"/>
          <w:sz w:val="28"/>
          <w:szCs w:val="28"/>
        </w:rPr>
        <w:t>二、为采购项目提供整体设计、规范编制或者项目管理、监理、检测等服务的供应商，不得再参加该采购项目的其他采购活动。</w:t>
      </w:r>
      <w:r>
        <w:rPr>
          <w:rFonts w:hAnsi="宋体"/>
          <w:sz w:val="28"/>
          <w:szCs w:val="28"/>
        </w:rPr>
        <w:t>供应商为采购人、</w:t>
      </w:r>
      <w:r>
        <w:rPr>
          <w:rFonts w:hint="eastAsia" w:cs="Arial"/>
          <w:sz w:val="28"/>
          <w:szCs w:val="28"/>
        </w:rPr>
        <w:t>市公资交易中心</w:t>
      </w:r>
      <w:r>
        <w:rPr>
          <w:rFonts w:hAnsi="宋体"/>
          <w:sz w:val="28"/>
          <w:szCs w:val="28"/>
        </w:rPr>
        <w:t>在确定采购需求、编制采购文件过程中提供咨询论证，其提供的咨询论证意见成为采购文件中规定的供应商资格条件、技术</w:t>
      </w:r>
      <w:r>
        <w:rPr>
          <w:rFonts w:hint="eastAsia" w:hAnsi="宋体"/>
          <w:sz w:val="28"/>
          <w:szCs w:val="28"/>
        </w:rPr>
        <w:t>、</w:t>
      </w:r>
      <w:r>
        <w:rPr>
          <w:rFonts w:hAnsi="宋体"/>
          <w:sz w:val="28"/>
          <w:szCs w:val="28"/>
        </w:rPr>
        <w:t>服务</w:t>
      </w:r>
      <w:r>
        <w:rPr>
          <w:rFonts w:hint="eastAsia" w:hAnsi="宋体"/>
          <w:sz w:val="28"/>
          <w:szCs w:val="28"/>
        </w:rPr>
        <w:t>要求</w:t>
      </w:r>
      <w:r>
        <w:rPr>
          <w:rFonts w:hAnsi="宋体"/>
          <w:sz w:val="28"/>
          <w:szCs w:val="28"/>
        </w:rPr>
        <w:t>、</w:t>
      </w:r>
      <w:r>
        <w:rPr>
          <w:rFonts w:hint="eastAsia" w:hAnsi="宋体" w:cs="宋体"/>
          <w:sz w:val="28"/>
          <w:szCs w:val="28"/>
        </w:rPr>
        <w:t>评审因素和标准、</w:t>
      </w:r>
      <w:r>
        <w:rPr>
          <w:rFonts w:hAnsi="宋体"/>
          <w:sz w:val="28"/>
          <w:szCs w:val="28"/>
        </w:rPr>
        <w:t>政府采购合同等实质性内容条款的，视同为采购项目提供规范编制。</w:t>
      </w:r>
      <w:r>
        <w:rPr>
          <w:rFonts w:hint="eastAsia" w:hAnsi="宋体"/>
          <w:b/>
          <w:sz w:val="28"/>
          <w:szCs w:val="28"/>
        </w:rPr>
        <w:t>（说明：无供应商为本项目提供整体设计、规范编制或者项目管理、监理、检测等服务）。</w:t>
      </w:r>
    </w:p>
    <w:p>
      <w:pPr>
        <w:pStyle w:val="4"/>
        <w:spacing w:line="600" w:lineRule="exact"/>
      </w:pPr>
      <w:bookmarkStart w:id="12" w:name="_Toc14554"/>
      <w:r>
        <w:rPr>
          <w:rFonts w:hint="eastAsia"/>
        </w:rPr>
        <w:t>询价通知书</w:t>
      </w:r>
      <w:bookmarkEnd w:id="12"/>
    </w:p>
    <w:p>
      <w:pPr>
        <w:pStyle w:val="5"/>
        <w:spacing w:line="600" w:lineRule="exact"/>
        <w:rPr>
          <w:color w:val="auto"/>
        </w:rPr>
      </w:pPr>
      <w:r>
        <w:rPr>
          <w:rFonts w:hint="eastAsia"/>
          <w:color w:val="auto"/>
        </w:rPr>
        <w:t>询价通知书的构成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一、询价通知书是供应商准备响应文件和参加询价采购</w:t>
      </w:r>
      <w:r>
        <w:rPr>
          <w:rFonts w:ascii="宋体" w:hAnsi="宋体"/>
          <w:sz w:val="28"/>
          <w:szCs w:val="28"/>
        </w:rPr>
        <w:t>活动</w:t>
      </w:r>
      <w:r>
        <w:rPr>
          <w:rFonts w:hint="eastAsia" w:ascii="宋体" w:hAnsi="宋体"/>
          <w:sz w:val="28"/>
          <w:szCs w:val="28"/>
        </w:rPr>
        <w:t>的依据，同时也是评审的重要依据。询价通知书用以阐明采购项目所需的资质、技术、服务及报价等要求、询价采购</w:t>
      </w:r>
      <w:r>
        <w:rPr>
          <w:rFonts w:ascii="宋体" w:hAnsi="宋体"/>
          <w:sz w:val="28"/>
          <w:szCs w:val="28"/>
        </w:rPr>
        <w:t>活动</w:t>
      </w:r>
      <w:r>
        <w:rPr>
          <w:rFonts w:hint="eastAsia" w:ascii="宋体" w:hAnsi="宋体"/>
          <w:sz w:val="28"/>
          <w:szCs w:val="28"/>
        </w:rPr>
        <w:t>程序、有关规定和注意事项以及合同草案条款等。本询价通知书包括以下内容：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（五）询价办法；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二、供应商应认真阅读和充分理解询价通知书中所有的事项、格式条款和规范要求。按照询价通知书的要求提供响应文件，并保证所提供的全部资料的真实性和有效性，一经发现有虚假行为的，将取消其参加询价</w:t>
      </w:r>
      <w:r>
        <w:rPr>
          <w:rFonts w:ascii="宋体" w:hAnsi="宋体"/>
          <w:sz w:val="28"/>
          <w:szCs w:val="28"/>
        </w:rPr>
        <w:t>采购活动</w:t>
      </w:r>
      <w:r>
        <w:rPr>
          <w:rFonts w:hint="eastAsia" w:ascii="宋体" w:hAnsi="宋体"/>
          <w:sz w:val="28"/>
          <w:szCs w:val="28"/>
        </w:rPr>
        <w:t>或成交资格，并承担相应的法律责任。供应商没有对询价通知书全面做出实质性响应所产生的风险由供应商承担。</w:t>
      </w:r>
      <w:bookmarkEnd w:id="11"/>
    </w:p>
    <w:p>
      <w:pPr>
        <w:pStyle w:val="5"/>
        <w:spacing w:line="600" w:lineRule="exact"/>
        <w:rPr>
          <w:color w:val="auto"/>
        </w:rPr>
      </w:pPr>
      <w:bookmarkStart w:id="13" w:name="_Toc183582211"/>
      <w:bookmarkStart w:id="14" w:name="_Toc183682348"/>
      <w:bookmarkStart w:id="15" w:name="_Toc217446040"/>
      <w:r>
        <w:rPr>
          <w:rFonts w:hint="eastAsia"/>
          <w:color w:val="auto"/>
        </w:rPr>
        <w:t>询价</w:t>
      </w:r>
      <w:r>
        <w:rPr>
          <w:color w:val="auto"/>
        </w:rPr>
        <w:t>通知书</w:t>
      </w:r>
      <w:r>
        <w:rPr>
          <w:rFonts w:hint="eastAsia"/>
          <w:color w:val="auto"/>
        </w:rPr>
        <w:t>的澄清</w:t>
      </w:r>
      <w:bookmarkEnd w:id="13"/>
      <w:bookmarkEnd w:id="14"/>
      <w:r>
        <w:rPr>
          <w:rFonts w:hint="eastAsia"/>
          <w:color w:val="auto"/>
        </w:rPr>
        <w:t>和修改</w:t>
      </w:r>
      <w:bookmarkEnd w:id="15"/>
    </w:p>
    <w:p>
      <w:pPr>
        <w:widowControl w:val="0"/>
        <w:numPr>
          <w:ilvl w:val="0"/>
          <w:numId w:val="8"/>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在递交响应文件截止时间前，采购人或者</w:t>
      </w:r>
      <w:r>
        <w:rPr>
          <w:rFonts w:hint="eastAsia" w:cs="Arial"/>
          <w:sz w:val="28"/>
          <w:szCs w:val="28"/>
        </w:rPr>
        <w:t>市公资交易中心</w:t>
      </w:r>
      <w:r>
        <w:rPr>
          <w:rFonts w:hint="eastAsia" w:ascii="宋体" w:hAnsi="宋体"/>
          <w:sz w:val="28"/>
          <w:szCs w:val="28"/>
        </w:rPr>
        <w:t>可以对已发出的询价通知书进行必要的澄清或者修改。</w:t>
      </w:r>
    </w:p>
    <w:p>
      <w:pPr>
        <w:widowControl w:val="0"/>
        <w:numPr>
          <w:ilvl w:val="0"/>
          <w:numId w:val="8"/>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澄清或者修改的内容，市公资交易中心将在“四川政府采购网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证书登录云平台查看），该澄清或者修改的内容为询价通知书的组成部分。</w:t>
      </w:r>
    </w:p>
    <w:p>
      <w:pPr>
        <w:widowControl w:val="0"/>
        <w:numPr>
          <w:ilvl w:val="0"/>
          <w:numId w:val="8"/>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ascii="宋体" w:hAnsi="宋体"/>
          <w:sz w:val="28"/>
          <w:szCs w:val="28"/>
        </w:rPr>
        <w:t>市公资交易中心</w:t>
      </w:r>
      <w:r>
        <w:rPr>
          <w:rFonts w:ascii="宋体" w:hAnsi="宋体"/>
          <w:sz w:val="28"/>
          <w:szCs w:val="28"/>
        </w:rPr>
        <w:t>应当在提交首次响应文件截止时间至少3</w:t>
      </w:r>
      <w:r>
        <w:rPr>
          <w:rFonts w:hint="eastAsia" w:ascii="宋体" w:hAnsi="宋体"/>
          <w:sz w:val="28"/>
          <w:szCs w:val="28"/>
        </w:rPr>
        <w:t>个</w:t>
      </w:r>
      <w:r>
        <w:rPr>
          <w:rFonts w:ascii="宋体" w:hAnsi="宋体"/>
          <w:sz w:val="28"/>
          <w:szCs w:val="28"/>
        </w:rPr>
        <w:t>工作日前，</w:t>
      </w:r>
      <w:r>
        <w:rPr>
          <w:rFonts w:hint="eastAsia" w:ascii="宋体" w:hAnsi="宋体"/>
          <w:sz w:val="28"/>
          <w:szCs w:val="28"/>
        </w:rPr>
        <w:t>通过政府采购云平台通知所有获取询价通知书的潜在供应商</w:t>
      </w:r>
      <w:r>
        <w:rPr>
          <w:rFonts w:ascii="宋体" w:hAnsi="宋体"/>
          <w:sz w:val="28"/>
          <w:szCs w:val="28"/>
        </w:rPr>
        <w:t>；不足3</w:t>
      </w:r>
      <w:r>
        <w:rPr>
          <w:rFonts w:hint="eastAsia" w:ascii="宋体" w:hAnsi="宋体"/>
          <w:sz w:val="28"/>
          <w:szCs w:val="28"/>
        </w:rPr>
        <w:t>个</w:t>
      </w:r>
      <w:r>
        <w:rPr>
          <w:rFonts w:ascii="宋体" w:hAnsi="宋体"/>
          <w:sz w:val="28"/>
          <w:szCs w:val="28"/>
        </w:rPr>
        <w:t>工作日的，</w:t>
      </w:r>
      <w:r>
        <w:rPr>
          <w:rFonts w:hint="eastAsia" w:ascii="宋体" w:hAnsi="宋体"/>
          <w:sz w:val="28"/>
          <w:szCs w:val="28"/>
        </w:rPr>
        <w:t>采购人或市公资交易中心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6" w:name="_Toc320698720"/>
      <w:bookmarkStart w:id="17" w:name="_Toc24646"/>
      <w:r>
        <w:rPr>
          <w:rFonts w:hint="eastAsia"/>
        </w:rPr>
        <w:t>响应文件</w:t>
      </w:r>
      <w:bookmarkEnd w:id="16"/>
      <w:bookmarkEnd w:id="17"/>
    </w:p>
    <w:p>
      <w:pPr>
        <w:pStyle w:val="5"/>
        <w:spacing w:line="600" w:lineRule="exact"/>
        <w:rPr>
          <w:color w:val="auto"/>
        </w:rPr>
      </w:pPr>
      <w:bookmarkStart w:id="18" w:name="_Toc320698721"/>
      <w:r>
        <w:rPr>
          <w:rFonts w:hint="eastAsia"/>
          <w:color w:val="auto"/>
        </w:rPr>
        <w:t>响应文件的语言</w:t>
      </w:r>
      <w:bookmarkEnd w:id="18"/>
    </w:p>
    <w:p>
      <w:pPr>
        <w:widowControl w:val="0"/>
        <w:numPr>
          <w:ilvl w:val="0"/>
          <w:numId w:val="9"/>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供应商提交的响应文件以及供应商与采购人或市公资交易中心就有关询价采购活动的所有来往书面文件均须使用中文，响应文件中所附或引用的外文资料，应翻译成中文附在相关外文资料后面（说明：供应商的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9"/>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对不同文字文本响应文件的解释发生异议的，以中文文本为准。若供应商响应文件中提供的外文资料未翻译成中文，则询价小组可将其视为无效材料。</w:t>
      </w:r>
    </w:p>
    <w:p>
      <w:pPr>
        <w:pStyle w:val="5"/>
        <w:spacing w:line="600" w:lineRule="exact"/>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5"/>
        <w:spacing w:line="600" w:lineRule="exact"/>
        <w:rPr>
          <w:color w:val="auto"/>
        </w:rPr>
      </w:pPr>
      <w:bookmarkStart w:id="19" w:name="_Toc320698722"/>
      <w:r>
        <w:rPr>
          <w:rFonts w:hint="eastAsia"/>
          <w:color w:val="auto"/>
        </w:rPr>
        <w:t>报价货币及报价要求</w:t>
      </w:r>
      <w:bookmarkEnd w:id="19"/>
    </w:p>
    <w:p>
      <w:pPr>
        <w:widowControl w:val="0"/>
        <w:numPr>
          <w:ilvl w:val="0"/>
          <w:numId w:val="10"/>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0"/>
        </w:numPr>
        <w:tabs>
          <w:tab w:val="left" w:pos="1134"/>
        </w:tabs>
        <w:spacing w:line="600" w:lineRule="exact"/>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pStyle w:val="5"/>
        <w:spacing w:line="600" w:lineRule="exact"/>
        <w:rPr>
          <w:color w:val="auto"/>
        </w:rPr>
      </w:pPr>
      <w:r>
        <w:rPr>
          <w:rFonts w:hint="eastAsia"/>
          <w:color w:val="auto"/>
        </w:rPr>
        <w:t>联合体</w:t>
      </w:r>
      <w:bookmarkEnd w:id="20"/>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5"/>
        <w:spacing w:line="600" w:lineRule="exact"/>
        <w:ind w:left="0" w:firstLine="0"/>
        <w:rPr>
          <w:color w:val="auto"/>
        </w:rPr>
      </w:pPr>
      <w:bookmarkStart w:id="21" w:name="_Toc217446047"/>
      <w:r>
        <w:rPr>
          <w:rFonts w:hint="eastAsia"/>
          <w:color w:val="auto"/>
        </w:rPr>
        <w:t>知识产权</w:t>
      </w:r>
      <w:bookmarkEnd w:id="21"/>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2" w:name="_Toc320698724"/>
      <w:bookmarkStart w:id="23" w:name="_Toc320698725"/>
      <w:r>
        <w:rPr>
          <w:rFonts w:hint="eastAsia"/>
          <w:color w:val="auto"/>
        </w:rPr>
        <w:t>响应文件的</w:t>
      </w:r>
      <w:bookmarkEnd w:id="22"/>
      <w:r>
        <w:rPr>
          <w:rFonts w:hint="eastAsia"/>
          <w:color w:val="auto"/>
        </w:rPr>
        <w:t>组成</w:t>
      </w:r>
    </w:p>
    <w:p>
      <w:pPr>
        <w:pStyle w:val="154"/>
        <w:tabs>
          <w:tab w:val="left" w:pos="1200"/>
        </w:tabs>
        <w:spacing w:line="600" w:lineRule="exact"/>
        <w:ind w:firstLine="560"/>
      </w:pPr>
      <w:r>
        <w:rPr>
          <w:rFonts w:hint="eastAsia" w:ascii="宋体" w:hAnsi="宋体"/>
          <w:sz w:val="28"/>
          <w:szCs w:val="28"/>
        </w:rPr>
        <w:t>供应商应按照询价通知书的规定和要求编制响应文件。供应商编写的响应文件应包括下列部分：</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：用于报价审查，供应商应在询价小组规定的时间内按询价通知的规定一次报出不得更改的价格。</w:t>
      </w:r>
    </w:p>
    <w:bookmarkEnd w:id="23"/>
    <w:p>
      <w:pPr>
        <w:pStyle w:val="5"/>
        <w:numPr>
          <w:ilvl w:val="3"/>
          <w:numId w:val="1"/>
        </w:numPr>
        <w:spacing w:line="600" w:lineRule="exact"/>
        <w:ind w:left="1843" w:hanging="1843"/>
        <w:rPr>
          <w:color w:val="auto"/>
        </w:rPr>
      </w:pPr>
      <w:bookmarkStart w:id="24" w:name="_Toc320698726"/>
      <w:r>
        <w:rPr>
          <w:rFonts w:hint="eastAsia"/>
          <w:color w:val="auto"/>
        </w:rPr>
        <w:t>响应文件</w:t>
      </w:r>
      <w:bookmarkEnd w:id="24"/>
    </w:p>
    <w:p>
      <w:pPr>
        <w:pStyle w:val="5"/>
        <w:numPr>
          <w:ilvl w:val="4"/>
          <w:numId w:val="1"/>
        </w:numPr>
        <w:spacing w:line="600" w:lineRule="exact"/>
        <w:ind w:left="993" w:hanging="993"/>
      </w:pPr>
      <w:r>
        <w:rPr>
          <w:rFonts w:hint="eastAsia"/>
        </w:rPr>
        <w:t>资格响应文件</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供应商资格</w:t>
      </w:r>
      <w:r>
        <w:rPr>
          <w:rFonts w:ascii="宋体" w:hAnsi="宋体"/>
          <w:sz w:val="28"/>
          <w:szCs w:val="28"/>
        </w:rPr>
        <w:t>申明的函</w:t>
      </w:r>
      <w:r>
        <w:rPr>
          <w:rFonts w:hint="eastAsia" w:ascii="宋体" w:hAnsi="宋体"/>
          <w:sz w:val="28"/>
          <w:szCs w:val="28"/>
        </w:rPr>
        <w:t>；</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采购人对供应商履行合同所必须的设备和专业技术能力无其他特殊要求，供应商具有有效的营业执照或法人证书即可，可不提供其他证明材料；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5"/>
        <w:numPr>
          <w:ilvl w:val="4"/>
          <w:numId w:val="1"/>
        </w:numPr>
        <w:spacing w:line="600" w:lineRule="exact"/>
        <w:ind w:left="993" w:hanging="993"/>
        <w:rPr>
          <w:color w:val="auto"/>
        </w:rPr>
      </w:pPr>
      <w:r>
        <w:rPr>
          <w:rFonts w:hint="eastAsia"/>
          <w:color w:val="auto"/>
        </w:rPr>
        <w:t>商务技术响应文件</w:t>
      </w:r>
    </w:p>
    <w:p>
      <w:pPr>
        <w:pStyle w:val="80"/>
        <w:numPr>
          <w:ilvl w:val="0"/>
          <w:numId w:val="14"/>
        </w:numPr>
        <w:ind w:firstLineChars="0"/>
        <w:rPr>
          <w:rFonts w:ascii="宋体" w:hAnsi="宋体"/>
          <w:sz w:val="28"/>
          <w:szCs w:val="28"/>
        </w:rPr>
      </w:pPr>
      <w:r>
        <w:rPr>
          <w:rFonts w:hint="eastAsia" w:ascii="宋体" w:hAnsi="宋体"/>
          <w:sz w:val="28"/>
          <w:szCs w:val="28"/>
        </w:rPr>
        <w:t>报价书；</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供应商</w:t>
      </w:r>
      <w:r>
        <w:rPr>
          <w:rFonts w:ascii="宋体" w:hAnsi="宋体"/>
          <w:sz w:val="28"/>
          <w:szCs w:val="28"/>
        </w:rPr>
        <w:t>基本情况表；</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服务</w:t>
      </w:r>
      <w:r>
        <w:rPr>
          <w:rFonts w:ascii="宋体" w:hAnsi="宋体"/>
          <w:sz w:val="28"/>
          <w:szCs w:val="28"/>
        </w:rPr>
        <w:t>方案及服务承诺；</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承诺函；</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中小企业声明函（说明</w:t>
      </w:r>
      <w:r>
        <w:rPr>
          <w:rFonts w:ascii="宋体" w:hAnsi="宋体"/>
          <w:sz w:val="28"/>
          <w:szCs w:val="28"/>
        </w:rPr>
        <w:t>：</w:t>
      </w:r>
      <w:r>
        <w:rPr>
          <w:rFonts w:hint="eastAsia" w:ascii="宋体" w:hAnsi="宋体"/>
          <w:sz w:val="28"/>
          <w:szCs w:val="28"/>
        </w:rPr>
        <w:t>如未提供中小企业声明函，则不能享受询价通知书规定的价格扣除，但不影响供应商响应文件的有效性）；</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残疾人福利性单位声明函（说明</w:t>
      </w:r>
      <w:r>
        <w:rPr>
          <w:rFonts w:ascii="宋体" w:hAnsi="宋体"/>
          <w:sz w:val="28"/>
          <w:szCs w:val="28"/>
        </w:rPr>
        <w:t>：</w:t>
      </w:r>
      <w:r>
        <w:rPr>
          <w:rFonts w:hint="eastAsia" w:ascii="宋体" w:hAnsi="宋体"/>
          <w:sz w:val="28"/>
          <w:szCs w:val="28"/>
        </w:rPr>
        <w:t>如未提供残疾人福利性单位声明函，则不能享受询价通知书规定的价格扣除，但不影响供应商响应文件的有效性）。</w:t>
      </w:r>
    </w:p>
    <w:p>
      <w:pPr>
        <w:pStyle w:val="5"/>
        <w:numPr>
          <w:ilvl w:val="4"/>
          <w:numId w:val="1"/>
        </w:numPr>
        <w:spacing w:line="600" w:lineRule="exact"/>
        <w:ind w:left="993" w:hanging="993"/>
        <w:rPr>
          <w:color w:val="auto"/>
        </w:rPr>
      </w:pPr>
      <w:r>
        <w:rPr>
          <w:rFonts w:hint="eastAsia"/>
          <w:color w:val="auto"/>
        </w:rPr>
        <w:t>报价要求</w:t>
      </w:r>
      <w:r>
        <w:rPr>
          <w:color w:val="auto"/>
        </w:rPr>
        <w:t>响应文件</w:t>
      </w:r>
    </w:p>
    <w:p>
      <w:pPr>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rPr>
        <w:tab/>
      </w:r>
      <w:r>
        <w:rPr>
          <w:rFonts w:hint="eastAsia" w:ascii="宋体" w:hAnsi="宋体"/>
          <w:sz w:val="28"/>
          <w:szCs w:val="28"/>
        </w:rPr>
        <w:t>开标一览表；</w:t>
      </w:r>
    </w:p>
    <w:p>
      <w:pPr>
        <w:ind w:firstLine="560" w:firstLineChars="200"/>
        <w:rPr>
          <w:rFonts w:ascii="宋体" w:hAnsi="宋体"/>
          <w:sz w:val="28"/>
          <w:szCs w:val="28"/>
        </w:rPr>
      </w:pPr>
      <w:r>
        <w:rPr>
          <w:rFonts w:hint="eastAsia" w:ascii="宋体" w:hAnsi="宋体"/>
          <w:sz w:val="28"/>
          <w:szCs w:val="28"/>
        </w:rPr>
        <w:t>二、</w:t>
      </w:r>
      <w:r>
        <w:rPr>
          <w:rFonts w:hint="eastAsia" w:ascii="宋体" w:hAnsi="宋体"/>
          <w:sz w:val="28"/>
          <w:szCs w:val="28"/>
        </w:rPr>
        <w:tab/>
      </w:r>
      <w:r>
        <w:rPr>
          <w:rFonts w:hint="eastAsia" w:ascii="宋体" w:hAnsi="宋体"/>
          <w:sz w:val="28"/>
          <w:szCs w:val="28"/>
        </w:rPr>
        <w:t>分项报价明细表；</w:t>
      </w:r>
    </w:p>
    <w:p>
      <w:pPr>
        <w:pStyle w:val="5"/>
        <w:spacing w:line="600" w:lineRule="exact"/>
        <w:rPr>
          <w:color w:val="auto"/>
        </w:rPr>
      </w:pPr>
      <w:bookmarkStart w:id="25" w:name="_Toc320698727"/>
      <w:r>
        <w:rPr>
          <w:rFonts w:hint="eastAsia"/>
          <w:color w:val="auto"/>
        </w:rPr>
        <w:t>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spacing w:line="600" w:lineRule="exact"/>
        <w:rPr>
          <w:color w:val="auto"/>
        </w:rPr>
      </w:pPr>
      <w:r>
        <w:rPr>
          <w:rFonts w:hint="eastAsia"/>
          <w:color w:val="auto"/>
        </w:rPr>
        <w:t>报价</w:t>
      </w:r>
    </w:p>
    <w:p>
      <w:pPr>
        <w:widowControl w:val="0"/>
        <w:numPr>
          <w:ilvl w:val="0"/>
          <w:numId w:val="15"/>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供应商的报价是供应商响应采购项目要求的价格体现，包括供应商完成本项目所需的一切费用。</w:t>
      </w:r>
    </w:p>
    <w:p>
      <w:pPr>
        <w:widowControl w:val="0"/>
        <w:numPr>
          <w:ilvl w:val="0"/>
          <w:numId w:val="15"/>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bookmarkEnd w:id="25"/>
    <w:p>
      <w:pPr>
        <w:pStyle w:val="5"/>
        <w:spacing w:line="600" w:lineRule="exact"/>
        <w:rPr>
          <w:color w:val="auto"/>
        </w:rPr>
      </w:pPr>
      <w:bookmarkStart w:id="26" w:name="_Toc320698728"/>
      <w:r>
        <w:rPr>
          <w:rFonts w:hint="eastAsia"/>
          <w:color w:val="auto"/>
        </w:rPr>
        <w:t>询价保证金</w:t>
      </w:r>
    </w:p>
    <w:p>
      <w:pPr>
        <w:spacing w:line="600" w:lineRule="exact"/>
        <w:ind w:firstLine="560" w:firstLineChars="200"/>
        <w:rPr>
          <w:rFonts w:ascii="宋体" w:hAnsi="宋体"/>
          <w:sz w:val="28"/>
          <w:szCs w:val="28"/>
        </w:rPr>
      </w:pPr>
      <w:r>
        <w:rPr>
          <w:rFonts w:hint="eastAsia" w:ascii="宋体" w:hAnsi="宋体"/>
          <w:sz w:val="28"/>
          <w:szCs w:val="28"/>
        </w:rPr>
        <w:t>本项目不收取询价保证金。</w:t>
      </w:r>
    </w:p>
    <w:p>
      <w:pPr>
        <w:pStyle w:val="5"/>
        <w:spacing w:line="600" w:lineRule="exact"/>
        <w:rPr>
          <w:color w:val="auto"/>
        </w:rPr>
      </w:pPr>
      <w:r>
        <w:rPr>
          <w:rFonts w:hint="eastAsia"/>
          <w:color w:val="auto"/>
        </w:rPr>
        <w:t>响应文件有效期</w:t>
      </w:r>
      <w:bookmarkEnd w:id="26"/>
    </w:p>
    <w:p>
      <w:pPr>
        <w:pStyle w:val="80"/>
        <w:numPr>
          <w:ilvl w:val="0"/>
          <w:numId w:val="16"/>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0"/>
        <w:numPr>
          <w:ilvl w:val="0"/>
          <w:numId w:val="16"/>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特殊情况下，采购人可于响应文件有效期满之前要求供应商同意延长有效期，要求与答复均应为书面形式。供应商可以拒绝上述要求，同意延长响应文件有效期的供应商不能修改其响应文件。</w:t>
      </w:r>
    </w:p>
    <w:p>
      <w:pPr>
        <w:pStyle w:val="5"/>
        <w:spacing w:line="600" w:lineRule="exact"/>
        <w:rPr>
          <w:color w:val="auto"/>
        </w:rPr>
      </w:pPr>
      <w:bookmarkStart w:id="27" w:name="_Toc320698729"/>
      <w:bookmarkStart w:id="28" w:name="_Toc320698730"/>
      <w:r>
        <w:rPr>
          <w:rFonts w:hint="eastAsia"/>
          <w:color w:val="auto"/>
        </w:rPr>
        <w:t>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一、响应文件应根据询价通知书的要求进行制作。（说明：1、响应文件中要求提供复印件证明材料的，包含提供原件的影印件或复印件。2、要求提供复印件的证明材料须清晰可辨。）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b/>
          <w:sz w:val="28"/>
          <w:szCs w:val="28"/>
        </w:rPr>
        <w:t>资格响应文件、</w:t>
      </w:r>
      <w:r>
        <w:rPr>
          <w:rFonts w:ascii="宋体" w:hAnsi="宋体"/>
          <w:b/>
          <w:sz w:val="28"/>
          <w:szCs w:val="28"/>
        </w:rPr>
        <w:t>商务技术响应文件和报价要求响应文件</w:t>
      </w:r>
      <w:r>
        <w:rPr>
          <w:rFonts w:hint="eastAsia" w:ascii="宋体" w:hAnsi="宋体"/>
          <w:b/>
          <w:sz w:val="28"/>
          <w:szCs w:val="28"/>
        </w:rPr>
        <w:t>应分别加盖有供应商（法定名称）电子签章，不得使用供应商专用章（如经济合同章、投标专用章等）或下属单位印章代替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3、询价</w:t>
      </w:r>
      <w:r>
        <w:rPr>
          <w:rFonts w:ascii="宋体" w:hAnsi="宋体"/>
          <w:sz w:val="28"/>
          <w:szCs w:val="28"/>
        </w:rPr>
        <w:t>通知书</w:t>
      </w:r>
      <w:r>
        <w:rPr>
          <w:rFonts w:hint="eastAsia" w:ascii="宋体" w:hAnsi="宋体"/>
          <w:sz w:val="28"/>
          <w:szCs w:val="28"/>
        </w:rPr>
        <w:t>有修改的，供应商须重新下载修改后的询价</w:t>
      </w:r>
      <w:r>
        <w:rPr>
          <w:rFonts w:ascii="宋体" w:hAnsi="宋体"/>
          <w:sz w:val="28"/>
          <w:szCs w:val="28"/>
        </w:rPr>
        <w:t>通知书</w:t>
      </w:r>
      <w:r>
        <w:rPr>
          <w:rFonts w:hint="eastAsia" w:ascii="宋体" w:hAnsi="宋体"/>
          <w:sz w:val="28"/>
          <w:szCs w:val="28"/>
        </w:rPr>
        <w:t>（修改后的询价</w:t>
      </w:r>
      <w:r>
        <w:rPr>
          <w:rFonts w:ascii="宋体" w:hAnsi="宋体"/>
          <w:sz w:val="28"/>
          <w:szCs w:val="28"/>
        </w:rPr>
        <w:t>通知书</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8"/>
    <w:p>
      <w:pPr>
        <w:pStyle w:val="5"/>
        <w:spacing w:line="600" w:lineRule="exact"/>
        <w:rPr>
          <w:color w:val="auto"/>
        </w:rPr>
      </w:pPr>
      <w:bookmarkStart w:id="29" w:name="_Toc320698731"/>
      <w:r>
        <w:rPr>
          <w:rFonts w:hint="eastAsia"/>
          <w:color w:val="auto"/>
        </w:rPr>
        <w:t>响应文件的递交</w:t>
      </w:r>
      <w:bookmarkEnd w:id="29"/>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市公资交易中心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0" w:name="_Toc446487098"/>
      <w:r>
        <w:rPr>
          <w:rFonts w:hint="eastAsia"/>
          <w:color w:val="auto"/>
        </w:rPr>
        <w:t>响应文件的补充、修改和撤回</w:t>
      </w:r>
      <w:bookmarkEnd w:id="30"/>
    </w:p>
    <w:p>
      <w:pPr>
        <w:widowControl w:val="0"/>
        <w:numPr>
          <w:ilvl w:val="0"/>
          <w:numId w:val="18"/>
        </w:numPr>
        <w:tabs>
          <w:tab w:val="left" w:pos="1134"/>
        </w:tabs>
        <w:spacing w:line="360" w:lineRule="auto"/>
        <w:ind w:left="0" w:firstLine="567"/>
        <w:jc w:val="both"/>
        <w:rPr>
          <w:rFonts w:ascii="宋体" w:hAnsi="宋体"/>
          <w:sz w:val="28"/>
          <w:szCs w:val="28"/>
        </w:rPr>
      </w:pPr>
      <w:bookmarkStart w:id="31" w:name="_Toc494095623"/>
      <w:bookmarkEnd w:id="31"/>
      <w:bookmarkStart w:id="32" w:name="_Toc494356977"/>
      <w:bookmarkEnd w:id="32"/>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rPr>
          <w:color w:val="auto"/>
        </w:rPr>
      </w:pPr>
      <w:r>
        <w:rPr>
          <w:rFonts w:hint="eastAsia"/>
          <w:color w:val="auto"/>
        </w:rPr>
        <w:t>响应文件的解密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tabs>
          <w:tab w:val="clear" w:pos="567"/>
        </w:tabs>
        <w:spacing w:line="600" w:lineRule="exact"/>
        <w:ind w:left="0" w:firstLine="0"/>
      </w:pPr>
      <w:bookmarkStart w:id="33" w:name="_Toc183582232"/>
      <w:bookmarkStart w:id="34" w:name="_Toc183682369"/>
      <w:bookmarkStart w:id="35" w:name="_Toc217446057"/>
      <w:bookmarkStart w:id="36" w:name="_Toc17612"/>
      <w:r>
        <w:rPr>
          <w:rFonts w:hint="eastAsia"/>
        </w:rPr>
        <w:t>开标</w:t>
      </w:r>
      <w:bookmarkEnd w:id="33"/>
      <w:bookmarkEnd w:id="34"/>
      <w:bookmarkEnd w:id="35"/>
      <w:r>
        <w:rPr>
          <w:rFonts w:hint="eastAsia"/>
        </w:rPr>
        <w:t>及开标程序</w:t>
      </w:r>
      <w:bookmarkEnd w:id="36"/>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市公资交易中心开启解密后，供应商进行线上解密。除因市公资交易中心断电、断网、系统故障或其他不可抗力等因素，导致系统无法使用外，供应商在规定的解密时间内，未成功解密的响应文件将视为无效响应文件。</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w:t>
      </w:r>
      <w:r>
        <w:rPr>
          <w:rFonts w:hint="eastAsia" w:ascii="宋体" w:hAnsi="宋体" w:cs="宋体"/>
          <w:b/>
          <w:sz w:val="28"/>
          <w:szCs w:val="28"/>
        </w:rPr>
        <w:t>由“政府采购云平台”系统展示供应商名称、响应文件解密情况等内容。供应商对开标记录（包含解密情况、其他情况等）在规定时间内确认，如未确认，视为认同开标记录。</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供应商供应商提出的询问或者回避申请应当及时处理。</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spacing w:line="600" w:lineRule="exact"/>
      </w:pPr>
      <w:bookmarkStart w:id="37" w:name="_Toc5323"/>
      <w:r>
        <w:t>成交通知书</w:t>
      </w:r>
      <w:bookmarkEnd w:id="37"/>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8" w:name="_Toc16975"/>
      <w:bookmarkStart w:id="39" w:name="_Toc287623650"/>
      <w:r>
        <w:rPr>
          <w:rFonts w:hint="eastAsia"/>
        </w:rPr>
        <w:t>签订及履行合同和验收</w:t>
      </w:r>
      <w:bookmarkEnd w:id="38"/>
    </w:p>
    <w:p>
      <w:pPr>
        <w:pStyle w:val="5"/>
        <w:spacing w:line="600" w:lineRule="exact"/>
        <w:rPr>
          <w:color w:val="auto"/>
        </w:rPr>
      </w:pPr>
      <w:r>
        <w:rPr>
          <w:rFonts w:hint="eastAsia"/>
          <w:color w:val="auto"/>
        </w:rPr>
        <w:t>签订合同</w:t>
      </w:r>
      <w:bookmarkEnd w:id="39"/>
    </w:p>
    <w:p>
      <w:pPr>
        <w:widowControl w:val="0"/>
        <w:numPr>
          <w:ilvl w:val="0"/>
          <w:numId w:val="21"/>
        </w:numPr>
        <w:tabs>
          <w:tab w:val="left" w:pos="1134"/>
        </w:tabs>
        <w:spacing w:line="360" w:lineRule="auto"/>
        <w:ind w:left="0" w:firstLine="565" w:firstLineChars="202"/>
        <w:jc w:val="both"/>
        <w:rPr>
          <w:rFonts w:ascii="宋体" w:hAnsi="宋体"/>
          <w:sz w:val="28"/>
          <w:szCs w:val="28"/>
        </w:rPr>
      </w:pPr>
      <w:bookmarkStart w:id="40"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1" w:name="_Toc217446066"/>
      <w:r>
        <w:rPr>
          <w:rFonts w:hint="eastAsia"/>
          <w:color w:val="auto"/>
        </w:rPr>
        <w:t>合同分包</w:t>
      </w:r>
      <w:bookmarkEnd w:id="41"/>
      <w:r>
        <w:rPr>
          <w:rFonts w:hint="eastAsia"/>
          <w:color w:val="auto"/>
        </w:rPr>
        <w:t>和转包</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3"/>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3"/>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2" w:name="_Toc217446067"/>
      <w:r>
        <w:rPr>
          <w:rFonts w:hint="eastAsia"/>
          <w:color w:val="auto"/>
        </w:rPr>
        <w:t>采购人增加合同标的的权</w:t>
      </w:r>
      <w:bookmarkEnd w:id="42"/>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3" w:name="_Toc217446068"/>
      <w:r>
        <w:rPr>
          <w:rFonts w:hint="eastAsia"/>
          <w:color w:val="auto"/>
        </w:rPr>
        <w:t>履约保证金</w:t>
      </w:r>
      <w:bookmarkEnd w:id="43"/>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bookmarkEnd w:id="40"/>
    <w:p>
      <w:pPr>
        <w:pStyle w:val="5"/>
        <w:spacing w:line="600" w:lineRule="exact"/>
        <w:rPr>
          <w:color w:val="auto"/>
        </w:rPr>
      </w:pPr>
      <w:bookmarkStart w:id="44" w:name="_Toc217446070"/>
      <w:r>
        <w:rPr>
          <w:rFonts w:hint="eastAsia" w:cs="宋体"/>
          <w:color w:val="auto"/>
        </w:rPr>
        <w:t>履行</w:t>
      </w:r>
      <w:r>
        <w:rPr>
          <w:rFonts w:hint="eastAsia"/>
          <w:color w:val="auto"/>
        </w:rPr>
        <w:t>合同</w:t>
      </w:r>
    </w:p>
    <w:p>
      <w:pPr>
        <w:widowControl w:val="0"/>
        <w:numPr>
          <w:ilvl w:val="0"/>
          <w:numId w:val="24"/>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4"/>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4"/>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5" w:name="_Toc24240"/>
      <w:r>
        <w:rPr>
          <w:rFonts w:hint="eastAsia"/>
        </w:rPr>
        <w:t>询价</w:t>
      </w:r>
      <w:r>
        <w:t>采购</w:t>
      </w:r>
      <w:r>
        <w:rPr>
          <w:rFonts w:hint="eastAsia"/>
        </w:rPr>
        <w:t>工作纪律及要求</w:t>
      </w:r>
      <w:bookmarkEnd w:id="45"/>
    </w:p>
    <w:p>
      <w:pPr>
        <w:pStyle w:val="5"/>
        <w:spacing w:line="600" w:lineRule="exact"/>
        <w:ind w:left="0" w:firstLine="0"/>
        <w:rPr>
          <w:color w:val="auto"/>
        </w:rPr>
      </w:pPr>
      <w:bookmarkStart w:id="46" w:name="_Toc217446075"/>
      <w:r>
        <w:rPr>
          <w:rFonts w:hint="eastAsia"/>
          <w:color w:val="auto"/>
        </w:rPr>
        <w:t>供应商不得具有的情形</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有下列情形之一的，视为供应商串通参加本次询价采购活动：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（二）不同供应商委托同一单位或者个人办理询价采购</w:t>
      </w:r>
      <w:r>
        <w:rPr>
          <w:rFonts w:ascii="宋体" w:hAnsi="宋体"/>
          <w:sz w:val="28"/>
          <w:szCs w:val="28"/>
        </w:rPr>
        <w:t>活动</w:t>
      </w:r>
      <w:r>
        <w:rPr>
          <w:rFonts w:hint="eastAsia" w:ascii="宋体" w:hAnsi="宋体"/>
          <w:sz w:val="28"/>
          <w:szCs w:val="28"/>
        </w:rPr>
        <w:t>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（六）不同供应商的询价保证金从同一单位或者个人的账户转出；</w:t>
      </w:r>
      <w:r>
        <w:rPr>
          <w:rFonts w:ascii="宋体" w:hAnsi="宋体"/>
          <w:sz w:val="28"/>
          <w:szCs w:val="28"/>
        </w:rPr>
        <w:t xml:space="preserve"> </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向采购人或市公资交易中心、询价小组成员行贿或者提供其他不正当利益；</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5"/>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color w:val="auto"/>
        </w:rPr>
      </w:pPr>
      <w:bookmarkStart w:id="47" w:name="_Toc314574786"/>
      <w:r>
        <w:rPr>
          <w:rFonts w:hint="eastAsia"/>
          <w:color w:val="auto"/>
        </w:rPr>
        <w:t>保密</w:t>
      </w:r>
      <w:bookmarkEnd w:id="47"/>
    </w:p>
    <w:p>
      <w:pPr>
        <w:pStyle w:val="13"/>
        <w:numPr>
          <w:ilvl w:val="0"/>
          <w:numId w:val="26"/>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26"/>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48" w:name="_Toc405886181"/>
      <w:bookmarkStart w:id="49" w:name="_Toc25201"/>
      <w:r>
        <w:rPr>
          <w:rFonts w:hint="eastAsia"/>
        </w:rPr>
        <w:t>询问、质疑</w:t>
      </w:r>
      <w:bookmarkEnd w:id="48"/>
      <w:r>
        <w:rPr>
          <w:rFonts w:hint="eastAsia"/>
        </w:rPr>
        <w:t>和投诉</w:t>
      </w:r>
      <w:bookmarkEnd w:id="49"/>
    </w:p>
    <w:p>
      <w:pPr>
        <w:pStyle w:val="27"/>
        <w:numPr>
          <w:ilvl w:val="0"/>
          <w:numId w:val="27"/>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供应商认为询价通知书、询价过程和成交结果使自己的合法权益受到损害的，可以依法进行质疑。</w:t>
      </w:r>
    </w:p>
    <w:p>
      <w:pPr>
        <w:pStyle w:val="80"/>
        <w:numPr>
          <w:ilvl w:val="0"/>
          <w:numId w:val="27"/>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供应商对询价通知书中供应商参加本次政府采购活动应当具备的条件、项目技术、服务、商务及其他要求，评分细则及标准提出询问或质疑的，应通过</w:t>
      </w:r>
      <w:r>
        <w:rPr>
          <w:rFonts w:ascii="宋体" w:hAnsi="宋体"/>
          <w:sz w:val="28"/>
          <w:szCs w:val="28"/>
        </w:rPr>
        <w:t>政府采购云平台</w:t>
      </w:r>
      <w:r>
        <w:rPr>
          <w:rFonts w:hint="eastAsia" w:ascii="宋体" w:hAnsi="宋体"/>
          <w:sz w:val="28"/>
          <w:szCs w:val="28"/>
        </w:rPr>
        <w:t>向采购人提出；</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供应商对除上述询价通知书中的其他内容、采购过程及成交结果提出询问、质疑的，应通过</w:t>
      </w:r>
      <w:r>
        <w:rPr>
          <w:rFonts w:ascii="宋体" w:hAnsi="宋体"/>
          <w:sz w:val="28"/>
          <w:szCs w:val="28"/>
        </w:rPr>
        <w:t>政府采购云平台</w:t>
      </w:r>
      <w:r>
        <w:rPr>
          <w:rFonts w:hint="eastAsia" w:ascii="宋体" w:hAnsi="宋体"/>
          <w:sz w:val="28"/>
          <w:szCs w:val="28"/>
        </w:rPr>
        <w:t>向市公资交易中心提出。</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0" w:name="_Toc376425021"/>
      <w:bookmarkEnd w:id="50"/>
      <w:bookmarkStart w:id="51" w:name="_Toc3363724"/>
      <w:bookmarkStart w:id="52" w:name="_Toc13679"/>
      <w:r>
        <w:rPr>
          <w:rFonts w:hint="eastAsia"/>
        </w:rPr>
        <w:t>中小企业政府采购信用融资</w:t>
      </w:r>
      <w:bookmarkEnd w:id="51"/>
      <w:bookmarkEnd w:id="52"/>
    </w:p>
    <w:p>
      <w:pPr>
        <w:pStyle w:val="2"/>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pStyle w:val="27"/>
        <w:numPr>
          <w:ilvl w:val="0"/>
          <w:numId w:val="0"/>
        </w:numPr>
        <w:tabs>
          <w:tab w:val="left" w:pos="1134"/>
        </w:tabs>
        <w:spacing w:line="600" w:lineRule="exact"/>
        <w:ind w:left="567" w:leftChars="0"/>
        <w:rPr>
          <w:rFonts w:ascii="宋体" w:hAnsi="宋体"/>
          <w:sz w:val="28"/>
          <w:szCs w:val="28"/>
        </w:rPr>
      </w:pPr>
    </w:p>
    <w:p/>
    <w:p>
      <w:pPr>
        <w:pStyle w:val="2"/>
      </w:pPr>
    </w:p>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3" w:name="_Toc9959"/>
      <w:r>
        <w:rPr>
          <w:rFonts w:hint="eastAsia"/>
        </w:rPr>
        <w:t>响应文件格式</w:t>
      </w:r>
      <w:bookmarkEnd w:id="53"/>
    </w:p>
    <w:p>
      <w:pPr>
        <w:pStyle w:val="4"/>
      </w:pPr>
      <w:bookmarkStart w:id="54" w:name="_Toc17307"/>
      <w:bookmarkStart w:id="55" w:name="_Toc448403805"/>
      <w:bookmarkStart w:id="56" w:name="_Toc320698765"/>
      <w:r>
        <w:rPr>
          <w:rFonts w:hint="eastAsia"/>
        </w:rPr>
        <w:t>响应文件格式</w:t>
      </w:r>
      <w:bookmarkEnd w:id="54"/>
    </w:p>
    <w:p>
      <w:pPr>
        <w:pStyle w:val="5"/>
        <w:tabs>
          <w:tab w:val="left" w:pos="709"/>
        </w:tabs>
        <w:ind w:left="1135" w:hanging="1135"/>
        <w:jc w:val="left"/>
        <w:rPr>
          <w:color w:val="auto"/>
        </w:rPr>
      </w:pPr>
      <w:r>
        <w:rPr>
          <w:rFonts w:hint="eastAsia"/>
          <w:color w:val="auto"/>
        </w:rPr>
        <w:t>响应文件封面格式</w:t>
      </w:r>
      <w:bookmarkEnd w:id="55"/>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彭州市行政审批局新增区域采购台式计算机等办公设备项目</w:t>
      </w:r>
    </w:p>
    <w:p>
      <w:pPr>
        <w:spacing w:line="360" w:lineRule="auto"/>
        <w:rPr>
          <w:rFonts w:ascii="宋体" w:hAnsi="宋体"/>
          <w:b/>
          <w:sz w:val="32"/>
          <w:szCs w:val="32"/>
          <w:u w:val="single"/>
        </w:rPr>
      </w:pPr>
      <w:r>
        <w:rPr>
          <w:rFonts w:hint="eastAsia" w:ascii="宋体" w:hAnsi="宋体"/>
          <w:b/>
          <w:bCs/>
          <w:sz w:val="32"/>
          <w:szCs w:val="32"/>
        </w:rPr>
        <w:t>项目编号：</w:t>
      </w:r>
      <w:r>
        <w:rPr>
          <w:rFonts w:hint="eastAsia" w:ascii="宋体" w:hAnsi="宋体"/>
          <w:b/>
          <w:bCs/>
          <w:sz w:val="32"/>
          <w:szCs w:val="32"/>
          <w:lang w:val="en-US" w:eastAsia="zh-CN"/>
        </w:rPr>
        <w:t>彭州市政采（2021）A0010号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资格响应文件</w:t>
      </w:r>
    </w:p>
    <w:p>
      <w:pPr>
        <w:pStyle w:val="5"/>
        <w:numPr>
          <w:ilvl w:val="3"/>
          <w:numId w:val="1"/>
        </w:numPr>
        <w:tabs>
          <w:tab w:val="left" w:pos="709"/>
        </w:tabs>
        <w:jc w:val="left"/>
        <w:rPr>
          <w:color w:val="auto"/>
        </w:rPr>
      </w:pPr>
      <w:r>
        <w:rPr>
          <w:rFonts w:hint="eastAsia"/>
          <w:color w:val="auto"/>
        </w:rPr>
        <w:t>供应商资格</w:t>
      </w:r>
      <w:r>
        <w:rPr>
          <w:color w:val="auto"/>
        </w:rPr>
        <w:t>申明的函</w:t>
      </w:r>
    </w:p>
    <w:p>
      <w:pPr>
        <w:snapToGrid w:val="0"/>
        <w:spacing w:line="620" w:lineRule="exact"/>
        <w:rPr>
          <w:rFonts w:ascii="宋体" w:hAnsi="宋体"/>
          <w:sz w:val="28"/>
          <w:szCs w:val="28"/>
        </w:rPr>
      </w:pPr>
      <w:bookmarkStart w:id="57" w:name="_Toc238581782"/>
      <w:bookmarkStart w:id="58" w:name="_Toc52184753"/>
      <w:bookmarkStart w:id="59" w:name="_Toc119203988"/>
      <w:bookmarkStart w:id="60" w:name="_Toc119295087"/>
      <w:bookmarkStart w:id="61" w:name="_Toc119296788"/>
      <w:bookmarkStart w:id="62" w:name="_Toc146903609"/>
      <w:r>
        <w:rPr>
          <w:rFonts w:hint="eastAsia" w:ascii="宋体" w:hAnsi="宋体"/>
          <w:sz w:val="28"/>
          <w:szCs w:val="28"/>
          <w:lang w:val="en-US" w:eastAsia="zh-CN"/>
        </w:rPr>
        <w:t>彭州</w:t>
      </w:r>
      <w:r>
        <w:rPr>
          <w:rFonts w:hint="eastAsia" w:ascii="宋体" w:hAnsi="宋体"/>
          <w:sz w:val="28"/>
          <w:szCs w:val="28"/>
        </w:rPr>
        <w:t>市公共资源交易服务中心</w:t>
      </w:r>
      <w:bookmarkEnd w:id="57"/>
      <w:r>
        <w:rPr>
          <w:rFonts w:hint="eastAsia" w:ascii="宋体" w:hAnsi="宋体"/>
          <w:sz w:val="28"/>
          <w:szCs w:val="28"/>
        </w:rPr>
        <w:t>：</w:t>
      </w:r>
    </w:p>
    <w:p>
      <w:pPr>
        <w:spacing w:line="360" w:lineRule="auto"/>
        <w:ind w:firstLine="560" w:firstLineChars="200"/>
        <w:rPr>
          <w:rFonts w:ascii="宋体" w:hAnsi="宋体"/>
          <w:b/>
          <w:sz w:val="28"/>
          <w:szCs w:val="28"/>
          <w:u w:val="single"/>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bCs w:val="0"/>
          <w:sz w:val="28"/>
          <w:szCs w:val="28"/>
          <w:u w:val="single"/>
          <w:lang w:eastAsia="zh-CN"/>
        </w:rPr>
        <w:t>彭州市行政审批局新增区域采购台式计算机等办公设备项目</w:t>
      </w:r>
      <w:r>
        <w:rPr>
          <w:rFonts w:hint="eastAsia" w:ascii="宋体" w:hAnsi="宋体"/>
          <w:b/>
          <w:bCs/>
          <w:sz w:val="28"/>
          <w:szCs w:val="28"/>
          <w:u w:val="single"/>
        </w:rPr>
        <w:t>”（项目编号：</w:t>
      </w:r>
      <w:r>
        <w:rPr>
          <w:rFonts w:hint="eastAsia" w:ascii="宋体" w:hAnsi="宋体"/>
          <w:b/>
          <w:bCs/>
          <w:sz w:val="28"/>
          <w:szCs w:val="28"/>
          <w:u w:val="single"/>
          <w:lang w:val="en-US" w:eastAsia="zh-CN"/>
        </w:rPr>
        <w:t>彭州市政采（2021）A0010号</w:t>
      </w:r>
      <w:r>
        <w:rPr>
          <w:rFonts w:hint="eastAsia" w:ascii="宋体" w:hAnsi="宋体"/>
          <w:b/>
          <w:bCs/>
          <w:sz w:val="28"/>
          <w:szCs w:val="28"/>
          <w:u w:val="single"/>
        </w:rPr>
        <w:t>）</w:t>
      </w:r>
      <w:r>
        <w:rPr>
          <w:rFonts w:hint="eastAsia" w:ascii="宋体" w:hAnsi="宋体"/>
          <w:bCs/>
          <w:sz w:val="28"/>
          <w:szCs w:val="28"/>
        </w:rPr>
        <w:t>的询价通知书，决定参加贵单位组织的本项目的询价采购活动。</w:t>
      </w:r>
      <w:r>
        <w:rPr>
          <w:rFonts w:hint="eastAsia" w:ascii="宋体" w:hAnsi="宋体"/>
          <w:sz w:val="28"/>
          <w:szCs w:val="28"/>
        </w:rPr>
        <w:t>提交的下列文件和说明是准确的和真实的。</w:t>
      </w:r>
    </w:p>
    <w:p>
      <w:pPr>
        <w:widowControl w:val="0"/>
        <w:numPr>
          <w:ilvl w:val="0"/>
          <w:numId w:val="30"/>
        </w:numPr>
        <w:tabs>
          <w:tab w:val="left" w:pos="1134"/>
        </w:tabs>
        <w:spacing w:line="360" w:lineRule="auto"/>
        <w:jc w:val="both"/>
        <w:rPr>
          <w:rFonts w:ascii="宋体" w:hAnsi="宋体"/>
          <w:sz w:val="28"/>
          <w:szCs w:val="28"/>
          <w:u w:val="single"/>
        </w:rPr>
      </w:pPr>
      <w:r>
        <w:rPr>
          <w:rFonts w:hint="eastAsia" w:ascii="宋体" w:hAnsi="宋体"/>
          <w:sz w:val="28"/>
          <w:szCs w:val="28"/>
        </w:rPr>
        <w:t>供应商名称及概况：</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rPr>
        <w:t>XX</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地址：</w:t>
      </w:r>
      <w:r>
        <w:rPr>
          <w:rFonts w:ascii="宋体" w:hAnsi="宋体"/>
          <w:sz w:val="28"/>
          <w:szCs w:val="28"/>
        </w:rPr>
        <w:t xml:space="preserve">XX           </w:t>
      </w:r>
      <w:r>
        <w:rPr>
          <w:rFonts w:hint="eastAsia" w:ascii="宋体" w:hAnsi="宋体"/>
          <w:sz w:val="28"/>
          <w:szCs w:val="28"/>
        </w:rPr>
        <w:t>邮编：</w:t>
      </w:r>
      <w:r>
        <w:rPr>
          <w:rFonts w:ascii="宋体" w:hAnsi="宋体"/>
          <w:sz w:val="28"/>
          <w:szCs w:val="28"/>
        </w:rPr>
        <w:t>XX</w:t>
      </w:r>
    </w:p>
    <w:p>
      <w:pPr>
        <w:spacing w:line="500" w:lineRule="exact"/>
        <w:ind w:left="641" w:leftChars="267" w:firstLine="700" w:firstLineChars="250"/>
        <w:rPr>
          <w:rFonts w:ascii="宋体" w:hAnsi="宋体"/>
          <w:sz w:val="28"/>
          <w:szCs w:val="28"/>
          <w:u w:val="single"/>
        </w:rPr>
      </w:pPr>
      <w:r>
        <w:rPr>
          <w:rFonts w:hint="eastAsia" w:ascii="宋体" w:hAnsi="宋体"/>
          <w:sz w:val="28"/>
          <w:szCs w:val="28"/>
        </w:rPr>
        <w:t>传真</w:t>
      </w:r>
      <w:r>
        <w:rPr>
          <w:rFonts w:ascii="宋体" w:hAnsi="宋体"/>
          <w:sz w:val="28"/>
          <w:szCs w:val="28"/>
        </w:rPr>
        <w:t>/电话：XX</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成立日期或注册日期：</w:t>
      </w:r>
      <w:r>
        <w:rPr>
          <w:rFonts w:ascii="宋体" w:hAnsi="宋体"/>
          <w:sz w:val="28"/>
          <w:szCs w:val="28"/>
        </w:rPr>
        <w:t>XX</w:t>
      </w:r>
    </w:p>
    <w:p>
      <w:pPr>
        <w:numPr>
          <w:ilvl w:val="0"/>
          <w:numId w:val="31"/>
        </w:numPr>
        <w:spacing w:line="500" w:lineRule="exact"/>
        <w:ind w:left="0" w:firstLine="560" w:firstLineChars="200"/>
        <w:rPr>
          <w:rFonts w:ascii="宋体" w:hAnsi="宋体"/>
          <w:sz w:val="28"/>
          <w:szCs w:val="28"/>
          <w:u w:val="single"/>
        </w:rPr>
      </w:pPr>
      <w:r>
        <w:rPr>
          <w:rFonts w:hint="eastAsia" w:ascii="宋体" w:hAnsi="宋体"/>
          <w:sz w:val="28"/>
          <w:szCs w:val="28"/>
        </w:rPr>
        <w:t>法定代表人姓名：</w:t>
      </w:r>
      <w:r>
        <w:rPr>
          <w:rFonts w:ascii="宋体" w:hAnsi="宋体"/>
          <w:sz w:val="28"/>
          <w:szCs w:val="28"/>
        </w:rPr>
        <w:t>XX</w:t>
      </w:r>
    </w:p>
    <w:p>
      <w:pPr>
        <w:widowControl w:val="0"/>
        <w:numPr>
          <w:ilvl w:val="0"/>
          <w:numId w:val="30"/>
        </w:numPr>
        <w:tabs>
          <w:tab w:val="left" w:pos="1134"/>
        </w:tabs>
        <w:spacing w:line="360" w:lineRule="auto"/>
        <w:jc w:val="both"/>
        <w:rPr>
          <w:rFonts w:ascii="宋体" w:hAnsi="宋体"/>
          <w:sz w:val="28"/>
          <w:szCs w:val="28"/>
        </w:rPr>
      </w:pPr>
      <w:r>
        <w:rPr>
          <w:rFonts w:hint="eastAsia" w:ascii="宋体" w:hAnsi="宋体"/>
          <w:sz w:val="28"/>
          <w:szCs w:val="28"/>
        </w:rPr>
        <w:t>开户银行名称：</w:t>
      </w:r>
      <w:r>
        <w:rPr>
          <w:rFonts w:ascii="宋体" w:hAnsi="宋体"/>
          <w:sz w:val="28"/>
          <w:szCs w:val="28"/>
        </w:rPr>
        <w:t>XX</w:t>
      </w:r>
    </w:p>
    <w:p>
      <w:pPr>
        <w:spacing w:line="500" w:lineRule="exact"/>
        <w:ind w:firstLine="1260" w:firstLineChars="450"/>
        <w:rPr>
          <w:rFonts w:ascii="宋体" w:hAnsi="宋体"/>
          <w:sz w:val="28"/>
          <w:szCs w:val="28"/>
          <w:u w:val="single"/>
        </w:rPr>
      </w:pPr>
      <w:r>
        <w:rPr>
          <w:rFonts w:hint="eastAsia" w:ascii="宋体" w:hAnsi="宋体"/>
          <w:sz w:val="28"/>
          <w:szCs w:val="28"/>
        </w:rPr>
        <w:t>地址：</w:t>
      </w:r>
      <w:r>
        <w:rPr>
          <w:rFonts w:ascii="宋体" w:hAnsi="宋体"/>
          <w:sz w:val="28"/>
          <w:szCs w:val="28"/>
        </w:rPr>
        <w:t>XX</w:t>
      </w:r>
    </w:p>
    <w:p>
      <w:pPr>
        <w:spacing w:line="500" w:lineRule="exact"/>
        <w:ind w:firstLine="1260" w:firstLineChars="450"/>
        <w:rPr>
          <w:rFonts w:ascii="宋体" w:hAnsi="宋体"/>
          <w:sz w:val="28"/>
          <w:szCs w:val="28"/>
        </w:rPr>
      </w:pPr>
      <w:r>
        <w:rPr>
          <w:rFonts w:hint="eastAsia" w:ascii="宋体" w:hAnsi="宋体"/>
          <w:sz w:val="28"/>
          <w:szCs w:val="28"/>
        </w:rPr>
        <w:t>账号：</w:t>
      </w:r>
      <w:r>
        <w:rPr>
          <w:rFonts w:ascii="宋体" w:hAnsi="宋体"/>
          <w:sz w:val="28"/>
          <w:szCs w:val="28"/>
        </w:rPr>
        <w:t>XX</w:t>
      </w: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r>
        <w:rPr>
          <w:rFonts w:hint="eastAsia" w:ascii="宋体" w:hAnsi="宋体"/>
          <w:bCs/>
          <w:sz w:val="28"/>
          <w:szCs w:val="28"/>
        </w:rPr>
        <w:t>供应商名称：</w:t>
      </w:r>
      <w:r>
        <w:rPr>
          <w:rFonts w:ascii="宋体" w:hAnsi="宋体"/>
          <w:sz w:val="28"/>
          <w:szCs w:val="28"/>
          <w:u w:val="single"/>
        </w:rPr>
        <w:t>XXXXXX</w:t>
      </w:r>
    </w:p>
    <w:p>
      <w:pPr>
        <w:pStyle w:val="27"/>
        <w:snapToGrid w:val="0"/>
        <w:spacing w:line="620" w:lineRule="exact"/>
        <w:ind w:firstLine="560" w:firstLineChars="200"/>
        <w:rPr>
          <w:rFonts w:ascii="宋体" w:hAnsi="宋体"/>
          <w:sz w:val="28"/>
          <w:szCs w:val="28"/>
          <w:u w:val="single"/>
        </w:rPr>
      </w:pPr>
      <w:r>
        <w:rPr>
          <w:rFonts w:hint="eastAsia" w:ascii="宋体" w:hAnsi="宋体"/>
          <w:sz w:val="28"/>
          <w:szCs w:val="28"/>
        </w:rPr>
        <w:t>日期：</w:t>
      </w:r>
      <w:r>
        <w:rPr>
          <w:rFonts w:ascii="宋体" w:hAnsi="宋体"/>
          <w:sz w:val="28"/>
          <w:szCs w:val="28"/>
          <w:u w:val="single"/>
        </w:rPr>
        <w:t>202X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bookmarkEnd w:id="58"/>
    <w:bookmarkEnd w:id="59"/>
    <w:bookmarkEnd w:id="60"/>
    <w:bookmarkEnd w:id="61"/>
    <w:bookmarkEnd w:id="62"/>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bookmarkStart w:id="184" w:name="_GoBack"/>
      <w:bookmarkEnd w:id="184"/>
    </w:p>
    <w:p>
      <w:pPr>
        <w:pStyle w:val="5"/>
        <w:numPr>
          <w:ilvl w:val="3"/>
          <w:numId w:val="1"/>
        </w:numPr>
        <w:tabs>
          <w:tab w:val="left" w:pos="709"/>
        </w:tabs>
        <w:jc w:val="left"/>
        <w:rPr>
          <w:color w:val="auto"/>
        </w:rPr>
      </w:pPr>
      <w:r>
        <w:rPr>
          <w:rFonts w:hint="eastAsia"/>
          <w:color w:val="auto"/>
        </w:rPr>
        <w:t>声明</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项目名称：</w:t>
      </w:r>
      <w:r>
        <w:rPr>
          <w:rFonts w:hint="eastAsia" w:ascii="宋体" w:hAnsi="宋体"/>
          <w:b/>
          <w:bCs/>
          <w:sz w:val="28"/>
          <w:szCs w:val="28"/>
          <w:u w:val="single"/>
          <w:lang w:eastAsia="zh-CN"/>
        </w:rPr>
        <w:t>彭州市行政审批局新增区域采购台式计算机等办公设备项目</w:t>
      </w:r>
      <w:r>
        <w:rPr>
          <w:rFonts w:hint="eastAsia" w:ascii="宋体" w:hAnsi="宋体"/>
          <w:b/>
          <w:sz w:val="28"/>
        </w:rPr>
        <w:t>编号：</w:t>
      </w:r>
      <w:r>
        <w:rPr>
          <w:rFonts w:hint="eastAsia" w:ascii="宋体" w:hAnsi="宋体"/>
          <w:b/>
          <w:bCs/>
          <w:sz w:val="28"/>
          <w:szCs w:val="28"/>
          <w:u w:val="single"/>
          <w:lang w:val="en-US" w:eastAsia="zh-CN"/>
        </w:rPr>
        <w:t>彭州市政采（2021）A0010号</w:t>
      </w:r>
    </w:p>
    <w:p>
      <w:pPr>
        <w:spacing w:line="360" w:lineRule="auto"/>
        <w:rPr>
          <w:rFonts w:ascii="宋体" w:hAnsi="宋体"/>
          <w:b/>
          <w:sz w:val="28"/>
          <w:szCs w:val="28"/>
        </w:rPr>
      </w:pPr>
      <w:r>
        <w:rPr>
          <w:rFonts w:hint="eastAsia" w:ascii="宋体" w:hAnsi="宋体"/>
          <w:b/>
          <w:sz w:val="28"/>
          <w:szCs w:val="28"/>
        </w:rPr>
        <w:t>致：</w:t>
      </w:r>
      <w:r>
        <w:rPr>
          <w:rFonts w:hint="eastAsia" w:ascii="宋体" w:hAnsi="宋体"/>
          <w:b/>
          <w:sz w:val="28"/>
          <w:szCs w:val="28"/>
          <w:lang w:val="en-US" w:eastAsia="zh-CN"/>
        </w:rPr>
        <w:t>彭州</w:t>
      </w:r>
      <w:r>
        <w:rPr>
          <w:rFonts w:hint="eastAsia" w:ascii="宋体" w:hAnsi="宋体"/>
          <w:b/>
          <w:sz w:val="28"/>
          <w:szCs w:val="28"/>
        </w:rPr>
        <w:t>市公共资源交易服务中心</w:t>
      </w:r>
    </w:p>
    <w:p>
      <w:pPr>
        <w:spacing w:line="600" w:lineRule="exact"/>
        <w:ind w:firstLine="560" w:firstLineChars="200"/>
        <w:rPr>
          <w:rFonts w:ascii="宋体" w:hAnsi="宋体"/>
        </w:rPr>
      </w:pPr>
      <w:r>
        <w:rPr>
          <w:rFonts w:hint="eastAsia" w:ascii="宋体" w:hAnsi="宋体"/>
          <w:sz w:val="28"/>
        </w:rPr>
        <w:t>我单位作为</w:t>
      </w:r>
      <w:r>
        <w:rPr>
          <w:rFonts w:hint="eastAsia" w:ascii="宋体" w:hAnsi="宋体"/>
          <w:b/>
          <w:bCs w:val="0"/>
          <w:sz w:val="28"/>
          <w:szCs w:val="28"/>
          <w:u w:val="single"/>
          <w:lang w:eastAsia="zh-CN"/>
        </w:rPr>
        <w:t>彭州市行政审批局新增区域采购台式计算机等办公设备项目</w:t>
      </w:r>
      <w:r>
        <w:rPr>
          <w:rFonts w:hint="eastAsia" w:ascii="宋体" w:hAnsi="宋体"/>
          <w:sz w:val="28"/>
        </w:rPr>
        <w:t>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rPr>
          <w:rFonts w:ascii="宋体" w:hAnsi="宋体"/>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供应商如被列入失信被执行人、重大税收违法案件当事人名单，应填写“被列入”，供应商将被认定响应无效或被取消成交资格；供应商如被列入政府采购严重违法失信行为记录名单，应填写“被列入”，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5.对声明中第六条的说明：如供应商处于被行政部门禁止参加政府采购活动期限内的，该声明填“处于”，供应商将被认定响应无效或被取消成交资格。</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rPr>
          <w:lang w:val="zh-CN"/>
        </w:rPr>
      </w:pPr>
    </w:p>
    <w:p/>
    <w:p/>
    <w:p/>
    <w:p>
      <w:pPr>
        <w:pStyle w:val="5"/>
        <w:numPr>
          <w:ilvl w:val="3"/>
          <w:numId w:val="1"/>
        </w:numPr>
        <w:tabs>
          <w:tab w:val="left" w:pos="709"/>
        </w:tabs>
        <w:jc w:val="left"/>
        <w:rPr>
          <w:lang w:val="zh-CN"/>
        </w:rPr>
      </w:pPr>
      <w:r>
        <w:rPr>
          <w:rFonts w:hint="eastAsia"/>
          <w:color w:val="auto"/>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w:t>
      </w:r>
      <w:r>
        <w:rPr>
          <w:rFonts w:hint="eastAsia" w:ascii="宋体" w:hAnsi="宋体"/>
          <w:sz w:val="28"/>
          <w:szCs w:val="28"/>
          <w:lang w:val="en-US" w:eastAsia="zh-CN"/>
        </w:rPr>
        <w:t>需</w:t>
      </w:r>
      <w:r>
        <w:rPr>
          <w:rFonts w:hint="eastAsia" w:ascii="宋体" w:hAnsi="宋体"/>
          <w:sz w:val="28"/>
          <w:szCs w:val="28"/>
          <w:lang w:val="en-US"/>
        </w:rPr>
        <w:t>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报价书</w:t>
      </w:r>
    </w:p>
    <w:p>
      <w:pPr>
        <w:spacing w:line="560" w:lineRule="exact"/>
        <w:rPr>
          <w:rFonts w:ascii="宋体" w:hAnsi="宋体"/>
          <w:bCs/>
          <w:sz w:val="28"/>
          <w:szCs w:val="28"/>
        </w:rPr>
      </w:pPr>
      <w:r>
        <w:rPr>
          <w:rFonts w:hint="eastAsia" w:ascii="宋体" w:hAnsi="宋体"/>
          <w:bCs/>
          <w:sz w:val="28"/>
          <w:szCs w:val="28"/>
          <w:lang w:val="en-US" w:eastAsia="zh-CN"/>
        </w:rPr>
        <w:t>彭州</w:t>
      </w:r>
      <w:r>
        <w:rPr>
          <w:rFonts w:hint="eastAsia" w:ascii="宋体" w:hAnsi="宋体"/>
          <w:bCs/>
          <w:sz w:val="28"/>
          <w:szCs w:val="28"/>
        </w:rPr>
        <w:t>市公共资源交易服务中心：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bCs w:val="0"/>
          <w:sz w:val="28"/>
          <w:szCs w:val="28"/>
          <w:u w:val="single"/>
          <w:lang w:eastAsia="zh-CN"/>
        </w:rPr>
        <w:t>彭州市行政审批局新增区域采购台式计算机等办公设备项目</w:t>
      </w:r>
      <w:r>
        <w:rPr>
          <w:rFonts w:hint="eastAsia" w:ascii="宋体" w:hAnsi="宋体"/>
          <w:b/>
          <w:bCs/>
          <w:sz w:val="28"/>
          <w:szCs w:val="28"/>
          <w:u w:val="single"/>
        </w:rPr>
        <w:t>”（项目编号：</w:t>
      </w:r>
      <w:r>
        <w:rPr>
          <w:rFonts w:hint="eastAsia" w:ascii="宋体" w:hAnsi="宋体"/>
          <w:b/>
          <w:bCs/>
          <w:sz w:val="28"/>
          <w:szCs w:val="28"/>
          <w:u w:val="single"/>
          <w:lang w:val="en-US" w:eastAsia="zh-CN"/>
        </w:rPr>
        <w:t>彭州市政采（2021）A0010号</w:t>
      </w:r>
      <w:r>
        <w:rPr>
          <w:rFonts w:hint="eastAsia" w:ascii="宋体" w:hAnsi="宋体"/>
          <w:b/>
          <w:bCs/>
          <w:sz w:val="28"/>
          <w:szCs w:val="28"/>
          <w:u w:val="single"/>
        </w:rPr>
        <w:t>）</w:t>
      </w:r>
      <w:r>
        <w:rPr>
          <w:rFonts w:hint="eastAsia" w:ascii="宋体" w:hAnsi="宋体"/>
          <w:bCs/>
          <w:sz w:val="28"/>
          <w:szCs w:val="28"/>
        </w:rPr>
        <w:t>询价通知书，决定参加贵单位组织的本项目采购</w:t>
      </w:r>
      <w:r>
        <w:rPr>
          <w:rFonts w:ascii="宋体" w:hAnsi="宋体"/>
          <w:bCs/>
          <w:sz w:val="28"/>
          <w:szCs w:val="28"/>
        </w:rPr>
        <w:t>活动</w:t>
      </w:r>
      <w:r>
        <w:rPr>
          <w:rFonts w:hint="eastAsia" w:ascii="宋体" w:hAnsi="宋体"/>
          <w:bCs/>
          <w:sz w:val="28"/>
          <w:szCs w:val="28"/>
        </w:rPr>
        <w:t>。我方授权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XXXX（供应商名称）</w:t>
      </w:r>
      <w:r>
        <w:rPr>
          <w:rFonts w:hint="eastAsia" w:ascii="宋体" w:hAnsi="宋体"/>
          <w:bCs/>
          <w:sz w:val="28"/>
          <w:szCs w:val="28"/>
        </w:rPr>
        <w:t>全权处理本项目询价采购</w:t>
      </w:r>
      <w:r>
        <w:rPr>
          <w:rFonts w:ascii="宋体" w:hAnsi="宋体"/>
          <w:bCs/>
          <w:sz w:val="28"/>
          <w:szCs w:val="28"/>
        </w:rPr>
        <w:t>活动</w:t>
      </w:r>
      <w:r>
        <w:rPr>
          <w:rFonts w:hint="eastAsia" w:ascii="宋体" w:hAnsi="宋体"/>
          <w:bCs/>
          <w:sz w:val="28"/>
          <w:szCs w:val="28"/>
        </w:rPr>
        <w:t>的有关事宜。</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我方自愿按照询价通知书规定的各项要求向采购人提供所需货物及服务，</w:t>
      </w:r>
      <w:r>
        <w:rPr>
          <w:rFonts w:hint="eastAsia" w:ascii="宋体" w:hAnsi="宋体"/>
          <w:b/>
          <w:sz w:val="28"/>
          <w:szCs w:val="28"/>
        </w:rPr>
        <w:t>报价以《开标一览表》为准</w:t>
      </w:r>
      <w:r>
        <w:rPr>
          <w:rFonts w:hint="eastAsia" w:ascii="宋体" w:hAnsi="宋体"/>
          <w:sz w:val="28"/>
          <w:szCs w:val="28"/>
        </w:rPr>
        <w:t>。</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如果我方成交，我方将严格履行合同规定的责任和义务，否则将承担由此产生的一切责任。</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我方已知晓全部询价通知书的内容，包括修改文件（如有）以及全部相关资料和有关附件，并对上述文件均无异议。</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本</w:t>
      </w:r>
      <w:r>
        <w:rPr>
          <w:rFonts w:ascii="宋体" w:hAnsi="宋体"/>
          <w:sz w:val="28"/>
          <w:szCs w:val="28"/>
        </w:rPr>
        <w:t>响应文件</w:t>
      </w:r>
      <w:r>
        <w:rPr>
          <w:rFonts w:hint="eastAsia" w:ascii="宋体" w:hAnsi="宋体"/>
          <w:sz w:val="28"/>
          <w:szCs w:val="28"/>
        </w:rPr>
        <w:t>有效期为从</w:t>
      </w:r>
      <w:r>
        <w:rPr>
          <w:rFonts w:hint="eastAsia" w:ascii="宋体" w:hAnsi="宋体" w:cs="宋体"/>
          <w:bCs/>
          <w:kern w:val="2"/>
          <w:sz w:val="28"/>
          <w:szCs w:val="28"/>
        </w:rPr>
        <w:t>递交响应文件</w:t>
      </w:r>
      <w:r>
        <w:rPr>
          <w:rFonts w:hint="eastAsia" w:ascii="宋体" w:hAnsi="宋体"/>
          <w:sz w:val="28"/>
          <w:szCs w:val="28"/>
        </w:rPr>
        <w:t>截止之日起120天。</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我方愿意提供贵中心可能另外要求的，与询价</w:t>
      </w:r>
      <w:r>
        <w:rPr>
          <w:rFonts w:ascii="宋体" w:hAnsi="宋体"/>
          <w:sz w:val="28"/>
          <w:szCs w:val="28"/>
        </w:rPr>
        <w:t>采购活动</w:t>
      </w:r>
      <w:r>
        <w:rPr>
          <w:rFonts w:hint="eastAsia" w:ascii="宋体" w:hAnsi="宋体"/>
          <w:sz w:val="28"/>
          <w:szCs w:val="28"/>
        </w:rPr>
        <w:t>有关的文件资料，并保证我方已提供和将要提供的文件资料是真实、准确的，并对此承担一切法律后果。</w:t>
      </w:r>
    </w:p>
    <w:p>
      <w:pPr>
        <w:widowControl w:val="0"/>
        <w:numPr>
          <w:ilvl w:val="1"/>
          <w:numId w:val="32"/>
        </w:numPr>
        <w:tabs>
          <w:tab w:val="left" w:pos="1134"/>
        </w:tabs>
        <w:spacing w:line="360" w:lineRule="auto"/>
        <w:ind w:left="0" w:firstLine="567"/>
        <w:jc w:val="both"/>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80" w:leftChars="200" w:firstLine="560" w:firstLine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spacing w:line="360" w:lineRule="auto"/>
        <w:ind w:left="324"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供应商基本情况表</w:t>
      </w:r>
    </w:p>
    <w:tbl>
      <w:tblPr>
        <w:tblStyle w:val="45"/>
        <w:tblW w:w="852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供应商名称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68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80" w:leftChars="200" w:firstLine="288" w:firstLineChars="103"/>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63" w:name="_Toc302997928"/>
      <w:bookmarkStart w:id="64" w:name="_Toc263753619"/>
      <w:bookmarkStart w:id="65" w:name="_Toc263768877"/>
    </w:p>
    <w:p>
      <w:pPr>
        <w:adjustRightInd w:val="0"/>
        <w:spacing w:line="400" w:lineRule="exact"/>
        <w:rPr>
          <w:rFonts w:ascii="宋体" w:hAnsi="宋体"/>
          <w:bCs/>
          <w:sz w:val="28"/>
          <w:u w:val="single"/>
        </w:rPr>
      </w:pPr>
    </w:p>
    <w:bookmarkEnd w:id="63"/>
    <w:bookmarkEnd w:id="64"/>
    <w:bookmarkEnd w:id="65"/>
    <w:p>
      <w:pPr>
        <w:pStyle w:val="5"/>
        <w:numPr>
          <w:ilvl w:val="3"/>
          <w:numId w:val="1"/>
        </w:numPr>
        <w:tabs>
          <w:tab w:val="left" w:pos="709"/>
        </w:tabs>
        <w:jc w:val="left"/>
        <w:rPr>
          <w:color w:val="auto"/>
        </w:rPr>
      </w:pPr>
      <w:r>
        <w:rPr>
          <w:rFonts w:hint="eastAsia"/>
          <w:color w:val="auto"/>
        </w:rPr>
        <w:t>服务方案及服务承诺</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项目名称：</w:t>
      </w:r>
      <w:r>
        <w:rPr>
          <w:rFonts w:hint="eastAsia" w:ascii="宋体" w:hAnsi="宋体"/>
          <w:b/>
          <w:sz w:val="28"/>
          <w:szCs w:val="28"/>
          <w:u w:val="single"/>
          <w:lang w:eastAsia="zh-CN"/>
        </w:rPr>
        <w:t>彭州市行政审批局新增区域采购台式计算机等办公设备项目</w:t>
      </w:r>
      <w:r>
        <w:rPr>
          <w:rFonts w:hint="eastAsia" w:ascii="宋体" w:hAnsi="宋体"/>
          <w:b/>
          <w:sz w:val="28"/>
        </w:rPr>
        <w:t>编号：</w:t>
      </w:r>
      <w:r>
        <w:rPr>
          <w:rFonts w:hint="eastAsia" w:ascii="宋体" w:hAnsi="宋体"/>
          <w:b/>
          <w:bCs/>
          <w:sz w:val="28"/>
          <w:szCs w:val="28"/>
          <w:u w:val="single"/>
          <w:lang w:val="en-US" w:eastAsia="zh-CN"/>
        </w:rPr>
        <w:t>彭州市政采（2021）A0010号</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ascii="宋体" w:hAnsi="宋体"/>
          <w:b/>
          <w:sz w:val="28"/>
          <w:szCs w:val="28"/>
          <w:u w:val="single"/>
        </w:rPr>
      </w:pPr>
      <w:r>
        <w:rPr>
          <w:rFonts w:hint="eastAsia" w:ascii="宋体" w:hAnsi="宋体"/>
          <w:b/>
          <w:spacing w:val="-20"/>
          <w:sz w:val="28"/>
          <w:szCs w:val="28"/>
        </w:rPr>
        <w:t>项目名称：</w:t>
      </w:r>
      <w:r>
        <w:rPr>
          <w:rFonts w:hint="eastAsia" w:ascii="宋体" w:hAnsi="宋体"/>
          <w:b/>
          <w:sz w:val="28"/>
          <w:szCs w:val="28"/>
          <w:u w:val="single"/>
          <w:lang w:eastAsia="zh-CN"/>
        </w:rPr>
        <w:t>彭州市行政审批局新增区域采购台式计算机等办公设备项目</w:t>
      </w:r>
      <w:r>
        <w:rPr>
          <w:rFonts w:hint="eastAsia" w:ascii="宋体" w:hAnsi="宋体"/>
          <w:b/>
          <w:sz w:val="28"/>
          <w:szCs w:val="28"/>
        </w:rPr>
        <w:t>编号：</w:t>
      </w:r>
      <w:r>
        <w:rPr>
          <w:rFonts w:hint="eastAsia" w:ascii="宋体" w:hAnsi="宋体"/>
          <w:b/>
          <w:sz w:val="28"/>
          <w:szCs w:val="28"/>
          <w:u w:val="single"/>
          <w:lang w:val="en-US" w:eastAsia="zh-CN"/>
        </w:rPr>
        <w:t>彭州市政采（2021）A0010号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bCs w:val="0"/>
          <w:sz w:val="28"/>
          <w:szCs w:val="28"/>
          <w:u w:val="single"/>
          <w:lang w:eastAsia="zh-CN"/>
        </w:rPr>
        <w:t>彭州市行政审批局新增区域采购台式计算机等办公设备项目</w:t>
      </w:r>
      <w:r>
        <w:rPr>
          <w:rFonts w:hint="eastAsia" w:ascii="宋体" w:hAnsi="宋体"/>
          <w:sz w:val="28"/>
        </w:rPr>
        <w:t>的供应商，在此郑重承诺：</w:t>
      </w:r>
    </w:p>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560" w:lineRule="exact"/>
        <w:ind w:right="0" w:firstLine="560" w:firstLineChars="200"/>
        <w:textAlignment w:val="auto"/>
        <w:rPr>
          <w:rFonts w:hint="default" w:ascii="Times New Roman" w:hAnsi="Times New Roman" w:cs="Times New Roman"/>
          <w:i w:val="0"/>
          <w:caps w:val="0"/>
          <w:color w:val="000000"/>
          <w:spacing w:val="0"/>
          <w:sz w:val="24"/>
          <w:szCs w:val="24"/>
        </w:rPr>
      </w:pPr>
      <w:r>
        <w:rPr>
          <w:rFonts w:hint="eastAsia" w:ascii="宋体" w:hAnsi="宋体" w:eastAsia="宋体" w:cs="宋体"/>
          <w:i w:val="0"/>
          <w:caps w:val="0"/>
          <w:color w:val="000000"/>
          <w:spacing w:val="0"/>
          <w:sz w:val="28"/>
          <w:szCs w:val="28"/>
          <w:shd w:val="clear" w:fill="FFFFFF"/>
        </w:rPr>
        <w:t>一、为本项目提供的所有产品、辅材中属于《国家强制性产品认证目录》范围内产品的，均通过国家强制性产品认证并取得认证证书。</w:t>
      </w:r>
    </w:p>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560" w:lineRule="exact"/>
        <w:ind w:left="0" w:right="0" w:firstLine="480"/>
        <w:textAlignment w:val="auto"/>
        <w:rPr>
          <w:rFonts w:hint="default" w:ascii="Times New Roman" w:hAnsi="Times New Roman" w:cs="Times New Roman"/>
          <w:i w:val="0"/>
          <w:caps w:val="0"/>
          <w:color w:val="000000"/>
          <w:spacing w:val="0"/>
          <w:sz w:val="24"/>
          <w:szCs w:val="24"/>
        </w:rPr>
      </w:pPr>
      <w:r>
        <w:rPr>
          <w:rFonts w:hint="eastAsia" w:ascii="宋体" w:hAnsi="宋体" w:eastAsia="宋体" w:cs="宋体"/>
          <w:i w:val="0"/>
          <w:caps w:val="0"/>
          <w:color w:val="000000"/>
          <w:spacing w:val="0"/>
          <w:sz w:val="28"/>
          <w:szCs w:val="28"/>
          <w:shd w:val="clear" w:fill="FFFFFF"/>
        </w:rPr>
        <w:t>二、为本项目提供的所有产品、辅材符合现行的强制性国家相关标准、行业标准。</w:t>
      </w:r>
    </w:p>
    <w:p>
      <w:pPr>
        <w:snapToGrid w:val="0"/>
        <w:spacing w:line="360" w:lineRule="auto"/>
        <w:ind w:firstLine="560" w:firstLineChars="200"/>
        <w:rPr>
          <w:rFonts w:hint="eastAsia" w:ascii="宋体" w:hAnsi="宋体"/>
          <w:sz w:val="28"/>
          <w:szCs w:val="28"/>
        </w:rPr>
      </w:pP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pStyle w:val="2"/>
        <w:rPr>
          <w:rFonts w:ascii="宋体" w:hAnsi="宋体"/>
        </w:rPr>
      </w:pPr>
    </w:p>
    <w:p>
      <w:pPr>
        <w:pStyle w:val="2"/>
        <w:rPr>
          <w:rFonts w:ascii="宋体" w:hAnsi="宋体"/>
        </w:rPr>
      </w:pPr>
    </w:p>
    <w:p>
      <w:pPr>
        <w:pStyle w:val="5"/>
        <w:numPr>
          <w:ilvl w:val="3"/>
          <w:numId w:val="1"/>
        </w:numPr>
        <w:tabs>
          <w:tab w:val="left" w:pos="709"/>
        </w:tabs>
        <w:snapToGrid w:val="0"/>
        <w:jc w:val="left"/>
        <w:rPr>
          <w:spacing w:val="6"/>
        </w:rPr>
      </w:pPr>
      <w:r>
        <w:rPr>
          <w:rFonts w:hint="eastAsia"/>
          <w:color w:val="auto"/>
        </w:rPr>
        <w:t>中小企业</w:t>
      </w:r>
      <w:r>
        <w:rPr>
          <w:color w:val="auto"/>
        </w:rPr>
        <w:t>声明函</w:t>
      </w:r>
    </w:p>
    <w:p>
      <w:pPr>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60" w:lineRule="exact"/>
        <w:ind w:firstLine="563"/>
        <w:rPr>
          <w:rFonts w:ascii="宋体" w:hAnsi="宋体"/>
          <w:sz w:val="28"/>
          <w:szCs w:val="28"/>
        </w:rPr>
      </w:pPr>
      <w:r>
        <w:rPr>
          <w:rFonts w:ascii="宋体" w:hAnsi="宋体"/>
          <w:sz w:val="28"/>
          <w:szCs w:val="28"/>
        </w:rPr>
        <w:t>本公司郑重声明，根据《政府采购促进中小企业发展管理办法》（财库﹝2020﹞</w:t>
      </w:r>
      <w:r>
        <w:rPr>
          <w:rFonts w:hint="eastAsia" w:ascii="宋体" w:hAnsi="宋体"/>
          <w:sz w:val="28"/>
          <w:szCs w:val="28"/>
        </w:rPr>
        <w:t>46</w:t>
      </w:r>
      <w:r>
        <w:rPr>
          <w:rFonts w:ascii="宋体" w:hAnsi="宋体"/>
          <w:sz w:val="28"/>
          <w:szCs w:val="28"/>
        </w:rPr>
        <w:t>号）的规定，本公司参加</w:t>
      </w:r>
      <w:r>
        <w:rPr>
          <w:rFonts w:hint="eastAsia" w:ascii="宋体" w:hAnsi="宋体"/>
          <w:sz w:val="28"/>
          <w:szCs w:val="28"/>
          <w:u w:val="single"/>
        </w:rPr>
        <w:t>XXXX</w:t>
      </w:r>
      <w:r>
        <w:rPr>
          <w:rFonts w:ascii="宋体" w:hAnsi="宋体"/>
          <w:sz w:val="28"/>
          <w:szCs w:val="28"/>
          <w:u w:val="single"/>
        </w:rPr>
        <w:t>（单位名称）</w:t>
      </w:r>
      <w:r>
        <w:rPr>
          <w:rFonts w:ascii="宋体" w:hAnsi="宋体"/>
          <w:sz w:val="28"/>
          <w:szCs w:val="28"/>
        </w:rPr>
        <w:t>的</w:t>
      </w:r>
      <w:r>
        <w:rPr>
          <w:rFonts w:hint="eastAsia" w:ascii="宋体" w:hAnsi="宋体"/>
          <w:sz w:val="28"/>
          <w:szCs w:val="28"/>
          <w:u w:val="single"/>
        </w:rPr>
        <w:t>XXXX</w:t>
      </w:r>
      <w:r>
        <w:rPr>
          <w:rFonts w:ascii="宋体" w:hAnsi="宋体"/>
          <w:sz w:val="28"/>
          <w:szCs w:val="28"/>
          <w:u w:val="single"/>
        </w:rPr>
        <w:t>（项目名称）</w:t>
      </w:r>
      <w:r>
        <w:rPr>
          <w:rFonts w:ascii="宋体" w:hAnsi="宋体"/>
          <w:sz w:val="28"/>
          <w:szCs w:val="28"/>
        </w:rPr>
        <w:t>采购活动，</w:t>
      </w:r>
      <w:r>
        <w:rPr>
          <w:rFonts w:ascii="宋体" w:hAnsi="宋体"/>
          <w:b/>
          <w:sz w:val="28"/>
          <w:szCs w:val="28"/>
        </w:rPr>
        <w:t>提供的货物全部由符合政策要求的中小企业制造</w:t>
      </w:r>
      <w:r>
        <w:rPr>
          <w:rFonts w:ascii="宋体" w:hAnsi="宋体"/>
          <w:sz w:val="28"/>
          <w:szCs w:val="28"/>
        </w:rPr>
        <w:t>。相关企业的具体情况如下：</w:t>
      </w:r>
    </w:p>
    <w:p>
      <w:pPr>
        <w:spacing w:line="560" w:lineRule="exact"/>
        <w:ind w:firstLine="563"/>
        <w:rPr>
          <w:rFonts w:ascii="宋体" w:hAnsi="宋体"/>
          <w:sz w:val="28"/>
          <w:szCs w:val="28"/>
        </w:rPr>
      </w:pPr>
      <w:r>
        <w:rPr>
          <w:rFonts w:ascii="宋体" w:hAnsi="宋体"/>
          <w:sz w:val="28"/>
          <w:szCs w:val="28"/>
        </w:rPr>
        <w:t xml:space="preserve"> 1.</w:t>
      </w:r>
      <w:r>
        <w:rPr>
          <w:rFonts w:hint="eastAsia" w:ascii="宋体" w:hAnsi="宋体"/>
          <w:sz w:val="28"/>
          <w:szCs w:val="28"/>
          <w:u w:val="single"/>
        </w:rPr>
        <w:t xml:space="preserve"> XXXX</w:t>
      </w:r>
      <w:r>
        <w:rPr>
          <w:rFonts w:ascii="宋体" w:hAnsi="宋体"/>
          <w:sz w:val="28"/>
          <w:szCs w:val="28"/>
        </w:rPr>
        <w:t>（标的名称） ，属于</w:t>
      </w:r>
      <w:r>
        <w:rPr>
          <w:rFonts w:hint="eastAsia" w:ascii="宋体" w:hAnsi="宋体"/>
          <w:sz w:val="28"/>
          <w:szCs w:val="28"/>
          <w:u w:val="single"/>
        </w:rPr>
        <w:t>XXXX</w:t>
      </w:r>
      <w:r>
        <w:rPr>
          <w:rFonts w:ascii="宋体" w:hAnsi="宋体"/>
          <w:sz w:val="28"/>
          <w:szCs w:val="28"/>
        </w:rPr>
        <w:t>（采购文件中明确的所属行业） 行业；制造商为</w:t>
      </w:r>
      <w:r>
        <w:rPr>
          <w:rFonts w:hint="eastAsia" w:ascii="宋体" w:hAnsi="宋体"/>
          <w:sz w:val="28"/>
          <w:szCs w:val="28"/>
          <w:u w:val="single"/>
        </w:rPr>
        <w:t>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w:t>
      </w:r>
      <w:r>
        <w:rPr>
          <w:rFonts w:hint="eastAsia" w:ascii="宋体" w:hAnsi="宋体"/>
          <w:sz w:val="28"/>
          <w:szCs w:val="28"/>
          <w:vertAlign w:val="superscript"/>
        </w:rPr>
        <w:t>1</w:t>
      </w:r>
      <w:r>
        <w:rPr>
          <w:rFonts w:ascii="宋体" w:hAnsi="宋体"/>
          <w:sz w:val="28"/>
          <w:szCs w:val="28"/>
        </w:rPr>
        <w:t>，属于</w:t>
      </w:r>
      <w:r>
        <w:rPr>
          <w:rFonts w:hint="eastAsia" w:ascii="宋体" w:hAnsi="宋体"/>
          <w:sz w:val="28"/>
          <w:szCs w:val="28"/>
          <w:u w:val="single"/>
        </w:rPr>
        <w:t>_XXXX</w:t>
      </w:r>
      <w:r>
        <w:rPr>
          <w:rFonts w:ascii="宋体" w:hAnsi="宋体"/>
          <w:sz w:val="28"/>
          <w:szCs w:val="28"/>
        </w:rPr>
        <w:t xml:space="preserve">（中型企业、小型企业、微型企业）； </w:t>
      </w:r>
    </w:p>
    <w:p>
      <w:pPr>
        <w:spacing w:line="560" w:lineRule="exact"/>
        <w:ind w:firstLine="563"/>
        <w:rPr>
          <w:rFonts w:ascii="宋体" w:hAnsi="宋体"/>
          <w:sz w:val="28"/>
          <w:szCs w:val="28"/>
        </w:rPr>
      </w:pPr>
      <w:r>
        <w:rPr>
          <w:rFonts w:ascii="宋体" w:hAnsi="宋体"/>
          <w:sz w:val="28"/>
          <w:szCs w:val="28"/>
        </w:rPr>
        <w:t>2.</w:t>
      </w:r>
      <w:r>
        <w:rPr>
          <w:rFonts w:hint="eastAsia" w:ascii="宋体" w:hAnsi="宋体"/>
          <w:sz w:val="28"/>
          <w:szCs w:val="28"/>
        </w:rPr>
        <w:t xml:space="preserve"> </w:t>
      </w:r>
      <w:r>
        <w:rPr>
          <w:rFonts w:hint="eastAsia" w:ascii="宋体" w:hAnsi="宋体"/>
          <w:sz w:val="28"/>
          <w:szCs w:val="28"/>
          <w:u w:val="single"/>
        </w:rPr>
        <w:t>_XXXX</w:t>
      </w:r>
      <w:r>
        <w:rPr>
          <w:rFonts w:ascii="宋体" w:hAnsi="宋体"/>
          <w:sz w:val="28"/>
          <w:szCs w:val="28"/>
        </w:rPr>
        <w:t>（标的名称） ，属于</w:t>
      </w:r>
      <w:r>
        <w:rPr>
          <w:rFonts w:hint="eastAsia" w:ascii="宋体" w:hAnsi="宋体"/>
          <w:sz w:val="28"/>
          <w:szCs w:val="28"/>
          <w:u w:val="single"/>
        </w:rPr>
        <w:t>_XXXX</w:t>
      </w:r>
      <w:r>
        <w:rPr>
          <w:rFonts w:ascii="宋体" w:hAnsi="宋体"/>
          <w:sz w:val="28"/>
          <w:szCs w:val="28"/>
        </w:rPr>
        <w:t>（采购文件中明确的所属行业） 行业；制造商为</w:t>
      </w:r>
      <w:r>
        <w:rPr>
          <w:rFonts w:hint="eastAsia" w:ascii="宋体" w:hAnsi="宋体"/>
          <w:sz w:val="28"/>
          <w:szCs w:val="28"/>
          <w:u w:val="single"/>
        </w:rPr>
        <w:t>_XXXX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万元，属于</w:t>
      </w:r>
      <w:r>
        <w:rPr>
          <w:rFonts w:hint="eastAsia" w:ascii="宋体" w:hAnsi="宋体"/>
          <w:sz w:val="28"/>
          <w:szCs w:val="28"/>
          <w:u w:val="single"/>
        </w:rPr>
        <w:t>_XXXX</w:t>
      </w:r>
      <w:r>
        <w:rPr>
          <w:rFonts w:ascii="宋体" w:hAnsi="宋体"/>
          <w:sz w:val="28"/>
          <w:szCs w:val="28"/>
        </w:rPr>
        <w:t>（中型企业、小型企业、微型企业）；</w:t>
      </w:r>
    </w:p>
    <w:p>
      <w:pPr>
        <w:spacing w:line="560" w:lineRule="exact"/>
        <w:ind w:firstLine="563"/>
        <w:rPr>
          <w:rFonts w:ascii="宋体" w:hAnsi="宋体"/>
          <w:sz w:val="28"/>
          <w:szCs w:val="28"/>
        </w:rPr>
      </w:pPr>
      <w:r>
        <w:rPr>
          <w:rFonts w:ascii="宋体" w:hAnsi="宋体"/>
          <w:sz w:val="28"/>
          <w:szCs w:val="28"/>
        </w:rPr>
        <w:t xml:space="preserve"> …… </w:t>
      </w:r>
    </w:p>
    <w:p>
      <w:pPr>
        <w:spacing w:line="560" w:lineRule="exact"/>
        <w:ind w:firstLine="563"/>
        <w:rPr>
          <w:rFonts w:ascii="宋体" w:hAnsi="宋体"/>
          <w:sz w:val="28"/>
          <w:szCs w:val="28"/>
        </w:rPr>
      </w:pPr>
      <w:r>
        <w:rPr>
          <w:rFonts w:ascii="宋体" w:hAnsi="宋体"/>
          <w:sz w:val="28"/>
          <w:szCs w:val="28"/>
        </w:rPr>
        <w:t>以上企业，不属于大企业的分支机构，不存在控股股东为大企业的情形，也不存在与大企业的负责人为同一人的情形。</w:t>
      </w:r>
    </w:p>
    <w:p>
      <w:pPr>
        <w:spacing w:line="560" w:lineRule="exact"/>
        <w:ind w:firstLine="563"/>
        <w:rPr>
          <w:rFonts w:ascii="宋体" w:hAnsi="宋体"/>
          <w:sz w:val="28"/>
          <w:szCs w:val="28"/>
        </w:rPr>
      </w:pPr>
      <w:r>
        <w:rPr>
          <w:rFonts w:ascii="宋体" w:hAnsi="宋体"/>
          <w:sz w:val="28"/>
          <w:szCs w:val="28"/>
        </w:rPr>
        <w:t>本企业对上述声明内容的真实性负责。如有虚假，将依法承担相应责任。</w:t>
      </w:r>
    </w:p>
    <w:p>
      <w:pPr>
        <w:spacing w:line="560" w:lineRule="exact"/>
        <w:ind w:right="700" w:firstLine="565" w:firstLineChars="202"/>
        <w:rPr>
          <w:rFonts w:ascii="宋体" w:hAnsi="宋体"/>
          <w:sz w:val="28"/>
          <w:szCs w:val="28"/>
        </w:rPr>
      </w:pPr>
      <w:r>
        <w:rPr>
          <w:rFonts w:ascii="宋体" w:hAnsi="宋体"/>
          <w:sz w:val="28"/>
          <w:szCs w:val="28"/>
        </w:rPr>
        <w:t>企业名称：</w:t>
      </w:r>
      <w:r>
        <w:rPr>
          <w:rFonts w:hint="eastAsia" w:ascii="宋体" w:hAnsi="宋体"/>
          <w:sz w:val="28"/>
          <w:szCs w:val="28"/>
          <w:u w:val="single"/>
        </w:rPr>
        <w:t>XXXX</w:t>
      </w:r>
    </w:p>
    <w:p>
      <w:pPr>
        <w:spacing w:line="560" w:lineRule="exact"/>
        <w:ind w:right="1120" w:firstLine="565" w:firstLineChars="202"/>
        <w:rPr>
          <w:rFonts w:ascii="宋体" w:hAnsi="宋体"/>
          <w:sz w:val="28"/>
          <w:u w:val="single"/>
        </w:rPr>
      </w:pPr>
      <w:r>
        <w:rPr>
          <w:rFonts w:ascii="宋体" w:hAnsi="宋体"/>
          <w:sz w:val="28"/>
          <w:szCs w:val="28"/>
        </w:rPr>
        <w:t>日 期：</w:t>
      </w:r>
      <w:r>
        <w:rPr>
          <w:rFonts w:hint="eastAsia" w:ascii="宋体" w:hAnsi="宋体"/>
          <w:sz w:val="28"/>
          <w:szCs w:val="28"/>
        </w:rPr>
        <w:t>202</w:t>
      </w:r>
      <w:r>
        <w:rPr>
          <w:rFonts w:hint="eastAsia" w:ascii="宋体" w:hAnsi="宋体"/>
          <w:sz w:val="28"/>
          <w:szCs w:val="28"/>
          <w:u w:val="single"/>
        </w:rPr>
        <w:t>X</w:t>
      </w:r>
      <w:r>
        <w:rPr>
          <w:rFonts w:hint="eastAsia" w:ascii="宋体" w:hAnsi="宋体"/>
          <w:sz w:val="28"/>
        </w:rPr>
        <w:t>年</w:t>
      </w:r>
      <w:r>
        <w:rPr>
          <w:rFonts w:hint="eastAsia" w:ascii="宋体" w:hAnsi="宋体"/>
          <w:sz w:val="28"/>
          <w:szCs w:val="28"/>
          <w:u w:val="single"/>
        </w:rPr>
        <w:t>XX</w:t>
      </w:r>
      <w:r>
        <w:rPr>
          <w:rFonts w:hint="eastAsia" w:ascii="宋体" w:hAnsi="宋体"/>
          <w:sz w:val="28"/>
        </w:rPr>
        <w:t>月</w:t>
      </w:r>
      <w:r>
        <w:rPr>
          <w:rFonts w:hint="eastAsia" w:ascii="宋体" w:hAnsi="宋体"/>
          <w:sz w:val="28"/>
          <w:szCs w:val="28"/>
          <w:u w:val="single"/>
        </w:rPr>
        <w:t>XX</w:t>
      </w:r>
      <w:r>
        <w:rPr>
          <w:rFonts w:hint="eastAsia" w:ascii="宋体" w:hAnsi="宋体"/>
          <w:sz w:val="28"/>
        </w:rPr>
        <w:t>日</w:t>
      </w:r>
    </w:p>
    <w:p>
      <w:pPr>
        <w:pStyle w:val="80"/>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spacing w:line="360" w:lineRule="auto"/>
        <w:ind w:firstLine="689" w:firstLineChars="236"/>
        <w:rPr>
          <w:rFonts w:ascii="宋体" w:hAnsi="宋体"/>
          <w:spacing w:val="6"/>
          <w:sz w:val="28"/>
          <w:szCs w:val="28"/>
        </w:rPr>
      </w:pPr>
    </w:p>
    <w:p>
      <w:pPr>
        <w:spacing w:line="360" w:lineRule="auto"/>
        <w:ind w:firstLine="689" w:firstLineChars="236"/>
        <w:rPr>
          <w:rFonts w:ascii="宋体" w:hAnsi="宋体"/>
          <w:spacing w:val="6"/>
          <w:sz w:val="28"/>
          <w:szCs w:val="28"/>
        </w:rPr>
      </w:pPr>
    </w:p>
    <w:p>
      <w:pPr>
        <w:pStyle w:val="5"/>
        <w:numPr>
          <w:ilvl w:val="3"/>
          <w:numId w:val="1"/>
        </w:numPr>
        <w:tabs>
          <w:tab w:val="left" w:pos="709"/>
        </w:tabs>
        <w:snapToGrid w:val="0"/>
        <w:jc w:val="left"/>
        <w:rPr>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XXXX单位的XXXX项目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rPr>
      </w:pPr>
    </w:p>
    <w:p>
      <w:pPr>
        <w:pStyle w:val="5"/>
        <w:tabs>
          <w:tab w:val="left" w:pos="709"/>
        </w:tabs>
        <w:ind w:left="1135" w:hanging="1135"/>
        <w:jc w:val="left"/>
        <w:rPr>
          <w:color w:val="auto"/>
        </w:rPr>
      </w:pPr>
      <w:r>
        <w:rPr>
          <w:rFonts w:hint="eastAsia"/>
          <w:color w:val="auto"/>
        </w:rPr>
        <w:t>报价要求</w:t>
      </w:r>
      <w:r>
        <w:rPr>
          <w:color w:val="auto"/>
        </w:rPr>
        <w:t>响应文件</w:t>
      </w:r>
    </w:p>
    <w:p>
      <w:pPr>
        <w:pStyle w:val="5"/>
        <w:numPr>
          <w:ilvl w:val="3"/>
          <w:numId w:val="1"/>
        </w:numPr>
        <w:tabs>
          <w:tab w:val="left" w:pos="709"/>
        </w:tabs>
        <w:jc w:val="left"/>
        <w:rPr>
          <w:color w:val="auto"/>
        </w:rPr>
      </w:pPr>
      <w:r>
        <w:rPr>
          <w:rFonts w:hint="eastAsia"/>
          <w:color w:val="auto"/>
        </w:rPr>
        <w:t>开标</w:t>
      </w:r>
      <w:r>
        <w:rPr>
          <w:color w:val="auto"/>
        </w:rPr>
        <w:t>一览表</w:t>
      </w:r>
    </w:p>
    <w:p>
      <w:pPr>
        <w:snapToGrid w:val="0"/>
        <w:spacing w:line="360" w:lineRule="auto"/>
        <w:rPr>
          <w:rFonts w:ascii="宋体" w:hAnsi="宋体"/>
          <w:b/>
          <w:sz w:val="28"/>
          <w:szCs w:val="28"/>
          <w:u w:val="single"/>
        </w:rPr>
      </w:pPr>
      <w:r>
        <w:rPr>
          <w:rFonts w:hint="eastAsia" w:ascii="宋体" w:hAnsi="宋体"/>
          <w:b/>
          <w:spacing w:val="-20"/>
          <w:sz w:val="28"/>
          <w:szCs w:val="28"/>
        </w:rPr>
        <w:t>项目名称：</w:t>
      </w:r>
      <w:r>
        <w:rPr>
          <w:rFonts w:hint="eastAsia" w:ascii="宋体" w:hAnsi="宋体"/>
          <w:b/>
          <w:sz w:val="28"/>
          <w:szCs w:val="28"/>
          <w:u w:val="single"/>
          <w:lang w:eastAsia="zh-CN"/>
        </w:rPr>
        <w:t>彭州市行政审批局新增区域采购台式计算机等办公设备项目</w:t>
      </w:r>
      <w:r>
        <w:rPr>
          <w:rFonts w:hint="eastAsia" w:ascii="宋体" w:hAnsi="宋体"/>
          <w:b/>
          <w:sz w:val="28"/>
          <w:szCs w:val="28"/>
        </w:rPr>
        <w:t>项目编号：</w:t>
      </w:r>
      <w:r>
        <w:rPr>
          <w:rFonts w:hint="eastAsia" w:ascii="宋体" w:hAnsi="宋体"/>
          <w:b/>
          <w:sz w:val="28"/>
          <w:szCs w:val="28"/>
          <w:u w:val="single"/>
          <w:lang w:val="en-US" w:eastAsia="zh-CN"/>
        </w:rPr>
        <w:t>彭州市政采（2021）A0010号</w:t>
      </w:r>
    </w:p>
    <w:tbl>
      <w:tblPr>
        <w:tblStyle w:val="46"/>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报价以供应商在政府采购云平台开标一览表中填写的报价为准。</w:t>
      </w:r>
    </w:p>
    <w:p>
      <w:pPr>
        <w:snapToGrid w:val="0"/>
        <w:spacing w:line="360" w:lineRule="auto"/>
        <w:rPr>
          <w:rFonts w:hint="eastAsia" w:ascii="宋体" w:hAnsi="宋体"/>
          <w:b/>
          <w:color w:val="C00000"/>
          <w:sz w:val="28"/>
          <w:szCs w:val="28"/>
          <w:highlight w:val="none"/>
        </w:rPr>
      </w:pPr>
    </w:p>
    <w:p>
      <w:pPr>
        <w:snapToGrid w:val="0"/>
        <w:spacing w:line="360" w:lineRule="auto"/>
        <w:rPr>
          <w:rFonts w:hint="eastAsia" w:ascii="宋体" w:hAnsi="宋体"/>
          <w:b/>
          <w:color w:val="C00000"/>
          <w:sz w:val="28"/>
          <w:szCs w:val="28"/>
          <w:highlight w:val="none"/>
        </w:rPr>
      </w:pPr>
      <w:r>
        <w:rPr>
          <w:rFonts w:hint="eastAsia" w:ascii="宋体" w:hAnsi="宋体"/>
          <w:b/>
          <w:color w:val="C00000"/>
          <w:sz w:val="28"/>
          <w:szCs w:val="28"/>
          <w:highlight w:val="none"/>
        </w:rPr>
        <w:t>注：参加询价的供应商在响应文件里做出“一次性不可更改”的报价。</w:t>
      </w:r>
    </w:p>
    <w:p>
      <w:pPr>
        <w:pStyle w:val="2"/>
        <w:rPr>
          <w:rFonts w:hint="eastAsia"/>
          <w:lang w:eastAsia="zh-CN"/>
        </w:rPr>
      </w:pPr>
    </w:p>
    <w:p>
      <w:pPr>
        <w:pStyle w:val="5"/>
        <w:numPr>
          <w:ilvl w:val="3"/>
          <w:numId w:val="1"/>
        </w:numPr>
        <w:tabs>
          <w:tab w:val="left" w:pos="709"/>
        </w:tabs>
        <w:snapToGrid w:val="0"/>
        <w:jc w:val="left"/>
        <w:rPr>
          <w:spacing w:val="6"/>
        </w:rPr>
      </w:pPr>
      <w:r>
        <w:rPr>
          <w:rFonts w:hint="eastAsia"/>
          <w:color w:val="auto"/>
        </w:rPr>
        <w:t>分项</w:t>
      </w:r>
      <w:r>
        <w:rPr>
          <w:color w:val="auto"/>
        </w:rPr>
        <w:t>报价</w:t>
      </w:r>
      <w:r>
        <w:rPr>
          <w:rFonts w:hint="eastAsia"/>
          <w:color w:val="auto"/>
        </w:rPr>
        <w:t>明细</w:t>
      </w:r>
      <w:r>
        <w:rPr>
          <w:color w:val="auto"/>
        </w:rPr>
        <w:t>表</w:t>
      </w:r>
    </w:p>
    <w:p>
      <w:pPr>
        <w:snapToGrid w:val="0"/>
        <w:spacing w:line="360" w:lineRule="auto"/>
        <w:rPr>
          <w:rFonts w:ascii="宋体" w:hAnsi="宋体"/>
          <w:b/>
          <w:sz w:val="28"/>
          <w:szCs w:val="28"/>
          <w:u w:val="single"/>
        </w:rPr>
      </w:pPr>
      <w:r>
        <w:rPr>
          <w:rFonts w:hint="eastAsia" w:ascii="宋体" w:hAnsi="宋体"/>
          <w:b/>
          <w:spacing w:val="-20"/>
          <w:sz w:val="28"/>
          <w:szCs w:val="28"/>
        </w:rPr>
        <w:t>项目名称：</w:t>
      </w:r>
      <w:r>
        <w:rPr>
          <w:rFonts w:hint="eastAsia" w:ascii="宋体" w:hAnsi="宋体"/>
          <w:b/>
          <w:sz w:val="28"/>
          <w:szCs w:val="28"/>
          <w:u w:val="single"/>
          <w:lang w:eastAsia="zh-CN"/>
        </w:rPr>
        <w:t>彭州市行政审批局新增区域采购台式计算机等办公设备项目</w:t>
      </w:r>
      <w:r>
        <w:rPr>
          <w:rFonts w:hint="eastAsia" w:ascii="宋体" w:hAnsi="宋体"/>
          <w:b/>
          <w:sz w:val="28"/>
          <w:szCs w:val="28"/>
        </w:rPr>
        <w:t>项目编号：</w:t>
      </w:r>
      <w:r>
        <w:rPr>
          <w:rFonts w:hint="eastAsia" w:ascii="宋体" w:hAnsi="宋体"/>
          <w:b/>
          <w:sz w:val="28"/>
          <w:szCs w:val="28"/>
          <w:u w:val="single"/>
          <w:lang w:val="en-US" w:eastAsia="zh-CN"/>
        </w:rPr>
        <w:t>彭州市政采（2021）A0010号</w:t>
      </w:r>
    </w:p>
    <w:p>
      <w:pPr>
        <w:tabs>
          <w:tab w:val="left" w:pos="630"/>
          <w:tab w:val="left" w:pos="720"/>
          <w:tab w:val="left" w:pos="7560"/>
        </w:tabs>
        <w:spacing w:line="360" w:lineRule="auto"/>
        <w:ind w:firstLine="281" w:firstLineChars="100"/>
        <w:rPr>
          <w:rFonts w:ascii="宋体" w:hAnsi="宋体"/>
          <w:b/>
          <w:sz w:val="28"/>
        </w:rPr>
      </w:pPr>
      <w:r>
        <w:rPr>
          <w:rFonts w:hint="eastAsia" w:ascii="宋体" w:hAnsi="宋体"/>
          <w:b/>
          <w:sz w:val="28"/>
        </w:rPr>
        <w:t>一、分项报价明细表</w:t>
      </w:r>
    </w:p>
    <w:tbl>
      <w:tblPr>
        <w:tblStyle w:val="45"/>
        <w:tblW w:w="55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135"/>
        <w:gridCol w:w="1110"/>
        <w:gridCol w:w="1110"/>
        <w:gridCol w:w="1110"/>
        <w:gridCol w:w="1110"/>
        <w:gridCol w:w="1122"/>
        <w:gridCol w:w="1118"/>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序号</w:t>
            </w:r>
          </w:p>
        </w:tc>
        <w:tc>
          <w:tcPr>
            <w:tcW w:w="106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货物名称</w:t>
            </w: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品牌</w:t>
            </w: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规格型号</w:t>
            </w: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制造商</w:t>
            </w: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进口或国产</w:t>
            </w:r>
          </w:p>
        </w:tc>
        <w:tc>
          <w:tcPr>
            <w:tcW w:w="1056"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数量</w:t>
            </w:r>
          </w:p>
        </w:tc>
        <w:tc>
          <w:tcPr>
            <w:tcW w:w="1052"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单价</w:t>
            </w:r>
          </w:p>
        </w:tc>
        <w:tc>
          <w:tcPr>
            <w:tcW w:w="106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r>
              <w:rPr>
                <w:rFonts w:ascii="宋体" w:hAnsi="宋体"/>
                <w:b/>
                <w:bCs/>
                <w:szCs w:val="21"/>
              </w:rPr>
              <w:t>总价</w:t>
            </w:r>
            <w:r>
              <w:rPr>
                <w:rFonts w:hint="eastAsia" w:ascii="宋体" w:hAnsi="宋体"/>
                <w:b/>
                <w:bCs/>
                <w:szCs w:val="21"/>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068"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56"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052"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u w:val="single"/>
              </w:rPr>
            </w:pPr>
          </w:p>
        </w:tc>
        <w:tc>
          <w:tcPr>
            <w:tcW w:w="106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068"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56"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052"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060"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068"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56"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052"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060"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068"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56"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052"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060"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068"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44"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056"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052"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060"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6" w:type="dxa"/>
            <w:gridSpan w:val="8"/>
            <w:tcBorders>
              <w:top w:val="single" w:color="auto" w:sz="2" w:space="0"/>
              <w:left w:val="single" w:color="auto" w:sz="2" w:space="0"/>
              <w:bottom w:val="single" w:color="auto" w:sz="2" w:space="0"/>
              <w:right w:val="single" w:color="auto" w:sz="4" w:space="0"/>
            </w:tcBorders>
            <w:vAlign w:val="center"/>
          </w:tcPr>
          <w:p>
            <w:pPr>
              <w:pStyle w:val="27"/>
              <w:numPr>
                <w:ilvl w:val="0"/>
                <w:numId w:val="0"/>
              </w:numPr>
              <w:ind w:leftChars="0"/>
              <w:jc w:val="center"/>
              <w:rPr>
                <w:rFonts w:ascii="宋体" w:hAnsi="宋体"/>
                <w:bCs/>
                <w:szCs w:val="21"/>
              </w:rPr>
            </w:pPr>
            <w:r>
              <w:rPr>
                <w:rFonts w:hint="eastAsia" w:ascii="宋体" w:hAnsi="宋体"/>
                <w:bCs/>
                <w:szCs w:val="21"/>
              </w:rPr>
              <w:t>投标报价（总价合计）</w:t>
            </w:r>
          </w:p>
        </w:tc>
        <w:tc>
          <w:tcPr>
            <w:tcW w:w="1060" w:type="dxa"/>
            <w:tcBorders>
              <w:top w:val="single" w:color="auto" w:sz="2" w:space="0"/>
              <w:left w:val="single" w:color="auto" w:sz="4"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r>
              <w:rPr>
                <w:rFonts w:ascii="宋体" w:hAnsi="宋体"/>
                <w:bCs/>
                <w:szCs w:val="21"/>
                <w:u w:val="single"/>
              </w:rPr>
              <w:t xml:space="preserve">xx </w:t>
            </w:r>
            <w:r>
              <w:rPr>
                <w:rFonts w:hint="eastAsia" w:ascii="宋体" w:hAnsi="宋体"/>
                <w:bCs/>
                <w:szCs w:val="21"/>
              </w:rPr>
              <w:t>元</w:t>
            </w: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tabs>
          <w:tab w:val="left" w:pos="720"/>
          <w:tab w:val="left" w:pos="7560"/>
        </w:tabs>
        <w:spacing w:line="360" w:lineRule="auto"/>
        <w:ind w:firstLine="281" w:firstLineChars="100"/>
        <w:rPr>
          <w:rFonts w:ascii="宋体" w:hAnsi="宋体"/>
          <w:b/>
          <w:sz w:val="28"/>
        </w:rPr>
      </w:pPr>
      <w:r>
        <w:rPr>
          <w:rFonts w:hint="eastAsia" w:ascii="宋体" w:hAnsi="宋体" w:cstheme="minorBidi"/>
          <w:b/>
          <w:sz w:val="28"/>
          <w:szCs w:val="28"/>
        </w:rPr>
        <w:t>二、供应商</w:t>
      </w:r>
      <w:r>
        <w:rPr>
          <w:rFonts w:hint="eastAsia" w:ascii="宋体" w:hAnsi="宋体" w:cstheme="minorBidi"/>
          <w:b/>
          <w:sz w:val="28"/>
        </w:rPr>
        <w:t>报价产品</w:t>
      </w:r>
      <w:r>
        <w:rPr>
          <w:rFonts w:hint="eastAsia" w:ascii="宋体" w:hAnsi="宋体"/>
          <w:b/>
          <w:sz w:val="28"/>
        </w:rPr>
        <w:t>中为</w:t>
      </w:r>
      <w:r>
        <w:rPr>
          <w:rFonts w:hint="eastAsia" w:ascii="宋体" w:hAnsi="宋体" w:cstheme="minorBidi"/>
          <w:b/>
          <w:sz w:val="28"/>
        </w:rPr>
        <w:t>监狱企业生产的产品清单及价格（说明：</w:t>
      </w:r>
      <w:r>
        <w:rPr>
          <w:rFonts w:ascii="宋体" w:hAnsi="宋体" w:cstheme="minorBidi"/>
          <w:b/>
          <w:sz w:val="28"/>
        </w:rPr>
        <w:t>1、提供由省级以上监狱管理局、戒毒管理局（含新疆生产建设兵团）出具的生产厂商属于监狱企业的证明文件复印件；2、如未提供产品清单及价格以及相关证明材料复印件，则不能享受对监狱企业生产的产品的价格扣除，但不影响</w:t>
      </w:r>
      <w:r>
        <w:rPr>
          <w:rFonts w:hint="eastAsia" w:ascii="宋体" w:hAnsi="宋体" w:cstheme="minorBidi"/>
          <w:b/>
          <w:sz w:val="28"/>
        </w:rPr>
        <w:t>响应</w:t>
      </w:r>
      <w:r>
        <w:rPr>
          <w:rFonts w:ascii="宋体" w:hAnsi="宋体" w:cstheme="minorBidi"/>
          <w:b/>
          <w:sz w:val="28"/>
        </w:rPr>
        <w:t>文件的有效性。）</w:t>
      </w:r>
    </w:p>
    <w:tbl>
      <w:tblPr>
        <w:tblStyle w:val="45"/>
        <w:tblW w:w="10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851"/>
        <w:gridCol w:w="928"/>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172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产品名称</w:t>
            </w:r>
          </w:p>
        </w:tc>
        <w:tc>
          <w:tcPr>
            <w:tcW w:w="69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品牌</w:t>
            </w:r>
          </w:p>
        </w:tc>
        <w:tc>
          <w:tcPr>
            <w:tcW w:w="1253"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生产厂商</w:t>
            </w:r>
          </w:p>
        </w:tc>
        <w:tc>
          <w:tcPr>
            <w:tcW w:w="851"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szCs w:val="28"/>
              </w:rPr>
              <w:t>进口或国产</w:t>
            </w:r>
          </w:p>
        </w:tc>
        <w:tc>
          <w:tcPr>
            <w:tcW w:w="85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数量(单位)</w:t>
            </w:r>
          </w:p>
        </w:tc>
        <w:tc>
          <w:tcPr>
            <w:tcW w:w="92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单价</w:t>
            </w:r>
          </w:p>
        </w:tc>
        <w:tc>
          <w:tcPr>
            <w:tcW w:w="147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总</w:t>
            </w:r>
            <w:r>
              <w:rPr>
                <w:rFonts w:hint="eastAsia" w:ascii="宋体" w:hAnsi="宋体"/>
                <w:b/>
                <w:szCs w:val="28"/>
              </w:rPr>
              <w:t>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0144" w:type="dxa"/>
            <w:gridSpan w:val="9"/>
            <w:tcBorders>
              <w:top w:val="single" w:color="auto" w:sz="4" w:space="0"/>
              <w:left w:val="single" w:color="auto" w:sz="4" w:space="0"/>
              <w:bottom w:val="single" w:color="auto" w:sz="4" w:space="0"/>
              <w:right w:val="single" w:color="auto" w:sz="4" w:space="0"/>
            </w:tcBorders>
          </w:tcPr>
          <w:p>
            <w:pPr>
              <w:spacing w:before="240" w:after="60" w:line="360" w:lineRule="auto"/>
              <w:ind w:firstLine="843" w:firstLineChars="350"/>
              <w:outlineLvl w:val="0"/>
              <w:rPr>
                <w:rFonts w:ascii="宋体" w:hAnsi="宋体"/>
              </w:rPr>
            </w:pPr>
            <w:bookmarkStart w:id="66" w:name="_Toc18650"/>
            <w:r>
              <w:rPr>
                <w:rFonts w:hint="eastAsia" w:ascii="宋体" w:hAnsi="宋体" w:cs="宋体"/>
                <w:b/>
              </w:rPr>
              <w:t>监狱企业生产的产品</w:t>
            </w:r>
            <w:r>
              <w:rPr>
                <w:rFonts w:hint="eastAsia" w:ascii="宋体" w:hAnsi="宋体"/>
                <w:b/>
              </w:rPr>
              <w:t>总价合计：</w:t>
            </w:r>
            <w:r>
              <w:rPr>
                <w:rFonts w:ascii="宋体" w:hAnsi="宋体"/>
                <w:b/>
                <w:u w:val="single"/>
              </w:rPr>
              <w:t>XXXXXXXXXXXXX</w:t>
            </w:r>
            <w:r>
              <w:rPr>
                <w:rFonts w:hint="eastAsia" w:ascii="宋体" w:hAnsi="宋体"/>
                <w:b/>
              </w:rPr>
              <w:t>元</w:t>
            </w:r>
            <w:bookmarkEnd w:id="66"/>
          </w:p>
        </w:tc>
      </w:tr>
    </w:tbl>
    <w:p>
      <w:pPr>
        <w:tabs>
          <w:tab w:val="left" w:pos="630"/>
          <w:tab w:val="left" w:pos="720"/>
          <w:tab w:val="left" w:pos="7560"/>
        </w:tabs>
        <w:spacing w:line="360" w:lineRule="auto"/>
        <w:ind w:firstLine="281" w:firstLineChars="100"/>
        <w:rPr>
          <w:rFonts w:ascii="宋体" w:hAnsi="宋体"/>
          <w:b/>
          <w:sz w:val="28"/>
        </w:rPr>
      </w:pPr>
      <w:r>
        <w:rPr>
          <w:rFonts w:hint="eastAsia" w:ascii="宋体" w:hAnsi="宋体"/>
          <w:b/>
          <w:sz w:val="28"/>
        </w:rPr>
        <w:t>三、供应商报价产品中为残疾人福利性单位生产的产品清单及价格（说明：如未提供则不能享受对残疾人福利性单位生产的产品的价格扣除</w:t>
      </w:r>
      <w:r>
        <w:rPr>
          <w:rFonts w:ascii="宋体" w:hAnsi="宋体" w:cstheme="minorBidi"/>
          <w:b/>
          <w:sz w:val="28"/>
        </w:rPr>
        <w:t>，但不影响</w:t>
      </w:r>
      <w:r>
        <w:rPr>
          <w:rFonts w:hint="eastAsia" w:ascii="宋体" w:hAnsi="宋体" w:cstheme="minorBidi"/>
          <w:b/>
          <w:sz w:val="28"/>
        </w:rPr>
        <w:t>响应</w:t>
      </w:r>
      <w:r>
        <w:rPr>
          <w:rFonts w:ascii="宋体" w:hAnsi="宋体" w:cstheme="minorBidi"/>
          <w:b/>
          <w:sz w:val="28"/>
        </w:rPr>
        <w:t>文件的有效性</w:t>
      </w:r>
      <w:r>
        <w:rPr>
          <w:rFonts w:hint="eastAsia" w:ascii="宋体" w:hAnsi="宋体" w:cstheme="minorBidi"/>
          <w:b/>
          <w:sz w:val="28"/>
        </w:rPr>
        <w:t>。</w:t>
      </w:r>
      <w:r>
        <w:rPr>
          <w:rFonts w:hint="eastAsia" w:ascii="宋体" w:hAnsi="宋体"/>
          <w:b/>
          <w:sz w:val="28"/>
        </w:rPr>
        <w:t>）</w:t>
      </w:r>
    </w:p>
    <w:tbl>
      <w:tblPr>
        <w:tblStyle w:val="45"/>
        <w:tblW w:w="9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559"/>
        <w:gridCol w:w="709"/>
        <w:gridCol w:w="1276"/>
        <w:gridCol w:w="1417"/>
        <w:gridCol w:w="851"/>
        <w:gridCol w:w="99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1559"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产品名称</w:t>
            </w:r>
          </w:p>
        </w:tc>
        <w:tc>
          <w:tcPr>
            <w:tcW w:w="709"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rPr>
              <w:t>品牌</w:t>
            </w: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生产厂商</w:t>
            </w:r>
          </w:p>
        </w:tc>
        <w:tc>
          <w:tcPr>
            <w:tcW w:w="85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数量(单位)</w:t>
            </w:r>
          </w:p>
        </w:tc>
        <w:tc>
          <w:tcPr>
            <w:tcW w:w="992"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单价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总价</w:t>
            </w:r>
            <w:r>
              <w:rPr>
                <w:rFonts w:hint="eastAsia" w:ascii="宋体" w:hAnsi="宋体"/>
                <w:b/>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9338" w:type="dxa"/>
            <w:gridSpan w:val="8"/>
            <w:tcBorders>
              <w:top w:val="single" w:color="auto" w:sz="4" w:space="0"/>
              <w:left w:val="single" w:color="auto" w:sz="4" w:space="0"/>
              <w:bottom w:val="single" w:color="auto" w:sz="4" w:space="0"/>
              <w:right w:val="single" w:color="auto" w:sz="4" w:space="0"/>
            </w:tcBorders>
          </w:tcPr>
          <w:p>
            <w:pPr>
              <w:spacing w:before="240" w:after="60" w:line="360" w:lineRule="auto"/>
              <w:ind w:firstLine="964" w:firstLineChars="400"/>
              <w:outlineLvl w:val="0"/>
              <w:rPr>
                <w:rFonts w:ascii="宋体" w:hAnsi="宋体"/>
              </w:rPr>
            </w:pPr>
            <w:bookmarkStart w:id="67" w:name="_Toc23288"/>
            <w:r>
              <w:rPr>
                <w:rFonts w:hint="eastAsia" w:ascii="宋体" w:hAnsi="宋体" w:cs="宋体"/>
                <w:b/>
              </w:rPr>
              <w:t>残疾人福利性单位生产的产品总价合计</w:t>
            </w:r>
            <w:r>
              <w:rPr>
                <w:rFonts w:hint="eastAsia" w:ascii="宋体" w:hAnsi="宋体"/>
                <w:b/>
              </w:rPr>
              <w:t>：</w:t>
            </w:r>
            <w:r>
              <w:rPr>
                <w:rFonts w:ascii="宋体" w:hAnsi="宋体"/>
                <w:b/>
                <w:u w:val="single"/>
              </w:rPr>
              <w:t>XXXXXXXXXXXXX</w:t>
            </w:r>
            <w:r>
              <w:rPr>
                <w:rFonts w:hint="eastAsia" w:ascii="宋体" w:hAnsi="宋体"/>
                <w:b/>
              </w:rPr>
              <w:t>元</w:t>
            </w:r>
            <w:bookmarkEnd w:id="67"/>
          </w:p>
        </w:tc>
      </w:tr>
    </w:tbl>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rPr>
          <w:rFonts w:ascii="宋体" w:hAnsi="宋体"/>
          <w:sz w:val="28"/>
          <w:lang w:val="zh-CN"/>
        </w:rPr>
      </w:pPr>
      <w:r>
        <w:rPr>
          <w:rFonts w:hint="eastAsia" w:ascii="宋体" w:hAnsi="宋体"/>
          <w:sz w:val="28"/>
          <w:lang w:val="zh-CN"/>
        </w:rPr>
        <w:t>供应商名称：XXXX</w:t>
      </w:r>
    </w:p>
    <w:p>
      <w:pPr>
        <w:rPr>
          <w:rFonts w:ascii="宋体" w:hAnsi="宋体"/>
          <w:bCs/>
          <w:sz w:val="28"/>
          <w:szCs w:val="28"/>
        </w:rPr>
      </w:pPr>
      <w:r>
        <w:rPr>
          <w:rFonts w:hint="eastAsia" w:ascii="宋体" w:hAnsi="宋体"/>
          <w:sz w:val="28"/>
        </w:rPr>
        <w:t>日期：</w:t>
      </w:r>
      <w:r>
        <w:rPr>
          <w:rFonts w:hint="eastAsia" w:ascii="宋体" w:hAnsi="宋体"/>
          <w:bCs/>
          <w:sz w:val="28"/>
        </w:rPr>
        <w:t>20XX年XX月XX日</w:t>
      </w:r>
    </w:p>
    <w:p>
      <w:pPr>
        <w:pStyle w:val="13"/>
        <w:spacing w:line="240" w:lineRule="auto"/>
        <w:ind w:firstLine="562"/>
        <w:rPr>
          <w:rFonts w:ascii="宋体" w:hAnsi="宋体"/>
          <w:b/>
          <w:sz w:val="28"/>
        </w:rPr>
      </w:pPr>
      <w:r>
        <w:rPr>
          <w:rFonts w:hint="eastAsia" w:ascii="宋体" w:hAnsi="宋体"/>
          <w:b/>
          <w:sz w:val="28"/>
        </w:rPr>
        <w:t>说明：供应商应根据以上表格格式填写分项报价，报价合计应包括供应商完成本项目所需的一切费用。</w:t>
      </w:r>
    </w:p>
    <w:p>
      <w:pPr>
        <w:rPr>
          <w:rFonts w:ascii="宋体" w:hAnsi="宋体"/>
        </w:rPr>
      </w:pPr>
    </w:p>
    <w:p>
      <w:pPr>
        <w:rPr>
          <w:rFonts w:ascii="宋体" w:hAnsi="宋体"/>
        </w:rPr>
      </w:pPr>
    </w:p>
    <w:bookmarkEnd w:id="56"/>
    <w:p>
      <w:pPr>
        <w:pStyle w:val="3"/>
        <w:numPr>
          <w:ilvl w:val="0"/>
          <w:numId w:val="1"/>
        </w:numPr>
        <w:spacing w:before="0" w:after="0"/>
        <w:ind w:left="0" w:firstLine="0"/>
      </w:pPr>
      <w:bookmarkStart w:id="68" w:name="_Toc25405"/>
      <w:r>
        <w:rPr>
          <w:rFonts w:hint="eastAsia"/>
        </w:rPr>
        <w:t>技术、服务、商务及其他要求</w:t>
      </w:r>
      <w:bookmarkEnd w:id="68"/>
    </w:p>
    <w:p>
      <w:pPr>
        <w:pStyle w:val="4"/>
        <w:tabs>
          <w:tab w:val="left" w:pos="576"/>
          <w:tab w:val="clear" w:pos="567"/>
        </w:tabs>
      </w:pPr>
      <w:bookmarkStart w:id="69" w:name="_Toc25090"/>
      <w:bookmarkStart w:id="70" w:name="_Toc496702872"/>
      <w:bookmarkStart w:id="71" w:name="_Toc321334066"/>
      <w:r>
        <w:rPr>
          <w:rFonts w:hint="eastAsia"/>
        </w:rPr>
        <w:t>项目概况</w:t>
      </w:r>
      <w:bookmarkEnd w:id="69"/>
    </w:p>
    <w:p>
      <w:pPr>
        <w:ind w:firstLine="560" w:firstLineChars="200"/>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本项目</w:t>
      </w:r>
      <w:r>
        <w:rPr>
          <w:rFonts w:hint="eastAsia" w:asciiTheme="minorEastAsia" w:hAnsiTheme="minorEastAsia" w:eastAsiaTheme="minorEastAsia"/>
          <w:sz w:val="28"/>
          <w:szCs w:val="28"/>
          <w:lang w:val="en-US" w:eastAsia="zh-CN"/>
        </w:rPr>
        <w:t>预算金额为604000元，</w:t>
      </w:r>
      <w:r>
        <w:rPr>
          <w:rFonts w:hint="eastAsia" w:asciiTheme="minorEastAsia" w:hAnsiTheme="minorEastAsia" w:eastAsiaTheme="minorEastAsia"/>
          <w:sz w:val="28"/>
          <w:szCs w:val="28"/>
        </w:rPr>
        <w:t>拟通过</w:t>
      </w:r>
      <w:r>
        <w:rPr>
          <w:rFonts w:hint="eastAsia" w:asciiTheme="minorEastAsia" w:hAnsiTheme="minorEastAsia" w:eastAsiaTheme="minorEastAsia"/>
          <w:sz w:val="28"/>
          <w:szCs w:val="28"/>
          <w:lang w:val="en-US" w:eastAsia="zh-CN"/>
        </w:rPr>
        <w:t>询价的</w:t>
      </w:r>
      <w:r>
        <w:rPr>
          <w:rFonts w:hint="eastAsia" w:asciiTheme="minorEastAsia" w:hAnsiTheme="minorEastAsia" w:eastAsiaTheme="minorEastAsia"/>
          <w:sz w:val="28"/>
          <w:szCs w:val="28"/>
        </w:rPr>
        <w:t>方式确定1位</w:t>
      </w:r>
      <w:r>
        <w:rPr>
          <w:rFonts w:hint="eastAsia" w:asciiTheme="minorEastAsia" w:hAnsiTheme="minorEastAsia" w:eastAsiaTheme="minorEastAsia"/>
          <w:sz w:val="28"/>
          <w:szCs w:val="28"/>
          <w:lang w:val="en-US" w:eastAsia="zh-CN"/>
        </w:rPr>
        <w:t>供应商</w:t>
      </w:r>
      <w:r>
        <w:rPr>
          <w:rFonts w:hint="eastAsia" w:asciiTheme="minorEastAsia" w:hAnsiTheme="minorEastAsia" w:eastAsiaTheme="minorEastAsia"/>
          <w:sz w:val="28"/>
          <w:szCs w:val="28"/>
        </w:rPr>
        <w:t>为彭州市</w:t>
      </w:r>
      <w:r>
        <w:rPr>
          <w:rFonts w:hint="eastAsia" w:asciiTheme="minorEastAsia" w:hAnsiTheme="minorEastAsia" w:eastAsiaTheme="minorEastAsia"/>
          <w:sz w:val="28"/>
          <w:szCs w:val="28"/>
          <w:lang w:val="en-US" w:eastAsia="zh-CN"/>
        </w:rPr>
        <w:t>行政审批局新增区域（政务大厅三楼F区两个会议室以及大数据和民生服务中心办公室）提供总共30平方米的室内LED大屏（一共3个LED大屏，每个LED大屏分别为10平方米）</w:t>
      </w:r>
      <w:r>
        <w:rPr>
          <w:rFonts w:hint="eastAsia" w:asciiTheme="minorEastAsia" w:hAnsiTheme="minorEastAsia" w:eastAsiaTheme="minorEastAsia"/>
          <w:sz w:val="28"/>
          <w:szCs w:val="28"/>
          <w:lang w:eastAsia="zh-CN"/>
        </w:rPr>
        <w:t>，并配套提供</w:t>
      </w:r>
      <w:r>
        <w:rPr>
          <w:rFonts w:hint="eastAsia" w:asciiTheme="minorEastAsia" w:hAnsiTheme="minorEastAsia" w:eastAsiaTheme="minorEastAsia"/>
          <w:sz w:val="28"/>
          <w:szCs w:val="28"/>
          <w:lang w:val="en-US" w:eastAsia="zh-CN"/>
        </w:rPr>
        <w:t>LED显示屏能正常运行的相关接收卡、控制器、配电柜等设备，以保证系统能够正常搭建并运行。</w:t>
      </w:r>
    </w:p>
    <w:p/>
    <w:p>
      <w:pPr>
        <w:pStyle w:val="4"/>
        <w:tabs>
          <w:tab w:val="left" w:pos="576"/>
          <w:tab w:val="clear" w:pos="567"/>
        </w:tabs>
      </w:pPr>
      <w:r>
        <w:rPr>
          <w:rFonts w:hint="eastAsia"/>
        </w:rPr>
        <w:t xml:space="preserve"> </w:t>
      </w:r>
      <w:bookmarkStart w:id="72" w:name="_Toc25763"/>
      <w:r>
        <w:rPr>
          <w:rFonts w:hint="eastAsia"/>
        </w:rPr>
        <w:t>技术参数</w:t>
      </w:r>
      <w:r>
        <w:t>及要求</w:t>
      </w:r>
      <w:bookmarkEnd w:id="72"/>
    </w:p>
    <w:tbl>
      <w:tblPr>
        <w:tblStyle w:val="46"/>
        <w:tblW w:w="9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132"/>
        <w:gridCol w:w="5455"/>
        <w:gridCol w:w="859"/>
        <w:gridCol w:w="871"/>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pStyle w:val="143"/>
              <w:jc w:val="center"/>
              <w:rPr>
                <w:rFonts w:hint="eastAsia"/>
                <w:vertAlign w:val="baseline"/>
                <w:lang w:eastAsia="zh-CN"/>
              </w:rPr>
            </w:pPr>
            <w:r>
              <w:rPr>
                <w:rFonts w:hint="eastAsia"/>
                <w:vertAlign w:val="baseline"/>
                <w:lang w:eastAsia="zh-CN"/>
              </w:rPr>
              <w:t>序号</w:t>
            </w:r>
          </w:p>
        </w:tc>
        <w:tc>
          <w:tcPr>
            <w:tcW w:w="1132" w:type="dxa"/>
          </w:tcPr>
          <w:p>
            <w:pPr>
              <w:pStyle w:val="143"/>
              <w:jc w:val="center"/>
              <w:rPr>
                <w:rFonts w:hint="eastAsia"/>
                <w:vertAlign w:val="baseline"/>
                <w:lang w:eastAsia="zh-CN"/>
              </w:rPr>
            </w:pPr>
            <w:r>
              <w:rPr>
                <w:rFonts w:hint="eastAsia"/>
                <w:vertAlign w:val="baseline"/>
                <w:lang w:eastAsia="zh-CN"/>
              </w:rPr>
              <w:t>名称</w:t>
            </w:r>
          </w:p>
        </w:tc>
        <w:tc>
          <w:tcPr>
            <w:tcW w:w="5455" w:type="dxa"/>
          </w:tcPr>
          <w:p>
            <w:pPr>
              <w:pStyle w:val="143"/>
              <w:jc w:val="center"/>
              <w:rPr>
                <w:rFonts w:hint="eastAsia"/>
                <w:vertAlign w:val="baseline"/>
                <w:lang w:eastAsia="zh-CN"/>
              </w:rPr>
            </w:pPr>
            <w:r>
              <w:rPr>
                <w:rFonts w:hint="eastAsia"/>
                <w:vertAlign w:val="baseline"/>
                <w:lang w:eastAsia="zh-CN"/>
              </w:rPr>
              <w:t>参数</w:t>
            </w:r>
          </w:p>
        </w:tc>
        <w:tc>
          <w:tcPr>
            <w:tcW w:w="859" w:type="dxa"/>
          </w:tcPr>
          <w:p>
            <w:pPr>
              <w:pStyle w:val="143"/>
              <w:jc w:val="center"/>
              <w:rPr>
                <w:rFonts w:hint="eastAsia"/>
                <w:vertAlign w:val="baseline"/>
                <w:lang w:eastAsia="zh-CN"/>
              </w:rPr>
            </w:pPr>
            <w:r>
              <w:rPr>
                <w:rFonts w:hint="eastAsia"/>
                <w:vertAlign w:val="baseline"/>
                <w:lang w:eastAsia="zh-CN"/>
              </w:rPr>
              <w:t>数量</w:t>
            </w:r>
          </w:p>
        </w:tc>
        <w:tc>
          <w:tcPr>
            <w:tcW w:w="871" w:type="dxa"/>
          </w:tcPr>
          <w:p>
            <w:pPr>
              <w:pStyle w:val="143"/>
              <w:jc w:val="center"/>
              <w:rPr>
                <w:rFonts w:hint="eastAsia"/>
                <w:vertAlign w:val="baseline"/>
                <w:lang w:eastAsia="zh-CN"/>
              </w:rPr>
            </w:pPr>
            <w:r>
              <w:rPr>
                <w:rFonts w:hint="eastAsia"/>
                <w:vertAlign w:val="baseline"/>
                <w:lang w:eastAsia="zh-CN"/>
              </w:rPr>
              <w:t>单位</w:t>
            </w:r>
          </w:p>
        </w:tc>
        <w:tc>
          <w:tcPr>
            <w:tcW w:w="871" w:type="dxa"/>
          </w:tcPr>
          <w:p>
            <w:pPr>
              <w:pStyle w:val="143"/>
              <w:jc w:val="center"/>
              <w:rPr>
                <w:rFonts w:hint="eastAsia"/>
                <w:vertAlign w:val="baseline"/>
                <w:lang w:eastAsia="zh-CN"/>
              </w:rPr>
            </w:pPr>
            <w:r>
              <w:rPr>
                <w:rFonts w:hint="eastAsia"/>
                <w:vertAlign w:val="baseline"/>
                <w:lang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pPr>
              <w:pStyle w:val="143"/>
              <w:jc w:val="center"/>
              <w:rPr>
                <w:rFonts w:hint="default"/>
                <w:vertAlign w:val="baseline"/>
                <w:lang w:val="en-US" w:eastAsia="zh-CN"/>
              </w:rPr>
            </w:pPr>
            <w:r>
              <w:rPr>
                <w:rFonts w:hint="eastAsia"/>
                <w:vertAlign w:val="baseline"/>
                <w:lang w:val="en-US" w:eastAsia="zh-CN"/>
              </w:rPr>
              <w:t>1</w:t>
            </w:r>
          </w:p>
        </w:tc>
        <w:tc>
          <w:tcPr>
            <w:tcW w:w="1132" w:type="dxa"/>
            <w:vAlign w:val="center"/>
          </w:tcPr>
          <w:p>
            <w:pPr>
              <w:pStyle w:val="143"/>
              <w:jc w:val="center"/>
              <w:rPr>
                <w:rFonts w:hint="eastAsia"/>
                <w:vertAlign w:val="baseline"/>
                <w:lang w:eastAsia="zh-CN"/>
              </w:rPr>
            </w:pPr>
            <w:r>
              <w:rPr>
                <w:rFonts w:hint="eastAsia"/>
                <w:vertAlign w:val="baseline"/>
                <w:lang w:eastAsia="zh-CN"/>
              </w:rPr>
              <w:t>LED大屏</w:t>
            </w:r>
          </w:p>
        </w:tc>
        <w:tc>
          <w:tcPr>
            <w:tcW w:w="5455" w:type="dxa"/>
          </w:tcPr>
          <w:p>
            <w:pPr>
              <w:pStyle w:val="143"/>
              <w:jc w:val="both"/>
              <w:rPr>
                <w:rFonts w:hint="eastAsia"/>
                <w:vertAlign w:val="baseline"/>
                <w:lang w:eastAsia="zh-CN"/>
              </w:rPr>
            </w:pPr>
            <w:r>
              <w:rPr>
                <w:rFonts w:hint="eastAsia"/>
                <w:vertAlign w:val="baseline"/>
                <w:lang w:eastAsia="zh-CN"/>
              </w:rPr>
              <w:t>1.LED封装：采用自主封装1515 全彩灯珠；</w:t>
            </w:r>
          </w:p>
          <w:p>
            <w:pPr>
              <w:pStyle w:val="143"/>
              <w:jc w:val="both"/>
              <w:rPr>
                <w:rFonts w:hint="eastAsia"/>
                <w:vertAlign w:val="baseline"/>
                <w:lang w:eastAsia="zh-CN"/>
              </w:rPr>
            </w:pPr>
            <w:r>
              <w:rPr>
                <w:rFonts w:hint="eastAsia"/>
                <w:vertAlign w:val="baseline"/>
                <w:lang w:val="en-US" w:eastAsia="zh-CN"/>
              </w:rPr>
              <w:t>2.</w:t>
            </w:r>
            <w:r>
              <w:rPr>
                <w:rFonts w:hint="eastAsia"/>
                <w:vertAlign w:val="baseline"/>
                <w:lang w:eastAsia="zh-CN"/>
              </w:rPr>
              <w:t>水平可视角度：140度、垂直可视角度：140度；</w:t>
            </w:r>
          </w:p>
          <w:p>
            <w:pPr>
              <w:pStyle w:val="143"/>
              <w:jc w:val="both"/>
              <w:rPr>
                <w:rFonts w:hint="eastAsia"/>
                <w:vertAlign w:val="baseline"/>
                <w:lang w:eastAsia="zh-CN"/>
              </w:rPr>
            </w:pPr>
            <w:r>
              <w:rPr>
                <w:rFonts w:hint="eastAsia"/>
                <w:vertAlign w:val="baseline"/>
                <w:lang w:val="en-US" w:eastAsia="zh-CN"/>
              </w:rPr>
              <w:t>3.</w:t>
            </w:r>
            <w:r>
              <w:rPr>
                <w:rFonts w:hint="eastAsia"/>
                <w:vertAlign w:val="baseline"/>
                <w:lang w:eastAsia="zh-CN"/>
              </w:rPr>
              <w:t>白平衡亮度：≥600cd/㎡，模组平整度＜0.5mm；</w:t>
            </w:r>
          </w:p>
          <w:p>
            <w:pPr>
              <w:pStyle w:val="143"/>
              <w:jc w:val="both"/>
              <w:rPr>
                <w:rFonts w:hint="eastAsia"/>
                <w:vertAlign w:val="baseline"/>
                <w:lang w:eastAsia="zh-CN"/>
              </w:rPr>
            </w:pPr>
            <w:r>
              <w:rPr>
                <w:rFonts w:hint="eastAsia"/>
                <w:vertAlign w:val="baseline"/>
                <w:lang w:eastAsia="zh-CN"/>
              </w:rPr>
              <w:t>4.像素点间距：≤2mm；</w:t>
            </w:r>
            <w:r>
              <w:rPr>
                <w:rFonts w:hint="eastAsia"/>
                <w:vertAlign w:val="baseline"/>
                <w:lang w:eastAsia="zh-CN"/>
              </w:rPr>
              <w:br w:type="textWrapping"/>
            </w:r>
            <w:r>
              <w:rPr>
                <w:rFonts w:hint="eastAsia"/>
                <w:vertAlign w:val="baseline"/>
                <w:lang w:eastAsia="zh-CN"/>
              </w:rPr>
              <w:t>5.像素密度：≥250000Dots/㎡；</w:t>
            </w:r>
          </w:p>
          <w:p>
            <w:pPr>
              <w:pStyle w:val="143"/>
              <w:jc w:val="both"/>
              <w:rPr>
                <w:rFonts w:hint="eastAsia"/>
                <w:vertAlign w:val="baseline"/>
                <w:lang w:eastAsia="zh-CN"/>
              </w:rPr>
            </w:pPr>
            <w:r>
              <w:rPr>
                <w:rFonts w:hint="eastAsia"/>
                <w:vertAlign w:val="baseline"/>
                <w:lang w:eastAsia="zh-CN"/>
              </w:rPr>
              <w:t>6.模组分辨率：160*80≥12800Dots；</w:t>
            </w:r>
          </w:p>
          <w:p>
            <w:pPr>
              <w:pStyle w:val="143"/>
              <w:jc w:val="both"/>
              <w:rPr>
                <w:rFonts w:hint="eastAsia"/>
                <w:vertAlign w:val="baseline"/>
                <w:lang w:eastAsia="zh-CN"/>
              </w:rPr>
            </w:pPr>
            <w:r>
              <w:rPr>
                <w:rFonts w:hint="eastAsia"/>
                <w:vertAlign w:val="baseline"/>
                <w:lang w:eastAsia="zh-CN"/>
              </w:rPr>
              <w:t>7.模组尺寸：≥320*160mm；</w:t>
            </w:r>
            <w:r>
              <w:rPr>
                <w:rFonts w:hint="eastAsia"/>
                <w:vertAlign w:val="baseline"/>
                <w:lang w:eastAsia="zh-CN"/>
              </w:rPr>
              <w:br w:type="textWrapping"/>
            </w:r>
            <w:r>
              <w:rPr>
                <w:rFonts w:hint="eastAsia"/>
                <w:vertAlign w:val="baseline"/>
                <w:lang w:eastAsia="zh-CN"/>
              </w:rPr>
              <w:t>8.最佳视距：≥2m；</w:t>
            </w:r>
            <w:r>
              <w:rPr>
                <w:rFonts w:hint="eastAsia"/>
                <w:vertAlign w:val="baseline"/>
                <w:lang w:eastAsia="zh-CN"/>
              </w:rPr>
              <w:br w:type="textWrapping"/>
            </w:r>
            <w:r>
              <w:rPr>
                <w:rFonts w:hint="eastAsia"/>
                <w:vertAlign w:val="baseline"/>
                <w:lang w:eastAsia="zh-CN"/>
              </w:rPr>
              <w:t>9.刷新率：≥1920HZ；</w:t>
            </w:r>
            <w:r>
              <w:rPr>
                <w:rFonts w:hint="eastAsia"/>
                <w:vertAlign w:val="baseline"/>
                <w:lang w:eastAsia="zh-CN"/>
              </w:rPr>
              <w:br w:type="textWrapping"/>
            </w:r>
            <w:r>
              <w:rPr>
                <w:rFonts w:hint="eastAsia"/>
                <w:vertAlign w:val="baseline"/>
                <w:lang w:eastAsia="zh-CN"/>
              </w:rPr>
              <w:t>10.对地漏电流：＜2mA；</w:t>
            </w:r>
            <w:r>
              <w:rPr>
                <w:rFonts w:hint="eastAsia"/>
                <w:vertAlign w:val="baseline"/>
                <w:lang w:eastAsia="zh-CN"/>
              </w:rPr>
              <w:br w:type="textWrapping"/>
            </w:r>
            <w:r>
              <w:rPr>
                <w:rFonts w:hint="eastAsia"/>
                <w:vertAlign w:val="baseline"/>
                <w:lang w:eastAsia="zh-CN"/>
              </w:rPr>
              <w:t>1</w:t>
            </w:r>
            <w:r>
              <w:rPr>
                <w:rFonts w:hint="eastAsia"/>
                <w:vertAlign w:val="baseline"/>
                <w:lang w:val="en-US" w:eastAsia="zh-CN"/>
              </w:rPr>
              <w:t>1</w:t>
            </w:r>
            <w:r>
              <w:rPr>
                <w:rFonts w:hint="eastAsia"/>
                <w:vertAlign w:val="baseline"/>
                <w:lang w:eastAsia="zh-CN"/>
              </w:rPr>
              <w:t>.平均功耗：≤10W/㎡；</w:t>
            </w:r>
            <w:r>
              <w:rPr>
                <w:rFonts w:hint="eastAsia"/>
                <w:vertAlign w:val="baseline"/>
                <w:lang w:eastAsia="zh-CN"/>
              </w:rPr>
              <w:br w:type="textWrapping"/>
            </w:r>
            <w:r>
              <w:rPr>
                <w:rFonts w:hint="eastAsia"/>
                <w:vertAlign w:val="baseline"/>
                <w:lang w:eastAsia="zh-CN"/>
              </w:rPr>
              <w:t>1</w:t>
            </w:r>
            <w:r>
              <w:rPr>
                <w:rFonts w:hint="eastAsia"/>
                <w:vertAlign w:val="baseline"/>
                <w:lang w:val="en-US" w:eastAsia="zh-CN"/>
              </w:rPr>
              <w:t>2</w:t>
            </w:r>
            <w:r>
              <w:rPr>
                <w:rFonts w:hint="eastAsia"/>
                <w:vertAlign w:val="baseline"/>
                <w:lang w:eastAsia="zh-CN"/>
              </w:rPr>
              <w:t>.平均无故障时间：≥1万小时；</w:t>
            </w:r>
            <w:r>
              <w:rPr>
                <w:rFonts w:hint="eastAsia"/>
                <w:vertAlign w:val="baseline"/>
                <w:lang w:eastAsia="zh-CN"/>
              </w:rPr>
              <w:br w:type="textWrapping"/>
            </w:r>
            <w:r>
              <w:rPr>
                <w:rFonts w:hint="eastAsia"/>
                <w:vertAlign w:val="baseline"/>
                <w:lang w:eastAsia="zh-CN"/>
              </w:rPr>
              <w:t>1</w:t>
            </w:r>
            <w:r>
              <w:rPr>
                <w:rFonts w:hint="eastAsia"/>
                <w:vertAlign w:val="baseline"/>
                <w:lang w:val="en-US" w:eastAsia="zh-CN"/>
              </w:rPr>
              <w:t>3</w:t>
            </w:r>
            <w:r>
              <w:rPr>
                <w:rFonts w:hint="eastAsia"/>
                <w:vertAlign w:val="baseline"/>
                <w:lang w:eastAsia="zh-CN"/>
              </w:rPr>
              <w:t>.使用寿命：≥10万小时。</w:t>
            </w:r>
          </w:p>
        </w:tc>
        <w:tc>
          <w:tcPr>
            <w:tcW w:w="859" w:type="dxa"/>
            <w:vAlign w:val="center"/>
          </w:tcPr>
          <w:p>
            <w:pPr>
              <w:pStyle w:val="143"/>
              <w:jc w:val="center"/>
              <w:rPr>
                <w:rFonts w:hint="default"/>
                <w:vertAlign w:val="baseline"/>
                <w:lang w:val="en-US" w:eastAsia="zh-CN"/>
              </w:rPr>
            </w:pPr>
            <w:r>
              <w:rPr>
                <w:rFonts w:hint="eastAsia"/>
                <w:vertAlign w:val="baseline"/>
                <w:lang w:val="en-US" w:eastAsia="zh-CN"/>
              </w:rPr>
              <w:t>30</w:t>
            </w:r>
          </w:p>
        </w:tc>
        <w:tc>
          <w:tcPr>
            <w:tcW w:w="871" w:type="dxa"/>
            <w:vAlign w:val="center"/>
          </w:tcPr>
          <w:p>
            <w:pPr>
              <w:pStyle w:val="143"/>
              <w:jc w:val="center"/>
              <w:rPr>
                <w:rFonts w:hint="default"/>
                <w:vertAlign w:val="baseline"/>
                <w:lang w:val="en-US" w:eastAsia="zh-CN"/>
              </w:rPr>
            </w:pPr>
            <w:r>
              <w:rPr>
                <w:rFonts w:hint="eastAsia"/>
                <w:vertAlign w:val="baseline"/>
                <w:lang w:eastAsia="zh-CN"/>
              </w:rPr>
              <w:t>平方</w:t>
            </w:r>
            <w:r>
              <w:rPr>
                <w:rFonts w:hint="eastAsia"/>
                <w:vertAlign w:val="baseline"/>
                <w:lang w:val="en-US" w:eastAsia="zh-CN"/>
              </w:rPr>
              <w:t>米</w:t>
            </w:r>
          </w:p>
        </w:tc>
        <w:tc>
          <w:tcPr>
            <w:tcW w:w="871" w:type="dxa"/>
            <w:vAlign w:val="center"/>
          </w:tcPr>
          <w:p>
            <w:pPr>
              <w:pStyle w:val="143"/>
              <w:jc w:val="center"/>
              <w:rPr>
                <w:rFonts w:hint="eastAsia"/>
                <w:vertAlign w:val="baseline"/>
                <w:lang w:eastAsia="zh-CN"/>
              </w:rPr>
            </w:pPr>
            <w:r>
              <w:rPr>
                <w:rFonts w:hint="eastAsia"/>
                <w:vertAlign w:val="baseline"/>
                <w:lang w:eastAsia="zh-CN"/>
              </w:rPr>
              <w:t>工业</w:t>
            </w:r>
          </w:p>
        </w:tc>
      </w:tr>
    </w:tbl>
    <w:p/>
    <w:p>
      <w:pPr>
        <w:pStyle w:val="4"/>
      </w:pPr>
      <w:bookmarkStart w:id="73" w:name="_Toc65169717"/>
      <w:bookmarkStart w:id="74" w:name="_Toc20195"/>
      <w:r>
        <w:rPr>
          <w:rFonts w:hint="eastAsia"/>
        </w:rPr>
        <w:t>核</w:t>
      </w:r>
      <w:r>
        <w:rPr>
          <w:rFonts w:hint="eastAsia"/>
          <w:b/>
          <w:bCs/>
        </w:rPr>
        <w:t>心产品</w:t>
      </w:r>
      <w:bookmarkEnd w:id="73"/>
      <w:bookmarkEnd w:id="74"/>
    </w:p>
    <w:p>
      <w:pPr>
        <w:spacing w:line="360" w:lineRule="auto"/>
        <w:ind w:firstLine="560" w:firstLineChars="200"/>
        <w:rPr>
          <w:sz w:val="28"/>
        </w:rPr>
      </w:pPr>
      <w:r>
        <w:rPr>
          <w:rFonts w:hint="eastAsia"/>
          <w:sz w:val="28"/>
        </w:rPr>
        <w:t>核心产品为</w:t>
      </w:r>
      <w:r>
        <w:rPr>
          <w:rFonts w:hint="eastAsia"/>
          <w:vertAlign w:val="baseline"/>
          <w:lang w:eastAsia="zh-CN"/>
        </w:rPr>
        <w:t>LED大屏</w:t>
      </w:r>
      <w:r>
        <w:rPr>
          <w:rFonts w:hint="eastAsia"/>
          <w:sz w:val="28"/>
        </w:rPr>
        <w:t>。</w:t>
      </w:r>
    </w:p>
    <w:p>
      <w:pPr>
        <w:pStyle w:val="4"/>
        <w:rPr>
          <w:rFonts w:hint="eastAsia"/>
          <w:b/>
          <w:bCs/>
        </w:rPr>
      </w:pPr>
      <w:bookmarkStart w:id="75" w:name="_Toc11499"/>
      <w:r>
        <w:rPr>
          <w:rFonts w:hint="eastAsia"/>
          <w:b/>
          <w:bCs/>
          <w:lang w:eastAsia="zh-CN"/>
        </w:rPr>
        <w:t>项目需求</w:t>
      </w:r>
      <w:bookmarkEnd w:id="75"/>
    </w:p>
    <w:p>
      <w:pPr>
        <w:numPr>
          <w:ilvl w:val="0"/>
          <w:numId w:val="0"/>
        </w:numPr>
        <w:spacing w:line="560" w:lineRule="exact"/>
        <w:ind w:firstLine="480" w:firstLineChars="200"/>
        <w:rPr>
          <w:rFonts w:hint="eastAsia" w:ascii="宋体" w:hAnsi="宋体" w:eastAsia="宋体" w:cs="宋体"/>
          <w:b w:val="0"/>
          <w:bCs w:val="0"/>
          <w:kern w:val="11"/>
          <w:sz w:val="24"/>
          <w:szCs w:val="24"/>
          <w:lang w:val="en-US" w:eastAsia="zh-CN"/>
        </w:rPr>
      </w:pPr>
      <w:r>
        <w:rPr>
          <w:rFonts w:hint="eastAsia" w:ascii="宋体" w:hAnsi="宋体" w:eastAsia="宋体" w:cs="宋体"/>
          <w:b w:val="0"/>
          <w:bCs w:val="0"/>
          <w:kern w:val="11"/>
          <w:sz w:val="24"/>
          <w:szCs w:val="24"/>
          <w:lang w:val="en-US" w:eastAsia="zh-CN"/>
        </w:rPr>
        <w:t>彭州市行政审批局新增区域（政务大厅三楼F区两个会议室</w:t>
      </w:r>
      <w:r>
        <w:rPr>
          <w:rFonts w:hint="eastAsia" w:ascii="宋体" w:hAnsi="宋体" w:cs="宋体"/>
          <w:b w:val="0"/>
          <w:bCs w:val="0"/>
          <w:kern w:val="11"/>
          <w:sz w:val="24"/>
          <w:szCs w:val="24"/>
          <w:lang w:val="en-US" w:eastAsia="zh-CN"/>
        </w:rPr>
        <w:t>以及大数据和民生服务中心办公室</w:t>
      </w:r>
      <w:r>
        <w:rPr>
          <w:rFonts w:hint="eastAsia" w:ascii="宋体" w:hAnsi="宋体" w:eastAsia="宋体" w:cs="宋体"/>
          <w:b w:val="0"/>
          <w:bCs w:val="0"/>
          <w:kern w:val="11"/>
          <w:sz w:val="24"/>
          <w:szCs w:val="24"/>
          <w:lang w:val="en-US" w:eastAsia="zh-CN"/>
        </w:rPr>
        <w:t>）建设，根据可视距离、可视角度等各方面因素：采用像素点间距为2mm的显示单元板组成的显示屏符合显示屏播放的显示要求；画面更细腻，清晰度更高。</w:t>
      </w:r>
    </w:p>
    <w:p>
      <w:pPr>
        <w:numPr>
          <w:ilvl w:val="0"/>
          <w:numId w:val="0"/>
        </w:numPr>
        <w:spacing w:line="560" w:lineRule="exact"/>
        <w:ind w:firstLine="480" w:firstLineChars="200"/>
        <w:rPr>
          <w:rFonts w:hint="default" w:ascii="宋体" w:hAnsi="宋体" w:eastAsia="宋体" w:cs="宋体"/>
          <w:b w:val="0"/>
          <w:bCs w:val="0"/>
          <w:kern w:val="11"/>
          <w:sz w:val="24"/>
          <w:szCs w:val="24"/>
          <w:lang w:val="en-US" w:eastAsia="zh-CN"/>
        </w:rPr>
      </w:pPr>
      <w:r>
        <w:rPr>
          <w:rFonts w:hint="eastAsia" w:ascii="宋体" w:hAnsi="宋体" w:eastAsia="宋体" w:cs="宋体"/>
          <w:b w:val="0"/>
          <w:bCs w:val="0"/>
          <w:kern w:val="11"/>
          <w:sz w:val="24"/>
          <w:szCs w:val="24"/>
          <w:lang w:val="en-US" w:eastAsia="zh-CN"/>
        </w:rPr>
        <w:t>显示屏的播放方式为：同步播放。</w:t>
      </w:r>
      <w:r>
        <w:rPr>
          <w:rFonts w:hint="eastAsia" w:ascii="宋体" w:hAnsi="宋体" w:eastAsia="宋体" w:cs="宋体"/>
          <w:b w:val="0"/>
          <w:bCs w:val="0"/>
          <w:kern w:val="11"/>
          <w:sz w:val="24"/>
          <w:szCs w:val="24"/>
          <w:lang w:eastAsia="zh-CN"/>
        </w:rPr>
        <w:t>设计的显示屏尺寸根据现场具体规划。具体设计使用规格为：</w:t>
      </w:r>
      <w:r>
        <w:rPr>
          <w:rFonts w:hint="eastAsia" w:ascii="宋体" w:hAnsi="宋体" w:eastAsia="宋体" w:cs="宋体"/>
          <w:b w:val="0"/>
          <w:bCs w:val="0"/>
          <w:kern w:val="11"/>
          <w:sz w:val="24"/>
          <w:szCs w:val="24"/>
          <w:lang w:val="en-US" w:eastAsia="zh-CN"/>
        </w:rPr>
        <w:t>室内P2.0LED</w:t>
      </w:r>
      <w:r>
        <w:rPr>
          <w:rFonts w:hint="eastAsia" w:ascii="宋体" w:hAnsi="宋体" w:eastAsia="宋体" w:cs="宋体"/>
          <w:b w:val="0"/>
          <w:bCs w:val="0"/>
          <w:kern w:val="11"/>
          <w:sz w:val="24"/>
          <w:szCs w:val="24"/>
          <w:lang w:eastAsia="zh-CN"/>
        </w:rPr>
        <w:t>显示屏</w:t>
      </w:r>
      <w:r>
        <w:rPr>
          <w:rFonts w:hint="eastAsia" w:ascii="宋体" w:hAnsi="宋体" w:eastAsia="宋体" w:cs="宋体"/>
          <w:b w:val="0"/>
          <w:bCs w:val="0"/>
          <w:kern w:val="11"/>
          <w:sz w:val="24"/>
          <w:szCs w:val="24"/>
          <w:lang w:val="en-US" w:eastAsia="zh-CN"/>
        </w:rPr>
        <w:t>,</w:t>
      </w:r>
      <w:r>
        <w:rPr>
          <w:rFonts w:hint="eastAsia" w:ascii="宋体" w:hAnsi="宋体" w:eastAsia="宋体" w:cs="宋体"/>
          <w:b w:val="0"/>
          <w:bCs w:val="0"/>
          <w:kern w:val="11"/>
          <w:sz w:val="24"/>
          <w:szCs w:val="24"/>
          <w:lang w:eastAsia="zh-CN"/>
        </w:rPr>
        <w:t>观看最小距离为</w:t>
      </w:r>
      <w:r>
        <w:rPr>
          <w:rFonts w:hint="eastAsia" w:ascii="宋体" w:hAnsi="宋体" w:eastAsia="宋体" w:cs="宋体"/>
          <w:b w:val="0"/>
          <w:bCs w:val="0"/>
          <w:kern w:val="11"/>
          <w:sz w:val="24"/>
          <w:szCs w:val="24"/>
          <w:lang w:val="en-US" w:eastAsia="zh-CN"/>
        </w:rPr>
        <w:t>2</w:t>
      </w:r>
      <w:r>
        <w:rPr>
          <w:rFonts w:hint="eastAsia" w:ascii="宋体" w:hAnsi="宋体" w:eastAsia="宋体" w:cs="宋体"/>
          <w:b w:val="0"/>
          <w:bCs w:val="0"/>
          <w:kern w:val="11"/>
          <w:sz w:val="24"/>
          <w:szCs w:val="24"/>
          <w:lang w:eastAsia="zh-CN"/>
        </w:rPr>
        <w:t>米。</w:t>
      </w:r>
    </w:p>
    <w:p>
      <w:pPr>
        <w:spacing w:line="360" w:lineRule="auto"/>
        <w:ind w:firstLine="480" w:firstLineChars="200"/>
        <w:rPr>
          <w:rFonts w:hint="eastAsia" w:ascii="宋体" w:hAnsi="宋体" w:eastAsia="宋体" w:cs="宋体"/>
          <w:b w:val="0"/>
          <w:bCs w:val="0"/>
          <w:kern w:val="11"/>
          <w:sz w:val="24"/>
          <w:szCs w:val="24"/>
        </w:rPr>
      </w:pPr>
      <w:r>
        <w:rPr>
          <w:rFonts w:hint="eastAsia" w:ascii="宋体" w:hAnsi="宋体" w:eastAsia="宋体" w:cs="宋体"/>
          <w:b w:val="0"/>
          <w:bCs w:val="0"/>
          <w:kern w:val="11"/>
          <w:sz w:val="24"/>
          <w:szCs w:val="24"/>
        </w:rPr>
        <w:t xml:space="preserve">功能实现方面： </w:t>
      </w:r>
    </w:p>
    <w:p>
      <w:pPr>
        <w:numPr>
          <w:ilvl w:val="0"/>
          <w:numId w:val="33"/>
        </w:numPr>
        <w:spacing w:line="360" w:lineRule="auto"/>
        <w:ind w:left="425" w:leftChars="0" w:hanging="425" w:firstLineChars="0"/>
        <w:rPr>
          <w:rFonts w:hint="eastAsia" w:ascii="宋体" w:hAnsi="宋体" w:eastAsia="宋体" w:cs="宋体"/>
          <w:b w:val="0"/>
          <w:bCs w:val="0"/>
          <w:kern w:val="11"/>
          <w:sz w:val="24"/>
          <w:szCs w:val="24"/>
          <w:lang w:val="en-US" w:eastAsia="zh-CN"/>
        </w:rPr>
      </w:pPr>
      <w:r>
        <w:rPr>
          <w:rFonts w:hint="eastAsia" w:ascii="宋体" w:hAnsi="宋体" w:eastAsia="宋体" w:cs="宋体"/>
          <w:b w:val="0"/>
          <w:bCs w:val="0"/>
          <w:kern w:val="11"/>
          <w:sz w:val="24"/>
          <w:szCs w:val="24"/>
        </w:rPr>
        <w:t>显示屏配置一台</w:t>
      </w:r>
      <w:r>
        <w:rPr>
          <w:rFonts w:hint="eastAsia" w:ascii="宋体" w:hAnsi="宋体" w:eastAsia="宋体" w:cs="宋体"/>
          <w:b w:val="0"/>
          <w:bCs w:val="0"/>
          <w:kern w:val="11"/>
          <w:sz w:val="24"/>
          <w:szCs w:val="24"/>
          <w:lang w:val="en-US" w:eastAsia="zh-CN"/>
        </w:rPr>
        <w:t>视频发送设备，含视频处理功能，设备配置丰富</w:t>
      </w:r>
      <w:r>
        <w:rPr>
          <w:rFonts w:hint="eastAsia" w:ascii="宋体" w:hAnsi="宋体" w:eastAsia="宋体" w:cs="宋体"/>
          <w:b w:val="0"/>
          <w:bCs w:val="0"/>
          <w:kern w:val="11"/>
          <w:sz w:val="24"/>
          <w:szCs w:val="24"/>
        </w:rPr>
        <w:t>，可输入不同视频信号，</w:t>
      </w:r>
      <w:r>
        <w:rPr>
          <w:rFonts w:hint="eastAsia" w:ascii="宋体" w:hAnsi="宋体" w:eastAsia="宋体" w:cs="宋体"/>
          <w:b w:val="0"/>
          <w:bCs w:val="0"/>
          <w:kern w:val="11"/>
          <w:sz w:val="24"/>
          <w:szCs w:val="24"/>
          <w:lang w:val="en-US" w:eastAsia="zh-CN"/>
        </w:rPr>
        <w:t>DVI*1\VGA*2\HDMI*1\CVBS*2等信号。</w:t>
      </w:r>
    </w:p>
    <w:p>
      <w:pPr>
        <w:numPr>
          <w:ilvl w:val="0"/>
          <w:numId w:val="33"/>
        </w:numPr>
        <w:spacing w:line="560" w:lineRule="exact"/>
        <w:ind w:left="425" w:leftChars="0" w:hanging="425" w:firstLineChars="0"/>
        <w:rPr>
          <w:rFonts w:hint="eastAsia" w:ascii="宋体" w:hAnsi="宋体" w:eastAsia="宋体" w:cs="宋体"/>
          <w:b w:val="0"/>
          <w:bCs w:val="0"/>
          <w:kern w:val="11"/>
          <w:sz w:val="24"/>
          <w:szCs w:val="24"/>
        </w:rPr>
      </w:pPr>
      <w:r>
        <w:rPr>
          <w:rFonts w:hint="eastAsia" w:ascii="宋体" w:hAnsi="宋体" w:eastAsia="宋体" w:cs="宋体"/>
          <w:b w:val="0"/>
          <w:bCs w:val="0"/>
          <w:kern w:val="11"/>
          <w:sz w:val="24"/>
          <w:szCs w:val="24"/>
        </w:rPr>
        <w:t>可以播放</w:t>
      </w:r>
      <w:r>
        <w:rPr>
          <w:rFonts w:hint="eastAsia" w:ascii="宋体" w:hAnsi="宋体" w:eastAsia="宋体" w:cs="宋体"/>
          <w:b w:val="0"/>
          <w:bCs w:val="0"/>
          <w:kern w:val="11"/>
          <w:sz w:val="24"/>
          <w:szCs w:val="24"/>
          <w:lang w:eastAsia="zh-CN"/>
        </w:rPr>
        <w:t>通过电视网络机顶盒直播节目，通过播放电脑播放视频。软件自身可以</w:t>
      </w:r>
      <w:r>
        <w:rPr>
          <w:rFonts w:hint="eastAsia" w:ascii="宋体" w:hAnsi="宋体" w:eastAsia="宋体" w:cs="宋体"/>
          <w:b w:val="0"/>
          <w:bCs w:val="0"/>
          <w:kern w:val="11"/>
          <w:sz w:val="24"/>
          <w:szCs w:val="24"/>
        </w:rPr>
        <w:t>不同格式的视频，图片，文字等内容。</w:t>
      </w:r>
    </w:p>
    <w:p>
      <w:pPr>
        <w:numPr>
          <w:ilvl w:val="0"/>
          <w:numId w:val="33"/>
        </w:numPr>
        <w:spacing w:line="560" w:lineRule="exact"/>
        <w:ind w:left="425" w:leftChars="0" w:hanging="425" w:firstLineChars="0"/>
        <w:rPr>
          <w:rFonts w:hint="eastAsia" w:ascii="宋体" w:hAnsi="宋体" w:eastAsia="宋体" w:cs="宋体"/>
          <w:b w:val="0"/>
          <w:bCs w:val="0"/>
          <w:kern w:val="11"/>
          <w:sz w:val="24"/>
          <w:szCs w:val="24"/>
          <w:shd w:val="clear" w:color="auto" w:fill="000000"/>
        </w:rPr>
      </w:pPr>
      <w:r>
        <w:rPr>
          <w:rFonts w:hint="eastAsia" w:ascii="宋体" w:hAnsi="宋体" w:eastAsia="宋体" w:cs="宋体"/>
          <w:b w:val="0"/>
          <w:bCs w:val="0"/>
          <w:kern w:val="11"/>
          <w:sz w:val="24"/>
          <w:szCs w:val="24"/>
        </w:rPr>
        <w:t>温度控制：</w:t>
      </w:r>
      <w:r>
        <w:rPr>
          <w:rFonts w:hint="eastAsia" w:ascii="宋体" w:hAnsi="宋体" w:eastAsia="宋体" w:cs="宋体"/>
          <w:b w:val="0"/>
          <w:bCs w:val="0"/>
          <w:kern w:val="11"/>
          <w:sz w:val="24"/>
          <w:szCs w:val="24"/>
          <w:lang w:val="en-US" w:eastAsia="zh-CN"/>
        </w:rPr>
        <w:t>室内温度不需要控制，能够满足设备的使用条件。</w:t>
      </w:r>
    </w:p>
    <w:p>
      <w:pPr>
        <w:numPr>
          <w:ilvl w:val="0"/>
          <w:numId w:val="33"/>
        </w:numPr>
        <w:spacing w:line="560" w:lineRule="exact"/>
        <w:ind w:left="425" w:leftChars="0" w:hanging="425" w:firstLineChars="0"/>
        <w:rPr>
          <w:rFonts w:hint="eastAsia" w:ascii="宋体" w:hAnsi="宋体" w:eastAsia="宋体" w:cs="宋体"/>
          <w:b w:val="0"/>
          <w:bCs w:val="0"/>
          <w:kern w:val="11"/>
          <w:sz w:val="24"/>
          <w:szCs w:val="24"/>
        </w:rPr>
      </w:pPr>
      <w:r>
        <w:rPr>
          <w:rFonts w:hint="eastAsia" w:ascii="宋体" w:hAnsi="宋体" w:eastAsia="宋体" w:cs="宋体"/>
          <w:b w:val="0"/>
          <w:bCs w:val="0"/>
          <w:kern w:val="11"/>
          <w:sz w:val="24"/>
          <w:szCs w:val="24"/>
        </w:rPr>
        <w:t>配电系统：提供</w:t>
      </w:r>
      <w:r>
        <w:rPr>
          <w:rFonts w:hint="eastAsia" w:ascii="宋体" w:hAnsi="宋体" w:cs="宋体"/>
          <w:b w:val="0"/>
          <w:bCs w:val="0"/>
          <w:kern w:val="11"/>
          <w:sz w:val="24"/>
          <w:szCs w:val="24"/>
          <w:lang w:val="en-US" w:eastAsia="zh-CN"/>
        </w:rPr>
        <w:t>10</w:t>
      </w:r>
      <w:r>
        <w:rPr>
          <w:rFonts w:hint="eastAsia" w:ascii="宋体" w:hAnsi="宋体" w:eastAsia="宋体" w:cs="宋体"/>
          <w:b w:val="0"/>
          <w:bCs w:val="0"/>
          <w:kern w:val="11"/>
          <w:sz w:val="24"/>
          <w:szCs w:val="24"/>
        </w:rPr>
        <w:t>KW的</w:t>
      </w:r>
      <w:r>
        <w:rPr>
          <w:rFonts w:hint="eastAsia" w:ascii="宋体" w:hAnsi="宋体" w:eastAsia="宋体" w:cs="宋体"/>
          <w:b w:val="0"/>
          <w:bCs w:val="0"/>
          <w:kern w:val="11"/>
          <w:sz w:val="24"/>
          <w:szCs w:val="24"/>
          <w:lang w:val="en-US" w:eastAsia="zh-CN"/>
        </w:rPr>
        <w:t>供电</w:t>
      </w:r>
      <w:r>
        <w:rPr>
          <w:rFonts w:hint="eastAsia" w:ascii="宋体" w:hAnsi="宋体" w:eastAsia="宋体" w:cs="宋体"/>
          <w:b w:val="0"/>
          <w:bCs w:val="0"/>
          <w:kern w:val="11"/>
          <w:sz w:val="24"/>
          <w:szCs w:val="24"/>
        </w:rPr>
        <w:t>电源，</w:t>
      </w:r>
      <w:r>
        <w:rPr>
          <w:rFonts w:hint="eastAsia" w:ascii="宋体" w:hAnsi="宋体" w:cs="宋体"/>
          <w:b w:val="0"/>
          <w:bCs w:val="0"/>
          <w:kern w:val="11"/>
          <w:sz w:val="24"/>
          <w:szCs w:val="24"/>
          <w:lang w:eastAsia="zh-CN"/>
        </w:rPr>
        <w:t>用户需提供</w:t>
      </w:r>
      <w:r>
        <w:rPr>
          <w:rFonts w:hint="eastAsia" w:ascii="宋体" w:hAnsi="宋体" w:cs="宋体"/>
          <w:b w:val="0"/>
          <w:bCs w:val="0"/>
          <w:kern w:val="11"/>
          <w:sz w:val="24"/>
          <w:szCs w:val="24"/>
          <w:lang w:val="en-US" w:eastAsia="zh-CN"/>
        </w:rPr>
        <w:t>6</w:t>
      </w:r>
      <w:r>
        <w:rPr>
          <w:rFonts w:hint="eastAsia" w:ascii="宋体" w:hAnsi="宋体" w:eastAsia="宋体" w:cs="宋体"/>
          <w:b w:val="0"/>
          <w:bCs w:val="0"/>
          <w:kern w:val="11"/>
          <w:sz w:val="24"/>
          <w:szCs w:val="24"/>
        </w:rPr>
        <w:t>平方</w:t>
      </w:r>
      <w:r>
        <w:rPr>
          <w:rFonts w:hint="eastAsia" w:ascii="宋体" w:hAnsi="宋体" w:cs="宋体"/>
          <w:b w:val="0"/>
          <w:bCs w:val="0"/>
          <w:kern w:val="11"/>
          <w:sz w:val="24"/>
          <w:szCs w:val="24"/>
          <w:lang w:val="en-US" w:eastAsia="zh-CN"/>
        </w:rPr>
        <w:t>380</w:t>
      </w:r>
      <w:r>
        <w:rPr>
          <w:rFonts w:hint="eastAsia" w:ascii="宋体" w:hAnsi="宋体" w:eastAsia="宋体" w:cs="宋体"/>
          <w:b w:val="0"/>
          <w:bCs w:val="0"/>
          <w:kern w:val="11"/>
          <w:sz w:val="24"/>
          <w:szCs w:val="24"/>
        </w:rPr>
        <w:t>V主电源线</w:t>
      </w:r>
      <w:r>
        <w:rPr>
          <w:rFonts w:hint="eastAsia" w:ascii="宋体" w:hAnsi="宋体" w:cs="宋体"/>
          <w:b w:val="0"/>
          <w:bCs w:val="0"/>
          <w:kern w:val="11"/>
          <w:sz w:val="24"/>
          <w:szCs w:val="24"/>
          <w:lang w:val="en-US" w:eastAsia="zh-CN"/>
        </w:rPr>
        <w:t>1</w:t>
      </w:r>
      <w:r>
        <w:rPr>
          <w:rFonts w:hint="eastAsia" w:ascii="宋体" w:hAnsi="宋体" w:eastAsia="宋体" w:cs="宋体"/>
          <w:b w:val="0"/>
          <w:bCs w:val="0"/>
          <w:kern w:val="11"/>
          <w:sz w:val="24"/>
          <w:szCs w:val="24"/>
          <w:lang w:val="en-US" w:eastAsia="zh-CN"/>
        </w:rPr>
        <w:t>条</w:t>
      </w:r>
      <w:r>
        <w:rPr>
          <w:rFonts w:hint="eastAsia" w:ascii="宋体" w:hAnsi="宋体" w:eastAsia="宋体" w:cs="宋体"/>
          <w:b w:val="0"/>
          <w:bCs w:val="0"/>
          <w:kern w:val="11"/>
          <w:sz w:val="24"/>
          <w:szCs w:val="24"/>
        </w:rPr>
        <w:t>至屏体位置，</w:t>
      </w:r>
      <w:r>
        <w:rPr>
          <w:rFonts w:hint="eastAsia" w:ascii="宋体" w:hAnsi="宋体" w:cs="宋体"/>
          <w:b w:val="0"/>
          <w:bCs w:val="0"/>
          <w:kern w:val="11"/>
          <w:sz w:val="24"/>
          <w:szCs w:val="24"/>
          <w:lang w:eastAsia="zh-CN"/>
        </w:rPr>
        <w:t>并</w:t>
      </w:r>
      <w:r>
        <w:rPr>
          <w:rFonts w:hint="eastAsia" w:ascii="宋体" w:hAnsi="宋体" w:eastAsia="宋体" w:cs="宋体"/>
          <w:b w:val="0"/>
          <w:bCs w:val="0"/>
          <w:kern w:val="11"/>
          <w:sz w:val="24"/>
          <w:szCs w:val="24"/>
        </w:rPr>
        <w:t>留</w:t>
      </w:r>
      <w:r>
        <w:rPr>
          <w:rFonts w:hint="eastAsia" w:ascii="宋体" w:hAnsi="宋体" w:eastAsia="宋体" w:cs="宋体"/>
          <w:b w:val="0"/>
          <w:bCs w:val="0"/>
          <w:kern w:val="11"/>
          <w:sz w:val="24"/>
          <w:szCs w:val="24"/>
          <w:lang w:val="en-US" w:eastAsia="zh-CN"/>
        </w:rPr>
        <w:t>2</w:t>
      </w:r>
      <w:r>
        <w:rPr>
          <w:rFonts w:hint="eastAsia" w:ascii="宋体" w:hAnsi="宋体" w:eastAsia="宋体" w:cs="宋体"/>
          <w:b w:val="0"/>
          <w:bCs w:val="0"/>
          <w:kern w:val="11"/>
          <w:sz w:val="24"/>
          <w:szCs w:val="24"/>
        </w:rPr>
        <w:t>米以上的电缆线。</w:t>
      </w:r>
    </w:p>
    <w:p>
      <w:pPr>
        <w:numPr>
          <w:ilvl w:val="0"/>
          <w:numId w:val="33"/>
        </w:numPr>
        <w:spacing w:line="560" w:lineRule="exact"/>
        <w:ind w:left="425" w:leftChars="0" w:hanging="425" w:firstLineChars="0"/>
        <w:rPr>
          <w:rFonts w:hint="eastAsia" w:ascii="宋体" w:hAnsi="宋体" w:eastAsia="宋体" w:cs="宋体"/>
          <w:b w:val="0"/>
          <w:bCs w:val="0"/>
          <w:kern w:val="11"/>
          <w:sz w:val="24"/>
          <w:szCs w:val="24"/>
        </w:rPr>
      </w:pPr>
      <w:r>
        <w:rPr>
          <w:rFonts w:hint="eastAsia" w:ascii="宋体" w:hAnsi="宋体" w:eastAsia="宋体" w:cs="宋体"/>
          <w:b w:val="0"/>
          <w:bCs w:val="0"/>
          <w:kern w:val="11"/>
          <w:sz w:val="24"/>
          <w:szCs w:val="24"/>
        </w:rPr>
        <w:t>音频播放系统实现实时的音画同步：把显示屏控制电脑的音频接入播控室的功放，用标准的接口连接两个设备后就可以实现音画同步。</w:t>
      </w:r>
    </w:p>
    <w:p>
      <w:pPr>
        <w:numPr>
          <w:ilvl w:val="0"/>
          <w:numId w:val="33"/>
        </w:numPr>
        <w:spacing w:line="560" w:lineRule="exact"/>
        <w:ind w:left="425" w:leftChars="0" w:hanging="425" w:firstLineChars="0"/>
        <w:rPr>
          <w:rFonts w:hint="eastAsia" w:ascii="宋体" w:hAnsi="宋体" w:eastAsia="宋体" w:cs="宋体"/>
          <w:b w:val="0"/>
          <w:bCs w:val="0"/>
          <w:kern w:val="11"/>
          <w:sz w:val="24"/>
          <w:szCs w:val="24"/>
        </w:rPr>
      </w:pPr>
      <w:r>
        <w:rPr>
          <w:rFonts w:hint="eastAsia" w:ascii="宋体" w:hAnsi="宋体" w:eastAsia="宋体" w:cs="宋体"/>
          <w:b w:val="0"/>
          <w:bCs w:val="0"/>
          <w:kern w:val="11"/>
          <w:sz w:val="24"/>
          <w:szCs w:val="24"/>
        </w:rPr>
        <w:t>设备安装位置为：</w:t>
      </w:r>
      <w:r>
        <w:rPr>
          <w:rFonts w:hint="eastAsia" w:ascii="宋体" w:hAnsi="宋体" w:eastAsia="宋体" w:cs="宋体"/>
          <w:b w:val="0"/>
          <w:bCs w:val="0"/>
          <w:kern w:val="11"/>
          <w:sz w:val="24"/>
          <w:szCs w:val="24"/>
          <w:lang w:val="en-US" w:eastAsia="zh-CN"/>
        </w:rPr>
        <w:t>客户指定地点。</w:t>
      </w:r>
    </w:p>
    <w:p>
      <w:pPr>
        <w:numPr>
          <w:ilvl w:val="0"/>
          <w:numId w:val="33"/>
        </w:numPr>
        <w:spacing w:line="560" w:lineRule="exact"/>
        <w:ind w:left="425" w:leftChars="0" w:hanging="425" w:firstLineChars="0"/>
        <w:rPr>
          <w:rFonts w:hint="eastAsia" w:ascii="宋体" w:hAnsi="宋体" w:eastAsia="宋体" w:cs="宋体"/>
          <w:b w:val="0"/>
          <w:bCs w:val="0"/>
          <w:sz w:val="24"/>
          <w:szCs w:val="24"/>
        </w:rPr>
      </w:pPr>
      <w:r>
        <w:rPr>
          <w:rFonts w:hint="eastAsia" w:ascii="宋体" w:hAnsi="宋体" w:eastAsia="宋体" w:cs="宋体"/>
          <w:b w:val="0"/>
          <w:bCs w:val="0"/>
          <w:kern w:val="11"/>
          <w:sz w:val="24"/>
          <w:szCs w:val="24"/>
        </w:rPr>
        <w:t>将电视</w:t>
      </w:r>
      <w:r>
        <w:rPr>
          <w:rFonts w:hint="eastAsia" w:ascii="宋体" w:hAnsi="宋体" w:eastAsia="宋体" w:cs="宋体"/>
          <w:b w:val="0"/>
          <w:bCs w:val="0"/>
          <w:kern w:val="11"/>
          <w:sz w:val="24"/>
          <w:szCs w:val="24"/>
          <w:lang w:eastAsia="zh-CN"/>
        </w:rPr>
        <w:t>机顶盒视频</w:t>
      </w:r>
      <w:r>
        <w:rPr>
          <w:rFonts w:hint="eastAsia" w:ascii="宋体" w:hAnsi="宋体" w:eastAsia="宋体" w:cs="宋体"/>
          <w:b w:val="0"/>
          <w:bCs w:val="0"/>
          <w:kern w:val="11"/>
          <w:sz w:val="24"/>
          <w:szCs w:val="24"/>
        </w:rPr>
        <w:t>信号接入</w:t>
      </w:r>
      <w:r>
        <w:rPr>
          <w:rFonts w:hint="eastAsia" w:ascii="宋体" w:hAnsi="宋体" w:eastAsia="宋体" w:cs="宋体"/>
          <w:b w:val="0"/>
          <w:bCs w:val="0"/>
          <w:kern w:val="11"/>
          <w:sz w:val="24"/>
          <w:szCs w:val="24"/>
          <w:lang w:eastAsia="zh-CN"/>
        </w:rPr>
        <w:t>视频处理器</w:t>
      </w:r>
      <w:r>
        <w:rPr>
          <w:rFonts w:hint="eastAsia" w:ascii="宋体" w:hAnsi="宋体" w:eastAsia="宋体" w:cs="宋体"/>
          <w:b w:val="0"/>
          <w:bCs w:val="0"/>
          <w:kern w:val="11"/>
          <w:sz w:val="24"/>
          <w:szCs w:val="24"/>
        </w:rPr>
        <w:t>，</w:t>
      </w:r>
      <w:r>
        <w:rPr>
          <w:rFonts w:hint="eastAsia" w:ascii="宋体" w:hAnsi="宋体" w:cs="宋体"/>
          <w:b w:val="0"/>
          <w:bCs w:val="0"/>
          <w:kern w:val="11"/>
          <w:sz w:val="24"/>
          <w:szCs w:val="24"/>
          <w:lang w:eastAsia="zh-CN"/>
        </w:rPr>
        <w:t>供应商</w:t>
      </w:r>
      <w:r>
        <w:rPr>
          <w:rFonts w:hint="eastAsia" w:ascii="宋体" w:hAnsi="宋体" w:eastAsia="宋体" w:cs="宋体"/>
          <w:b w:val="0"/>
          <w:bCs w:val="0"/>
          <w:kern w:val="11"/>
          <w:sz w:val="24"/>
          <w:szCs w:val="24"/>
        </w:rPr>
        <w:t>调试后，可在大屏上</w:t>
      </w:r>
      <w:r>
        <w:rPr>
          <w:rFonts w:hint="eastAsia" w:ascii="宋体" w:hAnsi="宋体" w:eastAsia="宋体" w:cs="宋体"/>
          <w:b w:val="0"/>
          <w:bCs w:val="0"/>
          <w:kern w:val="11"/>
          <w:sz w:val="24"/>
          <w:szCs w:val="24"/>
          <w:lang w:eastAsia="zh-CN"/>
        </w:rPr>
        <w:t>直播</w:t>
      </w:r>
      <w:r>
        <w:rPr>
          <w:rFonts w:hint="eastAsia" w:ascii="宋体" w:hAnsi="宋体" w:eastAsia="宋体" w:cs="宋体"/>
          <w:b w:val="0"/>
          <w:bCs w:val="0"/>
          <w:kern w:val="11"/>
          <w:sz w:val="24"/>
          <w:szCs w:val="24"/>
        </w:rPr>
        <w:t>播电视信号。</w:t>
      </w:r>
    </w:p>
    <w:p>
      <w:pPr>
        <w:pStyle w:val="143"/>
        <w:jc w:val="center"/>
        <w:rPr>
          <w:rFonts w:hint="eastAsia"/>
        </w:rPr>
      </w:pPr>
      <w:r>
        <w:rPr>
          <w:rFonts w:hint="eastAsia" w:ascii="仿宋" w:hAnsi="仿宋" w:eastAsia="仿宋" w:cs="仿宋"/>
        </w:rPr>
        <w:drawing>
          <wp:anchor distT="0" distB="0" distL="114300" distR="114300" simplePos="0" relativeHeight="251659264" behindDoc="0" locked="0" layoutInCell="1" allowOverlap="1">
            <wp:simplePos x="0" y="0"/>
            <wp:positionH relativeFrom="column">
              <wp:posOffset>-20955</wp:posOffset>
            </wp:positionH>
            <wp:positionV relativeFrom="paragraph">
              <wp:posOffset>140335</wp:posOffset>
            </wp:positionV>
            <wp:extent cx="5350510" cy="3094355"/>
            <wp:effectExtent l="0" t="0" r="2540" b="10795"/>
            <wp:wrapTopAndBottom/>
            <wp:docPr id="2" name="图片 3" descr="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接线图"/>
                    <pic:cNvPicPr>
                      <a:picLocks noChangeAspect="1"/>
                    </pic:cNvPicPr>
                  </pic:nvPicPr>
                  <pic:blipFill>
                    <a:blip r:embed="rId13"/>
                    <a:stretch>
                      <a:fillRect/>
                    </a:stretch>
                  </pic:blipFill>
                  <pic:spPr>
                    <a:xfrm>
                      <a:off x="0" y="0"/>
                      <a:ext cx="5350510" cy="3094355"/>
                    </a:xfrm>
                    <a:prstGeom prst="rect">
                      <a:avLst/>
                    </a:prstGeom>
                    <a:noFill/>
                    <a:ln w="9525">
                      <a:noFill/>
                    </a:ln>
                  </pic:spPr>
                </pic:pic>
              </a:graphicData>
            </a:graphic>
          </wp:anchor>
        </w:drawing>
      </w:r>
      <w:r>
        <w:rPr>
          <w:rFonts w:hint="eastAsia"/>
          <w:lang w:eastAsia="zh-CN"/>
        </w:rPr>
        <w:t>显示屏系统简图</w:t>
      </w:r>
    </w:p>
    <w:p>
      <w:pPr>
        <w:rPr>
          <w:rFonts w:hint="eastAsia"/>
        </w:rPr>
      </w:pPr>
    </w:p>
    <w:p>
      <w:pPr>
        <w:pStyle w:val="4"/>
        <w:rPr>
          <w:rFonts w:hint="eastAsia"/>
          <w:b/>
          <w:bCs/>
          <w:lang w:eastAsia="zh-CN"/>
        </w:rPr>
      </w:pPr>
      <w:bookmarkStart w:id="76" w:name="_Toc8941"/>
      <w:r>
        <w:rPr>
          <w:rFonts w:hint="eastAsia"/>
          <w:b/>
          <w:bCs/>
          <w:lang w:eastAsia="zh-CN"/>
        </w:rPr>
        <w:t>商务条款</w:t>
      </w:r>
      <w:bookmarkEnd w:id="76"/>
    </w:p>
    <w:p>
      <w:pPr>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宋体" w:hAnsi="宋体" w:eastAsia="宋体" w:cs="宋体"/>
          <w:b/>
          <w:bCs/>
          <w:color w:val="000000"/>
          <w:sz w:val="24"/>
          <w:szCs w:val="24"/>
        </w:rPr>
      </w:pPr>
      <w:bookmarkStart w:id="77" w:name="_Toc65169720"/>
      <w:r>
        <w:rPr>
          <w:rFonts w:hint="eastAsia" w:ascii="宋体" w:hAnsi="宋体" w:eastAsia="宋体" w:cs="宋体"/>
          <w:b/>
          <w:bCs/>
          <w:color w:val="000000"/>
          <w:sz w:val="24"/>
          <w:szCs w:val="24"/>
          <w:lang w:eastAsia="zh-CN"/>
        </w:rPr>
        <w:t>（一）</w:t>
      </w:r>
      <w:r>
        <w:rPr>
          <w:rFonts w:hint="eastAsia" w:ascii="宋体" w:hAnsi="宋体" w:eastAsia="宋体" w:cs="宋体"/>
          <w:b/>
          <w:bCs/>
          <w:color w:val="000000"/>
          <w:sz w:val="24"/>
          <w:szCs w:val="24"/>
        </w:rPr>
        <w:t>履行合同的时间、地点及方式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履约时间：采购合同签订之日起</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lang w:eastAsia="zh-CN"/>
        </w:rPr>
        <w:t>日内完成供货，供货完成后</w:t>
      </w:r>
      <w:r>
        <w:rPr>
          <w:rFonts w:hint="eastAsia" w:ascii="宋体" w:hAnsi="宋体" w:eastAsia="宋体" w:cs="宋体"/>
          <w:color w:val="000000"/>
          <w:sz w:val="24"/>
          <w:szCs w:val="24"/>
          <w:lang w:val="en-US" w:eastAsia="zh-CN"/>
        </w:rPr>
        <w:t>当场</w:t>
      </w:r>
      <w:r>
        <w:rPr>
          <w:rFonts w:hint="eastAsia" w:ascii="宋体" w:hAnsi="宋体" w:eastAsia="宋体" w:cs="宋体"/>
          <w:color w:val="000000"/>
          <w:sz w:val="24"/>
          <w:szCs w:val="24"/>
          <w:lang w:eastAsia="zh-CN"/>
        </w:rPr>
        <w:t>进行初步验收，初步验收主要涉及产</w:t>
      </w:r>
      <w:r>
        <w:rPr>
          <w:rFonts w:hint="eastAsia" w:ascii="宋体" w:hAnsi="宋体" w:eastAsia="宋体" w:cs="宋体"/>
          <w:color w:val="000000"/>
          <w:sz w:val="28"/>
          <w:szCs w:val="28"/>
          <w:lang w:eastAsia="zh-CN"/>
        </w:rPr>
        <w:t>品外观查验，随产品所附相关手册、合格证等材料完备性查验。通过后送至相应点位进行安装调</w:t>
      </w:r>
      <w:r>
        <w:rPr>
          <w:rFonts w:hint="eastAsia" w:ascii="宋体" w:hAnsi="宋体" w:eastAsia="宋体" w:cs="宋体"/>
          <w:color w:val="000000"/>
          <w:sz w:val="24"/>
          <w:szCs w:val="24"/>
          <w:lang w:eastAsia="zh-CN"/>
        </w:rPr>
        <w:t>试，安装调试完成后各项功能正常运行视为最终验收合格。</w:t>
      </w:r>
    </w:p>
    <w:p>
      <w:pPr>
        <w:pStyle w:val="143"/>
        <w:keepNext w:val="0"/>
        <w:keepLines w:val="0"/>
        <w:pageBreakBefore w:val="0"/>
        <w:widowControl w:val="0"/>
        <w:kinsoku/>
        <w:wordWrap/>
        <w:overflowPunct/>
        <w:topLinePunct w:val="0"/>
        <w:bidi w:val="0"/>
        <w:snapToGrid/>
        <w:spacing w:line="360" w:lineRule="auto"/>
        <w:textAlignment w:val="auto"/>
        <w:rPr>
          <w:rFonts w:hint="eastAsia"/>
          <w:b/>
          <w:bCs/>
          <w:lang w:eastAsia="zh-CN"/>
        </w:rPr>
      </w:pPr>
      <w:r>
        <w:rPr>
          <w:rFonts w:hint="eastAsia"/>
          <w:b/>
          <w:bCs/>
          <w:lang w:eastAsia="zh-CN"/>
        </w:rPr>
        <w:t>（二）运输及保管责任</w:t>
      </w:r>
    </w:p>
    <w:p>
      <w:pPr>
        <w:pStyle w:val="143"/>
        <w:keepNext w:val="0"/>
        <w:keepLines w:val="0"/>
        <w:pageBreakBefore w:val="0"/>
        <w:widowControl w:val="0"/>
        <w:kinsoku/>
        <w:wordWrap/>
        <w:overflowPunct/>
        <w:topLinePunct w:val="0"/>
        <w:bidi w:val="0"/>
        <w:snapToGrid/>
        <w:spacing w:line="360" w:lineRule="auto"/>
        <w:ind w:firstLine="240" w:firstLineChars="100"/>
        <w:textAlignment w:val="auto"/>
        <w:rPr>
          <w:rFonts w:hint="eastAsia"/>
          <w:lang w:eastAsia="zh-CN"/>
        </w:rPr>
      </w:pPr>
      <w:r>
        <w:rPr>
          <w:rFonts w:hint="eastAsia"/>
          <w:lang w:eastAsia="zh-CN"/>
        </w:rPr>
        <w:t xml:space="preserve">完成供货且初步验收通过前由成交供应商负责，通过后由采购人负责。 </w:t>
      </w:r>
    </w:p>
    <w:p>
      <w:pPr>
        <w:pStyle w:val="143"/>
        <w:keepNext w:val="0"/>
        <w:keepLines w:val="0"/>
        <w:pageBreakBefore w:val="0"/>
        <w:widowControl w:val="0"/>
        <w:kinsoku/>
        <w:wordWrap/>
        <w:overflowPunct/>
        <w:topLinePunct w:val="0"/>
        <w:bidi w:val="0"/>
        <w:snapToGrid/>
        <w:spacing w:line="360" w:lineRule="auto"/>
        <w:textAlignment w:val="auto"/>
        <w:rPr>
          <w:rFonts w:hint="eastAsia"/>
          <w:b/>
          <w:bCs/>
          <w:lang w:eastAsia="zh-CN"/>
        </w:rPr>
      </w:pPr>
      <w:r>
        <w:rPr>
          <w:rFonts w:hint="eastAsia"/>
          <w:b/>
          <w:bCs/>
          <w:lang w:eastAsia="zh-CN"/>
        </w:rPr>
        <w:t>（三）验货要求</w:t>
      </w:r>
    </w:p>
    <w:p>
      <w:pPr>
        <w:pStyle w:val="143"/>
        <w:keepNext w:val="0"/>
        <w:keepLines w:val="0"/>
        <w:pageBreakBefore w:val="0"/>
        <w:widowControl w:val="0"/>
        <w:kinsoku/>
        <w:wordWrap/>
        <w:overflowPunct/>
        <w:topLinePunct w:val="0"/>
        <w:bidi w:val="0"/>
        <w:snapToGrid/>
        <w:spacing w:line="360" w:lineRule="auto"/>
        <w:ind w:firstLine="480" w:firstLineChars="200"/>
        <w:textAlignment w:val="auto"/>
        <w:rPr>
          <w:rFonts w:hint="eastAsia"/>
          <w:lang w:eastAsia="zh-CN"/>
        </w:rPr>
      </w:pPr>
      <w:r>
        <w:rPr>
          <w:rFonts w:hint="eastAsia"/>
          <w:lang w:eastAsia="zh-CN"/>
        </w:rPr>
        <w:t xml:space="preserve">到货验收:内外包装完好无损、仪器无擦伤及划痕、未受液体及腐蚀性气体浸渍；配置、型号、成套性与合同进行核对结果一致；技术资料齐全；配件齐全；供应商安装调试后必须能保证技术指标的验收要求和培训要求后再由双方作安装完毕的签字。  </w:t>
      </w:r>
    </w:p>
    <w:p>
      <w:pPr>
        <w:pStyle w:val="143"/>
        <w:numPr>
          <w:ilvl w:val="0"/>
          <w:numId w:val="0"/>
        </w:numPr>
        <w:rPr>
          <w:rFonts w:hint="eastAsia"/>
          <w:b/>
          <w:bCs/>
          <w:lang w:val="en-US" w:eastAsia="zh-CN"/>
        </w:rPr>
      </w:pPr>
      <w:r>
        <w:rPr>
          <w:rFonts w:hint="eastAsia"/>
          <w:b/>
          <w:bCs/>
          <w:lang w:val="en-US" w:eastAsia="zh-CN"/>
        </w:rPr>
        <w:t>（四）质量要求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）供应商须提供全新的货物(含零部件、配件、使用说明书等),表面无划伤、无碰撞痕迹且权属清楚,不得侵害他人的知识产权,并按照相关要求包装完好。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）产品涉及相关标准的，必须符合或优于国家(行业)标准、地方标准或者其他标准、规范要求,以及本项目采购文件的质量要求和技术指标与出厂标准。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 xml:space="preserve">）货物制造质量出现问题,供应商应负责三包(包修、包换、包退),费用由供应商负担。 </w:t>
      </w:r>
      <w:r>
        <w:rPr>
          <w:rFonts w:hint="eastAsia"/>
          <w:lang w:eastAsia="zh-CN"/>
        </w:rPr>
        <w:t xml:space="preserve">  </w:t>
      </w:r>
    </w:p>
    <w:p>
      <w:pPr>
        <w:pStyle w:val="143"/>
        <w:numPr>
          <w:ilvl w:val="0"/>
          <w:numId w:val="0"/>
        </w:numPr>
        <w:rPr>
          <w:rFonts w:hint="eastAsia" w:ascii="宋体" w:eastAsia="宋体"/>
          <w:b/>
          <w:bCs/>
          <w:lang w:val="en-US" w:eastAsia="zh-CN"/>
        </w:rPr>
      </w:pPr>
      <w:r>
        <w:rPr>
          <w:rFonts w:hint="eastAsia"/>
          <w:b/>
          <w:bCs/>
          <w:lang w:val="en-US" w:eastAsia="zh-CN"/>
        </w:rPr>
        <w:t>（五）</w:t>
      </w:r>
      <w:r>
        <w:rPr>
          <w:rFonts w:hint="eastAsia" w:ascii="宋体" w:eastAsia="宋体"/>
          <w:b/>
          <w:bCs/>
          <w:lang w:val="en-US" w:eastAsia="zh-CN"/>
        </w:rPr>
        <w:t>日常维护</w:t>
      </w:r>
    </w:p>
    <w:p>
      <w:pPr>
        <w:spacing w:line="360" w:lineRule="auto"/>
        <w:rPr>
          <w:rFonts w:ascii="宋体" w:hAnsi="宋体"/>
          <w:b/>
          <w:sz w:val="24"/>
        </w:rPr>
      </w:pPr>
      <w:bookmarkStart w:id="78" w:name="_Toc323304468"/>
      <w:bookmarkStart w:id="79" w:name="_Toc335204650"/>
      <w:bookmarkStart w:id="80" w:name="_Toc106520908"/>
      <w:bookmarkStart w:id="81" w:name="_Toc202172774"/>
      <w:bookmarkStart w:id="82" w:name="_Toc323395594"/>
      <w:r>
        <w:rPr>
          <w:rFonts w:hint="eastAsia" w:ascii="宋体" w:hAnsi="宋体"/>
          <w:b w:val="0"/>
          <w:bCs/>
          <w:sz w:val="24"/>
          <w:lang w:eastAsia="zh-CN" w:bidi="ar"/>
        </w:rPr>
        <w:t>（</w:t>
      </w:r>
      <w:r>
        <w:rPr>
          <w:rFonts w:hint="eastAsia" w:ascii="宋体" w:hAnsi="宋体"/>
          <w:b w:val="0"/>
          <w:bCs/>
          <w:sz w:val="24"/>
          <w:lang w:val="en-US" w:eastAsia="zh-CN" w:bidi="ar"/>
        </w:rPr>
        <w:t>1）</w:t>
      </w:r>
      <w:bookmarkEnd w:id="78"/>
      <w:bookmarkEnd w:id="79"/>
      <w:bookmarkEnd w:id="80"/>
      <w:bookmarkEnd w:id="81"/>
      <w:bookmarkEnd w:id="82"/>
      <w:r>
        <w:rPr>
          <w:rFonts w:hint="eastAsia" w:ascii="宋体" w:hAnsi="宋体"/>
          <w:sz w:val="24"/>
          <w:lang w:eastAsia="zh-CN" w:bidi="ar"/>
        </w:rPr>
        <w:t>供应商应</w:t>
      </w:r>
      <w:r>
        <w:rPr>
          <w:rFonts w:ascii="宋体" w:hAnsi="宋体"/>
          <w:sz w:val="24"/>
          <w:lang w:bidi="ar"/>
        </w:rPr>
        <w:t>定期</w:t>
      </w:r>
      <w:r>
        <w:rPr>
          <w:rFonts w:hint="eastAsia" w:ascii="宋体" w:hAnsi="宋体"/>
          <w:sz w:val="24"/>
          <w:lang w:eastAsia="zh-CN" w:bidi="ar"/>
        </w:rPr>
        <w:t>（每月）</w:t>
      </w:r>
      <w:r>
        <w:rPr>
          <w:rFonts w:ascii="宋体" w:hAnsi="宋体"/>
          <w:sz w:val="24"/>
          <w:lang w:bidi="ar"/>
        </w:rPr>
        <w:t>派技术人员对各产品进行常规检查维护及跟踪服务。使建成后的产品始终处于最佳状态。在用户通知</w:t>
      </w:r>
      <w:r>
        <w:rPr>
          <w:rFonts w:hint="eastAsia" w:ascii="宋体" w:hAnsi="宋体"/>
          <w:sz w:val="24"/>
          <w:lang w:eastAsia="zh-CN" w:bidi="ar"/>
        </w:rPr>
        <w:t>供应商</w:t>
      </w:r>
      <w:r>
        <w:rPr>
          <w:rFonts w:ascii="宋体" w:hAnsi="宋体"/>
          <w:sz w:val="24"/>
          <w:lang w:bidi="ar"/>
        </w:rPr>
        <w:t>重要</w:t>
      </w:r>
      <w:r>
        <w:rPr>
          <w:rFonts w:hint="eastAsia" w:ascii="宋体" w:hAnsi="宋体"/>
          <w:sz w:val="24"/>
          <w:lang w:eastAsia="zh-CN" w:bidi="ar"/>
        </w:rPr>
        <w:t>活动</w:t>
      </w:r>
      <w:r>
        <w:rPr>
          <w:rFonts w:ascii="宋体" w:hAnsi="宋体"/>
          <w:sz w:val="24"/>
          <w:lang w:bidi="ar"/>
        </w:rPr>
        <w:t>前，</w:t>
      </w:r>
      <w:r>
        <w:rPr>
          <w:rFonts w:hint="eastAsia" w:ascii="宋体" w:hAnsi="宋体"/>
          <w:sz w:val="24"/>
          <w:lang w:eastAsia="zh-CN" w:bidi="ar"/>
        </w:rPr>
        <w:t>供应商应</w:t>
      </w:r>
      <w:r>
        <w:rPr>
          <w:rFonts w:ascii="宋体" w:hAnsi="宋体"/>
          <w:sz w:val="24"/>
          <w:lang w:bidi="ar"/>
        </w:rPr>
        <w:t>提前对相关产品进行全面检查诊断，以确保</w:t>
      </w:r>
      <w:r>
        <w:rPr>
          <w:rFonts w:hint="eastAsia" w:ascii="宋体" w:hAnsi="宋体"/>
          <w:sz w:val="24"/>
          <w:lang w:eastAsia="zh-CN" w:bidi="ar"/>
        </w:rPr>
        <w:t>活动</w:t>
      </w:r>
      <w:r>
        <w:rPr>
          <w:rFonts w:ascii="宋体" w:hAnsi="宋体"/>
          <w:sz w:val="24"/>
          <w:lang w:bidi="ar"/>
        </w:rPr>
        <w:t>顺利进行，一旦发现问题，立即采取措施</w:t>
      </w:r>
      <w:r>
        <w:rPr>
          <w:rFonts w:hint="eastAsia" w:ascii="宋体" w:hAnsi="宋体"/>
          <w:sz w:val="24"/>
          <w:lang w:eastAsia="zh-CN" w:bidi="ar"/>
        </w:rPr>
        <w:t>并</w:t>
      </w:r>
      <w:r>
        <w:rPr>
          <w:rFonts w:ascii="宋体" w:hAnsi="宋体"/>
          <w:sz w:val="24"/>
          <w:lang w:bidi="ar"/>
        </w:rPr>
        <w:t>予以恢复。</w:t>
      </w:r>
    </w:p>
    <w:p>
      <w:pPr>
        <w:spacing w:line="360" w:lineRule="auto"/>
        <w:rPr>
          <w:rFonts w:hint="eastAsia" w:ascii="宋体" w:eastAsia="宋体"/>
          <w:b/>
          <w:bCs/>
          <w:lang w:val="en-US" w:eastAsia="zh-CN"/>
        </w:rPr>
      </w:pPr>
      <w:bookmarkStart w:id="83" w:name="_Toc323395595"/>
      <w:bookmarkStart w:id="84" w:name="_Toc202172775"/>
      <w:bookmarkStart w:id="85" w:name="_Toc106520909"/>
      <w:bookmarkStart w:id="86" w:name="_Toc335204651"/>
      <w:bookmarkStart w:id="87" w:name="_Toc323304469"/>
      <w:r>
        <w:rPr>
          <w:rFonts w:hint="eastAsia" w:ascii="宋体" w:hAnsi="宋体"/>
          <w:b w:val="0"/>
          <w:bCs/>
          <w:sz w:val="24"/>
          <w:lang w:eastAsia="zh-CN" w:bidi="ar"/>
        </w:rPr>
        <w:t>（</w:t>
      </w:r>
      <w:r>
        <w:rPr>
          <w:rFonts w:hint="eastAsia" w:ascii="宋体" w:hAnsi="宋体"/>
          <w:b w:val="0"/>
          <w:bCs/>
          <w:sz w:val="24"/>
          <w:lang w:val="en-US" w:eastAsia="zh-CN" w:bidi="ar"/>
        </w:rPr>
        <w:t>2）</w:t>
      </w:r>
      <w:bookmarkEnd w:id="83"/>
      <w:bookmarkEnd w:id="84"/>
      <w:bookmarkEnd w:id="85"/>
      <w:bookmarkEnd w:id="86"/>
      <w:bookmarkEnd w:id="87"/>
      <w:r>
        <w:rPr>
          <w:rFonts w:hint="eastAsia" w:ascii="宋体" w:hAnsi="宋体"/>
          <w:sz w:val="24"/>
          <w:lang w:eastAsia="zh-CN" w:bidi="ar"/>
        </w:rPr>
        <w:t>供应商应</w:t>
      </w:r>
      <w:r>
        <w:rPr>
          <w:rFonts w:ascii="宋体" w:hAnsi="宋体"/>
          <w:sz w:val="24"/>
          <w:lang w:bidi="ar"/>
        </w:rPr>
        <w:t>指定服务人员定期同用户联系，提供技术咨讯和技术公告，使用户工作人员及时了解产品信息及产品使用技巧，同时及时了解用户对</w:t>
      </w:r>
      <w:r>
        <w:rPr>
          <w:rFonts w:hint="eastAsia" w:ascii="宋体" w:hAnsi="宋体"/>
          <w:sz w:val="24"/>
          <w:lang w:eastAsia="zh-CN" w:bidi="ar"/>
        </w:rPr>
        <w:t>供应商</w:t>
      </w:r>
      <w:r>
        <w:rPr>
          <w:rFonts w:ascii="宋体" w:hAnsi="宋体"/>
          <w:sz w:val="24"/>
          <w:lang w:bidi="ar"/>
        </w:rPr>
        <w:t>技术服务的意见和要求。</w:t>
      </w:r>
    </w:p>
    <w:p>
      <w:pPr>
        <w:pStyle w:val="143"/>
        <w:numPr>
          <w:ilvl w:val="0"/>
          <w:numId w:val="0"/>
        </w:numPr>
        <w:rPr>
          <w:rFonts w:hint="eastAsia" w:ascii="宋体" w:eastAsia="宋体"/>
          <w:lang w:val="en-US" w:eastAsia="zh-CN"/>
        </w:rPr>
      </w:pPr>
    </w:p>
    <w:p>
      <w:pPr>
        <w:pStyle w:val="143"/>
        <w:numPr>
          <w:ilvl w:val="0"/>
          <w:numId w:val="0"/>
        </w:numPr>
        <w:ind w:leftChars="0"/>
        <w:rPr>
          <w:rFonts w:hint="eastAsia"/>
          <w:b/>
          <w:bCs/>
          <w:lang w:val="en-US" w:eastAsia="zh-CN"/>
        </w:rPr>
      </w:pPr>
      <w:r>
        <w:rPr>
          <w:rFonts w:hint="eastAsia"/>
          <w:b/>
          <w:bCs/>
          <w:lang w:val="en-US" w:eastAsia="zh-CN"/>
        </w:rPr>
        <w:t>（六）售后服务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）供应商应有完善的技术支持与服务体系,专人负责与采购人联系售后服务事宜,必要的售后机具配置、具有专门的服务电话,并能提供本地化服务。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）提供7×24小时的技术支持服务。配置专门固定的售后服务电话,接到采购人系统故障报修应2小时内响应,4小时内到达现场,12小时内不能排除故障的应提供备用设备,以保证设备的正常使用。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）故障问题解决后</w:t>
      </w:r>
      <w:r>
        <w:rPr>
          <w:rFonts w:hint="eastAsia" w:ascii="宋体" w:hAnsi="宋体" w:eastAsia="宋体" w:cs="宋体"/>
          <w:sz w:val="24"/>
          <w:szCs w:val="24"/>
          <w:lang w:val="en-US" w:eastAsia="zh-CN"/>
        </w:rPr>
        <w:t>48</w:t>
      </w:r>
      <w:r>
        <w:rPr>
          <w:rFonts w:hint="eastAsia" w:ascii="宋体" w:hAnsi="宋体" w:eastAsia="宋体" w:cs="宋体"/>
          <w:sz w:val="24"/>
          <w:szCs w:val="24"/>
          <w:lang w:eastAsia="zh-CN"/>
        </w:rPr>
        <w:t xml:space="preserve">小时内,向采购人提交问题处理报告,说明问题种类、问题原因、问题解决中使用的方法及造成的损失等情况。     </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供应商向采购人提供免费使用培训,至采购人技术人员能完全掌握使用为止。并在培训后免费提供使用咨询等。</w:t>
      </w:r>
    </w:p>
    <w:p>
      <w:pPr>
        <w:pStyle w:val="370"/>
        <w:widowControl/>
        <w:ind w:firstLine="480"/>
        <w:rPr>
          <w:rFonts w:ascii="宋体" w:hAnsi="宋体"/>
        </w:rPr>
      </w:pPr>
      <w:r>
        <w:rPr>
          <w:rFonts w:hint="eastAsia" w:hAnsi="宋体" w:eastAsia="宋体" w:cs="宋体"/>
          <w:sz w:val="24"/>
          <w:szCs w:val="24"/>
          <w:lang w:eastAsia="zh-CN"/>
        </w:rPr>
        <w:t>（</w:t>
      </w:r>
      <w:r>
        <w:rPr>
          <w:rFonts w:hint="eastAsia" w:hAnsi="宋体" w:eastAsia="宋体" w:cs="宋体"/>
          <w:sz w:val="24"/>
          <w:szCs w:val="24"/>
          <w:lang w:val="en-US" w:eastAsia="zh-CN"/>
        </w:rPr>
        <w:t>5）</w:t>
      </w:r>
      <w:r>
        <w:rPr>
          <w:rFonts w:hint="eastAsia" w:ascii="宋体" w:hAnsi="宋体" w:eastAsia="宋体"/>
          <w:lang w:eastAsia="zh-CN"/>
        </w:rPr>
        <w:t>供应商应</w:t>
      </w:r>
      <w:r>
        <w:rPr>
          <w:rFonts w:ascii="宋体" w:hAnsi="宋体"/>
        </w:rPr>
        <w:t>设有备品备件库，随时提供必要的易损件备件，随时可以交付备件和替代件。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（七）质量保证期</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1年或产品手册载明的质保期中较长的为准( 质保期为验收合格之日起开始计算 ) 。</w:t>
      </w:r>
      <w:bookmarkEnd w:id="77"/>
      <w:bookmarkStart w:id="88" w:name="_Toc651697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（八）付款方式</w:t>
      </w:r>
      <w:bookmarkEnd w:id="88"/>
      <w:r>
        <w:rPr>
          <w:rFonts w:hint="eastAsia" w:ascii="宋体" w:hAnsi="宋体" w:cs="宋体"/>
          <w:b/>
          <w:bCs/>
          <w:sz w:val="24"/>
          <w:szCs w:val="24"/>
          <w:lang w:eastAsia="zh-CN"/>
        </w:rPr>
        <w:t>及其他</w:t>
      </w:r>
    </w:p>
    <w:p>
      <w:pPr>
        <w:pStyle w:val="143"/>
        <w:numPr>
          <w:ilvl w:val="0"/>
          <w:numId w:val="0"/>
        </w:numPr>
        <w:rPr>
          <w:rFonts w:hint="default"/>
          <w:b/>
          <w:bCs/>
          <w:lang w:val="en-US" w:eastAsia="zh-CN"/>
        </w:rPr>
      </w:pPr>
      <w:bookmarkStart w:id="89" w:name="_Toc65169725"/>
      <w:r>
        <w:rPr>
          <w:rFonts w:hint="eastAsia"/>
          <w:b/>
          <w:bCs/>
          <w:lang w:val="en-US" w:eastAsia="zh-CN"/>
        </w:rPr>
        <w:t>1、付款方式</w:t>
      </w:r>
    </w:p>
    <w:p>
      <w:pPr>
        <w:pStyle w:val="143"/>
        <w:keepNext w:val="0"/>
        <w:keepLines w:val="0"/>
        <w:pageBreakBefore w:val="0"/>
        <w:widowControl w:val="0"/>
        <w:numPr>
          <w:ilvl w:val="0"/>
          <w:numId w:val="0"/>
        </w:numPr>
        <w:kinsoku/>
        <w:wordWrap/>
        <w:overflowPunct/>
        <w:topLinePunct w:val="0"/>
        <w:bidi w:val="0"/>
        <w:snapToGrid/>
        <w:spacing w:line="360" w:lineRule="auto"/>
        <w:ind w:leftChars="0" w:firstLine="480" w:firstLineChars="200"/>
        <w:textAlignment w:val="auto"/>
        <w:rPr>
          <w:rFonts w:hint="eastAsia"/>
          <w:b w:val="0"/>
          <w:bCs w:val="0"/>
          <w:color w:val="000000"/>
          <w:lang w:val="en-US" w:eastAsia="zh-CN"/>
        </w:rPr>
      </w:pPr>
      <w:r>
        <w:rPr>
          <w:rFonts w:hint="eastAsia"/>
          <w:b w:val="0"/>
          <w:bCs w:val="0"/>
          <w:color w:val="000000"/>
          <w:lang w:val="en-US" w:eastAsia="zh-CN"/>
        </w:rPr>
        <w:t>签订合同后一周内，采购人向成交供应商支付合同金额的50%，所有货物最终验收合格通过，采购人向成交供应商支付至合同金额的100%（采购人收到成交供应商提供的合法有效完整而足额的增值税发票后30日内）。</w:t>
      </w:r>
    </w:p>
    <w:p>
      <w:pPr>
        <w:pStyle w:val="143"/>
        <w:keepNext w:val="0"/>
        <w:keepLines w:val="0"/>
        <w:pageBreakBefore w:val="0"/>
        <w:widowControl w:val="0"/>
        <w:numPr>
          <w:ilvl w:val="0"/>
          <w:numId w:val="0"/>
        </w:numPr>
        <w:kinsoku/>
        <w:wordWrap/>
        <w:overflowPunct/>
        <w:topLinePunct w:val="0"/>
        <w:bidi w:val="0"/>
        <w:snapToGrid/>
        <w:spacing w:line="360" w:lineRule="auto"/>
        <w:ind w:leftChars="0"/>
        <w:textAlignment w:val="auto"/>
        <w:rPr>
          <w:rFonts w:hint="eastAsia"/>
          <w:b/>
          <w:bCs/>
          <w:lang w:val="en-US" w:eastAsia="zh-CN"/>
        </w:rPr>
      </w:pPr>
      <w:r>
        <w:rPr>
          <w:rFonts w:hint="eastAsia" w:ascii="宋体" w:eastAsia="宋体"/>
          <w:b/>
          <w:bCs/>
          <w:lang w:val="en-US" w:eastAsia="zh-CN"/>
        </w:rPr>
        <w:t>2、</w:t>
      </w:r>
      <w:r>
        <w:rPr>
          <w:rFonts w:hint="eastAsia"/>
          <w:b/>
          <w:bCs/>
          <w:lang w:val="en-US" w:eastAsia="zh-CN"/>
        </w:rPr>
        <w:t>验收方式及标准</w:t>
      </w:r>
    </w:p>
    <w:p>
      <w:pPr>
        <w:pStyle w:val="143"/>
        <w:keepNext w:val="0"/>
        <w:keepLines w:val="0"/>
        <w:pageBreakBefore w:val="0"/>
        <w:widowControl w:val="0"/>
        <w:numPr>
          <w:ilvl w:val="0"/>
          <w:numId w:val="0"/>
        </w:numPr>
        <w:kinsoku/>
        <w:wordWrap/>
        <w:overflowPunct/>
        <w:topLinePunct w:val="0"/>
        <w:bidi w:val="0"/>
        <w:snapToGrid/>
        <w:spacing w:line="360" w:lineRule="auto"/>
        <w:ind w:leftChars="0" w:firstLine="240" w:firstLineChars="100"/>
        <w:textAlignment w:val="auto"/>
        <w:rPr>
          <w:rFonts w:hint="eastAsia"/>
          <w:lang w:eastAsia="zh-CN"/>
        </w:rPr>
      </w:pPr>
      <w:r>
        <w:rPr>
          <w:rFonts w:hint="eastAsia"/>
          <w:lang w:val="en-US" w:eastAsia="zh-CN"/>
        </w:rPr>
        <w:t>1、</w:t>
      </w:r>
      <w:r>
        <w:rPr>
          <w:rFonts w:hint="eastAsia"/>
          <w:lang w:eastAsia="zh-CN"/>
        </w:rPr>
        <w:t>验收方式: 成交供应商在设备安装并正常运行后通知采购人,采购人在接到通知后组织履约验验收合格,双方签署《质量验收报告》。</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sz w:val="24"/>
          <w:szCs w:val="24"/>
          <w:lang w:eastAsia="zh-CN"/>
        </w:rPr>
      </w:pP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验收标准:</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按国家有关规定以及采购文件的质量要求和技术指标、成交供应商的响应文件及承诺与本合同约定标准进行验收。</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验收时如发现所交付的货物有有短装、次品、损坏或其它不符合标准及本合同规定之情形者,采购人应做出详尽的现场记录,或由采购人与成交供应商双方签署记录,此现场记录可用作补充、缺失和更换损坏部件的有效证据,由此产生的时间延误与有关费用由成交供应商承担,验收期限相应顺延,但最长不得超过7个日历天，不得影响采购人正常工作的开展。</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）成交供应商应将所提供货物的装箱清单、配件、随机工具、用户使用手册、原厂保修卡等资料交付给采购人。</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）成交供应商不能完整交付货物及本款规定的单证和工具的,必须负责补齐,否则视为未按合同约定交货。</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）如货物经供应商3次维修仍不能达到合同约定的质量标准，采购人有权退货，并视作成交供应商不能交付货物而须支付违约赔偿金给采购人,采购人还可依法追究供应商的违约责任。</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lang w:eastAsia="zh-CN"/>
        </w:rPr>
        <w:sectPr>
          <w:pgSz w:w="11906" w:h="16838"/>
          <w:pgMar w:top="1276" w:right="1474" w:bottom="1871" w:left="1588" w:header="851" w:footer="992" w:gutter="0"/>
          <w:cols w:space="720" w:num="1"/>
          <w:docGrid w:type="lines" w:linePitch="312" w:charSpace="0"/>
        </w:sect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）其他未尽事宜应严格按照《财政部关于进一步加强政府采购需求和履约验收管理的指导意见》(财库(2016)205号的要求进行验收）</w:t>
      </w:r>
    </w:p>
    <w:p>
      <w:pPr>
        <w:pStyle w:val="4"/>
        <w:rPr>
          <w:sz w:val="32"/>
          <w:szCs w:val="32"/>
        </w:rPr>
      </w:pPr>
      <w:bookmarkStart w:id="90" w:name="_Toc7494"/>
      <w:r>
        <w:rPr>
          <w:rFonts w:hint="eastAsia"/>
          <w:sz w:val="32"/>
          <w:szCs w:val="32"/>
        </w:rPr>
        <w:t>采购标的其他技术、服务等要求</w:t>
      </w:r>
      <w:bookmarkEnd w:id="89"/>
      <w:bookmarkEnd w:id="90"/>
    </w:p>
    <w:p>
      <w:pPr>
        <w:spacing w:line="560" w:lineRule="exact"/>
        <w:ind w:firstLine="562" w:firstLineChars="200"/>
        <w:rPr>
          <w:rFonts w:cs="宋体" w:asciiTheme="minorEastAsia" w:hAnsiTheme="minorEastAsia"/>
          <w:b/>
          <w:sz w:val="28"/>
          <w:szCs w:val="28"/>
        </w:rPr>
      </w:pPr>
      <w:bookmarkStart w:id="91" w:name="_Toc65169726"/>
      <w:r>
        <w:rPr>
          <w:rFonts w:hint="eastAsia" w:asciiTheme="minorEastAsia" w:hAnsiTheme="minorEastAsia"/>
          <w:b/>
          <w:sz w:val="28"/>
          <w:szCs w:val="28"/>
          <w:lang w:val="zh-CN"/>
        </w:rPr>
        <w:t>★</w:t>
      </w:r>
      <w:r>
        <w:rPr>
          <w:rFonts w:hint="eastAsia" w:cs="Helvetica" w:asciiTheme="minorEastAsia" w:hAnsiTheme="minorEastAsia"/>
          <w:b/>
          <w:sz w:val="28"/>
          <w:szCs w:val="28"/>
        </w:rPr>
        <w:t>一、</w:t>
      </w:r>
      <w:r>
        <w:rPr>
          <w:rFonts w:hint="eastAsia" w:cs="宋体" w:asciiTheme="minorEastAsia" w:hAnsiTheme="minorEastAsia"/>
          <w:b/>
          <w:sz w:val="28"/>
          <w:szCs w:val="28"/>
        </w:rPr>
        <w:t>供应商</w:t>
      </w:r>
      <w:r>
        <w:rPr>
          <w:rFonts w:cs="宋体" w:asciiTheme="minorEastAsia" w:hAnsiTheme="minorEastAsia"/>
          <w:b/>
          <w:sz w:val="28"/>
          <w:szCs w:val="28"/>
        </w:rPr>
        <w:t>为</w:t>
      </w:r>
      <w:r>
        <w:rPr>
          <w:rFonts w:hint="eastAsia" w:cs="宋体" w:asciiTheme="minorEastAsia" w:hAnsiTheme="minorEastAsia"/>
          <w:b/>
          <w:sz w:val="28"/>
          <w:szCs w:val="28"/>
        </w:rPr>
        <w:t>本</w:t>
      </w:r>
      <w:r>
        <w:rPr>
          <w:rFonts w:cs="宋体" w:asciiTheme="minorEastAsia" w:hAnsiTheme="minorEastAsia"/>
          <w:b/>
          <w:sz w:val="28"/>
          <w:szCs w:val="28"/>
        </w:rPr>
        <w:t>项目提供的所有产品、辅材中属于《国家强制性产品认证目录》范围内产品的，均通过国家强制性产品认证并取得认证证书。</w:t>
      </w:r>
      <w:r>
        <w:rPr>
          <w:rFonts w:asciiTheme="minorEastAsia" w:hAnsiTheme="minorEastAsia"/>
          <w:b/>
          <w:sz w:val="28"/>
          <w:szCs w:val="28"/>
        </w:rPr>
        <w:t>（说明：按照</w:t>
      </w:r>
      <w:r>
        <w:rPr>
          <w:rFonts w:hint="eastAsia" w:asciiTheme="minorEastAsia" w:hAnsiTheme="minorEastAsia"/>
          <w:b/>
          <w:sz w:val="28"/>
          <w:szCs w:val="28"/>
        </w:rPr>
        <w:t>询价通知书</w:t>
      </w:r>
      <w:r>
        <w:rPr>
          <w:rFonts w:asciiTheme="minorEastAsia" w:hAnsiTheme="minorEastAsia"/>
          <w:b/>
          <w:sz w:val="28"/>
          <w:szCs w:val="28"/>
        </w:rPr>
        <w:t>3.1.3.5承诺函内容进行承诺。）</w:t>
      </w:r>
    </w:p>
    <w:p>
      <w:pPr>
        <w:spacing w:line="560" w:lineRule="exact"/>
        <w:ind w:firstLine="562" w:firstLineChars="200"/>
        <w:rPr>
          <w:rFonts w:asciiTheme="minorEastAsia" w:hAnsiTheme="minorEastAsia"/>
          <w:b/>
          <w:sz w:val="28"/>
          <w:szCs w:val="28"/>
        </w:rPr>
      </w:pPr>
      <w:r>
        <w:rPr>
          <w:rFonts w:hint="eastAsia" w:asciiTheme="minorEastAsia" w:hAnsiTheme="minorEastAsia"/>
          <w:b/>
          <w:sz w:val="28"/>
          <w:szCs w:val="28"/>
          <w:lang w:val="zh-CN"/>
        </w:rPr>
        <w:t>★</w:t>
      </w:r>
      <w:r>
        <w:rPr>
          <w:rFonts w:hint="eastAsia" w:cs="宋体" w:asciiTheme="minorEastAsia" w:hAnsiTheme="minorEastAsia"/>
          <w:b/>
          <w:sz w:val="28"/>
          <w:szCs w:val="28"/>
        </w:rPr>
        <w:t>二、供应商</w:t>
      </w:r>
      <w:r>
        <w:rPr>
          <w:rFonts w:cs="宋体" w:asciiTheme="minorEastAsia" w:hAnsiTheme="minorEastAsia"/>
          <w:b/>
          <w:sz w:val="28"/>
          <w:szCs w:val="28"/>
        </w:rPr>
        <w:t>为</w:t>
      </w:r>
      <w:r>
        <w:rPr>
          <w:rFonts w:hint="eastAsia" w:cs="宋体" w:asciiTheme="minorEastAsia" w:hAnsiTheme="minorEastAsia"/>
          <w:b/>
          <w:sz w:val="28"/>
          <w:szCs w:val="28"/>
        </w:rPr>
        <w:t>本</w:t>
      </w:r>
      <w:r>
        <w:rPr>
          <w:rFonts w:cs="宋体" w:asciiTheme="minorEastAsia" w:hAnsiTheme="minorEastAsia"/>
          <w:b/>
          <w:sz w:val="28"/>
          <w:szCs w:val="28"/>
        </w:rPr>
        <w:t>项目提供的所有产品、辅材</w:t>
      </w:r>
      <w:r>
        <w:rPr>
          <w:rFonts w:hint="eastAsia" w:asciiTheme="minorEastAsia" w:hAnsiTheme="minorEastAsia"/>
          <w:b/>
          <w:sz w:val="28"/>
          <w:szCs w:val="28"/>
        </w:rPr>
        <w:t>符合现行的强制性国家相关标准、行业标准。</w:t>
      </w:r>
      <w:r>
        <w:rPr>
          <w:rFonts w:asciiTheme="minorEastAsia" w:hAnsiTheme="minorEastAsia"/>
          <w:b/>
          <w:sz w:val="28"/>
          <w:szCs w:val="28"/>
        </w:rPr>
        <w:t>（说明：按照</w:t>
      </w:r>
      <w:r>
        <w:rPr>
          <w:rFonts w:hint="eastAsia" w:asciiTheme="minorEastAsia" w:hAnsiTheme="minorEastAsia"/>
          <w:b/>
          <w:sz w:val="28"/>
          <w:szCs w:val="28"/>
        </w:rPr>
        <w:t>询价通知书</w:t>
      </w:r>
      <w:r>
        <w:rPr>
          <w:rFonts w:asciiTheme="minorEastAsia" w:hAnsiTheme="minorEastAsia"/>
          <w:b/>
          <w:sz w:val="28"/>
          <w:szCs w:val="28"/>
        </w:rPr>
        <w:t>3.1.3.5承诺函内容进行承诺。）</w:t>
      </w:r>
    </w:p>
    <w:p>
      <w:pPr>
        <w:spacing w:line="560" w:lineRule="exact"/>
        <w:ind w:firstLine="562" w:firstLineChars="200"/>
        <w:rPr>
          <w:rFonts w:asciiTheme="minorEastAsia" w:hAnsiTheme="minorEastAsia"/>
          <w:b/>
          <w:sz w:val="28"/>
          <w:szCs w:val="28"/>
        </w:rPr>
      </w:pPr>
    </w:p>
    <w:p>
      <w:pPr>
        <w:pStyle w:val="4"/>
        <w:rPr>
          <w:sz w:val="32"/>
          <w:szCs w:val="32"/>
        </w:rPr>
      </w:pPr>
      <w:bookmarkStart w:id="92" w:name="_Toc13074"/>
      <w:r>
        <w:rPr>
          <w:rFonts w:hint="eastAsia"/>
          <w:sz w:val="32"/>
          <w:szCs w:val="32"/>
        </w:rPr>
        <w:t>违约责任</w:t>
      </w:r>
      <w:bookmarkEnd w:id="91"/>
      <w:bookmarkEnd w:id="92"/>
    </w:p>
    <w:p>
      <w:pPr>
        <w:tabs>
          <w:tab w:val="left" w:pos="0"/>
        </w:tabs>
        <w:adjustRightInd w:val="0"/>
        <w:snapToGrid w:val="0"/>
        <w:spacing w:line="560" w:lineRule="exact"/>
        <w:ind w:firstLine="560" w:firstLineChars="200"/>
        <w:rPr>
          <w:rFonts w:ascii="宋体" w:hAnsi="宋体" w:cs="宋体"/>
          <w:sz w:val="28"/>
          <w:szCs w:val="28"/>
          <w:lang w:val="zh-CN"/>
        </w:rPr>
      </w:pPr>
      <w:r>
        <w:rPr>
          <w:rFonts w:hint="eastAsia" w:ascii="宋体" w:hAnsi="宋体" w:cs="宋体"/>
          <w:sz w:val="28"/>
          <w:szCs w:val="28"/>
          <w:lang w:val="zh-CN"/>
        </w:rPr>
        <w:t>一、因甲方原因导致变更、中止或者终止政府采购合同的，甲方应当对乙方受到的损失予以赔偿或者补偿。</w:t>
      </w:r>
    </w:p>
    <w:p>
      <w:pPr>
        <w:tabs>
          <w:tab w:val="left" w:pos="0"/>
        </w:tabs>
        <w:adjustRightInd w:val="0"/>
        <w:snapToGrid w:val="0"/>
        <w:spacing w:line="560" w:lineRule="exact"/>
        <w:ind w:firstLine="560" w:firstLineChars="200"/>
        <w:rPr>
          <w:rFonts w:ascii="宋体" w:hAnsi="宋体" w:cs="宋体"/>
          <w:sz w:val="28"/>
          <w:szCs w:val="28"/>
          <w:lang w:val="zh-CN"/>
        </w:rPr>
      </w:pPr>
      <w:r>
        <w:rPr>
          <w:rFonts w:hint="eastAsia" w:ascii="宋体" w:hAnsi="宋体" w:cs="宋体"/>
          <w:sz w:val="28"/>
          <w:szCs w:val="28"/>
          <w:lang w:val="zh-CN"/>
        </w:rPr>
        <w:t>二</w:t>
      </w:r>
      <w:r>
        <w:rPr>
          <w:rFonts w:ascii="宋体" w:hAnsi="宋体" w:cs="宋体"/>
          <w:sz w:val="28"/>
          <w:szCs w:val="28"/>
          <w:lang w:val="zh-CN"/>
        </w:rPr>
        <w:t>、</w:t>
      </w:r>
      <w:r>
        <w:rPr>
          <w:rFonts w:hint="eastAsia" w:asciiTheme="minorEastAsia" w:hAnsiTheme="minorEastAsia" w:eastAsiaTheme="minorEastAsia" w:cstheme="minorEastAsia"/>
          <w:color w:val="000000" w:themeColor="text1"/>
          <w:sz w:val="28"/>
          <w:szCs w:val="28"/>
          <w14:textFill>
            <w14:solidFill>
              <w14:schemeClr w14:val="tx1"/>
            </w14:solidFill>
          </w14:textFill>
        </w:rPr>
        <w:t>乙方在服务期内无质量问题和违约行为的，甲方应准时支付乙方合同资金，如逾期，则按应付金额每日1‰标准向乙方赔付违约金。</w:t>
      </w:r>
    </w:p>
    <w:p>
      <w:pPr>
        <w:pStyle w:val="4"/>
        <w:tabs>
          <w:tab w:val="left" w:pos="993"/>
          <w:tab w:val="clear" w:pos="426"/>
          <w:tab w:val="clear" w:pos="567"/>
        </w:tabs>
        <w:ind w:left="0" w:firstLine="0"/>
      </w:pPr>
      <w:bookmarkStart w:id="93" w:name="_Toc21849"/>
      <w:r>
        <w:rPr>
          <w:rFonts w:hint="eastAsia"/>
        </w:rPr>
        <w:t>报价要求</w:t>
      </w:r>
      <w:bookmarkEnd w:id="93"/>
    </w:p>
    <w:p>
      <w:pPr>
        <w:pStyle w:val="5"/>
        <w:tabs>
          <w:tab w:val="left" w:pos="709"/>
        </w:tabs>
        <w:ind w:left="1135" w:hanging="1135"/>
        <w:jc w:val="left"/>
        <w:rPr>
          <w:color w:val="auto"/>
        </w:rPr>
      </w:pPr>
      <w:r>
        <w:rPr>
          <w:rFonts w:hint="eastAsia"/>
          <w:color w:val="auto"/>
        </w:rPr>
        <w:t>最高限价</w:t>
      </w:r>
    </w:p>
    <w:p>
      <w:pPr>
        <w:ind w:firstLine="562" w:firstLineChars="200"/>
      </w:pPr>
      <w:r>
        <w:rPr>
          <w:rFonts w:hint="eastAsia" w:ascii="宋体" w:hAnsi="宋体"/>
          <w:b/>
          <w:bCs/>
          <w:sz w:val="28"/>
          <w:szCs w:val="28"/>
        </w:rPr>
        <w:t>本项目最高限价为</w:t>
      </w:r>
      <w:r>
        <w:rPr>
          <w:rFonts w:hint="eastAsia" w:ascii="宋体" w:hAnsi="宋体"/>
          <w:b/>
          <w:bCs/>
          <w:sz w:val="28"/>
          <w:szCs w:val="28"/>
          <w:lang w:val="en-US" w:eastAsia="zh-CN"/>
        </w:rPr>
        <w:t>60.4</w:t>
      </w:r>
      <w:r>
        <w:rPr>
          <w:rFonts w:hint="eastAsia" w:ascii="宋体" w:hAnsi="宋体"/>
          <w:b/>
          <w:bCs/>
          <w:sz w:val="28"/>
          <w:szCs w:val="28"/>
        </w:rPr>
        <w:t>万元，供应商报价高于最高限价的则其响应文件将按无效响应文件处理。</w:t>
      </w:r>
    </w:p>
    <w:p>
      <w:pPr>
        <w:pStyle w:val="5"/>
        <w:tabs>
          <w:tab w:val="left" w:pos="709"/>
        </w:tabs>
        <w:ind w:left="1135" w:hanging="1135"/>
        <w:jc w:val="left"/>
        <w:rPr>
          <w:color w:val="auto"/>
        </w:rPr>
      </w:pPr>
      <w:r>
        <w:rPr>
          <w:rFonts w:hint="eastAsia"/>
          <w:color w:val="auto"/>
        </w:rPr>
        <w:t>其他要求</w:t>
      </w:r>
    </w:p>
    <w:p>
      <w:pPr>
        <w:pStyle w:val="80"/>
        <w:widowControl w:val="0"/>
        <w:numPr>
          <w:ilvl w:val="0"/>
          <w:numId w:val="35"/>
        </w:numPr>
        <w:spacing w:after="200" w:line="360" w:lineRule="auto"/>
        <w:ind w:left="0" w:firstLine="561" w:firstLineChars="0"/>
        <w:jc w:val="both"/>
        <w:rPr>
          <w:rFonts w:ascii="宋体" w:hAnsi="宋体"/>
          <w:b/>
          <w:sz w:val="28"/>
          <w:szCs w:val="28"/>
        </w:rPr>
      </w:pPr>
      <w:r>
        <w:rPr>
          <w:rFonts w:hint="eastAsia" w:ascii="宋体" w:hAnsi="宋体" w:eastAsia="宋体"/>
          <w:b/>
          <w:sz w:val="28"/>
          <w:szCs w:val="28"/>
          <w:lang w:val="zh-CN"/>
        </w:rPr>
        <w:t>★</w:t>
      </w:r>
      <w:r>
        <w:rPr>
          <w:rFonts w:hint="eastAsia" w:ascii="宋体" w:hAnsi="宋体" w:eastAsia="宋体" w:cs="Times New Roman"/>
          <w:b/>
          <w:bCs/>
          <w:kern w:val="0"/>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pStyle w:val="4"/>
        <w:spacing w:after="200"/>
      </w:pPr>
      <w:bookmarkStart w:id="94" w:name="_Toc54948228"/>
      <w:bookmarkStart w:id="95" w:name="_Toc71554969"/>
      <w:bookmarkStart w:id="96" w:name="_Toc11506"/>
      <w:r>
        <w:rPr>
          <w:rFonts w:hint="eastAsia"/>
        </w:rPr>
        <w:t>满足采购需求的最低要求</w:t>
      </w:r>
      <w:bookmarkEnd w:id="94"/>
      <w:bookmarkEnd w:id="95"/>
      <w:bookmarkEnd w:id="96"/>
    </w:p>
    <w:p>
      <w:pPr>
        <w:tabs>
          <w:tab w:val="left" w:pos="1134"/>
        </w:tabs>
        <w:snapToGrid w:val="0"/>
        <w:spacing w:after="200" w:line="360" w:lineRule="auto"/>
        <w:ind w:firstLine="565" w:firstLineChars="201"/>
        <w:rPr>
          <w:rFonts w:ascii="宋体" w:hAnsi="宋体"/>
          <w:b/>
          <w:bCs/>
          <w:sz w:val="28"/>
          <w:szCs w:val="28"/>
          <w:lang w:val="zh-CN"/>
        </w:rPr>
      </w:pPr>
      <w:r>
        <w:rPr>
          <w:rFonts w:hint="eastAsia" w:ascii="宋体" w:hAnsi="宋体"/>
          <w:b/>
          <w:sz w:val="28"/>
          <w:szCs w:val="20"/>
        </w:rPr>
        <w:t>技术、服务、商务及其他要求中加★号的要求为满足采购需求的最低要求。</w:t>
      </w:r>
    </w:p>
    <w:p/>
    <w:p/>
    <w:p/>
    <w:p/>
    <w:bookmarkEnd w:id="70"/>
    <w:bookmarkEnd w:id="71"/>
    <w:p>
      <w:pPr>
        <w:pStyle w:val="3"/>
        <w:numPr>
          <w:ilvl w:val="0"/>
          <w:numId w:val="1"/>
        </w:numPr>
        <w:spacing w:before="0" w:after="0"/>
        <w:ind w:left="0" w:firstLine="0"/>
      </w:pPr>
      <w:bookmarkStart w:id="97" w:name="_Toc28302"/>
      <w:bookmarkStart w:id="98" w:name="_Toc360696963"/>
      <w:bookmarkStart w:id="99" w:name="_Toc238273564"/>
      <w:bookmarkStart w:id="100" w:name="_Toc205604899"/>
      <w:bookmarkStart w:id="101" w:name="_Toc236285891"/>
      <w:r>
        <w:rPr>
          <w:rFonts w:hint="eastAsia"/>
        </w:rPr>
        <w:t>询价办法</w:t>
      </w:r>
      <w:bookmarkEnd w:id="97"/>
    </w:p>
    <w:p>
      <w:pPr>
        <w:pStyle w:val="4"/>
        <w:tabs>
          <w:tab w:val="left" w:pos="993"/>
          <w:tab w:val="clear" w:pos="426"/>
          <w:tab w:val="clear" w:pos="567"/>
        </w:tabs>
        <w:ind w:left="0" w:firstLine="0"/>
      </w:pPr>
      <w:bookmarkStart w:id="102" w:name="_Toc1394"/>
      <w:r>
        <w:rPr>
          <w:rFonts w:hint="eastAsia"/>
        </w:rPr>
        <w:t>总则</w:t>
      </w:r>
      <w:bookmarkEnd w:id="102"/>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评审工作由市公资交易中心负责组织，具体评审事务由采购人和市公资交易中心依法组建的询价小组负责。询价小组由采购人代表和评审专家组成。</w:t>
      </w:r>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询价小组按照询价通知书规定的询价</w:t>
      </w:r>
      <w:r>
        <w:rPr>
          <w:rFonts w:ascii="宋体" w:hAnsi="宋体"/>
          <w:sz w:val="28"/>
          <w:szCs w:val="28"/>
        </w:rPr>
        <w:t>采购活动</w:t>
      </w:r>
      <w:r>
        <w:rPr>
          <w:rFonts w:hint="eastAsia" w:ascii="宋体" w:hAnsi="宋体"/>
          <w:sz w:val="28"/>
          <w:szCs w:val="28"/>
        </w:rPr>
        <w:t>程序进行评审，并在采购活动中应当履行下列职责：</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熟悉和理解询价通知书，确定询价通知书内容是否违反国家有关强制性规定或者询价通知书存在歧义、重大缺陷，根据需要书面要求采购人、采购代理机构对询价通知书作出解释</w:t>
      </w:r>
      <w:r>
        <w:rPr>
          <w:rFonts w:ascii="宋体" w:hAnsi="宋体" w:cs="宋体"/>
          <w:sz w:val="28"/>
          <w:szCs w:val="28"/>
        </w:rPr>
        <w:t>；</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审查供应商的响应文件并作出公正评价；</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根据需要要求供应商对响应文件中含义不明确、同类问题表述不一致或者有明显文字和计算错误的内容等作出必要的澄清、说明或者更正；</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依法、客观、公平、公正开展供应商资格性审查、询价采购</w:t>
      </w:r>
      <w:r>
        <w:rPr>
          <w:rFonts w:ascii="宋体" w:hAnsi="宋体" w:cs="宋体"/>
          <w:sz w:val="28"/>
          <w:szCs w:val="28"/>
        </w:rPr>
        <w:t>活动</w:t>
      </w:r>
      <w:r>
        <w:rPr>
          <w:rFonts w:hint="eastAsia" w:ascii="宋体" w:hAnsi="宋体" w:cs="宋体"/>
          <w:sz w:val="28"/>
          <w:szCs w:val="28"/>
        </w:rPr>
        <w:t>和推荐成交候选供应商；</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询价小组决定响应文件的响应性依据响应文件本身的内容，而不寻求外部的证据，询价通知书有明确约定的除外。</w:t>
      </w:r>
    </w:p>
    <w:p>
      <w:pPr>
        <w:pStyle w:val="4"/>
        <w:tabs>
          <w:tab w:val="left" w:pos="993"/>
          <w:tab w:val="clear" w:pos="426"/>
          <w:tab w:val="clear" w:pos="567"/>
        </w:tabs>
        <w:ind w:left="0" w:firstLine="0"/>
      </w:pPr>
      <w:bookmarkStart w:id="103" w:name="_Toc20178"/>
      <w:r>
        <w:rPr>
          <w:rFonts w:hint="eastAsia"/>
        </w:rPr>
        <w:t>询价</w:t>
      </w:r>
      <w:r>
        <w:t>采购活动</w:t>
      </w:r>
      <w:r>
        <w:rPr>
          <w:rFonts w:hint="eastAsia"/>
        </w:rPr>
        <w:t>程序</w:t>
      </w:r>
      <w:bookmarkEnd w:id="103"/>
    </w:p>
    <w:p>
      <w:pPr>
        <w:spacing w:line="360" w:lineRule="auto"/>
        <w:ind w:firstLine="570"/>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在成都市公共资源交易服务中心“政府采购云平台”进行。询价采购</w:t>
      </w:r>
      <w:r>
        <w:rPr>
          <w:rFonts w:ascii="宋体" w:hAnsi="宋体"/>
          <w:sz w:val="28"/>
          <w:szCs w:val="28"/>
        </w:rPr>
        <w:t>活动</w:t>
      </w:r>
      <w:r>
        <w:rPr>
          <w:rFonts w:hint="eastAsia" w:ascii="宋体" w:hAnsi="宋体"/>
          <w:sz w:val="28"/>
          <w:szCs w:val="28"/>
        </w:rPr>
        <w:t>应由监督人员监督，且可根据具体情况邀请有关监督管理部门对采购活动进行现场监督。</w:t>
      </w:r>
    </w:p>
    <w:p>
      <w:pPr>
        <w:pStyle w:val="4"/>
        <w:numPr>
          <w:ilvl w:val="2"/>
          <w:numId w:val="1"/>
        </w:numPr>
        <w:tabs>
          <w:tab w:val="left" w:pos="993"/>
          <w:tab w:val="clear" w:pos="426"/>
          <w:tab w:val="clear" w:pos="567"/>
        </w:tabs>
      </w:pPr>
      <w:bookmarkStart w:id="104" w:name="_Toc63084321"/>
      <w:bookmarkStart w:id="105" w:name="_Toc320698736"/>
      <w:bookmarkStart w:id="106" w:name="_Toc63437907"/>
      <w:bookmarkStart w:id="107" w:name="_Toc9468"/>
      <w:r>
        <w:rPr>
          <w:rFonts w:hint="eastAsia"/>
        </w:rPr>
        <w:t>递交响应文件</w:t>
      </w:r>
      <w:bookmarkEnd w:id="104"/>
      <w:bookmarkEnd w:id="105"/>
      <w:bookmarkEnd w:id="106"/>
      <w:bookmarkEnd w:id="107"/>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供应商应按询价通知书要求在</w:t>
      </w:r>
      <w:r>
        <w:rPr>
          <w:rFonts w:ascii="宋体" w:hAnsi="宋体"/>
          <w:sz w:val="28"/>
          <w:szCs w:val="28"/>
        </w:rPr>
        <w:t>政府采购云平台</w:t>
      </w:r>
      <w:r>
        <w:rPr>
          <w:rFonts w:hint="eastAsia" w:ascii="宋体" w:hAnsi="宋体"/>
          <w:sz w:val="28"/>
          <w:szCs w:val="28"/>
        </w:rPr>
        <w:t>递交响应文件。递交响应文件截止时间结束后，递交响应文件的供应商不足3家的，本次询价采购活动终止，发布终止询价采购公告。</w:t>
      </w:r>
    </w:p>
    <w:p>
      <w:pPr>
        <w:pStyle w:val="4"/>
        <w:numPr>
          <w:ilvl w:val="2"/>
          <w:numId w:val="1"/>
        </w:numPr>
        <w:tabs>
          <w:tab w:val="left" w:pos="993"/>
          <w:tab w:val="clear" w:pos="426"/>
          <w:tab w:val="clear" w:pos="567"/>
        </w:tabs>
        <w:rPr>
          <w:highlight w:val="none"/>
        </w:rPr>
      </w:pPr>
      <w:bookmarkStart w:id="108" w:name="_Toc63084322"/>
      <w:bookmarkStart w:id="109" w:name="_Toc63437908"/>
      <w:bookmarkStart w:id="110" w:name="_Toc13902"/>
      <w:r>
        <w:rPr>
          <w:rFonts w:hint="eastAsia"/>
          <w:highlight w:val="none"/>
        </w:rPr>
        <w:t>确定邀请参加询价</w:t>
      </w:r>
      <w:r>
        <w:rPr>
          <w:highlight w:val="none"/>
        </w:rPr>
        <w:t>采购活动</w:t>
      </w:r>
      <w:r>
        <w:rPr>
          <w:rFonts w:hint="eastAsia"/>
          <w:highlight w:val="none"/>
        </w:rPr>
        <w:t>的供应商数量</w:t>
      </w:r>
      <w:bookmarkEnd w:id="108"/>
      <w:bookmarkEnd w:id="109"/>
      <w:bookmarkEnd w:id="110"/>
    </w:p>
    <w:p>
      <w:pPr>
        <w:tabs>
          <w:tab w:val="left" w:pos="1134"/>
        </w:tabs>
        <w:spacing w:line="360" w:lineRule="auto"/>
        <w:ind w:firstLine="560" w:firstLineChars="200"/>
        <w:rPr>
          <w:rFonts w:ascii="宋体" w:hAnsi="宋体"/>
          <w:sz w:val="28"/>
          <w:szCs w:val="28"/>
          <w:highlight w:val="none"/>
        </w:rPr>
      </w:pPr>
      <w:r>
        <w:rPr>
          <w:rFonts w:hint="eastAsia" w:ascii="宋体" w:hAnsi="宋体" w:cs="宋体"/>
          <w:bCs/>
          <w:sz w:val="28"/>
          <w:szCs w:val="28"/>
          <w:highlight w:val="none"/>
        </w:rPr>
        <w:t>通过资格审查的供应商为被询价的供应商。</w:t>
      </w:r>
    </w:p>
    <w:p>
      <w:pPr>
        <w:pStyle w:val="4"/>
        <w:numPr>
          <w:ilvl w:val="2"/>
          <w:numId w:val="1"/>
        </w:numPr>
        <w:tabs>
          <w:tab w:val="left" w:pos="993"/>
          <w:tab w:val="clear" w:pos="426"/>
          <w:tab w:val="clear" w:pos="567"/>
        </w:tabs>
      </w:pPr>
      <w:bookmarkStart w:id="111" w:name="_Toc287623646"/>
      <w:bookmarkStart w:id="112" w:name="_Toc63084323"/>
      <w:bookmarkStart w:id="113" w:name="_Toc63437909"/>
      <w:bookmarkStart w:id="114" w:name="_Toc1755"/>
      <w:r>
        <w:rPr>
          <w:rFonts w:hint="eastAsia"/>
        </w:rPr>
        <w:t>成立询价小组</w:t>
      </w:r>
      <w:bookmarkEnd w:id="111"/>
      <w:bookmarkEnd w:id="112"/>
      <w:bookmarkEnd w:id="113"/>
      <w:bookmarkEnd w:id="114"/>
    </w:p>
    <w:p>
      <w:pPr>
        <w:pStyle w:val="24"/>
        <w:spacing w:line="360" w:lineRule="auto"/>
        <w:ind w:firstLine="560" w:firstLineChars="200"/>
        <w:rPr>
          <w:rFonts w:hAnsi="宋体" w:eastAsia="宋体"/>
          <w:sz w:val="28"/>
          <w:szCs w:val="28"/>
        </w:rPr>
      </w:pPr>
      <w:r>
        <w:rPr>
          <w:rFonts w:hint="eastAsia" w:hAnsi="宋体" w:eastAsia="宋体"/>
          <w:sz w:val="28"/>
          <w:szCs w:val="28"/>
        </w:rPr>
        <w:t>询价小组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。询价小组</w:t>
      </w:r>
      <w:r>
        <w:rPr>
          <w:rFonts w:hAnsi="宋体" w:eastAsia="宋体"/>
          <w:sz w:val="28"/>
          <w:szCs w:val="28"/>
        </w:rPr>
        <w:t>负责本项目的</w:t>
      </w:r>
      <w:r>
        <w:rPr>
          <w:rFonts w:hint="eastAsia" w:hAnsi="宋体" w:eastAsia="宋体"/>
          <w:sz w:val="28"/>
          <w:szCs w:val="28"/>
        </w:rPr>
        <w:t>询价</w:t>
      </w:r>
      <w:r>
        <w:rPr>
          <w:rFonts w:hAnsi="宋体" w:eastAsia="宋体"/>
          <w:sz w:val="28"/>
          <w:szCs w:val="28"/>
        </w:rPr>
        <w:t>采购活动和评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115" w:name="_Toc2013"/>
      <w:r>
        <w:rPr>
          <w:rFonts w:hint="eastAsia"/>
        </w:rPr>
        <w:t>资格审查</w:t>
      </w:r>
      <w:bookmarkEnd w:id="115"/>
    </w:p>
    <w:p>
      <w:pPr>
        <w:pStyle w:val="24"/>
        <w:spacing w:line="360" w:lineRule="auto"/>
        <w:ind w:firstLine="560" w:firstLineChars="200"/>
        <w:rPr>
          <w:rFonts w:hAnsi="宋体" w:eastAsia="宋体"/>
          <w:sz w:val="28"/>
          <w:szCs w:val="28"/>
        </w:rPr>
      </w:pPr>
      <w:r>
        <w:rPr>
          <w:rFonts w:hint="eastAsia" w:hAnsi="宋体"/>
          <w:sz w:val="28"/>
          <w:szCs w:val="28"/>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pPr>
        <w:snapToGrid w:val="0"/>
        <w:spacing w:line="620" w:lineRule="exact"/>
        <w:ind w:firstLine="599" w:firstLineChars="214"/>
        <w:rPr>
          <w:rFonts w:ascii="宋体" w:hAnsi="宋体"/>
          <w:sz w:val="28"/>
          <w:szCs w:val="28"/>
        </w:rPr>
      </w:pPr>
      <w:r>
        <w:rPr>
          <w:rFonts w:hint="eastAsia" w:ascii="宋体" w:hAnsi="宋体"/>
          <w:sz w:val="28"/>
          <w:szCs w:val="28"/>
        </w:rPr>
        <w:t>供应商资格审查的标准：</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供应商资格申明的函</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3</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.2.2声明的内容提供书面声明材料；②供应商具</w:t>
            </w:r>
            <w:r>
              <w:rPr>
                <w:rFonts w:hint="eastAsia" w:ascii="宋体" w:hAnsi="宋体"/>
                <w:sz w:val="20"/>
                <w:szCs w:val="28"/>
              </w:rPr>
              <w:t>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3.1</w:t>
            </w:r>
            <w:r>
              <w:rPr>
                <w:rFonts w:hint="eastAsia"/>
                <w:sz w:val="20"/>
              </w:rPr>
              <w:t>.2.2声明内容提供书面声明材料。】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单位负责人为同一人或者存在直接控股、管理关系的不同供应商，不得参加同一项目的询价</w:t>
            </w:r>
            <w:r>
              <w:rPr>
                <w:sz w:val="20"/>
              </w:rPr>
              <w:t>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；②参加询价采购</w:t>
            </w:r>
            <w:r>
              <w:rPr>
                <w:rFonts w:ascii="宋体" w:hAnsi="宋体"/>
                <w:sz w:val="20"/>
                <w:szCs w:val="28"/>
              </w:rPr>
              <w:t>活动</w:t>
            </w:r>
            <w:r>
              <w:rPr>
                <w:rFonts w:hint="eastAsia" w:ascii="宋体" w:hAnsi="宋体"/>
                <w:sz w:val="20"/>
                <w:szCs w:val="28"/>
              </w:rPr>
              <w:t>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sz w:val="20"/>
              </w:rPr>
              <w:t>4</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不属于其他国家相关法律法规规定的禁止参加询价采购活动的供应商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联合体</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询价保证金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5</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会计年度资产负债表复印件。【说明：供应商成立时间至递交响应文件截止时间止不足一年的，提供成立后任意时段的资产负债表复印件。】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sz w:val="28"/>
          <w:szCs w:val="28"/>
        </w:rPr>
      </w:pPr>
      <w:bookmarkStart w:id="116" w:name="_Toc63084325"/>
      <w:bookmarkStart w:id="117" w:name="_Toc63437911"/>
      <w:r>
        <w:rPr>
          <w:rFonts w:hint="eastAsia" w:ascii="宋体" w:hAnsi="宋体"/>
          <w:sz w:val="28"/>
          <w:szCs w:val="28"/>
        </w:rPr>
        <w:t>注：一、以上每一项结论均为“通过”的，则供应商的响应文件通过资格性审查；如有其中任意一项结论为“不通过”的，则供应商的响应文件按无效响应文件处理。如果询价小组认为供应商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供应商的响应文件资格性审查时被判定为无效的，市公资交易中心将通知供应商（以短信、现场公示、电话、“政府采购云平台”等任一方式）。供应商如对资格审查结论有异议的，应及时向市公资交易中心反馈意见。市公资交易中心将及时告知询价小组。（说明：无论供应商是否收到通知或提供反馈意见，均不影响资格审查和评审工作，且市公资交易中心对此将不承担任何的责任。供应商对资格审查结论有异议的，其反馈意见仅限于询价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pStyle w:val="4"/>
        <w:numPr>
          <w:ilvl w:val="2"/>
          <w:numId w:val="1"/>
        </w:numPr>
        <w:tabs>
          <w:tab w:val="left" w:pos="993"/>
          <w:tab w:val="clear" w:pos="426"/>
          <w:tab w:val="clear" w:pos="567"/>
        </w:tabs>
      </w:pPr>
      <w:bookmarkStart w:id="118" w:name="_Toc27723"/>
      <w:r>
        <w:rPr>
          <w:rFonts w:hint="eastAsia"/>
        </w:rPr>
        <w:t>符合性审查</w:t>
      </w:r>
      <w:bookmarkEnd w:id="116"/>
      <w:bookmarkEnd w:id="117"/>
      <w:bookmarkEnd w:id="118"/>
    </w:p>
    <w:p>
      <w:pPr>
        <w:pStyle w:val="80"/>
        <w:widowControl w:val="0"/>
        <w:numPr>
          <w:ilvl w:val="0"/>
          <w:numId w:val="38"/>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ascii="宋体" w:hAnsi="宋体"/>
          <w:sz w:val="28"/>
          <w:szCs w:val="28"/>
        </w:rPr>
        <w:t>供应商资格审查结束后，由询价小组对供应商响应文件进行符合性审查。</w:t>
      </w:r>
    </w:p>
    <w:p>
      <w:pPr>
        <w:pStyle w:val="80"/>
        <w:widowControl w:val="0"/>
        <w:numPr>
          <w:ilvl w:val="0"/>
          <w:numId w:val="38"/>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0"/>
        <w:widowControl w:val="0"/>
        <w:numPr>
          <w:ilvl w:val="0"/>
          <w:numId w:val="38"/>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询价小组要求供应商澄清、说明或者更正响应文件应当以书面形式作出。供应商的澄清、说明或者更正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80"/>
        <w:widowControl w:val="0"/>
        <w:numPr>
          <w:ilvl w:val="0"/>
          <w:numId w:val="38"/>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询价小组应当积极履行澄清、说明或者更正的职责，不得滥用权力。</w:t>
      </w:r>
    </w:p>
    <w:p>
      <w:pPr>
        <w:pStyle w:val="80"/>
        <w:widowControl w:val="0"/>
        <w:numPr>
          <w:ilvl w:val="0"/>
          <w:numId w:val="38"/>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询价小组在符合性审查过程中，询价小组成员对供应商是否符合规定存在争议的，应当以少数服从多数的原则处理，但不违背政府采购法和询价通知书规定。</w:t>
      </w:r>
    </w:p>
    <w:p>
      <w:pPr>
        <w:pStyle w:val="80"/>
        <w:widowControl w:val="0"/>
        <w:numPr>
          <w:ilvl w:val="0"/>
          <w:numId w:val="38"/>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供应商符合性审查标准（按以下顺序审查）：</w:t>
      </w:r>
    </w:p>
    <w:tbl>
      <w:tblPr>
        <w:tblStyle w:val="45"/>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27"/>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商务技术响应文件的计量单位、语言、有效期</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计量单位、语言、有效期均符合询价通知书的要求。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商务技术响应文件签章</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加盖有供应商（法定名称）电子签章</w:t>
            </w:r>
            <w:r>
              <w:rPr>
                <w:rFonts w:ascii="宋体" w:hAnsi="宋体"/>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商务技术响应文件均实质性响应询价通知书中加★号的技术、服务、商务及其他要求。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不属于禁止参加询价采购活动或响应文件无效的供应商</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（1）根据询价通知书的要求不属于禁止参加询价采购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（2）询价小组未发现或者未知晓供应商存在属于国家相关法律法规规定的禁止参加询价采购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法定代表人身份证复印件或护照复印件</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7</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除资格性审查要求的证明材料外，询价通知书要求提供的其他证明材料</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rPr>
            </w:pPr>
            <w:r>
              <w:rPr>
                <w:rFonts w:cs="仿宋_GB2312" w:asciiTheme="minorEastAsia" w:hAnsiTheme="minorEastAsia" w:eastAsiaTheme="minorEastAsia"/>
              </w:rPr>
              <w:t>承诺函【说明：①按3.1.3.</w:t>
            </w:r>
            <w:r>
              <w:rPr>
                <w:rFonts w:hint="eastAsia" w:cs="仿宋_GB2312" w:asciiTheme="minorEastAsia" w:hAnsiTheme="minorEastAsia" w:eastAsiaTheme="minorEastAsia"/>
              </w:rPr>
              <w:t>5</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cs="仿宋_GB2312" w:asciiTheme="minorEastAsia" w:hAnsiTheme="minorEastAsia" w:eastAsiaTheme="minorEastAsia"/>
              </w:rPr>
              <w:t>询价通知书</w:t>
            </w:r>
            <w:r>
              <w:rPr>
                <w:rFonts w:cs="仿宋_GB2312" w:asciiTheme="minorEastAsia" w:hAnsiTheme="minorEastAsia" w:eastAsiaTheme="minorEastAsia"/>
              </w:rPr>
              <w:t>的要求。】。</w:t>
            </w:r>
          </w:p>
        </w:tc>
      </w:tr>
    </w:tbl>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询价小组符合性审查结束后，应当出具符合性审查报告，确定参加报价的供应商名单。市公资交易中心将通过和未通过符合性审查的供应商名单以及未通过符合性审查的原因（以短信、站内信、电话、“政府采购云平台”等任一方式）通知所有递交响应文件的供应商，并书面通知未通过符合性审查的供应商。</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通过符合性审查的供应商不足三家的，本次采购活动终止，并发布终止询价采购</w:t>
      </w:r>
      <w:r>
        <w:rPr>
          <w:rFonts w:ascii="宋体" w:hAnsi="宋体"/>
          <w:sz w:val="28"/>
          <w:szCs w:val="28"/>
        </w:rPr>
        <w:t>活动</w:t>
      </w:r>
      <w:r>
        <w:rPr>
          <w:rFonts w:hint="eastAsia" w:ascii="宋体" w:hAnsi="宋体"/>
          <w:sz w:val="28"/>
          <w:szCs w:val="28"/>
        </w:rPr>
        <w:t>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pStyle w:val="4"/>
        <w:numPr>
          <w:ilvl w:val="2"/>
          <w:numId w:val="1"/>
        </w:numPr>
        <w:tabs>
          <w:tab w:val="left" w:pos="993"/>
          <w:tab w:val="clear" w:pos="426"/>
          <w:tab w:val="clear" w:pos="567"/>
        </w:tabs>
      </w:pPr>
      <w:bookmarkStart w:id="119" w:name="_Toc63084326"/>
      <w:bookmarkStart w:id="120" w:name="_Toc2642"/>
      <w:bookmarkStart w:id="121" w:name="_Toc63437912"/>
      <w:r>
        <w:rPr>
          <w:rFonts w:hint="eastAsia"/>
        </w:rPr>
        <w:t>报价及</w:t>
      </w:r>
      <w:r>
        <w:t>报价</w:t>
      </w:r>
      <w:r>
        <w:rPr>
          <w:rFonts w:hint="eastAsia"/>
        </w:rPr>
        <w:t>审查</w:t>
      </w:r>
      <w:bookmarkEnd w:id="119"/>
      <w:bookmarkEnd w:id="120"/>
      <w:bookmarkEnd w:id="121"/>
    </w:p>
    <w:p>
      <w:pPr>
        <w:numPr>
          <w:ilvl w:val="0"/>
          <w:numId w:val="3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numPr>
          <w:ilvl w:val="0"/>
          <w:numId w:val="3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numPr>
          <w:ilvl w:val="0"/>
          <w:numId w:val="3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报价为有效报价应符合下列条件：</w:t>
      </w:r>
    </w:p>
    <w:p>
      <w:pPr>
        <w:numPr>
          <w:ilvl w:val="0"/>
          <w:numId w:val="40"/>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numPr>
          <w:ilvl w:val="0"/>
          <w:numId w:val="40"/>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sz w:val="28"/>
          <w:szCs w:val="28"/>
        </w:rPr>
        <w:t>加盖有供应商（法定名称）电子签章。</w:t>
      </w:r>
    </w:p>
    <w:p>
      <w:pPr>
        <w:numPr>
          <w:ilvl w:val="0"/>
          <w:numId w:val="40"/>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sz w:val="28"/>
          <w:szCs w:val="28"/>
        </w:rPr>
        <w:t>报价应包含本次采购要求的所有货物及服务的费用。</w:t>
      </w:r>
    </w:p>
    <w:p>
      <w:pPr>
        <w:numPr>
          <w:ilvl w:val="0"/>
          <w:numId w:val="40"/>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cs="宋体"/>
          <w:sz w:val="28"/>
          <w:szCs w:val="28"/>
        </w:rPr>
        <w:t>供应商的报价符合询价通知书的要求。</w:t>
      </w:r>
    </w:p>
    <w:p>
      <w:pPr>
        <w:numPr>
          <w:ilvl w:val="0"/>
          <w:numId w:val="40"/>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进口产品：询价通知书中未载明“允许采购进口产品”的产品，报价产品均为国产产品。</w:t>
      </w:r>
    </w:p>
    <w:p>
      <w:pPr>
        <w:numPr>
          <w:ilvl w:val="0"/>
          <w:numId w:val="40"/>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报价唯一，且不高于最高限价。</w:t>
      </w:r>
    </w:p>
    <w:p>
      <w:pPr>
        <w:numPr>
          <w:ilvl w:val="0"/>
          <w:numId w:val="40"/>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numPr>
          <w:ilvl w:val="0"/>
          <w:numId w:val="39"/>
        </w:numPr>
        <w:tabs>
          <w:tab w:val="left" w:pos="1134"/>
        </w:tabs>
        <w:snapToGrid w:val="0"/>
        <w:spacing w:line="620" w:lineRule="exact"/>
        <w:ind w:left="0" w:firstLine="560" w:firstLineChars="200"/>
        <w:rPr>
          <w:rFonts w:ascii="宋体" w:hAnsi="宋体" w:cs="宋体"/>
          <w:sz w:val="28"/>
          <w:szCs w:val="28"/>
        </w:rPr>
      </w:pPr>
      <w:r>
        <w:rPr>
          <w:rFonts w:hint="eastAsia" w:ascii="宋体" w:hAnsi="宋体" w:cs="宋体"/>
          <w:sz w:val="28"/>
          <w:szCs w:val="28"/>
        </w:rPr>
        <w:t>价格扣除：对供应商报价产品由小型企业、微型企业、监狱企业、残疾人福利性单位制造的货物的价格给予</w:t>
      </w:r>
      <w:r>
        <w:rPr>
          <w:rFonts w:ascii="宋体" w:hAnsi="宋体" w:cs="宋体"/>
          <w:sz w:val="28"/>
          <w:szCs w:val="28"/>
        </w:rPr>
        <w:t>10%的扣除（说明：同一产品仅作一次价格扣除），用扣除后的价格参与评审。</w:t>
      </w:r>
    </w:p>
    <w:p>
      <w:pPr>
        <w:numPr>
          <w:ilvl w:val="0"/>
          <w:numId w:val="3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报价出现下列情况的，不需要供应商澄清，按以下原则处理：</w:t>
      </w:r>
    </w:p>
    <w:p>
      <w:pPr>
        <w:pStyle w:val="207"/>
        <w:numPr>
          <w:ilvl w:val="0"/>
          <w:numId w:val="41"/>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207"/>
        <w:numPr>
          <w:ilvl w:val="0"/>
          <w:numId w:val="41"/>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207"/>
        <w:numPr>
          <w:ilvl w:val="0"/>
          <w:numId w:val="41"/>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报价</w:t>
      </w:r>
      <w:r>
        <w:rPr>
          <w:rFonts w:hint="eastAsia" w:cs="Arial"/>
          <w:sz w:val="28"/>
          <w:szCs w:val="28"/>
        </w:rPr>
        <w:t>经供应商以书面形式进行确认，并加盖公章，或者由法定代表人或其授权的代表签字后产生约束力，供应商不确认的，其</w:t>
      </w:r>
      <w:r>
        <w:rPr>
          <w:rFonts w:hint="eastAsia" w:ascii="宋体" w:hAnsi="宋体"/>
          <w:sz w:val="28"/>
          <w:szCs w:val="28"/>
        </w:rPr>
        <w:t>报价</w:t>
      </w:r>
      <w:r>
        <w:rPr>
          <w:rFonts w:hint="eastAsia" w:cs="Arial"/>
          <w:sz w:val="28"/>
          <w:szCs w:val="28"/>
        </w:rPr>
        <w:t>无效。</w:t>
      </w:r>
    </w:p>
    <w:p>
      <w:pPr>
        <w:pStyle w:val="207"/>
        <w:tabs>
          <w:tab w:val="left" w:pos="1134"/>
        </w:tabs>
        <w:snapToGrid w:val="0"/>
        <w:spacing w:line="620" w:lineRule="exact"/>
        <w:ind w:firstLine="523" w:firstLineChars="187"/>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3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有效报价的供应商不足三家的，本次采购活动失败。</w:t>
      </w:r>
    </w:p>
    <w:p/>
    <w:p>
      <w:pPr>
        <w:pStyle w:val="4"/>
        <w:numPr>
          <w:ilvl w:val="2"/>
          <w:numId w:val="1"/>
        </w:numPr>
        <w:tabs>
          <w:tab w:val="left" w:pos="993"/>
          <w:tab w:val="clear" w:pos="426"/>
          <w:tab w:val="clear" w:pos="567"/>
        </w:tabs>
      </w:pPr>
      <w:bookmarkStart w:id="122" w:name="_Toc63084327"/>
      <w:bookmarkStart w:id="123" w:name="_Toc63437913"/>
      <w:bookmarkStart w:id="124" w:name="_Toc2359"/>
      <w:r>
        <w:rPr>
          <w:rFonts w:hint="eastAsia"/>
        </w:rPr>
        <w:t>解释、澄清、说明的有关问题</w:t>
      </w:r>
      <w:bookmarkEnd w:id="122"/>
      <w:bookmarkEnd w:id="123"/>
      <w:bookmarkEnd w:id="124"/>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询价小组认为询价通知书有关事项表述不明确或需要说明的，可以提请市公资交易中心书面解释。市公资交易中心的解释不得改变询价通知书的原义或者影响公平、公正，解释事项如果涉及供应商权益的以有利于供应商的原则进行解释。</w:t>
      </w:r>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询价小组应当积极履行澄清、说明或者更正的职责，不得滥用权力。</w:t>
      </w:r>
    </w:p>
    <w:p>
      <w:pPr>
        <w:pStyle w:val="4"/>
        <w:numPr>
          <w:ilvl w:val="2"/>
          <w:numId w:val="1"/>
        </w:numPr>
        <w:tabs>
          <w:tab w:val="left" w:pos="993"/>
          <w:tab w:val="clear" w:pos="426"/>
          <w:tab w:val="clear" w:pos="567"/>
        </w:tabs>
      </w:pPr>
      <w:bookmarkStart w:id="125" w:name="_Toc63437914"/>
      <w:bookmarkStart w:id="126" w:name="_Toc63084328"/>
      <w:bookmarkStart w:id="127" w:name="_Toc4298"/>
      <w:r>
        <w:rPr>
          <w:rFonts w:hint="eastAsia"/>
        </w:rPr>
        <w:t>比较与评价</w:t>
      </w:r>
      <w:bookmarkEnd w:id="125"/>
      <w:bookmarkEnd w:id="126"/>
      <w:bookmarkEnd w:id="127"/>
    </w:p>
    <w:p>
      <w:pPr>
        <w:tabs>
          <w:tab w:val="left" w:pos="851"/>
        </w:tabs>
        <w:spacing w:line="360" w:lineRule="auto"/>
        <w:ind w:firstLine="565" w:firstLineChars="202"/>
        <w:rPr>
          <w:rFonts w:ascii="宋体" w:hAnsi="宋体"/>
          <w:sz w:val="28"/>
          <w:szCs w:val="28"/>
        </w:rPr>
      </w:pPr>
      <w:bookmarkStart w:id="128" w:name="_Toc63437915"/>
      <w:bookmarkStart w:id="129" w:name="_Toc63084329"/>
      <w:r>
        <w:rPr>
          <w:rFonts w:hint="eastAsia" w:ascii="宋体" w:hAnsi="宋体"/>
          <w:sz w:val="28"/>
          <w:szCs w:val="28"/>
        </w:rPr>
        <w:t>按询价通知书中规定的询价方法，对符合性检查合格的响应文件进行商务和技术评估，综合比较和评价。</w:t>
      </w:r>
    </w:p>
    <w:p>
      <w:pPr>
        <w:pStyle w:val="4"/>
        <w:numPr>
          <w:ilvl w:val="2"/>
          <w:numId w:val="1"/>
        </w:numPr>
        <w:tabs>
          <w:tab w:val="left" w:pos="993"/>
          <w:tab w:val="clear" w:pos="426"/>
          <w:tab w:val="clear" w:pos="567"/>
        </w:tabs>
      </w:pPr>
      <w:bookmarkStart w:id="130" w:name="_Toc32700"/>
      <w:r>
        <w:rPr>
          <w:rFonts w:hint="eastAsia"/>
        </w:rPr>
        <w:t>询价小组复核</w:t>
      </w:r>
      <w:bookmarkEnd w:id="128"/>
      <w:bookmarkEnd w:id="129"/>
      <w:bookmarkEnd w:id="130"/>
    </w:p>
    <w:p>
      <w:pPr>
        <w:widowControl w:val="0"/>
        <w:numPr>
          <w:ilvl w:val="0"/>
          <w:numId w:val="4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评审结束后，询价小组应当进行复核，特别要对拟推荐为成交候选供应商的、报价最低的、响应文件被认定为无效的进行重点复核。</w:t>
      </w:r>
    </w:p>
    <w:p>
      <w:pPr>
        <w:widowControl w:val="0"/>
        <w:numPr>
          <w:ilvl w:val="0"/>
          <w:numId w:val="4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评审结果汇总完成后，询价小组拟出具评审报告前，市公资交易中心应当组织2名以上的工作人员，在采购现场监督人员的监督之下，依据有关的法律制度和询价</w:t>
      </w:r>
      <w:r>
        <w:rPr>
          <w:rFonts w:ascii="宋体" w:hAnsi="宋体"/>
          <w:sz w:val="28"/>
          <w:szCs w:val="28"/>
        </w:rPr>
        <w:t>通知书</w:t>
      </w:r>
      <w:r>
        <w:rPr>
          <w:rFonts w:hint="eastAsia" w:ascii="宋体" w:hAnsi="宋体"/>
          <w:sz w:val="28"/>
          <w:szCs w:val="28"/>
        </w:rPr>
        <w:t>对评审结果进行复核，出具复核报告。</w:t>
      </w:r>
    </w:p>
    <w:p>
      <w:pPr>
        <w:widowControl w:val="0"/>
        <w:numPr>
          <w:ilvl w:val="0"/>
          <w:numId w:val="4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采购人、采购代理机构发现询价小组未按照询价通知书规定的评审标准进行评审的，应当重新开展采购活动，并同时书面报告本级财政部门。</w:t>
      </w:r>
    </w:p>
    <w:p>
      <w:pPr>
        <w:pStyle w:val="4"/>
        <w:numPr>
          <w:ilvl w:val="2"/>
          <w:numId w:val="1"/>
        </w:numPr>
        <w:tabs>
          <w:tab w:val="left" w:pos="993"/>
          <w:tab w:val="clear" w:pos="426"/>
          <w:tab w:val="clear" w:pos="567"/>
        </w:tabs>
      </w:pPr>
      <w:bookmarkStart w:id="131" w:name="_Toc63084330"/>
      <w:bookmarkStart w:id="132" w:name="_Toc63437916"/>
      <w:bookmarkStart w:id="133" w:name="_Toc10902"/>
      <w:r>
        <w:rPr>
          <w:rFonts w:hint="eastAsia"/>
        </w:rPr>
        <w:t>推荐成交候选供应商</w:t>
      </w:r>
      <w:bookmarkEnd w:id="131"/>
      <w:bookmarkEnd w:id="132"/>
      <w:bookmarkEnd w:id="133"/>
    </w:p>
    <w:p>
      <w:pPr>
        <w:snapToGrid w:val="0"/>
        <w:spacing w:line="620" w:lineRule="exact"/>
        <w:ind w:firstLine="585" w:firstLineChars="209"/>
        <w:rPr>
          <w:rFonts w:ascii="宋体" w:hAnsi="宋体"/>
          <w:sz w:val="28"/>
          <w:szCs w:val="28"/>
        </w:rPr>
      </w:pPr>
      <w:bookmarkStart w:id="134" w:name="_Toc63437917"/>
      <w:bookmarkStart w:id="135" w:name="_Toc63084331"/>
      <w:r>
        <w:rPr>
          <w:rFonts w:hint="eastAsia" w:ascii="宋体" w:hAnsi="宋体"/>
          <w:sz w:val="28"/>
          <w:szCs w:val="28"/>
        </w:rPr>
        <w:t>询价小组应当</w:t>
      </w:r>
      <w:r>
        <w:rPr>
          <w:rFonts w:hint="eastAsia" w:ascii="宋体" w:hAnsi="宋体"/>
          <w:sz w:val="28"/>
        </w:rPr>
        <w:t>按供应商报价（供应商报价按询价通知书</w:t>
      </w:r>
      <w:r>
        <w:rPr>
          <w:rFonts w:ascii="宋体" w:hAnsi="宋体"/>
          <w:sz w:val="28"/>
        </w:rPr>
        <w:t>5.2.6</w:t>
      </w:r>
      <w:r>
        <w:rPr>
          <w:rFonts w:hint="eastAsia" w:ascii="宋体" w:hAnsi="宋体"/>
          <w:sz w:val="28"/>
        </w:rPr>
        <w:t>的标准进行了价格扣除的，为扣除后的报价）由低到高排序，</w:t>
      </w:r>
      <w:r>
        <w:rPr>
          <w:rFonts w:hint="eastAsia" w:ascii="宋体" w:hAnsi="宋体"/>
          <w:sz w:val="28"/>
          <w:szCs w:val="28"/>
        </w:rPr>
        <w:t>推荐</w:t>
      </w:r>
      <w:r>
        <w:rPr>
          <w:rFonts w:ascii="宋体" w:hAnsi="宋体"/>
          <w:sz w:val="28"/>
          <w:szCs w:val="28"/>
        </w:rPr>
        <w:t>3名</w:t>
      </w:r>
      <w:r>
        <w:rPr>
          <w:rFonts w:hint="eastAsia" w:ascii="宋体" w:hAnsi="宋体"/>
          <w:sz w:val="28"/>
          <w:szCs w:val="28"/>
        </w:rPr>
        <w:t>及以上</w:t>
      </w:r>
      <w:r>
        <w:rPr>
          <w:rFonts w:ascii="宋体" w:hAnsi="宋体"/>
          <w:sz w:val="28"/>
          <w:szCs w:val="28"/>
        </w:rPr>
        <w:t>成交候选供应商。</w:t>
      </w:r>
      <w:r>
        <w:rPr>
          <w:rFonts w:hint="eastAsia" w:ascii="宋体" w:hAnsi="宋体"/>
          <w:sz w:val="28"/>
          <w:szCs w:val="28"/>
        </w:rPr>
        <w:t>供应商报价相同的，由询价小组组织供应商抽签确定推荐的成交候选供应商顺序。</w:t>
      </w:r>
    </w:p>
    <w:p>
      <w:pPr>
        <w:pStyle w:val="4"/>
        <w:numPr>
          <w:ilvl w:val="2"/>
          <w:numId w:val="1"/>
        </w:numPr>
        <w:tabs>
          <w:tab w:val="left" w:pos="993"/>
          <w:tab w:val="clear" w:pos="426"/>
          <w:tab w:val="clear" w:pos="567"/>
        </w:tabs>
      </w:pPr>
      <w:bookmarkStart w:id="136" w:name="_Toc26855"/>
      <w:r>
        <w:rPr>
          <w:rFonts w:hint="eastAsia"/>
        </w:rPr>
        <w:t>编写评审报告</w:t>
      </w:r>
      <w:bookmarkEnd w:id="134"/>
      <w:bookmarkEnd w:id="135"/>
      <w:bookmarkEnd w:id="136"/>
    </w:p>
    <w:p>
      <w:pPr>
        <w:spacing w:line="360" w:lineRule="auto"/>
        <w:ind w:firstLine="560" w:firstLineChars="200"/>
        <w:rPr>
          <w:rFonts w:ascii="宋体" w:hAnsi="宋体"/>
          <w:sz w:val="28"/>
          <w:szCs w:val="28"/>
        </w:rPr>
      </w:pPr>
      <w:r>
        <w:rPr>
          <w:rFonts w:hint="eastAsia" w:ascii="宋体" w:hAnsi="宋体"/>
          <w:sz w:val="28"/>
          <w:szCs w:val="28"/>
        </w:rPr>
        <w:t>询价小组推荐成交候选供应商后，应向采购代理机构出具评审报告。评审报告应当包括以下主要内容：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（3）获取询价通知书的供应商名单和询价小组成员名单；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（4）评审情况记录和说明，包括对供应商的资格审查情况、供应商响应文件评审情况、询价</w:t>
      </w:r>
      <w:r>
        <w:rPr>
          <w:rFonts w:ascii="宋体" w:hAnsi="宋体"/>
          <w:sz w:val="28"/>
          <w:szCs w:val="28"/>
        </w:rPr>
        <w:t>采购活动</w:t>
      </w:r>
      <w:r>
        <w:rPr>
          <w:rFonts w:hint="eastAsia" w:ascii="宋体" w:hAnsi="宋体"/>
          <w:sz w:val="28"/>
          <w:szCs w:val="28"/>
        </w:rPr>
        <w:t>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（5）提出的成交候选供应商的排序名单及理由。报价最高的供应商为成交候选人的，询价小组应当对其报价的合理性予以特别说明。</w:t>
      </w:r>
    </w:p>
    <w:p>
      <w:pPr>
        <w:tabs>
          <w:tab w:val="left" w:pos="1155"/>
        </w:tabs>
        <w:snapToGrid w:val="0"/>
        <w:spacing w:line="620" w:lineRule="exact"/>
        <w:ind w:firstLine="523" w:firstLineChars="187"/>
        <w:rPr>
          <w:rFonts w:ascii="宋体" w:hAnsi="宋体"/>
          <w:sz w:val="28"/>
          <w:szCs w:val="28"/>
        </w:rPr>
      </w:pPr>
      <w:bookmarkStart w:id="137" w:name="_Toc54948232"/>
      <w:bookmarkStart w:id="138" w:name="_Toc63084332"/>
      <w:bookmarkStart w:id="139" w:name="_Toc63437918"/>
      <w:r>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sz w:val="28"/>
          <w:szCs w:val="28"/>
        </w:rPr>
        <w:t>评审</w:t>
      </w:r>
      <w:r>
        <w:rPr>
          <w:rFonts w:ascii="宋体" w:hAnsi="宋体"/>
          <w:sz w:val="28"/>
          <w:szCs w:val="28"/>
        </w:rPr>
        <w:t>报告上签字又不书面说明其不同意见和理由的，视为同意评审报告。</w:t>
      </w:r>
    </w:p>
    <w:p>
      <w:pPr>
        <w:pStyle w:val="4"/>
        <w:tabs>
          <w:tab w:val="left" w:pos="993"/>
          <w:tab w:val="clear" w:pos="426"/>
          <w:tab w:val="clear" w:pos="567"/>
        </w:tabs>
        <w:ind w:left="0" w:firstLine="0"/>
      </w:pPr>
      <w:bookmarkStart w:id="140" w:name="_Toc16267"/>
      <w:r>
        <w:rPr>
          <w:rFonts w:hint="eastAsia"/>
        </w:rPr>
        <w:t>争议处理规则</w:t>
      </w:r>
      <w:bookmarkEnd w:id="137"/>
      <w:bookmarkEnd w:id="138"/>
      <w:bookmarkEnd w:id="139"/>
      <w:bookmarkEnd w:id="140"/>
    </w:p>
    <w:p>
      <w:pPr>
        <w:tabs>
          <w:tab w:val="left" w:pos="1155"/>
        </w:tabs>
        <w:snapToGrid w:val="0"/>
        <w:spacing w:line="620" w:lineRule="exact"/>
        <w:ind w:firstLine="523" w:firstLineChars="187"/>
      </w:pPr>
      <w:r>
        <w:rPr>
          <w:rFonts w:hint="eastAsia" w:ascii="宋体" w:hAnsi="宋体"/>
          <w:sz w:val="28"/>
          <w:szCs w:val="28"/>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sz w:val="28"/>
          <w:szCs w:val="28"/>
        </w:rPr>
        <w:t>持不同意见的询价小组成员应当在评审报告上签署不同意见及理由，否则视为同意评审报告。</w:t>
      </w:r>
      <w:r>
        <w:rPr>
          <w:rFonts w:hint="eastAsia" w:ascii="宋体" w:hAnsi="宋体"/>
          <w:sz w:val="28"/>
          <w:szCs w:val="28"/>
        </w:rPr>
        <w:t>持不同意见的询价小组成员认为认定过程和结果不符合法律法规或者询价通知书规定的，应当及时向采购人或市公资交易中心书面反映。采购人或市公资交易中心收到书面反映后，应当书面报告采购项目同级财政部门依法处理。</w:t>
      </w:r>
    </w:p>
    <w:p>
      <w:pPr>
        <w:pStyle w:val="4"/>
        <w:tabs>
          <w:tab w:val="left" w:pos="993"/>
          <w:tab w:val="clear" w:pos="426"/>
          <w:tab w:val="clear" w:pos="567"/>
        </w:tabs>
        <w:ind w:left="0" w:firstLine="0"/>
      </w:pPr>
      <w:bookmarkStart w:id="141" w:name="_Toc494357026"/>
      <w:bookmarkEnd w:id="141"/>
      <w:bookmarkStart w:id="142" w:name="_Toc494357022"/>
      <w:bookmarkEnd w:id="142"/>
      <w:bookmarkStart w:id="143" w:name="_Toc494095681"/>
      <w:bookmarkEnd w:id="143"/>
      <w:bookmarkStart w:id="144" w:name="_Toc494095669"/>
      <w:bookmarkEnd w:id="144"/>
      <w:bookmarkStart w:id="145" w:name="_Toc494095680"/>
      <w:bookmarkEnd w:id="145"/>
      <w:bookmarkStart w:id="146" w:name="_Toc494095668"/>
      <w:bookmarkEnd w:id="146"/>
      <w:bookmarkStart w:id="147" w:name="_Toc494357034"/>
      <w:bookmarkEnd w:id="147"/>
      <w:bookmarkStart w:id="148" w:name="_Toc494095674"/>
      <w:bookmarkEnd w:id="148"/>
      <w:bookmarkStart w:id="149" w:name="_Toc494095679"/>
      <w:bookmarkEnd w:id="149"/>
      <w:bookmarkStart w:id="150" w:name="_Toc494095673"/>
      <w:bookmarkEnd w:id="150"/>
      <w:bookmarkStart w:id="151" w:name="_Toc494357033"/>
      <w:bookmarkEnd w:id="151"/>
      <w:bookmarkStart w:id="152" w:name="_Toc494357028"/>
      <w:bookmarkEnd w:id="152"/>
      <w:bookmarkStart w:id="153" w:name="_Toc494095670"/>
      <w:bookmarkEnd w:id="153"/>
      <w:bookmarkStart w:id="154" w:name="_Toc494357030"/>
      <w:bookmarkEnd w:id="154"/>
      <w:bookmarkStart w:id="155" w:name="_Toc494357024"/>
      <w:bookmarkEnd w:id="155"/>
      <w:bookmarkStart w:id="156" w:name="_Toc494357029"/>
      <w:bookmarkEnd w:id="156"/>
      <w:bookmarkStart w:id="157" w:name="_Toc494357032"/>
      <w:bookmarkEnd w:id="157"/>
      <w:bookmarkStart w:id="158" w:name="_Toc494357027"/>
      <w:bookmarkEnd w:id="158"/>
      <w:bookmarkStart w:id="159" w:name="_Toc494095682"/>
      <w:bookmarkEnd w:id="159"/>
      <w:bookmarkStart w:id="160" w:name="_Toc494095675"/>
      <w:bookmarkEnd w:id="160"/>
      <w:bookmarkStart w:id="161" w:name="_Toc494357031"/>
      <w:bookmarkEnd w:id="161"/>
      <w:bookmarkStart w:id="162" w:name="_Toc494095676"/>
      <w:bookmarkEnd w:id="162"/>
      <w:bookmarkStart w:id="163" w:name="_Toc494095671"/>
      <w:bookmarkEnd w:id="163"/>
      <w:bookmarkStart w:id="164" w:name="_Toc494095677"/>
      <w:bookmarkEnd w:id="164"/>
      <w:bookmarkStart w:id="165" w:name="_Toc494095672"/>
      <w:bookmarkEnd w:id="165"/>
      <w:bookmarkStart w:id="166" w:name="_Toc494095678"/>
      <w:bookmarkEnd w:id="166"/>
      <w:bookmarkStart w:id="167" w:name="_Toc494357025"/>
      <w:bookmarkEnd w:id="167"/>
      <w:bookmarkStart w:id="168" w:name="_Toc494357035"/>
      <w:bookmarkEnd w:id="168"/>
      <w:bookmarkStart w:id="169" w:name="_Toc494357023"/>
      <w:bookmarkEnd w:id="169"/>
      <w:bookmarkStart w:id="170" w:name="_Toc494357021"/>
      <w:bookmarkEnd w:id="170"/>
      <w:bookmarkStart w:id="171" w:name="_Toc54948234"/>
      <w:bookmarkStart w:id="172" w:name="_Toc23627"/>
      <w:r>
        <w:rPr>
          <w:rFonts w:hint="eastAsia"/>
        </w:rPr>
        <w:t>采购失败情形</w:t>
      </w:r>
      <w:bookmarkEnd w:id="171"/>
      <w:bookmarkEnd w:id="172"/>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一、因情况变化，不再符合规定的询价采购方式适用情形的；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七、通过报价审查的供应商不足三家的。</w:t>
      </w:r>
    </w:p>
    <w:p>
      <w:pPr>
        <w:pStyle w:val="4"/>
        <w:tabs>
          <w:tab w:val="left" w:pos="993"/>
          <w:tab w:val="clear" w:pos="426"/>
          <w:tab w:val="clear" w:pos="567"/>
        </w:tabs>
        <w:ind w:left="0" w:firstLine="0"/>
      </w:pPr>
      <w:bookmarkStart w:id="173" w:name="_Toc54948235"/>
      <w:bookmarkStart w:id="174" w:name="_Toc25526"/>
      <w:r>
        <w:rPr>
          <w:rFonts w:hint="eastAsia"/>
        </w:rPr>
        <w:t>确定成交供应商</w:t>
      </w:r>
      <w:bookmarkEnd w:id="173"/>
      <w:bookmarkEnd w:id="174"/>
    </w:p>
    <w:p>
      <w:pPr>
        <w:numPr>
          <w:ilvl w:val="0"/>
          <w:numId w:val="44"/>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采购人根据询价小组推荐的成交候选供应商名单，按顺序确定1名成交供应商。</w:t>
      </w:r>
    </w:p>
    <w:p>
      <w:pPr>
        <w:numPr>
          <w:ilvl w:val="0"/>
          <w:numId w:val="44"/>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44"/>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w:t>
      </w:r>
      <w:r>
        <w:rPr>
          <w:rStyle w:val="325"/>
          <w:rFonts w:hint="eastAsia"/>
          <w:sz w:val="28"/>
          <w:szCs w:val="28"/>
          <w:shd w:val="clear" w:color="auto" w:fill="FFFFFF"/>
          <w:lang w:val="en-US" w:eastAsia="zh-CN"/>
        </w:rPr>
        <w:t>3</w:t>
      </w:r>
      <w:r>
        <w:rPr>
          <w:rStyle w:val="325"/>
          <w:rFonts w:hint="eastAsia"/>
          <w:sz w:val="28"/>
          <w:szCs w:val="28"/>
          <w:shd w:val="clear" w:color="auto" w:fill="FFFFFF"/>
        </w:rPr>
        <w:t>个工作日内，按照评审报告中推荐的成交候选人顺序确定成交供应商。如果成交候选人及其现任法定代表人、主要负责人存在行贿犯罪记录，采购人将不确定其为中成交人。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44"/>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4"/>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5"/>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75" w:name="_Toc287623649"/>
      <w:r>
        <w:rPr>
          <w:rFonts w:hint="eastAsia" w:ascii="宋体" w:hAnsi="宋体" w:cs="宋体"/>
          <w:sz w:val="28"/>
          <w:szCs w:val="28"/>
        </w:rPr>
        <w:t>成交候选供应商存在违法、违纪行为的；</w:t>
      </w:r>
    </w:p>
    <w:p>
      <w:pPr>
        <w:numPr>
          <w:ilvl w:val="1"/>
          <w:numId w:val="45"/>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45"/>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成交候选供应商未按询价通知书要求，按时足额缴纳履约保证金的。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44"/>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采购人、市公资交易中心不解释成交或未成交原因，不退回响应文件和其他询价资料。</w:t>
      </w:r>
      <w:bookmarkEnd w:id="175"/>
    </w:p>
    <w:p>
      <w:pPr>
        <w:pStyle w:val="4"/>
        <w:tabs>
          <w:tab w:val="left" w:pos="993"/>
          <w:tab w:val="clear" w:pos="426"/>
          <w:tab w:val="clear" w:pos="567"/>
        </w:tabs>
        <w:ind w:left="0" w:firstLine="0"/>
      </w:pPr>
      <w:bookmarkStart w:id="176" w:name="_Toc54948236"/>
      <w:bookmarkStart w:id="177" w:name="_Toc13666"/>
      <w:r>
        <w:rPr>
          <w:rFonts w:hint="eastAsia"/>
        </w:rPr>
        <w:t>询价小组成员义务</w:t>
      </w:r>
      <w:bookmarkEnd w:id="176"/>
      <w:bookmarkEnd w:id="177"/>
    </w:p>
    <w:p>
      <w:pPr>
        <w:snapToGrid w:val="0"/>
        <w:spacing w:line="360" w:lineRule="auto"/>
        <w:ind w:firstLine="560" w:firstLineChars="200"/>
        <w:rPr>
          <w:sz w:val="28"/>
          <w:szCs w:val="28"/>
        </w:rPr>
      </w:pPr>
      <w:r>
        <w:rPr>
          <w:rFonts w:hint="eastAsia"/>
          <w:sz w:val="28"/>
          <w:szCs w:val="28"/>
        </w:rPr>
        <w:t>询价小组成员在政府采购活动中承担以下义务：</w:t>
      </w:r>
    </w:p>
    <w:p>
      <w:pPr>
        <w:widowControl w:val="0"/>
        <w:numPr>
          <w:ilvl w:val="0"/>
          <w:numId w:val="46"/>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46"/>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按照政府采购法律法规和询价通知书的规定要求对供应商的资格条件、报价、技术、服务等方面严格进行独立评审，提供科学合理、公平公正的评审意见，参与起草评审报告，并予签字确认。</w:t>
      </w:r>
    </w:p>
    <w:p>
      <w:pPr>
        <w:widowControl w:val="0"/>
        <w:numPr>
          <w:ilvl w:val="0"/>
          <w:numId w:val="46"/>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保守秘密。不得泄漏供应商的询价通知书及知悉的商业秘密，不得向供应商透露评审情况。</w:t>
      </w:r>
    </w:p>
    <w:p>
      <w:pPr>
        <w:widowControl w:val="0"/>
        <w:numPr>
          <w:ilvl w:val="0"/>
          <w:numId w:val="46"/>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46"/>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46"/>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46"/>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法律、法规和规章规定的其他义务。</w:t>
      </w:r>
    </w:p>
    <w:p>
      <w:pPr>
        <w:pStyle w:val="4"/>
        <w:tabs>
          <w:tab w:val="left" w:pos="993"/>
          <w:tab w:val="clear" w:pos="426"/>
          <w:tab w:val="clear" w:pos="567"/>
        </w:tabs>
        <w:ind w:left="0" w:firstLine="0"/>
      </w:pPr>
      <w:bookmarkStart w:id="178" w:name="_Toc54948238"/>
      <w:bookmarkStart w:id="179" w:name="_Toc17861"/>
      <w:r>
        <w:rPr>
          <w:rFonts w:hint="eastAsia"/>
        </w:rPr>
        <w:t>询价采购</w:t>
      </w:r>
      <w:r>
        <w:t>活动</w:t>
      </w:r>
      <w:r>
        <w:rPr>
          <w:rFonts w:hint="eastAsia"/>
        </w:rPr>
        <w:t>纪律</w:t>
      </w:r>
      <w:bookmarkEnd w:id="178"/>
      <w:bookmarkEnd w:id="179"/>
    </w:p>
    <w:p>
      <w:pPr>
        <w:snapToGrid w:val="0"/>
        <w:spacing w:line="360" w:lineRule="auto"/>
        <w:ind w:firstLine="560" w:firstLineChars="200"/>
        <w:rPr>
          <w:sz w:val="28"/>
          <w:szCs w:val="28"/>
        </w:rPr>
      </w:pPr>
      <w:r>
        <w:rPr>
          <w:rFonts w:hint="eastAsia"/>
          <w:sz w:val="28"/>
          <w:szCs w:val="28"/>
        </w:rPr>
        <w:t>询价小组成员在政府采购活动中应当遵守以下工作纪律：</w:t>
      </w:r>
    </w:p>
    <w:p>
      <w:pPr>
        <w:widowControl w:val="0"/>
        <w:numPr>
          <w:ilvl w:val="0"/>
          <w:numId w:val="47"/>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47"/>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47"/>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进入评标区之前应将所有的通信设备存入市公资交易中心指定的存放处。</w:t>
      </w:r>
    </w:p>
    <w:p>
      <w:pPr>
        <w:widowControl w:val="0"/>
        <w:numPr>
          <w:ilvl w:val="0"/>
          <w:numId w:val="47"/>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47"/>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w:t>
      </w:r>
      <w:r>
        <w:rPr>
          <w:rFonts w:hint="eastAsia" w:ascii="宋体" w:hAnsi="宋体"/>
          <w:sz w:val="28"/>
          <w:szCs w:val="28"/>
          <w:lang w:val="en-US" w:eastAsia="zh-CN"/>
        </w:rPr>
        <w:t>处理</w:t>
      </w:r>
      <w:r>
        <w:rPr>
          <w:rFonts w:hint="eastAsia" w:ascii="宋体" w:hAnsi="宋体"/>
          <w:sz w:val="28"/>
          <w:szCs w:val="28"/>
        </w:rPr>
        <w:t>。</w:t>
      </w:r>
    </w:p>
    <w:p>
      <w:pPr>
        <w:widowControl w:val="0"/>
        <w:numPr>
          <w:ilvl w:val="0"/>
          <w:numId w:val="47"/>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pPr>
        <w:widowControl w:val="0"/>
        <w:numPr>
          <w:ilvl w:val="0"/>
          <w:numId w:val="47"/>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在询价采购活动过程中和询价采购活动结束后，不得记录、复制或带走任何评审资料，除因规定的义务外，不得向外界透露评审内容。</w:t>
      </w:r>
    </w:p>
    <w:p>
      <w:pPr>
        <w:widowControl w:val="0"/>
        <w:numPr>
          <w:ilvl w:val="0"/>
          <w:numId w:val="47"/>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47"/>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pStyle w:val="2"/>
        <w:ind w:firstLine="560" w:firstLineChars="200"/>
      </w:pPr>
      <w:r>
        <w:rPr>
          <w:rFonts w:hint="eastAsia" w:ascii="宋体" w:hAnsi="宋体"/>
          <w:sz w:val="28"/>
          <w:szCs w:val="28"/>
        </w:rPr>
        <w:t>十、有关部门（机构）制定的其他评审工作纪律。</w:t>
      </w:r>
    </w:p>
    <w:p/>
    <w:p>
      <w:pPr>
        <w:pStyle w:val="2"/>
      </w:pPr>
    </w:p>
    <w:p/>
    <w:p>
      <w:pPr>
        <w:pStyle w:val="2"/>
      </w:pPr>
    </w:p>
    <w:p/>
    <w:p>
      <w:pPr>
        <w:pStyle w:val="2"/>
      </w:pPr>
    </w:p>
    <w:p>
      <w:pPr>
        <w:pStyle w:val="2"/>
      </w:pPr>
    </w:p>
    <w:p>
      <w:pPr>
        <w:pStyle w:val="3"/>
        <w:numPr>
          <w:ilvl w:val="0"/>
          <w:numId w:val="1"/>
        </w:numPr>
        <w:spacing w:before="0" w:after="0"/>
        <w:ind w:left="0" w:firstLine="0"/>
      </w:pPr>
      <w:bookmarkStart w:id="180" w:name="_Toc3286"/>
      <w:r>
        <w:rPr>
          <w:rFonts w:hint="eastAsia"/>
        </w:rPr>
        <w:t>政府</w:t>
      </w:r>
      <w:r>
        <w:t>采购</w:t>
      </w:r>
      <w:r>
        <w:rPr>
          <w:rFonts w:hint="eastAsia"/>
        </w:rPr>
        <w:t>合同草案</w:t>
      </w:r>
      <w:bookmarkEnd w:id="180"/>
    </w:p>
    <w:p>
      <w:pPr>
        <w:spacing w:line="360" w:lineRule="auto"/>
        <w:jc w:val="center"/>
        <w:rPr>
          <w:rFonts w:ascii="宋体" w:hAnsi="宋体" w:cs="宋体"/>
          <w:sz w:val="32"/>
          <w:szCs w:val="32"/>
        </w:rPr>
      </w:pPr>
      <w:bookmarkStart w:id="181" w:name="_Toc337558811"/>
      <w:bookmarkStart w:id="182" w:name="_Toc296503113"/>
      <w:bookmarkStart w:id="183" w:name="_Toc296346614"/>
    </w:p>
    <w:bookmarkEnd w:id="181"/>
    <w:bookmarkEnd w:id="182"/>
    <w:bookmarkEnd w:id="183"/>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合同编号：</w:t>
      </w:r>
      <w:r>
        <w:rPr>
          <w:rFonts w:ascii="仿宋_GB2312" w:eastAsia="仿宋_GB2312" w:cs="仿宋_GB2312"/>
          <w:sz w:val="32"/>
          <w:szCs w:val="32"/>
        </w:rPr>
        <w:t>XXXX</w:t>
      </w:r>
      <w:r>
        <w:rPr>
          <w:rFonts w:hint="eastAsia" w:ascii="仿宋_GB2312" w:eastAsia="仿宋_GB2312" w:cs="仿宋_GB2312"/>
          <w:sz w:val="32"/>
          <w:szCs w:val="32"/>
        </w:rPr>
        <w:t>。</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签订地点：</w:t>
      </w:r>
      <w:r>
        <w:rPr>
          <w:rFonts w:ascii="仿宋_GB2312" w:eastAsia="仿宋_GB2312" w:cs="仿宋_GB2312"/>
          <w:sz w:val="32"/>
          <w:szCs w:val="32"/>
        </w:rPr>
        <w:t>XXXX</w:t>
      </w:r>
      <w:r>
        <w:rPr>
          <w:rFonts w:hint="eastAsia" w:ascii="仿宋_GB2312" w:eastAsia="仿宋_GB2312" w:cs="仿宋_GB2312"/>
          <w:sz w:val="32"/>
          <w:szCs w:val="32"/>
        </w:rPr>
        <w:t>。</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签订时间：</w:t>
      </w:r>
      <w:r>
        <w:rPr>
          <w:rFonts w:ascii="仿宋_GB2312" w:eastAsia="仿宋_GB2312" w:cs="仿宋_GB2312"/>
          <w:sz w:val="32"/>
          <w:szCs w:val="32"/>
        </w:rPr>
        <w:t>XXXX</w:t>
      </w:r>
      <w:r>
        <w:rPr>
          <w:rFonts w:hint="eastAsia" w:ascii="仿宋_GB2312" w:eastAsia="仿宋_GB2312" w:cs="仿宋_GB2312"/>
          <w:sz w:val="32"/>
          <w:szCs w:val="32"/>
        </w:rPr>
        <w:t>年</w:t>
      </w:r>
      <w:r>
        <w:rPr>
          <w:rFonts w:ascii="仿宋_GB2312" w:eastAsia="仿宋_GB2312" w:cs="仿宋_GB2312"/>
          <w:sz w:val="32"/>
          <w:szCs w:val="32"/>
        </w:rPr>
        <w:t>XX</w:t>
      </w:r>
      <w:r>
        <w:rPr>
          <w:rFonts w:hint="eastAsia" w:ascii="仿宋_GB2312" w:eastAsia="仿宋_GB2312" w:cs="仿宋_GB2312"/>
          <w:sz w:val="32"/>
          <w:szCs w:val="32"/>
        </w:rPr>
        <w:t>月</w:t>
      </w:r>
      <w:r>
        <w:rPr>
          <w:rFonts w:ascii="仿宋_GB2312" w:eastAsia="仿宋_GB2312" w:cs="仿宋_GB2312"/>
          <w:sz w:val="32"/>
          <w:szCs w:val="32"/>
        </w:rPr>
        <w:t>XX</w:t>
      </w:r>
      <w:r>
        <w:rPr>
          <w:rFonts w:hint="eastAsia" w:ascii="仿宋_GB2312" w:eastAsia="仿宋_GB2312" w:cs="仿宋_GB2312"/>
          <w:sz w:val="32"/>
          <w:szCs w:val="32"/>
        </w:rPr>
        <w:t>日。</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采购人（甲方）：</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供应商（乙方）：</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根据《中华人民共和国政府采购法》、《中华人民共和国合同法》及</w:t>
      </w:r>
      <w:r>
        <w:rPr>
          <w:rFonts w:ascii="仿宋_GB2312" w:eastAsia="仿宋_GB2312" w:cs="仿宋_GB2312"/>
          <w:sz w:val="32"/>
          <w:szCs w:val="32"/>
        </w:rPr>
        <w:t>XXXX</w:t>
      </w:r>
      <w:r>
        <w:rPr>
          <w:rFonts w:hint="eastAsia" w:ascii="仿宋_GB2312" w:eastAsia="仿宋_GB2312" w:cs="仿宋_GB2312"/>
          <w:sz w:val="32"/>
          <w:szCs w:val="32"/>
        </w:rPr>
        <w:t>采购项目（项目编号：</w:t>
      </w:r>
      <w:r>
        <w:rPr>
          <w:rFonts w:ascii="仿宋_GB2312" w:eastAsia="仿宋_GB2312" w:cs="仿宋_GB2312"/>
          <w:sz w:val="32"/>
          <w:szCs w:val="32"/>
        </w:rPr>
        <w:t>XX</w:t>
      </w:r>
      <w:r>
        <w:rPr>
          <w:rFonts w:hint="eastAsia" w:ascii="仿宋_GB2312" w:eastAsia="仿宋_GB2312" w:cs="仿宋_GB2312"/>
          <w:sz w:val="32"/>
          <w:szCs w:val="32"/>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widowControl/>
        <w:spacing w:line="560" w:lineRule="exact"/>
        <w:ind w:firstLine="640" w:firstLineChars="200"/>
        <w:jc w:val="left"/>
        <w:rPr>
          <w:rFonts w:ascii="黑体" w:hAnsi="黑体" w:eastAsia="黑体"/>
          <w:sz w:val="32"/>
          <w:szCs w:val="32"/>
        </w:rPr>
      </w:pPr>
      <w:r>
        <w:rPr>
          <w:rFonts w:hint="eastAsia" w:ascii="黑体" w:hAnsi="黑体" w:eastAsia="黑体" w:cs="黑体"/>
          <w:sz w:val="32"/>
          <w:szCs w:val="32"/>
        </w:rPr>
        <w:t>一、合同货物</w:t>
      </w:r>
    </w:p>
    <w:tbl>
      <w:tblPr>
        <w:tblStyle w:val="45"/>
        <w:tblW w:w="9030" w:type="dxa"/>
        <w:tblInd w:w="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83" w:hRule="atLeast"/>
        </w:trPr>
        <w:tc>
          <w:tcPr>
            <w:tcW w:w="1575" w:type="dxa"/>
            <w:tcBorders>
              <w:top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r>
              <w:rPr>
                <w:rFonts w:hint="eastAsia" w:ascii="黑体" w:eastAsia="黑体" w:cs="黑体"/>
              </w:rPr>
              <w:t>货物品名</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r>
              <w:rPr>
                <w:rFonts w:hint="eastAsia" w:ascii="黑体" w:eastAsia="黑体" w:cs="黑体"/>
              </w:rPr>
              <w:t>规格</w:t>
            </w:r>
          </w:p>
          <w:p>
            <w:pPr>
              <w:widowControl/>
              <w:spacing w:line="360" w:lineRule="exact"/>
              <w:jc w:val="center"/>
              <w:rPr>
                <w:rFonts w:ascii="黑体" w:eastAsia="黑体"/>
              </w:rPr>
            </w:pPr>
            <w:r>
              <w:rPr>
                <w:rFonts w:hint="eastAsia" w:ascii="黑体" w:eastAsia="黑体" w:cs="黑体"/>
              </w:rPr>
              <w:t>型号</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r>
              <w:rPr>
                <w:rFonts w:hint="eastAsia" w:ascii="黑体" w:eastAsia="黑体" w:cs="黑体"/>
              </w:rPr>
              <w:t>单位</w:t>
            </w:r>
          </w:p>
        </w:tc>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r>
              <w:rPr>
                <w:rFonts w:hint="eastAsia" w:ascii="黑体" w:eastAsia="黑体" w:cs="黑体"/>
              </w:rPr>
              <w:t>数量</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r>
              <w:rPr>
                <w:rFonts w:hint="eastAsia" w:ascii="黑体" w:eastAsia="黑体" w:cs="黑体"/>
              </w:rPr>
              <w:t>单价</w:t>
            </w:r>
          </w:p>
          <w:p>
            <w:pPr>
              <w:widowControl/>
              <w:spacing w:line="360" w:lineRule="exact"/>
              <w:jc w:val="center"/>
              <w:rPr>
                <w:rFonts w:ascii="黑体" w:eastAsia="黑体"/>
              </w:rPr>
            </w:pPr>
            <w:r>
              <w:rPr>
                <w:rFonts w:hint="eastAsia" w:ascii="黑体" w:eastAsia="黑体" w:cs="黑体"/>
              </w:rPr>
              <w:t>（万元）</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r>
              <w:rPr>
                <w:rFonts w:hint="eastAsia" w:ascii="黑体" w:eastAsia="黑体" w:cs="黑体"/>
              </w:rPr>
              <w:t>总价</w:t>
            </w:r>
          </w:p>
          <w:p>
            <w:pPr>
              <w:widowControl/>
              <w:spacing w:line="360" w:lineRule="exact"/>
              <w:jc w:val="center"/>
              <w:rPr>
                <w:rFonts w:ascii="黑体" w:eastAsia="黑体"/>
              </w:rPr>
            </w:pPr>
            <w:r>
              <w:rPr>
                <w:rFonts w:hint="eastAsia" w:ascii="黑体" w:eastAsia="黑体" w:cs="黑体"/>
              </w:rPr>
              <w:t>（万元）</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r>
              <w:rPr>
                <w:rFonts w:hint="eastAsia" w:ascii="黑体" w:eastAsia="黑体" w:cs="黑体"/>
              </w:rPr>
              <w:t>随机</w:t>
            </w:r>
          </w:p>
          <w:p>
            <w:pPr>
              <w:widowControl/>
              <w:spacing w:line="360" w:lineRule="exact"/>
              <w:jc w:val="center"/>
              <w:rPr>
                <w:rFonts w:ascii="黑体" w:eastAsia="黑体"/>
              </w:rPr>
            </w:pPr>
            <w:r>
              <w:rPr>
                <w:rFonts w:hint="eastAsia" w:ascii="黑体" w:eastAsia="黑体" w:cs="黑体"/>
              </w:rPr>
              <w:t>配件</w:t>
            </w:r>
          </w:p>
        </w:tc>
        <w:tc>
          <w:tcPr>
            <w:tcW w:w="1260" w:type="dxa"/>
            <w:tcBorders>
              <w:top w:val="single" w:color="auto" w:sz="4" w:space="0"/>
              <w:left w:val="single" w:color="auto" w:sz="4" w:space="0"/>
              <w:bottom w:val="single" w:color="auto" w:sz="4" w:space="0"/>
            </w:tcBorders>
            <w:noWrap w:val="0"/>
            <w:vAlign w:val="center"/>
          </w:tcPr>
          <w:p>
            <w:pPr>
              <w:widowControl/>
              <w:spacing w:line="360" w:lineRule="exact"/>
              <w:jc w:val="center"/>
              <w:rPr>
                <w:rFonts w:ascii="黑体" w:eastAsia="黑体"/>
              </w:rPr>
            </w:pPr>
            <w:r>
              <w:rPr>
                <w:rFonts w:hint="eastAsia" w:ascii="黑体" w:eastAsia="黑体" w:cs="黑体"/>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1260" w:type="dxa"/>
            <w:tcBorders>
              <w:top w:val="single" w:color="auto" w:sz="4" w:space="0"/>
              <w:left w:val="single" w:color="auto" w:sz="4" w:space="0"/>
              <w:bottom w:val="single" w:color="auto" w:sz="4" w:space="0"/>
            </w:tcBorders>
            <w:noWrap w:val="0"/>
            <w:vAlign w:val="center"/>
          </w:tcPr>
          <w:p>
            <w:pPr>
              <w:widowControl/>
              <w:spacing w:line="360" w:lineRule="exact"/>
              <w:jc w:val="center"/>
              <w:rPr>
                <w:rFonts w:ascii="黑体" w:eastAsia="黑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黑体" w:eastAsia="黑体"/>
              </w:rPr>
            </w:pPr>
          </w:p>
        </w:tc>
        <w:tc>
          <w:tcPr>
            <w:tcW w:w="1260" w:type="dxa"/>
            <w:tcBorders>
              <w:top w:val="single" w:color="auto" w:sz="4" w:space="0"/>
              <w:left w:val="single" w:color="auto" w:sz="4" w:space="0"/>
              <w:bottom w:val="single" w:color="auto" w:sz="4" w:space="0"/>
            </w:tcBorders>
            <w:noWrap w:val="0"/>
            <w:vAlign w:val="center"/>
          </w:tcPr>
          <w:p>
            <w:pPr>
              <w:widowControl/>
              <w:spacing w:line="360" w:lineRule="exact"/>
              <w:jc w:val="center"/>
              <w:rPr>
                <w:rFonts w:ascii="黑体" w:eastAsia="黑体"/>
              </w:rPr>
            </w:pPr>
          </w:p>
        </w:tc>
      </w:tr>
    </w:tbl>
    <w:p>
      <w:pPr>
        <w:widowControl/>
        <w:spacing w:line="560" w:lineRule="exact"/>
        <w:ind w:firstLine="640" w:firstLineChars="200"/>
        <w:jc w:val="left"/>
        <w:rPr>
          <w:rFonts w:ascii="黑体" w:hAnsi="黑体" w:eastAsia="黑体"/>
          <w:sz w:val="32"/>
          <w:szCs w:val="32"/>
        </w:rPr>
      </w:pPr>
      <w:r>
        <w:rPr>
          <w:rFonts w:hint="eastAsia" w:ascii="黑体" w:hAnsi="黑体" w:eastAsia="黑体" w:cs="黑体"/>
          <w:sz w:val="32"/>
          <w:szCs w:val="32"/>
        </w:rPr>
        <w:t>二、合同总价</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合同总价为人民币大写：元，即</w:t>
      </w:r>
      <w:r>
        <w:rPr>
          <w:rFonts w:ascii="仿宋_GB2312" w:eastAsia="仿宋_GB2312" w:cs="仿宋_GB2312"/>
          <w:sz w:val="32"/>
          <w:szCs w:val="32"/>
        </w:rPr>
        <w:t>RMB</w:t>
      </w:r>
      <w:r>
        <w:rPr>
          <w:rFonts w:hint="eastAsia" w:ascii="仿宋_GB2312" w:eastAsia="仿宋_GB2312" w:cs="仿宋_GB2312"/>
          <w:sz w:val="32"/>
          <w:szCs w:val="32"/>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widowControl/>
        <w:spacing w:line="560" w:lineRule="exact"/>
        <w:ind w:firstLine="640" w:firstLineChars="200"/>
        <w:jc w:val="left"/>
        <w:rPr>
          <w:rFonts w:ascii="黑体" w:hAnsi="黑体" w:eastAsia="黑体"/>
          <w:sz w:val="32"/>
          <w:szCs w:val="32"/>
        </w:rPr>
      </w:pPr>
      <w:r>
        <w:rPr>
          <w:rFonts w:hint="eastAsia" w:ascii="黑体" w:hAnsi="黑体" w:eastAsia="黑体" w:cs="黑体"/>
          <w:sz w:val="32"/>
          <w:szCs w:val="32"/>
        </w:rPr>
        <w:t>三、质量要求</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、乙方须提供全新的货物（含零部件、配件等），表面无划伤、无碰撞痕迹，且权属清楚，不得侵害他人的知识产权。</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、货物必须符合或优于国家（行业）标准，以及本项目招标文件的质量要求和技术指标与出厂标准。</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、乙方须在本合同签订之日起日内送交货物成品样品给甲方确认，在甲方出具样品确认书并封存成品样品外观尺寸后，乙方才能按样生产，并以此样品作为验收样品；每台货物上均应有产品质量检验合格标志。</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、货物制造质量出现问题，乙方应负责三包（包修、包换、包退），费用由乙方负担，甲方有权到乙方生产场地检查货物质量和生产进度。</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、货到现场后由于甲方保管不当造成的质量问题，乙方亦应负责修理，但费用由甲方负担。</w:t>
      </w:r>
    </w:p>
    <w:p>
      <w:pPr>
        <w:widowControl/>
        <w:spacing w:line="560" w:lineRule="exact"/>
        <w:ind w:firstLine="640" w:firstLineChars="200"/>
        <w:jc w:val="left"/>
        <w:rPr>
          <w:rFonts w:ascii="黑体" w:hAnsi="黑体" w:eastAsia="黑体"/>
          <w:sz w:val="32"/>
          <w:szCs w:val="32"/>
        </w:rPr>
      </w:pPr>
      <w:r>
        <w:rPr>
          <w:rFonts w:hint="eastAsia" w:ascii="黑体" w:hAnsi="黑体" w:eastAsia="黑体" w:cs="黑体"/>
          <w:sz w:val="32"/>
          <w:szCs w:val="32"/>
        </w:rPr>
        <w:t>四、交货及验收</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、乙方交货期限为合同签订生效后的</w:t>
      </w:r>
      <w:r>
        <w:rPr>
          <w:rFonts w:ascii="仿宋_GB2312" w:eastAsia="仿宋_GB2312" w:cs="仿宋_GB2312"/>
          <w:sz w:val="32"/>
          <w:szCs w:val="32"/>
        </w:rPr>
        <w:t>XX</w:t>
      </w:r>
      <w:r>
        <w:rPr>
          <w:rFonts w:hint="eastAsia" w:ascii="仿宋_GB2312" w:eastAsia="仿宋_GB2312" w:cs="仿宋_GB2312"/>
          <w:sz w:val="32"/>
          <w:szCs w:val="32"/>
        </w:rPr>
        <w:t>日内，在合同签订生效之日起</w:t>
      </w:r>
      <w:r>
        <w:rPr>
          <w:rFonts w:ascii="仿宋_GB2312" w:eastAsia="仿宋_GB2312" w:cs="仿宋_GB2312"/>
          <w:sz w:val="32"/>
          <w:szCs w:val="32"/>
        </w:rPr>
        <w:t>XX</w:t>
      </w:r>
      <w:r>
        <w:rPr>
          <w:rFonts w:hint="eastAsia" w:ascii="仿宋_GB2312" w:eastAsia="仿宋_GB2312" w:cs="仿宋_GB2312"/>
          <w:sz w:val="32"/>
          <w:szCs w:val="32"/>
        </w:rPr>
        <w:t>天内交货到甲方指定地点，随即在</w:t>
      </w:r>
      <w:r>
        <w:rPr>
          <w:rFonts w:ascii="仿宋_GB2312" w:eastAsia="仿宋_GB2312" w:cs="仿宋_GB2312"/>
          <w:sz w:val="32"/>
          <w:szCs w:val="32"/>
        </w:rPr>
        <w:t>XX</w:t>
      </w:r>
      <w:r>
        <w:rPr>
          <w:rFonts w:hint="eastAsia" w:ascii="仿宋_GB2312" w:eastAsia="仿宋_GB2312" w:cs="仿宋_GB2312"/>
          <w:sz w:val="32"/>
          <w:szCs w:val="32"/>
        </w:rPr>
        <w:t>日内全部完成安装调试验收合格交付使用，并且最迟应在</w:t>
      </w:r>
      <w:r>
        <w:rPr>
          <w:rFonts w:ascii="仿宋_GB2312" w:eastAsia="仿宋_GB2312" w:cs="仿宋_GB2312"/>
          <w:sz w:val="32"/>
          <w:szCs w:val="32"/>
        </w:rPr>
        <w:t>XX</w:t>
      </w:r>
      <w:r>
        <w:rPr>
          <w:rFonts w:hint="eastAsia" w:ascii="仿宋_GB2312" w:eastAsia="仿宋_GB2312" w:cs="仿宋_GB2312"/>
          <w:sz w:val="32"/>
          <w:szCs w:val="32"/>
        </w:rPr>
        <w:t>年</w:t>
      </w:r>
      <w:r>
        <w:rPr>
          <w:rFonts w:ascii="仿宋_GB2312" w:eastAsia="仿宋_GB2312" w:cs="仿宋_GB2312"/>
          <w:sz w:val="32"/>
          <w:szCs w:val="32"/>
        </w:rPr>
        <w:t>XX</w:t>
      </w:r>
      <w:r>
        <w:rPr>
          <w:rFonts w:hint="eastAsia" w:ascii="仿宋_GB2312" w:eastAsia="仿宋_GB2312" w:cs="仿宋_GB2312"/>
          <w:sz w:val="32"/>
          <w:szCs w:val="32"/>
        </w:rPr>
        <w:t>月</w:t>
      </w:r>
      <w:r>
        <w:rPr>
          <w:rFonts w:ascii="仿宋_GB2312" w:eastAsia="仿宋_GB2312" w:cs="仿宋_GB2312"/>
          <w:sz w:val="32"/>
          <w:szCs w:val="32"/>
        </w:rPr>
        <w:t>XX</w:t>
      </w:r>
      <w:r>
        <w:rPr>
          <w:rFonts w:hint="eastAsia" w:ascii="仿宋_GB2312" w:eastAsia="仿宋_GB2312" w:cs="仿宋_GB2312"/>
          <w:sz w:val="32"/>
          <w:szCs w:val="32"/>
        </w:rPr>
        <w:t>日前全部完成安装调试验收合格交付使用</w:t>
      </w:r>
      <w:r>
        <w:rPr>
          <w:rFonts w:ascii="仿宋_GB2312" w:eastAsia="仿宋_GB2312" w:cs="仿宋_GB2312"/>
          <w:sz w:val="32"/>
          <w:szCs w:val="32"/>
        </w:rPr>
        <w:t>(</w:t>
      </w:r>
      <w:r>
        <w:rPr>
          <w:rFonts w:hint="eastAsia" w:ascii="仿宋_GB2312" w:eastAsia="仿宋_GB2312" w:cs="仿宋_GB2312"/>
          <w:sz w:val="32"/>
          <w:szCs w:val="32"/>
        </w:rPr>
        <w:t>如由于采购人的原因造成合同延迟签订或验收的，时间顺延</w:t>
      </w:r>
      <w:r>
        <w:rPr>
          <w:rFonts w:ascii="仿宋_GB2312" w:eastAsia="仿宋_GB2312" w:cs="仿宋_GB2312"/>
          <w:sz w:val="32"/>
          <w:szCs w:val="32"/>
        </w:rPr>
        <w:t>)</w:t>
      </w:r>
      <w:r>
        <w:rPr>
          <w:rFonts w:hint="eastAsia" w:ascii="仿宋_GB2312" w:eastAsia="仿宋_GB2312" w:cs="仿宋_GB2312"/>
          <w:sz w:val="32"/>
          <w:szCs w:val="32"/>
        </w:rPr>
        <w:t>。交货验收时须提供产品质检部门从同类产品中抽样检查合格的检测报告。</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、验收由甲方组织，乙方配合进行：</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货物在乙方通知安装调试完毕后日内初步验收。初步验收合格后，进入试用期；试用期间发生重大质量问题，修复后试用相应顺延；试用期结束后日内完成最终验收；</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如质量验收合格，双方签署质量验收报告。</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、货物安装完成后日内，甲方无故不进行验收工作并已使用货物的，视同已安装调试完成并验收合格。</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、乙方应将所提供货物的装箱清单、配件、随机工具、用户使用手册、原厂保修卡等资料交付给甲方；乙方不能完整交付货物及本款规定的单证和工具的，必须负责补齐，否则视为未按合同约定交货。</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、如货物经乙方次维修仍不能达到合同约定的质量标准，甲方有权退货，并视作乙方不能交付货物而须支付违约赔偿金给甲方，甲方还可依法追究乙方的违约责任。</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6</w:t>
      </w:r>
      <w:r>
        <w:rPr>
          <w:rFonts w:hint="eastAsia" w:ascii="仿宋_GB2312" w:eastAsia="仿宋_GB2312" w:cs="仿宋_GB2312"/>
          <w:sz w:val="32"/>
          <w:szCs w:val="32"/>
        </w:rPr>
        <w:t>、其他未尽事宜应严格按照《彭州市政府采购项目需求论证和履约验收管理办法》（川财采〔</w:t>
      </w:r>
      <w:r>
        <w:rPr>
          <w:rFonts w:ascii="仿宋_GB2312" w:eastAsia="仿宋_GB2312" w:cs="仿宋_GB2312"/>
          <w:sz w:val="32"/>
          <w:szCs w:val="32"/>
        </w:rPr>
        <w:t>2015</w:t>
      </w:r>
      <w:r>
        <w:rPr>
          <w:rFonts w:hint="eastAsia" w:ascii="仿宋_GB2312" w:eastAsia="仿宋_GB2312" w:cs="仿宋_GB2312"/>
          <w:sz w:val="32"/>
          <w:szCs w:val="32"/>
        </w:rPr>
        <w:t>〕</w:t>
      </w:r>
      <w:r>
        <w:rPr>
          <w:rFonts w:ascii="仿宋_GB2312" w:eastAsia="仿宋_GB2312" w:cs="仿宋_GB2312"/>
          <w:sz w:val="32"/>
          <w:szCs w:val="32"/>
        </w:rPr>
        <w:t>32</w:t>
      </w:r>
      <w:r>
        <w:rPr>
          <w:rFonts w:hint="eastAsia" w:ascii="仿宋_GB2312" w:eastAsia="仿宋_GB2312" w:cs="仿宋_GB2312"/>
          <w:sz w:val="32"/>
          <w:szCs w:val="32"/>
        </w:rPr>
        <w:t>号）的要求进行。</w:t>
      </w:r>
    </w:p>
    <w:p>
      <w:pPr>
        <w:widowControl/>
        <w:spacing w:line="560" w:lineRule="exact"/>
        <w:ind w:firstLine="640" w:firstLineChars="200"/>
        <w:jc w:val="left"/>
        <w:rPr>
          <w:rFonts w:ascii="黑体" w:hAnsi="黑体" w:eastAsia="黑体"/>
          <w:sz w:val="32"/>
          <w:szCs w:val="32"/>
        </w:rPr>
      </w:pPr>
      <w:r>
        <w:rPr>
          <w:rFonts w:hint="eastAsia" w:ascii="黑体" w:hAnsi="黑体" w:eastAsia="黑体" w:cs="黑体"/>
          <w:sz w:val="32"/>
          <w:szCs w:val="32"/>
        </w:rPr>
        <w:t>五、付款方式</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widowControl/>
        <w:spacing w:line="560" w:lineRule="exact"/>
        <w:ind w:firstLine="640" w:firstLineChars="200"/>
        <w:jc w:val="left"/>
        <w:rPr>
          <w:rFonts w:hint="eastAsia" w:ascii="仿宋_GB2312" w:eastAsia="仿宋_GB2312" w:cs="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、乙方须向甲方出具合法有效完整的完税发票及凭证资料进行支付结算。</w:t>
      </w:r>
    </w:p>
    <w:p>
      <w:pPr>
        <w:pStyle w:val="2"/>
        <w:ind w:firstLine="640" w:firstLineChars="200"/>
        <w:rPr>
          <w:rFonts w:eastAsia="仿宋_GB2312"/>
        </w:rPr>
      </w:pPr>
      <w:r>
        <w:rPr>
          <w:rFonts w:hint="eastAsia" w:ascii="仿宋_GB2312" w:eastAsia="仿宋_GB2312" w:cs="仿宋_GB2312"/>
          <w:sz w:val="32"/>
          <w:szCs w:val="32"/>
        </w:rPr>
        <w:t>3.本项目接受中标供应商以政府采购信用融资方式履约。</w:t>
      </w:r>
    </w:p>
    <w:p>
      <w:pPr>
        <w:widowControl/>
        <w:spacing w:line="560" w:lineRule="exact"/>
        <w:ind w:firstLine="640" w:firstLineChars="200"/>
        <w:jc w:val="left"/>
        <w:rPr>
          <w:rFonts w:ascii="黑体" w:hAnsi="黑体" w:eastAsia="黑体"/>
          <w:sz w:val="32"/>
          <w:szCs w:val="32"/>
        </w:rPr>
      </w:pPr>
      <w:r>
        <w:rPr>
          <w:rFonts w:hint="eastAsia" w:ascii="黑体" w:hAnsi="黑体" w:eastAsia="黑体" w:cs="黑体"/>
          <w:sz w:val="32"/>
          <w:szCs w:val="32"/>
        </w:rPr>
        <w:t>六、售后服务</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、质保期为验收合格后</w:t>
      </w:r>
      <w:r>
        <w:rPr>
          <w:rFonts w:ascii="仿宋_GB2312" w:eastAsia="仿宋_GB2312" w:cs="仿宋_GB2312"/>
          <w:sz w:val="32"/>
          <w:szCs w:val="32"/>
        </w:rPr>
        <w:t>XX</w:t>
      </w:r>
      <w:r>
        <w:rPr>
          <w:rFonts w:hint="eastAsia" w:ascii="仿宋_GB2312" w:eastAsia="仿宋_GB2312" w:cs="仿宋_GB2312"/>
          <w:sz w:val="32"/>
          <w:szCs w:val="32"/>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、乙方须指派专人负责与甲方联系售后服务事宜。</w:t>
      </w:r>
    </w:p>
    <w:p>
      <w:pPr>
        <w:widowControl/>
        <w:spacing w:line="560" w:lineRule="exact"/>
        <w:ind w:firstLine="640" w:firstLineChars="200"/>
        <w:jc w:val="left"/>
        <w:rPr>
          <w:rFonts w:ascii="黑体" w:hAnsi="黑体" w:eastAsia="黑体"/>
          <w:sz w:val="32"/>
          <w:szCs w:val="32"/>
        </w:rPr>
      </w:pPr>
      <w:r>
        <w:rPr>
          <w:rFonts w:hint="eastAsia" w:ascii="黑体" w:hAnsi="黑体" w:eastAsia="黑体" w:cs="黑体"/>
          <w:sz w:val="32"/>
          <w:szCs w:val="32"/>
        </w:rPr>
        <w:t>七、违约责任</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、甲方违约责任</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）甲方无正当理由拒收货物的，甲方应偿付合同总价百分之的违约金；</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）甲方逾期支付货款的，除应及时付足货款外，应向乙方偿付欠款总额万分之</w:t>
      </w:r>
      <w:r>
        <w:rPr>
          <w:rFonts w:ascii="仿宋_GB2312" w:eastAsia="仿宋_GB2312" w:cs="仿宋_GB2312"/>
          <w:sz w:val="32"/>
          <w:szCs w:val="32"/>
        </w:rPr>
        <w:t>/</w:t>
      </w:r>
      <w:r>
        <w:rPr>
          <w:rFonts w:hint="eastAsia" w:ascii="仿宋_GB2312" w:eastAsia="仿宋_GB2312" w:cs="仿宋_GB2312"/>
          <w:sz w:val="32"/>
          <w:szCs w:val="32"/>
        </w:rPr>
        <w:t>天的违约金；逾期付款超过天的，乙方有权终止合同；</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）甲方偿付的违约金不足以弥补乙方损失的，还应按乙方损失尚未弥补的部分，支付赔偿金给乙方。</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、乙方违约责任</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）乙方交付的货物质量不符合合同规定的，乙方应向甲方支付合同总价的百分之的违约金，并须在合同规定的交货时间内更换合格的货物给甲方，否则，视作乙方不能交付货物而违约，按本条本款下述第“（</w:t>
      </w:r>
      <w:r>
        <w:rPr>
          <w:rFonts w:ascii="仿宋_GB2312" w:eastAsia="仿宋_GB2312" w:cs="仿宋_GB2312"/>
          <w:sz w:val="32"/>
          <w:szCs w:val="32"/>
        </w:rPr>
        <w:t>2</w:t>
      </w:r>
      <w:r>
        <w:rPr>
          <w:rFonts w:hint="eastAsia" w:ascii="仿宋_GB2312" w:eastAsia="仿宋_GB2312" w:cs="仿宋_GB2312"/>
          <w:sz w:val="32"/>
          <w:szCs w:val="32"/>
        </w:rPr>
        <w:t>）”项规定由乙方偿付违约赔偿金给甲方。</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）乙方不能交付货物或逾期交付货物而违约的，除应及时交足货物外，应向甲方偿付逾期交货部分货款总额的万分之</w:t>
      </w:r>
      <w:r>
        <w:rPr>
          <w:rFonts w:ascii="仿宋_GB2312" w:eastAsia="仿宋_GB2312" w:cs="仿宋_GB2312"/>
          <w:sz w:val="32"/>
          <w:szCs w:val="32"/>
        </w:rPr>
        <w:t>/</w:t>
      </w:r>
      <w:r>
        <w:rPr>
          <w:rFonts w:hint="eastAsia" w:ascii="仿宋_GB2312" w:eastAsia="仿宋_GB2312" w:cs="仿宋_GB2312"/>
          <w:sz w:val="32"/>
          <w:szCs w:val="32"/>
        </w:rPr>
        <w:t>天的违约金；逾期交货超过</w:t>
      </w:r>
      <w:r>
        <w:rPr>
          <w:rFonts w:ascii="仿宋_GB2312" w:eastAsia="仿宋_GB2312" w:cs="仿宋_GB2312"/>
          <w:sz w:val="32"/>
          <w:szCs w:val="32"/>
        </w:rPr>
        <w:t>XX</w:t>
      </w:r>
      <w:r>
        <w:rPr>
          <w:rFonts w:hint="eastAsia" w:ascii="仿宋_GB2312" w:eastAsia="仿宋_GB2312" w:cs="仿宋_GB2312"/>
          <w:sz w:val="32"/>
          <w:szCs w:val="32"/>
        </w:rPr>
        <w:t>天，甲方有权终止合同，乙方则应按合同总价的百分之的款额向甲方偿付赔偿金，并须全额退还甲方已经付给乙方的货款及其利息。</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5</w:t>
      </w:r>
      <w:r>
        <w:rPr>
          <w:rFonts w:hint="eastAsia" w:ascii="仿宋_GB2312" w:eastAsia="仿宋_GB2312" w:cs="仿宋_GB2312"/>
          <w:sz w:val="32"/>
          <w:szCs w:val="32"/>
        </w:rPr>
        <w:t>）乙方偿付的违约金不足以弥补甲方损失的，还应按甲方损失尚未弥补的部分，支付赔偿金给甲方。</w:t>
      </w:r>
    </w:p>
    <w:p>
      <w:pPr>
        <w:widowControl/>
        <w:spacing w:line="560" w:lineRule="exact"/>
        <w:ind w:firstLine="640" w:firstLineChars="200"/>
        <w:jc w:val="left"/>
        <w:rPr>
          <w:rFonts w:ascii="黑体" w:hAnsi="黑体" w:eastAsia="黑体"/>
          <w:sz w:val="32"/>
          <w:szCs w:val="32"/>
        </w:rPr>
      </w:pPr>
      <w:r>
        <w:rPr>
          <w:rFonts w:hint="eastAsia" w:ascii="黑体" w:hAnsi="黑体" w:eastAsia="黑体" w:cs="黑体"/>
          <w:sz w:val="32"/>
          <w:szCs w:val="32"/>
        </w:rPr>
        <w:t>八、争议解决办法</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、因货物的质量问题发生争议，由质量技术监督部门或其指定的质量鉴定机构进行质量鉴定。货物符合标准的，鉴定费由甲方承担；货物不符合质量标准的，鉴定费由乙方承担。</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、合同履行期间</w:t>
      </w:r>
      <w:r>
        <w:rPr>
          <w:rFonts w:ascii="仿宋_GB2312" w:eastAsia="仿宋_GB2312" w:cs="仿宋_GB2312"/>
          <w:sz w:val="32"/>
          <w:szCs w:val="32"/>
        </w:rPr>
        <w:t>,</w:t>
      </w:r>
      <w:r>
        <w:rPr>
          <w:rFonts w:hint="eastAsia" w:ascii="仿宋_GB2312" w:eastAsia="仿宋_GB2312" w:cs="仿宋_GB2312"/>
          <w:sz w:val="32"/>
          <w:szCs w:val="32"/>
        </w:rPr>
        <w:t>若双方发生争议，可协商或由有关部门调解解决，协商或调解不成的，由当事人依法维护其合法权益。</w:t>
      </w:r>
    </w:p>
    <w:p>
      <w:pPr>
        <w:widowControl/>
        <w:spacing w:line="560" w:lineRule="exact"/>
        <w:ind w:firstLine="640" w:firstLineChars="200"/>
        <w:jc w:val="left"/>
        <w:rPr>
          <w:rFonts w:ascii="黑体" w:hAnsi="黑体" w:eastAsia="黑体"/>
          <w:sz w:val="32"/>
          <w:szCs w:val="32"/>
        </w:rPr>
      </w:pPr>
      <w:r>
        <w:rPr>
          <w:rFonts w:hint="eastAsia" w:ascii="黑体" w:hAnsi="黑体" w:eastAsia="黑体" w:cs="黑体"/>
          <w:sz w:val="32"/>
          <w:szCs w:val="32"/>
        </w:rPr>
        <w:t>九、其他</w:t>
      </w:r>
    </w:p>
    <w:p>
      <w:pPr>
        <w:widowControl/>
        <w:spacing w:line="560" w:lineRule="exact"/>
        <w:ind w:firstLine="640" w:firstLineChars="200"/>
        <w:jc w:val="left"/>
        <w:rPr>
          <w:rFonts w:hint="eastAsia"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、本合同文本未进一步细化明确的，签定正式合同前可双方协商补充。其他如有未尽事宜，双方还可依法订立补充合同。</w:t>
      </w:r>
    </w:p>
    <w:p>
      <w:pPr>
        <w:widowControl/>
        <w:spacing w:line="560" w:lineRule="exact"/>
        <w:ind w:firstLine="640" w:firstLineChars="200"/>
        <w:jc w:val="left"/>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、本合同一式六份，自双方签章之日起生效。甲方三份，乙方、政府采购管理部门、采购代理机构各一份。</w:t>
      </w:r>
    </w:p>
    <w:p>
      <w:pPr>
        <w:widowControl/>
        <w:spacing w:line="560" w:lineRule="exact"/>
        <w:ind w:firstLine="627" w:firstLineChars="196"/>
        <w:jc w:val="left"/>
        <w:rPr>
          <w:rFonts w:hint="eastAsia" w:ascii="仿宋_GB2312" w:eastAsia="仿宋_GB2312" w:cs="仿宋_GB2312"/>
          <w:sz w:val="32"/>
          <w:szCs w:val="32"/>
        </w:rPr>
      </w:pPr>
    </w:p>
    <w:p>
      <w:pPr>
        <w:widowControl/>
        <w:spacing w:line="560" w:lineRule="exact"/>
        <w:ind w:firstLine="627" w:firstLineChars="196"/>
        <w:jc w:val="left"/>
        <w:rPr>
          <w:rFonts w:ascii="仿宋_GB2312" w:eastAsia="仿宋_GB2312"/>
          <w:sz w:val="32"/>
          <w:szCs w:val="32"/>
        </w:rPr>
      </w:pPr>
      <w:r>
        <w:rPr>
          <w:rFonts w:hint="eastAsia" w:ascii="仿宋_GB2312" w:eastAsia="仿宋_GB2312" w:cs="仿宋_GB2312"/>
          <w:sz w:val="32"/>
          <w:szCs w:val="32"/>
        </w:rPr>
        <w:t>甲方：（盖章）　</w:t>
      </w:r>
      <w:r>
        <w:rPr>
          <w:rFonts w:ascii="仿宋_GB2312" w:eastAsia="仿宋_GB2312" w:cs="仿宋_GB2312"/>
          <w:sz w:val="32"/>
          <w:szCs w:val="32"/>
        </w:rPr>
        <w:t>　　　　</w:t>
      </w:r>
      <w:r>
        <w:rPr>
          <w:rFonts w:hint="eastAsia" w:ascii="仿宋_GB2312" w:eastAsia="仿宋_GB2312" w:cs="仿宋_GB2312"/>
          <w:sz w:val="32"/>
          <w:szCs w:val="32"/>
        </w:rPr>
        <w:t>乙方：（盖章）</w:t>
      </w:r>
    </w:p>
    <w:p>
      <w:pPr>
        <w:widowControl/>
        <w:spacing w:line="560" w:lineRule="exact"/>
        <w:ind w:firstLine="627" w:firstLineChars="196"/>
        <w:rPr>
          <w:rFonts w:ascii="仿宋_GB2312" w:eastAsia="仿宋_GB2312"/>
          <w:sz w:val="32"/>
          <w:szCs w:val="32"/>
        </w:rPr>
      </w:pPr>
      <w:r>
        <w:rPr>
          <w:rFonts w:hint="eastAsia" w:ascii="仿宋_GB2312" w:eastAsia="仿宋_GB2312" w:cs="仿宋_GB2312"/>
          <w:sz w:val="32"/>
          <w:szCs w:val="32"/>
        </w:rPr>
        <w:t>法定代表人（授权代表）：法定代表人（授权代表）：</w:t>
      </w:r>
    </w:p>
    <w:p>
      <w:pPr>
        <w:widowControl/>
        <w:spacing w:line="560" w:lineRule="exact"/>
        <w:ind w:firstLine="627" w:firstLineChars="196"/>
        <w:rPr>
          <w:rFonts w:ascii="仿宋_GB2312" w:eastAsia="仿宋_GB2312"/>
          <w:sz w:val="32"/>
          <w:szCs w:val="32"/>
        </w:rPr>
      </w:pPr>
      <w:r>
        <w:rPr>
          <w:rFonts w:hint="eastAsia" w:ascii="仿宋_GB2312" w:eastAsia="仿宋_GB2312" w:cs="仿宋_GB2312"/>
          <w:sz w:val="32"/>
          <w:szCs w:val="32"/>
        </w:rPr>
        <w:t>地址：　</w:t>
      </w:r>
      <w:r>
        <w:rPr>
          <w:rFonts w:ascii="仿宋_GB2312" w:eastAsia="仿宋_GB2312" w:cs="仿宋_GB2312"/>
          <w:sz w:val="32"/>
          <w:szCs w:val="32"/>
        </w:rPr>
        <w:t>　　　　　　　　</w:t>
      </w:r>
      <w:r>
        <w:rPr>
          <w:rFonts w:hint="eastAsia" w:ascii="仿宋_GB2312" w:eastAsia="仿宋_GB2312" w:cs="仿宋_GB2312"/>
          <w:sz w:val="32"/>
          <w:szCs w:val="32"/>
        </w:rPr>
        <w:t>地址：</w:t>
      </w:r>
    </w:p>
    <w:p>
      <w:pPr>
        <w:widowControl/>
        <w:spacing w:line="560" w:lineRule="exact"/>
        <w:ind w:firstLine="627" w:firstLineChars="196"/>
        <w:rPr>
          <w:rFonts w:ascii="仿宋_GB2312" w:eastAsia="仿宋_GB2312"/>
          <w:sz w:val="32"/>
          <w:szCs w:val="32"/>
        </w:rPr>
      </w:pPr>
      <w:r>
        <w:rPr>
          <w:rFonts w:hint="eastAsia" w:ascii="仿宋_GB2312" w:eastAsia="仿宋_GB2312" w:cs="仿宋_GB2312"/>
          <w:sz w:val="32"/>
          <w:szCs w:val="32"/>
        </w:rPr>
        <w:t>开户银行：　</w:t>
      </w:r>
      <w:r>
        <w:rPr>
          <w:rFonts w:ascii="仿宋_GB2312" w:eastAsia="仿宋_GB2312" w:cs="仿宋_GB2312"/>
          <w:sz w:val="32"/>
          <w:szCs w:val="32"/>
        </w:rPr>
        <w:t>　　　　　　</w:t>
      </w:r>
      <w:r>
        <w:rPr>
          <w:rFonts w:hint="eastAsia" w:ascii="仿宋_GB2312" w:eastAsia="仿宋_GB2312" w:cs="仿宋_GB2312"/>
          <w:sz w:val="32"/>
          <w:szCs w:val="32"/>
        </w:rPr>
        <w:t>开户银行：</w:t>
      </w:r>
    </w:p>
    <w:p>
      <w:pPr>
        <w:widowControl/>
        <w:spacing w:line="560" w:lineRule="exact"/>
        <w:ind w:firstLine="627" w:firstLineChars="196"/>
        <w:rPr>
          <w:rFonts w:ascii="仿宋_GB2312" w:eastAsia="仿宋_GB2312"/>
          <w:sz w:val="32"/>
          <w:szCs w:val="32"/>
        </w:rPr>
      </w:pPr>
      <w:r>
        <w:rPr>
          <w:rFonts w:hint="eastAsia" w:ascii="仿宋_GB2312" w:eastAsia="仿宋_GB2312" w:cs="仿宋_GB2312"/>
          <w:sz w:val="32"/>
          <w:szCs w:val="32"/>
        </w:rPr>
        <w:t>账号：　</w:t>
      </w:r>
      <w:r>
        <w:rPr>
          <w:rFonts w:ascii="仿宋_GB2312" w:eastAsia="仿宋_GB2312" w:cs="仿宋_GB2312"/>
          <w:sz w:val="32"/>
          <w:szCs w:val="32"/>
        </w:rPr>
        <w:t>　　　　　　　　</w:t>
      </w:r>
      <w:r>
        <w:rPr>
          <w:rFonts w:hint="eastAsia" w:ascii="仿宋_GB2312" w:eastAsia="仿宋_GB2312" w:cs="仿宋_GB2312"/>
          <w:sz w:val="32"/>
          <w:szCs w:val="32"/>
        </w:rPr>
        <w:t>账号：</w:t>
      </w:r>
    </w:p>
    <w:p>
      <w:pPr>
        <w:widowControl/>
        <w:spacing w:line="560" w:lineRule="exact"/>
        <w:ind w:firstLine="627" w:firstLineChars="196"/>
        <w:rPr>
          <w:rFonts w:ascii="仿宋_GB2312" w:eastAsia="仿宋_GB2312"/>
          <w:sz w:val="32"/>
          <w:szCs w:val="32"/>
        </w:rPr>
      </w:pPr>
      <w:r>
        <w:rPr>
          <w:rFonts w:hint="eastAsia" w:ascii="仿宋_GB2312" w:eastAsia="仿宋_GB2312" w:cs="仿宋_GB2312"/>
          <w:sz w:val="32"/>
          <w:szCs w:val="32"/>
        </w:rPr>
        <w:t>电话：　</w:t>
      </w:r>
      <w:r>
        <w:rPr>
          <w:rFonts w:ascii="仿宋_GB2312" w:eastAsia="仿宋_GB2312" w:cs="仿宋_GB2312"/>
          <w:sz w:val="32"/>
          <w:szCs w:val="32"/>
        </w:rPr>
        <w:t>　　　　　　　　</w:t>
      </w:r>
      <w:r>
        <w:rPr>
          <w:rFonts w:hint="eastAsia" w:ascii="仿宋_GB2312" w:eastAsia="仿宋_GB2312" w:cs="仿宋_GB2312"/>
          <w:sz w:val="32"/>
          <w:szCs w:val="32"/>
        </w:rPr>
        <w:t>电话：</w:t>
      </w:r>
    </w:p>
    <w:p>
      <w:pPr>
        <w:widowControl/>
        <w:spacing w:line="560" w:lineRule="exact"/>
        <w:ind w:firstLine="627" w:firstLineChars="196"/>
        <w:rPr>
          <w:rFonts w:ascii="仿宋_GB2312" w:eastAsia="仿宋_GB2312"/>
          <w:sz w:val="32"/>
          <w:szCs w:val="32"/>
        </w:rPr>
      </w:pPr>
      <w:r>
        <w:rPr>
          <w:rFonts w:hint="eastAsia" w:ascii="仿宋_GB2312" w:eastAsia="仿宋_GB2312" w:cs="仿宋_GB2312"/>
          <w:sz w:val="32"/>
          <w:szCs w:val="32"/>
        </w:rPr>
        <w:t>传真：　</w:t>
      </w:r>
      <w:r>
        <w:rPr>
          <w:rFonts w:ascii="仿宋_GB2312" w:eastAsia="仿宋_GB2312" w:cs="仿宋_GB2312"/>
          <w:sz w:val="32"/>
          <w:szCs w:val="32"/>
        </w:rPr>
        <w:t>　　　　　　　　</w:t>
      </w:r>
      <w:r>
        <w:rPr>
          <w:rFonts w:hint="eastAsia" w:ascii="仿宋_GB2312" w:eastAsia="仿宋_GB2312" w:cs="仿宋_GB2312"/>
          <w:sz w:val="32"/>
          <w:szCs w:val="32"/>
        </w:rPr>
        <w:t>传真：</w:t>
      </w:r>
    </w:p>
    <w:p>
      <w:pPr>
        <w:widowControl/>
        <w:spacing w:line="560" w:lineRule="exact"/>
        <w:ind w:firstLine="627" w:firstLineChars="196"/>
        <w:rPr>
          <w:rFonts w:hint="eastAsia" w:eastAsia="仿宋_GB2312"/>
          <w:lang w:val="en-US" w:eastAsia="zh-CN"/>
        </w:rPr>
        <w:sectPr>
          <w:pgSz w:w="11906" w:h="16838"/>
          <w:pgMar w:top="1276" w:right="1474" w:bottom="1871" w:left="1588" w:header="851" w:footer="992" w:gutter="0"/>
          <w:cols w:space="720" w:num="1"/>
          <w:docGrid w:type="lines" w:linePitch="312" w:charSpace="0"/>
        </w:sectPr>
      </w:pPr>
      <w:r>
        <w:rPr>
          <w:rFonts w:hint="eastAsia" w:ascii="仿宋_GB2312" w:eastAsia="仿宋_GB2312" w:cs="仿宋_GB2312"/>
          <w:sz w:val="32"/>
          <w:szCs w:val="32"/>
        </w:rPr>
        <w:t>签约日期：</w:t>
      </w:r>
      <w:r>
        <w:rPr>
          <w:rFonts w:ascii="仿宋_GB2312" w:eastAsia="仿宋_GB2312" w:cs="仿宋_GB2312"/>
          <w:sz w:val="32"/>
          <w:szCs w:val="32"/>
        </w:rPr>
        <w:t>XX</w:t>
      </w:r>
      <w:r>
        <w:rPr>
          <w:rFonts w:hint="eastAsia" w:ascii="仿宋_GB2312" w:eastAsia="仿宋_GB2312" w:cs="仿宋_GB2312"/>
          <w:sz w:val="32"/>
          <w:szCs w:val="32"/>
        </w:rPr>
        <w:t>年</w:t>
      </w:r>
      <w:r>
        <w:rPr>
          <w:rFonts w:ascii="仿宋_GB2312" w:eastAsia="仿宋_GB2312" w:cs="仿宋_GB2312"/>
          <w:sz w:val="32"/>
          <w:szCs w:val="32"/>
        </w:rPr>
        <w:t>XX</w:t>
      </w:r>
      <w:r>
        <w:rPr>
          <w:rFonts w:hint="eastAsia" w:ascii="仿宋_GB2312" w:eastAsia="仿宋_GB2312" w:cs="仿宋_GB2312"/>
          <w:sz w:val="32"/>
          <w:szCs w:val="32"/>
        </w:rPr>
        <w:t>月</w:t>
      </w:r>
      <w:r>
        <w:rPr>
          <w:rFonts w:ascii="仿宋_GB2312" w:eastAsia="仿宋_GB2312" w:cs="仿宋_GB2312"/>
          <w:sz w:val="32"/>
          <w:szCs w:val="32"/>
        </w:rPr>
        <w:t>XX</w:t>
      </w:r>
      <w:r>
        <w:rPr>
          <w:rFonts w:hint="eastAsia" w:ascii="仿宋_GB2312" w:eastAsia="仿宋_GB2312" w:cs="仿宋_GB2312"/>
          <w:sz w:val="32"/>
          <w:szCs w:val="32"/>
        </w:rPr>
        <w:t>日签约日期：</w:t>
      </w:r>
      <w:r>
        <w:rPr>
          <w:rFonts w:ascii="仿宋_GB2312" w:eastAsia="仿宋_GB2312" w:cs="仿宋_GB2312"/>
          <w:sz w:val="32"/>
          <w:szCs w:val="32"/>
        </w:rPr>
        <w:t>XX</w:t>
      </w:r>
      <w:r>
        <w:rPr>
          <w:rFonts w:hint="eastAsia" w:ascii="仿宋_GB2312" w:eastAsia="仿宋_GB2312" w:cs="仿宋_GB2312"/>
          <w:sz w:val="32"/>
          <w:szCs w:val="32"/>
        </w:rPr>
        <w:t>年</w:t>
      </w:r>
      <w:r>
        <w:rPr>
          <w:rFonts w:ascii="仿宋_GB2312" w:eastAsia="仿宋_GB2312" w:cs="仿宋_GB2312"/>
          <w:sz w:val="32"/>
          <w:szCs w:val="32"/>
        </w:rPr>
        <w:t>XX</w:t>
      </w:r>
      <w:r>
        <w:rPr>
          <w:rFonts w:hint="eastAsia" w:ascii="仿宋_GB2312" w:eastAsia="仿宋_GB2312" w:cs="仿宋_GB2312"/>
          <w:sz w:val="32"/>
          <w:szCs w:val="32"/>
        </w:rPr>
        <w:t>月</w:t>
      </w:r>
      <w:r>
        <w:rPr>
          <w:rFonts w:ascii="仿宋_GB2312" w:eastAsia="仿宋_GB2312" w:cs="仿宋_GB2312"/>
          <w:sz w:val="32"/>
          <w:szCs w:val="32"/>
        </w:rPr>
        <w:t>XX</w:t>
      </w:r>
      <w:r>
        <w:rPr>
          <w:rFonts w:hint="eastAsia" w:ascii="仿宋_GB2312" w:eastAsia="仿宋_GB2312" w:cs="仿宋_GB2312"/>
          <w:sz w:val="32"/>
          <w:szCs w:val="32"/>
          <w:lang w:val="en-US" w:eastAsia="zh-CN"/>
        </w:rPr>
        <w:t>日</w:t>
      </w:r>
    </w:p>
    <w:p>
      <w:pPr>
        <w:pStyle w:val="2"/>
      </w:pPr>
    </w:p>
    <w:p>
      <w:pPr>
        <w:pStyle w:val="2"/>
      </w:pPr>
      <w:r>
        <w:rPr>
          <w:rFonts w:hint="eastAsia"/>
        </w:rPr>
        <w:t>附件</w:t>
      </w:r>
    </w:p>
    <w:bookmarkEnd w:id="98"/>
    <w:bookmarkEnd w:id="99"/>
    <w:bookmarkEnd w:id="100"/>
    <w:bookmarkEnd w:id="101"/>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4"/>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5"/>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6"/>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7"/>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8"/>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9"/>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0"/>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1"/>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2"/>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3"/>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4"/>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5"/>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6"/>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7"/>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8"/>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9"/>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30"/>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1"/>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2"/>
                    <a:stretch>
                      <a:fillRect/>
                    </a:stretch>
                  </pic:blipFill>
                  <pic:spPr>
                    <a:xfrm>
                      <a:off x="0" y="0"/>
                      <a:ext cx="5971540" cy="3562985"/>
                    </a:xfrm>
                    <a:prstGeom prst="rect">
                      <a:avLst/>
                    </a:prstGeom>
                    <a:noFill/>
                    <a:ln w="9525">
                      <a:noFill/>
                    </a:ln>
                  </pic:spPr>
                </pic:pic>
              </a:graphicData>
            </a:graphic>
          </wp:inline>
        </w:drawing>
      </w:r>
    </w:p>
    <w:p>
      <w:pPr>
        <w:widowControl/>
        <w:jc w:val="left"/>
        <w:rPr>
          <w:rFonts w:ascii="宋体" w:hAnsi="宋体" w:cs="宋体"/>
          <w:kern w:val="0"/>
          <w:sz w:val="24"/>
          <w:szCs w:val="24"/>
          <w:lang w:bidi="ar"/>
        </w:rPr>
      </w:pPr>
    </w:p>
    <w:p>
      <w:pPr>
        <w:widowControl/>
        <w:jc w:val="left"/>
      </w:pPr>
    </w:p>
    <w:p>
      <w:pPr>
        <w:jc w:val="both"/>
        <w:sectPr>
          <w:footerReference r:id="rId7" w:type="default"/>
          <w:pgSz w:w="11906" w:h="16838"/>
          <w:pgMar w:top="1440" w:right="1800" w:bottom="1440" w:left="1800" w:header="851" w:footer="992" w:gutter="0"/>
          <w:cols w:space="0" w:num="1"/>
          <w:rtlGutter w:val="0"/>
          <w:docGrid w:type="lines" w:linePitch="312" w:charSpace="0"/>
        </w:sectPr>
      </w:pPr>
    </w:p>
    <w:p/>
    <w:p/>
    <w:p/>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Helvetica">
    <w:altName w:val="Arial"/>
    <w:panose1 w:val="020B0504020202020204"/>
    <w:charset w:val="00"/>
    <w:family w:val="swiss"/>
    <w:pitch w:val="default"/>
    <w:sig w:usb0="00000000" w:usb1="0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82</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88</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D518F2"/>
    <w:multiLevelType w:val="singleLevel"/>
    <w:tmpl w:val="F1D518F2"/>
    <w:lvl w:ilvl="0" w:tentative="0">
      <w:start w:val="1"/>
      <w:numFmt w:val="decimal"/>
      <w:lvlText w:val="%1."/>
      <w:lvlJc w:val="left"/>
      <w:pPr>
        <w:ind w:left="425" w:hanging="425"/>
      </w:pPr>
      <w:rPr>
        <w:rFonts w:hint="default"/>
      </w:rPr>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3827"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0">
    <w:nsid w:val="00000031"/>
    <w:multiLevelType w:val="multilevel"/>
    <w:tmpl w:val="00000031"/>
    <w:lvl w:ilvl="0" w:tentative="0">
      <w:start w:val="1"/>
      <w:numFmt w:val="chineseCountingThousand"/>
      <w:lvlText w:val="%1、"/>
      <w:lvlJc w:val="left"/>
      <w:pPr>
        <w:ind w:left="1271"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1">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35F7FE3"/>
    <w:multiLevelType w:val="multilevel"/>
    <w:tmpl w:val="035F7FE3"/>
    <w:lvl w:ilvl="0" w:tentative="0">
      <w:start w:val="1"/>
      <w:numFmt w:val="japaneseCounting"/>
      <w:lvlText w:val="%1、"/>
      <w:lvlJc w:val="left"/>
      <w:pPr>
        <w:ind w:left="1430"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3">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62B1A0F"/>
    <w:multiLevelType w:val="multilevel"/>
    <w:tmpl w:val="162B1A0F"/>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19EB72CF"/>
    <w:multiLevelType w:val="multilevel"/>
    <w:tmpl w:val="19EB72CF"/>
    <w:lvl w:ilvl="0" w:tentative="0">
      <w:start w:val="1"/>
      <w:numFmt w:val="chineseCountingThousand"/>
      <w:lvlText w:val="%1、"/>
      <w:lvlJc w:val="left"/>
      <w:pPr>
        <w:ind w:left="703"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1C5C2941"/>
    <w:multiLevelType w:val="multilevel"/>
    <w:tmpl w:val="1C5C2941"/>
    <w:lvl w:ilvl="0" w:tentative="0">
      <w:start w:val="1"/>
      <w:numFmt w:val="japaneseCounting"/>
      <w:lvlText w:val="%1、"/>
      <w:lvlJc w:val="left"/>
      <w:pPr>
        <w:ind w:left="2279"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4">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6">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7">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9">
    <w:nsid w:val="42E3D8CF"/>
    <w:multiLevelType w:val="singleLevel"/>
    <w:tmpl w:val="42E3D8CF"/>
    <w:lvl w:ilvl="0" w:tentative="0">
      <w:start w:val="4"/>
      <w:numFmt w:val="decimal"/>
      <w:suff w:val="space"/>
      <w:lvlText w:val="（%1）"/>
      <w:lvlJc w:val="left"/>
    </w:lvl>
  </w:abstractNum>
  <w:abstractNum w:abstractNumId="30">
    <w:nsid w:val="443D2B39"/>
    <w:multiLevelType w:val="multilevel"/>
    <w:tmpl w:val="443D2B39"/>
    <w:lvl w:ilvl="0" w:tentative="0">
      <w:start w:val="1"/>
      <w:numFmt w:val="chineseCountingThousand"/>
      <w:lvlText w:val="%1、"/>
      <w:lvlJc w:val="left"/>
      <w:pPr>
        <w:ind w:left="3255"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7">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8">
    <w:nsid w:val="5D607C5F"/>
    <w:multiLevelType w:val="multilevel"/>
    <w:tmpl w:val="5D607C5F"/>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0">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3">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5">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7B652295"/>
    <w:multiLevelType w:val="multilevel"/>
    <w:tmpl w:val="7B652295"/>
    <w:lvl w:ilvl="0" w:tentative="0">
      <w:start w:val="1"/>
      <w:numFmt w:val="chineseCountingThousand"/>
      <w:lvlText w:val="(%1)"/>
      <w:lvlJc w:val="left"/>
      <w:pPr>
        <w:ind w:left="1129"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9"/>
  </w:num>
  <w:num w:numId="2">
    <w:abstractNumId w:val="19"/>
  </w:num>
  <w:num w:numId="3">
    <w:abstractNumId w:val="44"/>
  </w:num>
  <w:num w:numId="4">
    <w:abstractNumId w:val="36"/>
  </w:num>
  <w:num w:numId="5">
    <w:abstractNumId w:val="8"/>
  </w:num>
  <w:num w:numId="6">
    <w:abstractNumId w:val="24"/>
  </w:num>
  <w:num w:numId="7">
    <w:abstractNumId w:val="45"/>
  </w:num>
  <w:num w:numId="8">
    <w:abstractNumId w:val="4"/>
  </w:num>
  <w:num w:numId="9">
    <w:abstractNumId w:val="16"/>
  </w:num>
  <w:num w:numId="10">
    <w:abstractNumId w:val="17"/>
  </w:num>
  <w:num w:numId="11">
    <w:abstractNumId w:val="21"/>
  </w:num>
  <w:num w:numId="12">
    <w:abstractNumId w:val="39"/>
  </w:num>
  <w:num w:numId="13">
    <w:abstractNumId w:val="22"/>
  </w:num>
  <w:num w:numId="14">
    <w:abstractNumId w:val="38"/>
  </w:num>
  <w:num w:numId="15">
    <w:abstractNumId w:val="10"/>
  </w:num>
  <w:num w:numId="16">
    <w:abstractNumId w:val="43"/>
  </w:num>
  <w:num w:numId="17">
    <w:abstractNumId w:val="6"/>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7"/>
  </w:num>
  <w:num w:numId="24">
    <w:abstractNumId w:val="2"/>
  </w:num>
  <w:num w:numId="25">
    <w:abstractNumId w:val="5"/>
  </w:num>
  <w:num w:numId="26">
    <w:abstractNumId w:val="1"/>
  </w:num>
  <w:num w:numId="27">
    <w:abstractNumId w:val="41"/>
  </w:num>
  <w:num w:numId="28">
    <w:abstractNumId w:val="31"/>
  </w:num>
  <w:num w:numId="29">
    <w:abstractNumId w:val="37"/>
  </w:num>
  <w:num w:numId="30">
    <w:abstractNumId w:val="15"/>
  </w:num>
  <w:num w:numId="31">
    <w:abstractNumId w:val="42"/>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9"/>
  </w:num>
  <w:num w:numId="35">
    <w:abstractNumId w:val="12"/>
  </w:num>
  <w:num w:numId="36">
    <w:abstractNumId w:val="11"/>
  </w:num>
  <w:num w:numId="37">
    <w:abstractNumId w:val="35"/>
  </w:num>
  <w:num w:numId="38">
    <w:abstractNumId w:val="18"/>
  </w:num>
  <w:num w:numId="39">
    <w:abstractNumId w:val="30"/>
  </w:num>
  <w:num w:numId="40">
    <w:abstractNumId w:val="46"/>
  </w:num>
  <w:num w:numId="41">
    <w:abstractNumId w:val="34"/>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25"/>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4DC"/>
    <w:rsid w:val="00025699"/>
    <w:rsid w:val="000279F5"/>
    <w:rsid w:val="00033418"/>
    <w:rsid w:val="00055B3A"/>
    <w:rsid w:val="000637FD"/>
    <w:rsid w:val="00070289"/>
    <w:rsid w:val="000800EF"/>
    <w:rsid w:val="000821A0"/>
    <w:rsid w:val="00090BA6"/>
    <w:rsid w:val="0009494C"/>
    <w:rsid w:val="000B2FA4"/>
    <w:rsid w:val="000B3AB8"/>
    <w:rsid w:val="000C4C74"/>
    <w:rsid w:val="000C5490"/>
    <w:rsid w:val="000C6CE2"/>
    <w:rsid w:val="000E6097"/>
    <w:rsid w:val="000E65EA"/>
    <w:rsid w:val="000F4809"/>
    <w:rsid w:val="000F6B7C"/>
    <w:rsid w:val="0011018B"/>
    <w:rsid w:val="00114B69"/>
    <w:rsid w:val="00116640"/>
    <w:rsid w:val="00131E75"/>
    <w:rsid w:val="00134EB4"/>
    <w:rsid w:val="00136D53"/>
    <w:rsid w:val="00140DCC"/>
    <w:rsid w:val="001415FC"/>
    <w:rsid w:val="00147136"/>
    <w:rsid w:val="00147E57"/>
    <w:rsid w:val="00154EA1"/>
    <w:rsid w:val="001701F4"/>
    <w:rsid w:val="00171B70"/>
    <w:rsid w:val="001828EF"/>
    <w:rsid w:val="00197B45"/>
    <w:rsid w:val="001A07E3"/>
    <w:rsid w:val="001B2140"/>
    <w:rsid w:val="001B4384"/>
    <w:rsid w:val="001B6619"/>
    <w:rsid w:val="001C5A0A"/>
    <w:rsid w:val="001C66BE"/>
    <w:rsid w:val="001D1EAF"/>
    <w:rsid w:val="001D2AD5"/>
    <w:rsid w:val="001E5D2E"/>
    <w:rsid w:val="001F161D"/>
    <w:rsid w:val="001F2DA3"/>
    <w:rsid w:val="002013BE"/>
    <w:rsid w:val="00205A63"/>
    <w:rsid w:val="00211D04"/>
    <w:rsid w:val="0023681B"/>
    <w:rsid w:val="0023687E"/>
    <w:rsid w:val="00237901"/>
    <w:rsid w:val="0024760E"/>
    <w:rsid w:val="002619C0"/>
    <w:rsid w:val="00261EB2"/>
    <w:rsid w:val="00262C45"/>
    <w:rsid w:val="0028699C"/>
    <w:rsid w:val="00295121"/>
    <w:rsid w:val="002A1DCC"/>
    <w:rsid w:val="002A2E78"/>
    <w:rsid w:val="002D0C65"/>
    <w:rsid w:val="002D160A"/>
    <w:rsid w:val="002D5D94"/>
    <w:rsid w:val="002D62A2"/>
    <w:rsid w:val="002E2F4B"/>
    <w:rsid w:val="002E56D2"/>
    <w:rsid w:val="002E6FF9"/>
    <w:rsid w:val="002F1F1F"/>
    <w:rsid w:val="003028AF"/>
    <w:rsid w:val="00302AD8"/>
    <w:rsid w:val="0031025D"/>
    <w:rsid w:val="0031657A"/>
    <w:rsid w:val="00340391"/>
    <w:rsid w:val="00365C5B"/>
    <w:rsid w:val="00366676"/>
    <w:rsid w:val="00366D3E"/>
    <w:rsid w:val="00371A62"/>
    <w:rsid w:val="00373FFE"/>
    <w:rsid w:val="0037555F"/>
    <w:rsid w:val="00380652"/>
    <w:rsid w:val="00394685"/>
    <w:rsid w:val="0039751D"/>
    <w:rsid w:val="003A41D6"/>
    <w:rsid w:val="003A549F"/>
    <w:rsid w:val="003C0D99"/>
    <w:rsid w:val="003C1B31"/>
    <w:rsid w:val="003C5B8E"/>
    <w:rsid w:val="003C6644"/>
    <w:rsid w:val="003D590F"/>
    <w:rsid w:val="003D798F"/>
    <w:rsid w:val="003E3ADD"/>
    <w:rsid w:val="003F22FC"/>
    <w:rsid w:val="00404806"/>
    <w:rsid w:val="0040670A"/>
    <w:rsid w:val="004212EA"/>
    <w:rsid w:val="00423109"/>
    <w:rsid w:val="00424C12"/>
    <w:rsid w:val="00425351"/>
    <w:rsid w:val="00435502"/>
    <w:rsid w:val="00447CBA"/>
    <w:rsid w:val="00453C58"/>
    <w:rsid w:val="0045562D"/>
    <w:rsid w:val="00464572"/>
    <w:rsid w:val="0047167F"/>
    <w:rsid w:val="0047395B"/>
    <w:rsid w:val="00475776"/>
    <w:rsid w:val="00495E22"/>
    <w:rsid w:val="00495E4F"/>
    <w:rsid w:val="00497260"/>
    <w:rsid w:val="004B053A"/>
    <w:rsid w:val="004B4C27"/>
    <w:rsid w:val="004B77FE"/>
    <w:rsid w:val="004C2D8F"/>
    <w:rsid w:val="004C5C1A"/>
    <w:rsid w:val="004D56B9"/>
    <w:rsid w:val="004D739D"/>
    <w:rsid w:val="004F508C"/>
    <w:rsid w:val="004F7EE8"/>
    <w:rsid w:val="00505A16"/>
    <w:rsid w:val="0051358E"/>
    <w:rsid w:val="00525ECC"/>
    <w:rsid w:val="00534A7E"/>
    <w:rsid w:val="005402F1"/>
    <w:rsid w:val="0054488D"/>
    <w:rsid w:val="00545DE6"/>
    <w:rsid w:val="005474A3"/>
    <w:rsid w:val="00547D22"/>
    <w:rsid w:val="00550B07"/>
    <w:rsid w:val="0056438F"/>
    <w:rsid w:val="00566AAC"/>
    <w:rsid w:val="00575563"/>
    <w:rsid w:val="00575602"/>
    <w:rsid w:val="00576299"/>
    <w:rsid w:val="00576C28"/>
    <w:rsid w:val="0058079A"/>
    <w:rsid w:val="00584E99"/>
    <w:rsid w:val="005A3991"/>
    <w:rsid w:val="005A427B"/>
    <w:rsid w:val="005A53A8"/>
    <w:rsid w:val="005B1076"/>
    <w:rsid w:val="005B4FD3"/>
    <w:rsid w:val="005D0E78"/>
    <w:rsid w:val="005D1959"/>
    <w:rsid w:val="005E1BD1"/>
    <w:rsid w:val="005E3AFD"/>
    <w:rsid w:val="005F13FA"/>
    <w:rsid w:val="005F14C5"/>
    <w:rsid w:val="005F320F"/>
    <w:rsid w:val="005F398A"/>
    <w:rsid w:val="005F4954"/>
    <w:rsid w:val="006053D1"/>
    <w:rsid w:val="00611BF3"/>
    <w:rsid w:val="006126A5"/>
    <w:rsid w:val="00622849"/>
    <w:rsid w:val="00635038"/>
    <w:rsid w:val="006401F7"/>
    <w:rsid w:val="006411D2"/>
    <w:rsid w:val="00641F64"/>
    <w:rsid w:val="006455C8"/>
    <w:rsid w:val="00651FAA"/>
    <w:rsid w:val="006616C4"/>
    <w:rsid w:val="0066449E"/>
    <w:rsid w:val="00665DC5"/>
    <w:rsid w:val="00667360"/>
    <w:rsid w:val="00667772"/>
    <w:rsid w:val="00670CDC"/>
    <w:rsid w:val="00675A16"/>
    <w:rsid w:val="00676006"/>
    <w:rsid w:val="00676040"/>
    <w:rsid w:val="00694460"/>
    <w:rsid w:val="006A2EF7"/>
    <w:rsid w:val="006B152F"/>
    <w:rsid w:val="006B1E3C"/>
    <w:rsid w:val="006C1F87"/>
    <w:rsid w:val="006C2E09"/>
    <w:rsid w:val="00705742"/>
    <w:rsid w:val="00711537"/>
    <w:rsid w:val="0071192C"/>
    <w:rsid w:val="00714214"/>
    <w:rsid w:val="0072638B"/>
    <w:rsid w:val="00727809"/>
    <w:rsid w:val="0075399D"/>
    <w:rsid w:val="00760F65"/>
    <w:rsid w:val="007627EB"/>
    <w:rsid w:val="00763665"/>
    <w:rsid w:val="00764A63"/>
    <w:rsid w:val="00767686"/>
    <w:rsid w:val="00772210"/>
    <w:rsid w:val="00773ED2"/>
    <w:rsid w:val="0077444D"/>
    <w:rsid w:val="00777E22"/>
    <w:rsid w:val="00780349"/>
    <w:rsid w:val="007A361A"/>
    <w:rsid w:val="007A6B9E"/>
    <w:rsid w:val="007A7A5A"/>
    <w:rsid w:val="007B16B7"/>
    <w:rsid w:val="007B2356"/>
    <w:rsid w:val="007B7306"/>
    <w:rsid w:val="007C3186"/>
    <w:rsid w:val="007C73FF"/>
    <w:rsid w:val="007D38CA"/>
    <w:rsid w:val="007D6A85"/>
    <w:rsid w:val="0080030C"/>
    <w:rsid w:val="008124E6"/>
    <w:rsid w:val="00843959"/>
    <w:rsid w:val="00847DE0"/>
    <w:rsid w:val="00853161"/>
    <w:rsid w:val="008535E1"/>
    <w:rsid w:val="0085456F"/>
    <w:rsid w:val="00861424"/>
    <w:rsid w:val="00862422"/>
    <w:rsid w:val="00867C68"/>
    <w:rsid w:val="00871170"/>
    <w:rsid w:val="00871E3A"/>
    <w:rsid w:val="00875944"/>
    <w:rsid w:val="00875CD1"/>
    <w:rsid w:val="00886CCC"/>
    <w:rsid w:val="00887F2C"/>
    <w:rsid w:val="008A1AB9"/>
    <w:rsid w:val="008A65FB"/>
    <w:rsid w:val="008B032E"/>
    <w:rsid w:val="008B3127"/>
    <w:rsid w:val="008B472D"/>
    <w:rsid w:val="008C4381"/>
    <w:rsid w:val="008C76D8"/>
    <w:rsid w:val="008C7B4C"/>
    <w:rsid w:val="008E48A5"/>
    <w:rsid w:val="008F6A89"/>
    <w:rsid w:val="00915F92"/>
    <w:rsid w:val="0092448C"/>
    <w:rsid w:val="00924EB7"/>
    <w:rsid w:val="009343B3"/>
    <w:rsid w:val="00946DC1"/>
    <w:rsid w:val="009623F1"/>
    <w:rsid w:val="00963D3E"/>
    <w:rsid w:val="009640D6"/>
    <w:rsid w:val="0097323C"/>
    <w:rsid w:val="00981D11"/>
    <w:rsid w:val="00984181"/>
    <w:rsid w:val="00987BFB"/>
    <w:rsid w:val="009900A1"/>
    <w:rsid w:val="0099637E"/>
    <w:rsid w:val="009B2BA5"/>
    <w:rsid w:val="009B533B"/>
    <w:rsid w:val="009C00A3"/>
    <w:rsid w:val="009D019A"/>
    <w:rsid w:val="009D578F"/>
    <w:rsid w:val="009F0A01"/>
    <w:rsid w:val="009F5BB5"/>
    <w:rsid w:val="00A03F53"/>
    <w:rsid w:val="00A126F3"/>
    <w:rsid w:val="00A205B1"/>
    <w:rsid w:val="00A21A17"/>
    <w:rsid w:val="00A33CE8"/>
    <w:rsid w:val="00A3552C"/>
    <w:rsid w:val="00A44299"/>
    <w:rsid w:val="00A65FF9"/>
    <w:rsid w:val="00A71DAA"/>
    <w:rsid w:val="00A768B6"/>
    <w:rsid w:val="00A8201D"/>
    <w:rsid w:val="00A8689F"/>
    <w:rsid w:val="00A96DB9"/>
    <w:rsid w:val="00AA04A2"/>
    <w:rsid w:val="00AA10B5"/>
    <w:rsid w:val="00AA1A1B"/>
    <w:rsid w:val="00AA1BC0"/>
    <w:rsid w:val="00AB2F81"/>
    <w:rsid w:val="00AB6DFB"/>
    <w:rsid w:val="00AC1469"/>
    <w:rsid w:val="00AD5351"/>
    <w:rsid w:val="00AE4A06"/>
    <w:rsid w:val="00AE61A8"/>
    <w:rsid w:val="00AF3B32"/>
    <w:rsid w:val="00AF3F02"/>
    <w:rsid w:val="00AF7B4C"/>
    <w:rsid w:val="00B06C14"/>
    <w:rsid w:val="00B211A5"/>
    <w:rsid w:val="00B312F9"/>
    <w:rsid w:val="00B35130"/>
    <w:rsid w:val="00B4323E"/>
    <w:rsid w:val="00B53858"/>
    <w:rsid w:val="00B57B42"/>
    <w:rsid w:val="00B60851"/>
    <w:rsid w:val="00B85AC4"/>
    <w:rsid w:val="00B9216B"/>
    <w:rsid w:val="00B931D6"/>
    <w:rsid w:val="00BB14B9"/>
    <w:rsid w:val="00BB28E3"/>
    <w:rsid w:val="00BC6F31"/>
    <w:rsid w:val="00BE6051"/>
    <w:rsid w:val="00BF38C5"/>
    <w:rsid w:val="00BF69C2"/>
    <w:rsid w:val="00C03D13"/>
    <w:rsid w:val="00C166A8"/>
    <w:rsid w:val="00C16790"/>
    <w:rsid w:val="00C22BD9"/>
    <w:rsid w:val="00C22EF9"/>
    <w:rsid w:val="00C263D0"/>
    <w:rsid w:val="00C27D3A"/>
    <w:rsid w:val="00C3139B"/>
    <w:rsid w:val="00C352B9"/>
    <w:rsid w:val="00C52705"/>
    <w:rsid w:val="00C60594"/>
    <w:rsid w:val="00C76D6E"/>
    <w:rsid w:val="00C80D3E"/>
    <w:rsid w:val="00C86D71"/>
    <w:rsid w:val="00C9048A"/>
    <w:rsid w:val="00C91C5E"/>
    <w:rsid w:val="00C92A76"/>
    <w:rsid w:val="00C92F1D"/>
    <w:rsid w:val="00CA0302"/>
    <w:rsid w:val="00CA26A2"/>
    <w:rsid w:val="00CA728D"/>
    <w:rsid w:val="00CC22D9"/>
    <w:rsid w:val="00CD2A58"/>
    <w:rsid w:val="00CD4C09"/>
    <w:rsid w:val="00CE4136"/>
    <w:rsid w:val="00CF1154"/>
    <w:rsid w:val="00CF5080"/>
    <w:rsid w:val="00CF713C"/>
    <w:rsid w:val="00D00193"/>
    <w:rsid w:val="00D07696"/>
    <w:rsid w:val="00D21069"/>
    <w:rsid w:val="00D21D44"/>
    <w:rsid w:val="00D22517"/>
    <w:rsid w:val="00D32ED4"/>
    <w:rsid w:val="00D35100"/>
    <w:rsid w:val="00D367AB"/>
    <w:rsid w:val="00D36A66"/>
    <w:rsid w:val="00D4794D"/>
    <w:rsid w:val="00D47C21"/>
    <w:rsid w:val="00D572EF"/>
    <w:rsid w:val="00D63649"/>
    <w:rsid w:val="00D72C15"/>
    <w:rsid w:val="00D755BE"/>
    <w:rsid w:val="00D81A05"/>
    <w:rsid w:val="00D8200E"/>
    <w:rsid w:val="00D977E7"/>
    <w:rsid w:val="00DA16DE"/>
    <w:rsid w:val="00DA3C93"/>
    <w:rsid w:val="00DA5EB0"/>
    <w:rsid w:val="00DB2AC4"/>
    <w:rsid w:val="00DB2DEE"/>
    <w:rsid w:val="00DB3BD1"/>
    <w:rsid w:val="00DB6B28"/>
    <w:rsid w:val="00DB76EA"/>
    <w:rsid w:val="00DB7AB0"/>
    <w:rsid w:val="00DC0F33"/>
    <w:rsid w:val="00DC1A6A"/>
    <w:rsid w:val="00DC6B3E"/>
    <w:rsid w:val="00DD022E"/>
    <w:rsid w:val="00DD05EC"/>
    <w:rsid w:val="00DD341F"/>
    <w:rsid w:val="00DD4A54"/>
    <w:rsid w:val="00DD724B"/>
    <w:rsid w:val="00DE2BE2"/>
    <w:rsid w:val="00DF6235"/>
    <w:rsid w:val="00E14C32"/>
    <w:rsid w:val="00E16DBB"/>
    <w:rsid w:val="00E23342"/>
    <w:rsid w:val="00E264A3"/>
    <w:rsid w:val="00E2692D"/>
    <w:rsid w:val="00E276E2"/>
    <w:rsid w:val="00E3177B"/>
    <w:rsid w:val="00E35450"/>
    <w:rsid w:val="00E421DD"/>
    <w:rsid w:val="00E52268"/>
    <w:rsid w:val="00E61631"/>
    <w:rsid w:val="00E6450C"/>
    <w:rsid w:val="00E74A51"/>
    <w:rsid w:val="00E861E3"/>
    <w:rsid w:val="00E93215"/>
    <w:rsid w:val="00E94E24"/>
    <w:rsid w:val="00EA03A5"/>
    <w:rsid w:val="00EB1C8B"/>
    <w:rsid w:val="00EB6528"/>
    <w:rsid w:val="00EB7EF3"/>
    <w:rsid w:val="00EC1237"/>
    <w:rsid w:val="00EC51CF"/>
    <w:rsid w:val="00ED47D6"/>
    <w:rsid w:val="00ED500E"/>
    <w:rsid w:val="00EE4AB3"/>
    <w:rsid w:val="00EF419C"/>
    <w:rsid w:val="00EF65F2"/>
    <w:rsid w:val="00EF6E4E"/>
    <w:rsid w:val="00F020A9"/>
    <w:rsid w:val="00F201D2"/>
    <w:rsid w:val="00F315B7"/>
    <w:rsid w:val="00F334EB"/>
    <w:rsid w:val="00F336C1"/>
    <w:rsid w:val="00F34905"/>
    <w:rsid w:val="00F34D23"/>
    <w:rsid w:val="00F42F68"/>
    <w:rsid w:val="00F442D2"/>
    <w:rsid w:val="00F5571E"/>
    <w:rsid w:val="00F73616"/>
    <w:rsid w:val="00F76C83"/>
    <w:rsid w:val="00F810D4"/>
    <w:rsid w:val="00F874EB"/>
    <w:rsid w:val="00F9261F"/>
    <w:rsid w:val="00FA1420"/>
    <w:rsid w:val="00FA6DC5"/>
    <w:rsid w:val="00FB5009"/>
    <w:rsid w:val="00FB501F"/>
    <w:rsid w:val="00FB54A0"/>
    <w:rsid w:val="00FC524D"/>
    <w:rsid w:val="00FD4483"/>
    <w:rsid w:val="00FD493E"/>
    <w:rsid w:val="00FE64E1"/>
    <w:rsid w:val="00FF1187"/>
    <w:rsid w:val="00FF43F7"/>
    <w:rsid w:val="00FF5F08"/>
    <w:rsid w:val="00FF63E5"/>
    <w:rsid w:val="0226347A"/>
    <w:rsid w:val="02960403"/>
    <w:rsid w:val="02B63A09"/>
    <w:rsid w:val="05031124"/>
    <w:rsid w:val="0B432D0E"/>
    <w:rsid w:val="0C58263C"/>
    <w:rsid w:val="0D563A1E"/>
    <w:rsid w:val="11D97F39"/>
    <w:rsid w:val="122F4068"/>
    <w:rsid w:val="144D481B"/>
    <w:rsid w:val="167D6938"/>
    <w:rsid w:val="168963B1"/>
    <w:rsid w:val="172B5CC8"/>
    <w:rsid w:val="21747195"/>
    <w:rsid w:val="224158BB"/>
    <w:rsid w:val="24957DD5"/>
    <w:rsid w:val="24D718E4"/>
    <w:rsid w:val="268366BE"/>
    <w:rsid w:val="27112395"/>
    <w:rsid w:val="275B5D44"/>
    <w:rsid w:val="27DD7857"/>
    <w:rsid w:val="2B1451B9"/>
    <w:rsid w:val="2BEE27FA"/>
    <w:rsid w:val="2D2552A9"/>
    <w:rsid w:val="30527ED2"/>
    <w:rsid w:val="3380526E"/>
    <w:rsid w:val="33D47ADA"/>
    <w:rsid w:val="361C0048"/>
    <w:rsid w:val="3B3911EE"/>
    <w:rsid w:val="3F0E5C47"/>
    <w:rsid w:val="3FE31A45"/>
    <w:rsid w:val="417B410B"/>
    <w:rsid w:val="42332F71"/>
    <w:rsid w:val="498112DB"/>
    <w:rsid w:val="4AA65E7D"/>
    <w:rsid w:val="4B5E72D1"/>
    <w:rsid w:val="4CC70C25"/>
    <w:rsid w:val="52160A1E"/>
    <w:rsid w:val="54704696"/>
    <w:rsid w:val="54FB3057"/>
    <w:rsid w:val="55FB5BCF"/>
    <w:rsid w:val="57717C6C"/>
    <w:rsid w:val="57EB589C"/>
    <w:rsid w:val="61255926"/>
    <w:rsid w:val="67C609C4"/>
    <w:rsid w:val="69886EA0"/>
    <w:rsid w:val="6C302C73"/>
    <w:rsid w:val="6D28714D"/>
    <w:rsid w:val="6D2C5804"/>
    <w:rsid w:val="6ECB32FF"/>
    <w:rsid w:val="71477CBB"/>
    <w:rsid w:val="71F12615"/>
    <w:rsid w:val="76C47FA4"/>
    <w:rsid w:val="792869EC"/>
    <w:rsid w:val="79384B8D"/>
    <w:rsid w:val="7F467634"/>
    <w:rsid w:val="7F6E0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99"/>
    <w:rPr>
      <w:rFonts w:ascii="宋体" w:hAnsi="宋体" w:eastAsia="宋体" w:cs="Times New Roman"/>
      <w:b/>
      <w:bCs/>
      <w:iCs/>
      <w:kern w:val="0"/>
      <w:sz w:val="28"/>
      <w:szCs w:val="28"/>
    </w:rPr>
  </w:style>
  <w:style w:type="character" w:customStyle="1" w:styleId="64">
    <w:name w:val="标题 3 字符"/>
    <w:basedOn w:val="48"/>
    <w:link w:val="5"/>
    <w:qFormat/>
    <w:uiPriority w:val="99"/>
    <w:rPr>
      <w:rFonts w:ascii="宋体" w:hAnsi="宋体" w:eastAsia="宋体" w:cs="Times New Roman"/>
      <w:b/>
      <w:bCs/>
      <w:color w:val="000000"/>
      <w:sz w:val="28"/>
      <w:szCs w:val="28"/>
    </w:rPr>
  </w:style>
  <w:style w:type="character" w:customStyle="1" w:styleId="65">
    <w:name w:val="标题 4 字符"/>
    <w:basedOn w:val="48"/>
    <w:link w:val="6"/>
    <w:qFormat/>
    <w:uiPriority w:val="0"/>
    <w:rPr>
      <w:rFonts w:ascii="宋体" w:hAnsi="宋体" w:eastAsia="宋体" w:cs="Times New Roman"/>
      <w:b/>
      <w:bCs/>
      <w:kern w:val="0"/>
      <w:sz w:val="28"/>
      <w:szCs w:val="28"/>
    </w:rPr>
  </w:style>
  <w:style w:type="character" w:customStyle="1" w:styleId="66">
    <w:name w:val="标题 5 字符"/>
    <w:basedOn w:val="48"/>
    <w:link w:val="7"/>
    <w:qFormat/>
    <w:uiPriority w:val="0"/>
    <w:rPr>
      <w:rFonts w:ascii="Times New Roman" w:hAnsi="Times New Roman" w:eastAsia="宋体" w:cs="Times New Roman"/>
      <w:b/>
      <w:bCs/>
      <w:kern w:val="0"/>
      <w:sz w:val="28"/>
      <w:szCs w:val="28"/>
    </w:rPr>
  </w:style>
  <w:style w:type="character" w:customStyle="1" w:styleId="67">
    <w:name w:val="标题 6 字符"/>
    <w:basedOn w:val="48"/>
    <w:link w:val="8"/>
    <w:qFormat/>
    <w:uiPriority w:val="0"/>
    <w:rPr>
      <w:rFonts w:ascii="Arial" w:hAnsi="Arial" w:eastAsia="黑体" w:cs="Times New Roman"/>
      <w:b/>
      <w:bCs/>
      <w:sz w:val="24"/>
      <w:szCs w:val="24"/>
    </w:rPr>
  </w:style>
  <w:style w:type="character" w:customStyle="1" w:styleId="68">
    <w:name w:val="标题 7 字符"/>
    <w:basedOn w:val="48"/>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0"/>
    <w:rPr>
      <w:rFonts w:ascii="Arial" w:hAnsi="Arial" w:eastAsia="黑体" w:cs="Times New Roman"/>
      <w:sz w:val="24"/>
      <w:szCs w:val="20"/>
    </w:rPr>
  </w:style>
  <w:style w:type="character" w:customStyle="1" w:styleId="70">
    <w:name w:val="标题 9 字符"/>
    <w:basedOn w:val="48"/>
    <w:link w:val="11"/>
    <w:qFormat/>
    <w:uiPriority w:val="0"/>
    <w:rPr>
      <w:rFonts w:ascii="Arial" w:hAnsi="Arial" w:eastAsia="黑体" w:cs="Times New Roman"/>
      <w:szCs w:val="20"/>
    </w:rPr>
  </w:style>
  <w:style w:type="character" w:customStyle="1" w:styleId="71">
    <w:name w:val="批注主题 字符"/>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0"/>
    <w:rPr>
      <w:sz w:val="18"/>
    </w:rPr>
  </w:style>
  <w:style w:type="character" w:customStyle="1" w:styleId="74">
    <w:name w:val="fontblank12"/>
    <w:basedOn w:val="48"/>
    <w:uiPriority w:val="0"/>
  </w:style>
  <w:style w:type="character" w:customStyle="1" w:styleId="75">
    <w:name w:val="标书（正文） Char"/>
    <w:link w:val="76"/>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uiPriority w:val="0"/>
  </w:style>
  <w:style w:type="character" w:customStyle="1" w:styleId="87">
    <w:name w:val="页脚 字符"/>
    <w:link w:val="29"/>
    <w:qFormat/>
    <w:uiPriority w:val="99"/>
    <w:rPr>
      <w:sz w:val="18"/>
      <w:szCs w:val="18"/>
    </w:rPr>
  </w:style>
  <w:style w:type="character" w:customStyle="1" w:styleId="88">
    <w:name w:val="keyword"/>
    <w:basedOn w:val="48"/>
    <w:uiPriority w:val="0"/>
  </w:style>
  <w:style w:type="character" w:customStyle="1" w:styleId="89">
    <w:name w:val="文档结构图 字符"/>
    <w:link w:val="15"/>
    <w:qFormat/>
    <w:uiPriority w:val="0"/>
    <w:rPr>
      <w:rFonts w:ascii="宋体"/>
      <w:sz w:val="18"/>
      <w:szCs w:val="18"/>
    </w:rPr>
  </w:style>
  <w:style w:type="character" w:customStyle="1" w:styleId="90">
    <w:name w:val="日期 字符"/>
    <w:link w:val="26"/>
    <w:qFormat/>
    <w:uiPriority w:val="0"/>
    <w:rPr>
      <w:sz w:val="24"/>
      <w:szCs w:val="24"/>
    </w:rPr>
  </w:style>
  <w:style w:type="character" w:customStyle="1" w:styleId="91">
    <w:name w:val="文章正文 Char"/>
    <w:link w:val="92"/>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首行缩进 字符"/>
    <w:link w:val="44"/>
    <w:qFormat/>
    <w:uiPriority w:val="0"/>
    <w:rPr>
      <w:rFonts w:ascii="宋体" w:hAnsi="宋体"/>
      <w:szCs w:val="24"/>
    </w:rPr>
  </w:style>
  <w:style w:type="character" w:customStyle="1" w:styleId="96">
    <w:name w:val="正文缩进 字符"/>
    <w:link w:val="13"/>
    <w:qFormat/>
    <w:uiPriority w:val="0"/>
    <w:rPr>
      <w:szCs w:val="24"/>
    </w:rPr>
  </w:style>
  <w:style w:type="character" w:customStyle="1" w:styleId="97">
    <w:name w:val="称呼 字符"/>
    <w:link w:val="17"/>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uiPriority w:val="0"/>
    <w:rPr>
      <w:rFonts w:ascii="Wingdings" w:hAnsi="Wingdings"/>
    </w:rPr>
  </w:style>
  <w:style w:type="character" w:customStyle="1" w:styleId="102">
    <w:name w:val="magic-list1"/>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0"/>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0"/>
    <w:rPr>
      <w:rFonts w:ascii="宋体" w:hAnsi="Tms Rmn" w:cs="宋体"/>
      <w:szCs w:val="21"/>
    </w:rPr>
  </w:style>
  <w:style w:type="character" w:customStyle="1" w:styleId="110">
    <w:name w:val="H4 Char"/>
    <w:uiPriority w:val="0"/>
    <w:rPr>
      <w:rFonts w:ascii="Arial" w:hAnsi="Arial" w:eastAsia="宋体"/>
      <w:b/>
      <w:kern w:val="2"/>
      <w:sz w:val="28"/>
      <w:lang w:val="en-US" w:eastAsia="zh-CN"/>
    </w:rPr>
  </w:style>
  <w:style w:type="character" w:customStyle="1" w:styleId="111">
    <w:name w:val="正文缩进 Char1"/>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uiPriority w:val="0"/>
    <w:rPr>
      <w:rFonts w:ascii="Times New Roman" w:hAnsi="Times New Roman" w:eastAsia="宋体" w:cs="Times New Roman"/>
      <w:kern w:val="0"/>
      <w:sz w:val="18"/>
      <w:szCs w:val="18"/>
    </w:rPr>
  </w:style>
  <w:style w:type="character" w:customStyle="1" w:styleId="125">
    <w:name w:val="称呼 Char1"/>
    <w:basedOn w:val="48"/>
    <w:semiHidden/>
    <w:uiPriority w:val="99"/>
    <w:rPr>
      <w:rFonts w:ascii="Times New Roman" w:hAnsi="Times New Roman" w:eastAsia="宋体" w:cs="Times New Roman"/>
      <w:kern w:val="0"/>
      <w:sz w:val="24"/>
      <w:szCs w:val="24"/>
    </w:rPr>
  </w:style>
  <w:style w:type="character" w:customStyle="1" w:styleId="126">
    <w:name w:val="批注文字 Char1"/>
    <w:basedOn w:val="48"/>
    <w:semiHidden/>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uiPriority w:val="99"/>
    <w:rPr>
      <w:rFonts w:ascii="Calibri" w:hAnsi="Calibri" w:eastAsia="宋体" w:cs="Times New Roman"/>
      <w:sz w:val="16"/>
      <w:szCs w:val="16"/>
    </w:rPr>
  </w:style>
  <w:style w:type="character" w:customStyle="1" w:styleId="264">
    <w:name w:val="批注文字 字符1"/>
    <w:basedOn w:val="48"/>
    <w:semiHidden/>
    <w:uiPriority w:val="99"/>
    <w:rPr>
      <w:rFonts w:ascii="Calibri" w:hAnsi="Calibri" w:eastAsia="宋体" w:cs="Times New Roman"/>
    </w:rPr>
  </w:style>
  <w:style w:type="character" w:customStyle="1" w:styleId="265">
    <w:name w:val="正文文本 2 字符1"/>
    <w:basedOn w:val="48"/>
    <w:semiHidden/>
    <w:uiPriority w:val="99"/>
    <w:rPr>
      <w:rFonts w:ascii="Calibri" w:hAnsi="Calibri" w:eastAsia="宋体" w:cs="Times New Roman"/>
    </w:rPr>
  </w:style>
  <w:style w:type="character" w:customStyle="1" w:styleId="266">
    <w:name w:val="正文文本缩进 字符1"/>
    <w:basedOn w:val="48"/>
    <w:semiHidden/>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uiPriority w:val="99"/>
    <w:rPr>
      <w:rFonts w:ascii="Calibri" w:hAnsi="Calibri" w:eastAsia="宋体" w:cs="Times New Roman"/>
    </w:rPr>
  </w:style>
  <w:style w:type="character" w:customStyle="1" w:styleId="277">
    <w:name w:val="正文文本 3 字符1"/>
    <w:basedOn w:val="48"/>
    <w:semiHidden/>
    <w:uiPriority w:val="99"/>
    <w:rPr>
      <w:rFonts w:ascii="Calibri" w:hAnsi="Calibri" w:eastAsia="宋体" w:cs="Times New Roman"/>
      <w:sz w:val="16"/>
      <w:szCs w:val="16"/>
    </w:rPr>
  </w:style>
  <w:style w:type="character" w:customStyle="1" w:styleId="278">
    <w:name w:val="文档结构图 字符1"/>
    <w:basedOn w:val="48"/>
    <w:semiHidden/>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uiPriority w:val="99"/>
    <w:rPr>
      <w:rFonts w:ascii="Calibri" w:hAnsi="Calibri" w:eastAsia="宋体" w:cs="Times New Roman"/>
      <w:sz w:val="18"/>
      <w:szCs w:val="18"/>
    </w:rPr>
  </w:style>
  <w:style w:type="character" w:customStyle="1" w:styleId="290">
    <w:name w:val="正文文本首行缩进 字符1"/>
    <w:basedOn w:val="272"/>
    <w:semiHidden/>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19"/>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uiPriority w:val="0"/>
    <w:pPr>
      <w:widowControl w:val="0"/>
      <w:spacing w:line="400" w:lineRule="exact"/>
      <w:ind w:firstLine="200" w:firstLineChars="200"/>
      <w:jc w:val="both"/>
    </w:pPr>
    <w:rPr>
      <w:kern w:val="2"/>
      <w:szCs w:val="20"/>
    </w:rPr>
  </w:style>
  <w:style w:type="paragraph" w:customStyle="1" w:styleId="336">
    <w:name w:val="bf.1"/>
    <w:basedOn w:val="13"/>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uiPriority w:val="99"/>
    <w:pPr>
      <w:spacing w:before="100" w:beforeAutospacing="1" w:after="100" w:afterAutospacing="1"/>
      <w:jc w:val="both"/>
    </w:pPr>
    <w:rPr>
      <w:rFonts w:ascii="宋体" w:hAnsi="宋体"/>
      <w:szCs w:val="20"/>
    </w:rPr>
  </w:style>
  <w:style w:type="paragraph" w:customStyle="1" w:styleId="339">
    <w:name w:val="Char Char1 Char"/>
    <w:basedOn w:val="1"/>
    <w:uiPriority w:val="0"/>
    <w:pPr>
      <w:widowControl w:val="0"/>
      <w:jc w:val="both"/>
    </w:pPr>
    <w:rPr>
      <w:kern w:val="2"/>
      <w:sz w:val="21"/>
      <w:szCs w:val="20"/>
    </w:rPr>
  </w:style>
  <w:style w:type="paragraph" w:customStyle="1" w:styleId="340">
    <w:name w:val="Blockquote"/>
    <w:basedOn w:val="1"/>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uiPriority w:val="0"/>
    <w:rPr>
      <w:rFonts w:ascii="Arial" w:hAnsi="Arial"/>
      <w:b/>
      <w:bCs/>
      <w:sz w:val="24"/>
      <w:szCs w:val="32"/>
    </w:rPr>
  </w:style>
  <w:style w:type="character" w:customStyle="1" w:styleId="345">
    <w:name w:val="标题5 Char Char"/>
    <w:link w:val="346"/>
    <w:uiPriority w:val="0"/>
    <w:rPr>
      <w:rFonts w:ascii="Arial" w:hAnsi="Arial"/>
      <w:b/>
      <w:bCs/>
      <w:sz w:val="24"/>
      <w:szCs w:val="32"/>
    </w:rPr>
  </w:style>
  <w:style w:type="paragraph" w:customStyle="1" w:styleId="346">
    <w:name w:val="标题5"/>
    <w:basedOn w:val="5"/>
    <w:link w:val="345"/>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uiPriority w:val="0"/>
    <w:rPr>
      <w:rFonts w:ascii="宋体" w:hAnsi="Times New Roman" w:eastAsia="宋体" w:cs="Times New Roman"/>
      <w:sz w:val="28"/>
      <w:szCs w:val="20"/>
    </w:rPr>
  </w:style>
  <w:style w:type="character" w:customStyle="1" w:styleId="355">
    <w:name w:val="批注框文本 Char2"/>
    <w:semiHidden/>
    <w:uiPriority w:val="99"/>
    <w:rPr>
      <w:kern w:val="2"/>
      <w:sz w:val="18"/>
      <w:szCs w:val="18"/>
    </w:rPr>
  </w:style>
  <w:style w:type="character" w:customStyle="1" w:styleId="356">
    <w:name w:val="批注主题 Char2"/>
    <w:semiHidden/>
    <w:uiPriority w:val="99"/>
    <w:rPr>
      <w:b/>
      <w:bCs/>
      <w:kern w:val="2"/>
      <w:sz w:val="21"/>
      <w:szCs w:val="22"/>
    </w:rPr>
  </w:style>
  <w:style w:type="character" w:customStyle="1" w:styleId="357">
    <w:name w:val="文档结构图 Char2"/>
    <w:semiHidden/>
    <w:uiPriority w:val="99"/>
    <w:rPr>
      <w:rFonts w:ascii="宋体"/>
      <w:kern w:val="2"/>
      <w:sz w:val="18"/>
      <w:szCs w:val="18"/>
    </w:rPr>
  </w:style>
  <w:style w:type="character" w:customStyle="1" w:styleId="358">
    <w:name w:val="日期 Char2"/>
    <w:semiHidden/>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0">
    <w:name w:val="标书正文"/>
    <w:basedOn w:val="1"/>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65C9A3-E29B-4EC4-8101-F9E4D821B6B5}">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91</Pages>
  <Words>31447</Words>
  <Characters>32798</Characters>
  <Lines>225</Lines>
  <Paragraphs>63</Paragraphs>
  <TotalTime>9</TotalTime>
  <ScaleCrop>false</ScaleCrop>
  <LinksUpToDate>false</LinksUpToDate>
  <CharactersWithSpaces>33575</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李仕静秋</cp:lastModifiedBy>
  <cp:lastPrinted>2021-07-29T01:50:00Z</cp:lastPrinted>
  <dcterms:modified xsi:type="dcterms:W3CDTF">2021-07-29T03:21:19Z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685481E0AE2341DFBBF9C7DF934F877F</vt:lpwstr>
  </property>
</Properties>
</file>