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keepNext w:val="0"/>
        <w:keepLines w:val="0"/>
        <w:pageBreakBefore w:val="0"/>
        <w:widowControl w:val="0"/>
        <w:tabs>
          <w:tab w:val="left" w:pos="2552"/>
        </w:tabs>
        <w:kinsoku/>
        <w:wordWrap/>
        <w:overflowPunct/>
        <w:topLinePunct w:val="0"/>
        <w:autoSpaceDE/>
        <w:autoSpaceDN/>
        <w:bidi w:val="0"/>
        <w:adjustRightInd/>
        <w:snapToGrid/>
        <w:spacing w:line="360" w:lineRule="auto"/>
        <w:ind w:firstLine="1280" w:firstLineChars="4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项目名称：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彭州市人民政府天彭街道办事处2021-2022年度东湖花园一二期安置小区物业管理服务采购项目</w:t>
      </w:r>
    </w:p>
    <w:p>
      <w:pPr>
        <w:spacing w:line="360" w:lineRule="auto"/>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彭州</w:t>
      </w:r>
      <w:r>
        <w:rPr>
          <w:rFonts w:hint="eastAsia" w:ascii="仿宋_GB2312" w:hAnsi="仿宋_GB2312" w:eastAsia="仿宋_GB2312" w:cs="仿宋_GB2312"/>
          <w:color w:val="000000" w:themeColor="text1"/>
          <w:sz w:val="32"/>
          <w:szCs w:val="32"/>
          <w14:textFill>
            <w14:solidFill>
              <w14:schemeClr w14:val="tx1"/>
            </w14:solidFill>
          </w14:textFill>
        </w:rPr>
        <w:t>市政采（2021）A</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0015</w:t>
      </w:r>
      <w:r>
        <w:rPr>
          <w:rFonts w:hint="eastAsia" w:ascii="仿宋_GB2312" w:hAnsi="仿宋_GB2312" w:eastAsia="仿宋_GB2312" w:cs="仿宋_GB2312"/>
          <w:color w:val="000000" w:themeColor="text1"/>
          <w:sz w:val="32"/>
          <w:szCs w:val="32"/>
          <w14:textFill>
            <w14:solidFill>
              <w14:schemeClr w14:val="tx1"/>
            </w14:solidFill>
          </w14:textFill>
        </w:rPr>
        <w:t>号</w:t>
      </w:r>
    </w:p>
    <w:p>
      <w:pPr>
        <w:spacing w:line="360" w:lineRule="auto"/>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lang w:val="en-US" w:eastAsia="zh-CN"/>
          <w14:textFill>
            <w14:solidFill>
              <w14:schemeClr w14:val="tx1"/>
            </w14:solidFill>
          </w14:textFill>
        </w:rPr>
        <w:t>彭州市人民政府天彭街道办事处</w:t>
      </w:r>
      <w:r>
        <w:rPr>
          <w:rFonts w:hint="eastAsia" w:ascii="华文中宋" w:hAnsi="华文中宋" w:eastAsia="华文中宋"/>
          <w:color w:val="000000" w:themeColor="text1"/>
          <w:sz w:val="32"/>
          <w:szCs w:val="32"/>
          <w14:textFill>
            <w14:solidFill>
              <w14:schemeClr w14:val="tx1"/>
            </w14:solidFill>
          </w14:textFill>
        </w:rPr>
        <w:t>、</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lang w:val="en-US" w:eastAsia="zh-CN"/>
          <w14:textFill>
            <w14:solidFill>
              <w14:schemeClr w14:val="tx1"/>
            </w14:solidFill>
          </w14:textFill>
        </w:rPr>
        <w:t>彭州</w:t>
      </w:r>
      <w:r>
        <w:rPr>
          <w:rFonts w:hint="eastAsia" w:ascii="华文中宋" w:hAnsi="华文中宋" w:eastAsia="华文中宋"/>
          <w:color w:val="000000" w:themeColor="text1"/>
          <w:sz w:val="32"/>
          <w:szCs w:val="32"/>
          <w14:textFill>
            <w14:solidFill>
              <w14:schemeClr w14:val="tx1"/>
            </w14:solidFill>
          </w14:textFill>
        </w:rPr>
        <w:t>市公共资源交易服务中心共同编制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w:t>
      </w:r>
      <w:r>
        <w:rPr>
          <w:rFonts w:hint="eastAsia" w:ascii="华文中宋" w:hAnsi="华文中宋" w:eastAsia="华文中宋"/>
          <w:color w:val="000000" w:themeColor="text1"/>
          <w:sz w:val="32"/>
          <w:szCs w:val="32"/>
          <w:lang w:val="en-US" w:eastAsia="zh-CN"/>
          <w14:textFill>
            <w14:solidFill>
              <w14:schemeClr w14:val="tx1"/>
            </w14:solidFill>
          </w14:textFill>
        </w:rPr>
        <w:t>八</w:t>
      </w:r>
      <w:r>
        <w:rPr>
          <w:rFonts w:hint="eastAsia" w:ascii="华文中宋" w:hAnsi="华文中宋" w:eastAsia="华文中宋"/>
          <w:color w:val="000000" w:themeColor="text1"/>
          <w:sz w:val="32"/>
          <w:szCs w:val="32"/>
          <w14:textFill>
            <w14:solidFill>
              <w14:schemeClr w14:val="tx1"/>
            </w14:solidFill>
          </w14:textFill>
        </w:rPr>
        <w:t>月</w:t>
      </w:r>
    </w:p>
    <w:p>
      <w:pPr>
        <w:spacing w:line="360" w:lineRule="auto"/>
        <w:jc w:val="center"/>
        <w:rPr>
          <w:rFonts w:ascii="宋体" w:hAnsi="宋体"/>
          <w:b/>
          <w:color w:val="000000" w:themeColor="text1"/>
          <w:sz w:val="32"/>
          <w14:textFill>
            <w14:solidFill>
              <w14:schemeClr w14:val="tx1"/>
            </w14:solidFill>
          </w14:textFill>
        </w:rPr>
      </w:pPr>
      <w:r>
        <w:rPr>
          <w:rFonts w:hint="eastAsia" w:ascii="宋体" w:hAnsi="宋体"/>
          <w:color w:val="000000" w:themeColor="text1"/>
          <w:kern w:val="0"/>
          <w14:textFill>
            <w14:solidFill>
              <w14:schemeClr w14:val="tx1"/>
            </w14:solidFill>
          </w14:textFill>
        </w:rPr>
        <w:br w:type="page"/>
      </w:r>
      <w:bookmarkStart w:id="0" w:name="_Toc101247312"/>
      <w:bookmarkStart w:id="1" w:name="_Toc101328520"/>
      <w:bookmarkStart w:id="2" w:name="_Toc148505181"/>
      <w:bookmarkStart w:id="3" w:name="_Toc101234248"/>
      <w:r>
        <w:rPr>
          <w:rFonts w:hint="eastAsia" w:ascii="宋体" w:hAnsi="宋体"/>
          <w:b/>
          <w:color w:val="000000" w:themeColor="text1"/>
          <w:sz w:val="28"/>
          <w:szCs w:val="32"/>
          <w14:textFill>
            <w14:solidFill>
              <w14:schemeClr w14:val="tx1"/>
            </w14:solidFill>
          </w14:textFill>
        </w:rPr>
        <w:t>目 录</w:t>
      </w:r>
    </w:p>
    <w:sdt>
      <w:sdtPr>
        <w:rPr>
          <w:rFonts w:ascii="宋体" w:hAnsi="宋体" w:eastAsia="华文中宋"/>
          <w:smallCaps/>
          <w:color w:val="000000" w:themeColor="text1"/>
          <w:sz w:val="20"/>
          <w:szCs w:val="20"/>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14:textFill>
            <w14:solidFill>
              <w14:schemeClr w14:val="tx1"/>
            </w14:solidFill>
          </w14:textFill>
        </w:rPr>
      </w:sdtEndPr>
      <w:sdtContent>
        <w:p>
          <w:pPr>
            <w:rPr>
              <w:color w:val="000000" w:themeColor="text1"/>
              <w14:textFill>
                <w14:solidFill>
                  <w14:schemeClr w14:val="tx1"/>
                </w14:solidFill>
              </w14:textFill>
            </w:rPr>
          </w:pPr>
        </w:p>
        <w:p>
          <w:pPr>
            <w:pStyle w:val="29"/>
            <w:rPr>
              <w:rFonts w:asciiTheme="minorHAnsi" w:hAnsiTheme="minorHAnsi" w:eastAsiaTheme="minorEastAsia" w:cstheme="minorBidi"/>
              <w:bCs w:val="0"/>
              <w:caps w:val="0"/>
              <w:sz w:val="21"/>
              <w:szCs w:val="22"/>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TOC \o "1-2" \h \u </w:instrText>
          </w:r>
          <w:r>
            <w:rPr>
              <w:rFonts w:hint="eastAsia"/>
              <w:color w:val="000000" w:themeColor="text1"/>
              <w14:textFill>
                <w14:solidFill>
                  <w14:schemeClr w14:val="tx1"/>
                </w14:solidFill>
              </w14:textFill>
            </w:rPr>
            <w:fldChar w:fldCharType="separate"/>
          </w:r>
          <w:r>
            <w:fldChar w:fldCharType="begin"/>
          </w:r>
          <w:r>
            <w:instrText xml:space="preserve"> HYPERLINK \l "_Toc75336286" </w:instrText>
          </w:r>
          <w:r>
            <w:fldChar w:fldCharType="separate"/>
          </w:r>
          <w:r>
            <w:rPr>
              <w:rStyle w:val="47"/>
              <w:rFonts w:ascii="Times New Roman" w:hAnsi="Times New Roman"/>
            </w:rPr>
            <w:t>第1章</w:t>
          </w:r>
          <w:r>
            <w:rPr>
              <w:rFonts w:asciiTheme="minorHAnsi" w:hAnsiTheme="minorHAnsi" w:eastAsiaTheme="minorEastAsia" w:cstheme="minorBidi"/>
              <w:bCs w:val="0"/>
              <w:caps w:val="0"/>
              <w:sz w:val="21"/>
              <w:szCs w:val="22"/>
            </w:rPr>
            <w:tab/>
          </w:r>
          <w:r>
            <w:rPr>
              <w:rStyle w:val="47"/>
            </w:rPr>
            <w:t>投标邀请</w:t>
          </w:r>
          <w:r>
            <w:tab/>
          </w:r>
          <w:r>
            <w:fldChar w:fldCharType="begin"/>
          </w:r>
          <w:r>
            <w:instrText xml:space="preserve"> PAGEREF _Toc75336286 \h </w:instrText>
          </w:r>
          <w:r>
            <w:fldChar w:fldCharType="separate"/>
          </w:r>
          <w:r>
            <w:t>3</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"_Toc75336287" </w:instrText>
          </w:r>
          <w:r>
            <w:fldChar w:fldCharType="separate"/>
          </w:r>
          <w:r>
            <w:rPr>
              <w:rStyle w:val="47"/>
              <w:rFonts w:ascii="Times New Roman" w:hAnsi="Times New Roman"/>
            </w:rPr>
            <w:t>第2章</w:t>
          </w:r>
          <w:r>
            <w:rPr>
              <w:rFonts w:asciiTheme="minorHAnsi" w:hAnsiTheme="minorHAnsi" w:eastAsiaTheme="minorEastAsia" w:cstheme="minorBidi"/>
              <w:bCs w:val="0"/>
              <w:caps w:val="0"/>
              <w:sz w:val="21"/>
              <w:szCs w:val="22"/>
            </w:rPr>
            <w:tab/>
          </w:r>
          <w:r>
            <w:rPr>
              <w:rStyle w:val="47"/>
            </w:rPr>
            <w:t>投标人须知</w:t>
          </w:r>
          <w:r>
            <w:tab/>
          </w:r>
          <w:r>
            <w:fldChar w:fldCharType="begin"/>
          </w:r>
          <w:r>
            <w:instrText xml:space="preserve"> PAGEREF _Toc75336287 \h </w:instrText>
          </w:r>
          <w:r>
            <w:fldChar w:fldCharType="separate"/>
          </w:r>
          <w:r>
            <w:t>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"_Toc75336288" </w:instrText>
          </w:r>
          <w:r>
            <w:fldChar w:fldCharType="separate"/>
          </w:r>
          <w:r>
            <w:rPr>
              <w:rStyle w:val="47"/>
              <w:rFonts w:ascii="Times New Roman" w:hAnsi="Times New Roman"/>
            </w:rPr>
            <w:t>2.1</w:t>
          </w:r>
          <w:r>
            <w:rPr>
              <w:rStyle w:val="47"/>
            </w:rPr>
            <w:t xml:space="preserve"> 投标人须知前附表</w:t>
          </w:r>
          <w:r>
            <w:tab/>
          </w:r>
          <w:r>
            <w:fldChar w:fldCharType="begin"/>
          </w:r>
          <w:r>
            <w:instrText xml:space="preserve"> PAGEREF _Toc75336288 \h </w:instrText>
          </w:r>
          <w:r>
            <w:fldChar w:fldCharType="separate"/>
          </w:r>
          <w:r>
            <w:t>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"_Toc75336289" </w:instrText>
          </w:r>
          <w:r>
            <w:fldChar w:fldCharType="separate"/>
          </w:r>
          <w:r>
            <w:rPr>
              <w:rStyle w:val="47"/>
              <w:rFonts w:ascii="Times New Roman" w:hAnsi="Times New Roman"/>
            </w:rPr>
            <w:t>2.2</w:t>
          </w:r>
          <w:r>
            <w:rPr>
              <w:rStyle w:val="47"/>
            </w:rPr>
            <w:t xml:space="preserve"> 总则</w:t>
          </w:r>
          <w:r>
            <w:tab/>
          </w:r>
          <w:r>
            <w:fldChar w:fldCharType="begin"/>
          </w:r>
          <w:r>
            <w:instrText xml:space="preserve"> PAGEREF _Toc75336289 \h </w:instrText>
          </w:r>
          <w:r>
            <w:fldChar w:fldCharType="separate"/>
          </w:r>
          <w:r>
            <w:t>10</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"_Toc75336290" </w:instrText>
          </w:r>
          <w:r>
            <w:fldChar w:fldCharType="separate"/>
          </w:r>
          <w:r>
            <w:rPr>
              <w:rStyle w:val="47"/>
              <w:rFonts w:ascii="Times New Roman" w:hAnsi="Times New Roman"/>
            </w:rPr>
            <w:t>2.3</w:t>
          </w:r>
          <w:r>
            <w:rPr>
              <w:rStyle w:val="47"/>
            </w:rPr>
            <w:t xml:space="preserve"> 招标文件</w:t>
          </w:r>
          <w:r>
            <w:tab/>
          </w:r>
          <w:r>
            <w:fldChar w:fldCharType="begin"/>
          </w:r>
          <w:r>
            <w:instrText xml:space="preserve"> PAGEREF _Toc75336290 \h </w:instrText>
          </w:r>
          <w:r>
            <w:fldChar w:fldCharType="separate"/>
          </w:r>
          <w:r>
            <w:t>12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"_Toc75336291" </w:instrText>
          </w:r>
          <w:r>
            <w:fldChar w:fldCharType="separate"/>
          </w:r>
          <w:r>
            <w:rPr>
              <w:rStyle w:val="47"/>
              <w:rFonts w:ascii="Times New Roman" w:hAnsi="Times New Roman"/>
            </w:rPr>
            <w:t>2.4</w:t>
          </w:r>
          <w:r>
            <w:rPr>
              <w:rStyle w:val="47"/>
            </w:rPr>
            <w:t xml:space="preserve"> 投标文件</w:t>
          </w:r>
          <w:r>
            <w:tab/>
          </w:r>
          <w:r>
            <w:fldChar w:fldCharType="begin"/>
          </w:r>
          <w:r>
            <w:instrText xml:space="preserve"> PAGEREF _Toc75336291 \h </w:instrText>
          </w:r>
          <w:r>
            <w:fldChar w:fldCharType="separate"/>
          </w:r>
          <w:r>
            <w:t>14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"_Toc75336292" </w:instrText>
          </w:r>
          <w:r>
            <w:fldChar w:fldCharType="separate"/>
          </w:r>
          <w:r>
            <w:rPr>
              <w:rStyle w:val="47"/>
              <w:rFonts w:ascii="Times New Roman" w:hAnsi="Times New Roman"/>
            </w:rPr>
            <w:t>2.5</w:t>
          </w:r>
          <w:r>
            <w:rPr>
              <w:rStyle w:val="47"/>
            </w:rPr>
            <w:t xml:space="preserve"> 开标、资格审查、评标和中标</w:t>
          </w:r>
          <w:r>
            <w:tab/>
          </w:r>
          <w:r>
            <w:fldChar w:fldCharType="begin"/>
          </w:r>
          <w:r>
            <w:instrText xml:space="preserve"> PAGEREF _Toc75336292 \h </w:instrText>
          </w:r>
          <w:r>
            <w:fldChar w:fldCharType="separate"/>
          </w:r>
          <w:r>
            <w:t>21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"_Toc75336293" </w:instrText>
          </w:r>
          <w:r>
            <w:fldChar w:fldCharType="separate"/>
          </w:r>
          <w:r>
            <w:rPr>
              <w:rStyle w:val="47"/>
              <w:rFonts w:ascii="Times New Roman" w:hAnsi="Times New Roman"/>
            </w:rPr>
            <w:t>2.6</w:t>
          </w:r>
          <w:r>
            <w:rPr>
              <w:rStyle w:val="47"/>
            </w:rPr>
            <w:t xml:space="preserve"> 签订及履行合同和验收</w:t>
          </w:r>
          <w:r>
            <w:tab/>
          </w:r>
          <w:r>
            <w:fldChar w:fldCharType="begin"/>
          </w:r>
          <w:r>
            <w:instrText xml:space="preserve"> PAGEREF _Toc75336293 \h </w:instrText>
          </w:r>
          <w:r>
            <w:fldChar w:fldCharType="separate"/>
          </w:r>
          <w:r>
            <w:t>23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"_Toc75336294" </w:instrText>
          </w:r>
          <w:r>
            <w:fldChar w:fldCharType="separate"/>
          </w:r>
          <w:r>
            <w:rPr>
              <w:rStyle w:val="47"/>
              <w:rFonts w:ascii="Times New Roman" w:hAnsi="Times New Roman"/>
            </w:rPr>
            <w:t>2.7</w:t>
          </w:r>
          <w:r>
            <w:rPr>
              <w:rStyle w:val="47"/>
            </w:rPr>
            <w:t xml:space="preserve"> 投标纪律要求</w:t>
          </w:r>
          <w:r>
            <w:tab/>
          </w:r>
          <w:r>
            <w:fldChar w:fldCharType="begin"/>
          </w:r>
          <w:r>
            <w:instrText xml:space="preserve"> PAGEREF _Toc75336294 \h </w:instrText>
          </w:r>
          <w:r>
            <w:fldChar w:fldCharType="separate"/>
          </w:r>
          <w:r>
            <w:t>26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"_Toc75336295" </w:instrText>
          </w:r>
          <w:r>
            <w:fldChar w:fldCharType="separate"/>
          </w:r>
          <w:r>
            <w:rPr>
              <w:rStyle w:val="47"/>
              <w:rFonts w:ascii="Times New Roman" w:hAnsi="Times New Roman"/>
            </w:rPr>
            <w:t>2.8</w:t>
          </w:r>
          <w:r>
            <w:rPr>
              <w:rStyle w:val="47"/>
            </w:rPr>
            <w:t xml:space="preserve"> 询问、质疑和投诉</w:t>
          </w:r>
          <w:r>
            <w:tab/>
          </w:r>
          <w:r>
            <w:fldChar w:fldCharType="begin"/>
          </w:r>
          <w:r>
            <w:instrText xml:space="preserve"> PAGEREF _Toc75336295 \h </w:instrText>
          </w:r>
          <w:r>
            <w:fldChar w:fldCharType="separate"/>
          </w:r>
          <w:r>
            <w:t>29</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"_Toc75336296" </w:instrText>
          </w:r>
          <w:r>
            <w:fldChar w:fldCharType="separate"/>
          </w:r>
          <w:r>
            <w:rPr>
              <w:rStyle w:val="47"/>
              <w:rFonts w:ascii="Times New Roman" w:hAnsi="Times New Roman"/>
            </w:rPr>
            <w:t>2.9</w:t>
          </w:r>
          <w:r>
            <w:rPr>
              <w:rStyle w:val="47"/>
            </w:rPr>
            <w:t xml:space="preserve"> 中小企业政府采购信用融资</w:t>
          </w:r>
          <w:r>
            <w:tab/>
          </w:r>
          <w:r>
            <w:fldChar w:fldCharType="begin"/>
          </w:r>
          <w:r>
            <w:instrText xml:space="preserve"> PAGEREF _Toc75336296 \h </w:instrText>
          </w:r>
          <w:r>
            <w:fldChar w:fldCharType="separate"/>
          </w:r>
          <w:r>
            <w:t>30</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"_Toc75336297" </w:instrText>
          </w:r>
          <w:r>
            <w:fldChar w:fldCharType="separate"/>
          </w:r>
          <w:r>
            <w:rPr>
              <w:rStyle w:val="47"/>
              <w:rFonts w:ascii="Times New Roman" w:hAnsi="Times New Roman"/>
            </w:rPr>
            <w:t>第3章</w:t>
          </w:r>
          <w:r>
            <w:rPr>
              <w:rFonts w:asciiTheme="minorHAnsi" w:hAnsiTheme="minorHAnsi" w:eastAsiaTheme="minorEastAsia" w:cstheme="minorBidi"/>
              <w:bCs w:val="0"/>
              <w:caps w:val="0"/>
              <w:sz w:val="21"/>
              <w:szCs w:val="22"/>
            </w:rPr>
            <w:tab/>
          </w:r>
          <w:r>
            <w:rPr>
              <w:rStyle w:val="47"/>
            </w:rPr>
            <w:t>投标文件格式</w:t>
          </w:r>
          <w:r>
            <w:tab/>
          </w:r>
          <w:r>
            <w:fldChar w:fldCharType="begin"/>
          </w:r>
          <w:r>
            <w:instrText xml:space="preserve"> PAGEREF _Toc75336297 \h </w:instrText>
          </w:r>
          <w:r>
            <w:fldChar w:fldCharType="separate"/>
          </w:r>
          <w:r>
            <w:t>31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"_Toc75336298" </w:instrText>
          </w:r>
          <w:r>
            <w:fldChar w:fldCharType="separate"/>
          </w:r>
          <w:r>
            <w:rPr>
              <w:rStyle w:val="47"/>
              <w:rFonts w:ascii="Times New Roman" w:hAnsi="Times New Roman"/>
            </w:rPr>
            <w:t>3.1</w:t>
          </w:r>
          <w:r>
            <w:rPr>
              <w:rStyle w:val="47"/>
            </w:rPr>
            <w:t xml:space="preserve"> 投标文件封面格式</w:t>
          </w:r>
          <w:r>
            <w:tab/>
          </w:r>
          <w:r>
            <w:fldChar w:fldCharType="begin"/>
          </w:r>
          <w:r>
            <w:instrText xml:space="preserve"> PAGEREF _Toc75336298 \h </w:instrText>
          </w:r>
          <w:r>
            <w:fldChar w:fldCharType="separate"/>
          </w:r>
          <w:r>
            <w:t>31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"_Toc75336299" </w:instrText>
          </w:r>
          <w:r>
            <w:fldChar w:fldCharType="separate"/>
          </w:r>
          <w:r>
            <w:rPr>
              <w:rStyle w:val="47"/>
              <w:rFonts w:ascii="Times New Roman" w:hAnsi="Times New Roman"/>
            </w:rPr>
            <w:t>3.2</w:t>
          </w:r>
          <w:r>
            <w:rPr>
              <w:rStyle w:val="47"/>
            </w:rPr>
            <w:t xml:space="preserve"> 资格性审查部分</w:t>
          </w:r>
          <w:r>
            <w:tab/>
          </w:r>
          <w:r>
            <w:fldChar w:fldCharType="begin"/>
          </w:r>
          <w:r>
            <w:instrText xml:space="preserve"> PAGEREF _Toc75336299 \h </w:instrText>
          </w:r>
          <w:r>
            <w:fldChar w:fldCharType="separate"/>
          </w:r>
          <w:r>
            <w:t>32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"_Toc75336300" </w:instrText>
          </w:r>
          <w:r>
            <w:fldChar w:fldCharType="separate"/>
          </w:r>
          <w:r>
            <w:rPr>
              <w:rStyle w:val="47"/>
              <w:rFonts w:ascii="Times New Roman" w:hAnsi="Times New Roman"/>
            </w:rPr>
            <w:t>3.3</w:t>
          </w:r>
          <w:r>
            <w:rPr>
              <w:rStyle w:val="47"/>
            </w:rPr>
            <w:t xml:space="preserve"> 服务、商务及其他要求响应部分</w:t>
          </w:r>
          <w:r>
            <w:tab/>
          </w:r>
          <w:r>
            <w:fldChar w:fldCharType="begin"/>
          </w:r>
          <w:r>
            <w:instrText xml:space="preserve"> PAGEREF _Toc75336300 \h </w:instrText>
          </w:r>
          <w:r>
            <w:fldChar w:fldCharType="separate"/>
          </w:r>
          <w:r>
            <w:t>38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"_Toc75336301" </w:instrText>
          </w:r>
          <w:r>
            <w:fldChar w:fldCharType="separate"/>
          </w:r>
          <w:r>
            <w:rPr>
              <w:rStyle w:val="47"/>
              <w:rFonts w:ascii="Times New Roman" w:hAnsi="Times New Roman"/>
              <w:b/>
            </w:rPr>
            <w:t>3.4</w:t>
          </w:r>
          <w:r>
            <w:rPr>
              <w:rStyle w:val="47"/>
              <w:rFonts w:ascii="宋体" w:hAnsi="宋体"/>
              <w:b/>
            </w:rPr>
            <w:t xml:space="preserve"> 报价</w:t>
          </w:r>
          <w:r>
            <w:rPr>
              <w:rStyle w:val="47"/>
              <w:rFonts w:ascii="宋体" w:hAnsi="宋体"/>
              <w:b/>
              <w:bCs/>
            </w:rPr>
            <w:t>要求</w:t>
          </w:r>
          <w:r>
            <w:rPr>
              <w:rStyle w:val="47"/>
              <w:rFonts w:ascii="宋体" w:hAnsi="宋体"/>
              <w:b/>
            </w:rPr>
            <w:t>响应文件</w:t>
          </w:r>
          <w:r>
            <w:tab/>
          </w:r>
          <w:r>
            <w:fldChar w:fldCharType="begin"/>
          </w:r>
          <w:r>
            <w:instrText xml:space="preserve"> PAGEREF _Toc75336301 \h </w:instrText>
          </w:r>
          <w:r>
            <w:fldChar w:fldCharType="separate"/>
          </w:r>
          <w:r>
            <w:t>43</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"_Toc75336302" </w:instrText>
          </w:r>
          <w:r>
            <w:fldChar w:fldCharType="separate"/>
          </w:r>
          <w:r>
            <w:rPr>
              <w:rStyle w:val="47"/>
              <w:rFonts w:ascii="Times New Roman" w:hAnsi="Times New Roman"/>
            </w:rPr>
            <w:t>第4章</w:t>
          </w:r>
          <w:r>
            <w:rPr>
              <w:rFonts w:asciiTheme="minorHAnsi" w:hAnsiTheme="minorHAnsi" w:eastAsiaTheme="minorEastAsia" w:cstheme="minorBidi"/>
              <w:bCs w:val="0"/>
              <w:caps w:val="0"/>
              <w:sz w:val="21"/>
              <w:szCs w:val="22"/>
            </w:rPr>
            <w:tab/>
          </w:r>
          <w:r>
            <w:rPr>
              <w:rStyle w:val="47"/>
            </w:rPr>
            <w:t>招标项目服务、商务及其他要求</w:t>
          </w:r>
          <w:r>
            <w:tab/>
          </w:r>
          <w:r>
            <w:fldChar w:fldCharType="begin"/>
          </w:r>
          <w:r>
            <w:instrText xml:space="preserve"> PAGEREF _Toc75336302 \h </w:instrText>
          </w:r>
          <w:r>
            <w:fldChar w:fldCharType="separate"/>
          </w:r>
          <w:r>
            <w:t>44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"_Toc75336303" </w:instrText>
          </w:r>
          <w:r>
            <w:fldChar w:fldCharType="separate"/>
          </w:r>
          <w:r>
            <w:rPr>
              <w:rStyle w:val="47"/>
              <w:rFonts w:ascii="Times New Roman" w:hAnsi="Times New Roman"/>
            </w:rPr>
            <w:t>4.1</w:t>
          </w:r>
          <w:r>
            <w:rPr>
              <w:rStyle w:val="47"/>
            </w:rPr>
            <w:t xml:space="preserve"> 项目概况</w:t>
          </w:r>
          <w:r>
            <w:tab/>
          </w:r>
          <w:r>
            <w:rPr>
              <w:rFonts w:hint="eastAsia"/>
              <w:lang w:val="en-US" w:eastAsia="zh-CN"/>
            </w:rPr>
            <w:t xml:space="preserve"> </w:t>
          </w:r>
          <w:r>
            <w:fldChar w:fldCharType="begin"/>
          </w:r>
          <w:r>
            <w:instrText xml:space="preserve"> PAGEREF _Toc75336303 \h </w:instrText>
          </w:r>
          <w:r>
            <w:fldChar w:fldCharType="separate"/>
          </w:r>
          <w:r>
            <w:rPr>
              <w:rFonts w:hint="eastAsia"/>
              <w:b/>
              <w:lang w:val="en-US" w:eastAsia="zh-CN"/>
            </w:rPr>
            <w:t>44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"_Toc75336304" </w:instrText>
          </w:r>
          <w:r>
            <w:fldChar w:fldCharType="separate"/>
          </w:r>
          <w:r>
            <w:rPr>
              <w:rStyle w:val="47"/>
              <w:rFonts w:ascii="Times New Roman" w:hAnsi="Times New Roman"/>
            </w:rPr>
            <w:t>4.2</w:t>
          </w:r>
          <w:r>
            <w:rPr>
              <w:rStyle w:val="47"/>
            </w:rPr>
            <w:t xml:space="preserve"> 服务内容及要求</w:t>
          </w:r>
          <w:r>
            <w:tab/>
          </w:r>
          <w:r>
            <w:fldChar w:fldCharType="begin"/>
          </w:r>
          <w:r>
            <w:instrText xml:space="preserve"> PAGEREF _Toc75336304 \h </w:instrText>
          </w:r>
          <w:r>
            <w:fldChar w:fldCharType="separate"/>
          </w:r>
          <w:r>
            <w:rPr>
              <w:rFonts w:hint="eastAsia"/>
              <w:b/>
              <w:lang w:val="en-US" w:eastAsia="zh-CN"/>
            </w:rPr>
            <w:t>47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"_Toc75336305" </w:instrText>
          </w:r>
          <w:r>
            <w:fldChar w:fldCharType="separate"/>
          </w:r>
          <w:r>
            <w:rPr>
              <w:rStyle w:val="47"/>
              <w:rFonts w:ascii="Times New Roman" w:hAnsi="Times New Roman"/>
            </w:rPr>
            <w:t>4.3</w:t>
          </w:r>
          <w:r>
            <w:rPr>
              <w:rStyle w:val="47"/>
            </w:rPr>
            <w:t xml:space="preserve"> 商务要求</w:t>
          </w:r>
          <w:r>
            <w:tab/>
          </w:r>
          <w:r>
            <w:fldChar w:fldCharType="begin"/>
          </w:r>
          <w:r>
            <w:instrText xml:space="preserve"> PAGEREF _Toc75336305 \h </w:instrText>
          </w:r>
          <w:r>
            <w:fldChar w:fldCharType="separate"/>
          </w:r>
          <w:r>
            <w:rPr>
              <w:rFonts w:hint="eastAsia"/>
              <w:b/>
              <w:lang w:val="en-US" w:eastAsia="zh-CN"/>
            </w:rPr>
            <w:t>50</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"_Toc75336306" </w:instrText>
          </w:r>
          <w:r>
            <w:fldChar w:fldCharType="separate"/>
          </w:r>
          <w:r>
            <w:rPr>
              <w:rStyle w:val="47"/>
              <w:rFonts w:ascii="Times New Roman" w:hAnsi="Times New Roman"/>
            </w:rPr>
            <w:t>第5章</w:t>
          </w:r>
          <w:r>
            <w:rPr>
              <w:rFonts w:asciiTheme="minorHAnsi" w:hAnsiTheme="minorHAnsi" w:eastAsiaTheme="minorEastAsia" w:cstheme="minorBidi"/>
              <w:bCs w:val="0"/>
              <w:caps w:val="0"/>
              <w:sz w:val="21"/>
              <w:szCs w:val="22"/>
            </w:rPr>
            <w:tab/>
          </w:r>
          <w:r>
            <w:rPr>
              <w:rStyle w:val="47"/>
            </w:rPr>
            <w:t>资格性审查</w:t>
          </w:r>
          <w:r>
            <w:tab/>
          </w:r>
          <w:r>
            <w:fldChar w:fldCharType="begin"/>
          </w:r>
          <w:r>
            <w:instrText xml:space="preserve"> PAGEREF _Toc75336306 \h </w:instrText>
          </w:r>
          <w:r>
            <w:fldChar w:fldCharType="separate"/>
          </w:r>
          <w:r>
            <w:t>58</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"_Toc75336307" </w:instrText>
          </w:r>
          <w:r>
            <w:fldChar w:fldCharType="separate"/>
          </w:r>
          <w:r>
            <w:rPr>
              <w:rStyle w:val="47"/>
              <w:rFonts w:ascii="Times New Roman" w:hAnsi="Times New Roman"/>
            </w:rPr>
            <w:t>第6章</w:t>
          </w:r>
          <w:r>
            <w:rPr>
              <w:rFonts w:asciiTheme="minorHAnsi" w:hAnsiTheme="minorHAnsi" w:eastAsiaTheme="minorEastAsia" w:cstheme="minorBidi"/>
              <w:bCs w:val="0"/>
              <w:caps w:val="0"/>
              <w:sz w:val="21"/>
              <w:szCs w:val="22"/>
            </w:rPr>
            <w:tab/>
          </w:r>
          <w:r>
            <w:rPr>
              <w:rStyle w:val="47"/>
            </w:rPr>
            <w:t>评标办法</w:t>
          </w:r>
          <w:r>
            <w:tab/>
          </w:r>
          <w:bookmarkStart w:id="430" w:name="_GoBack"/>
          <w:bookmarkEnd w:id="430"/>
          <w:r>
            <w:fldChar w:fldCharType="begin"/>
          </w:r>
          <w:r>
            <w:instrText xml:space="preserve"> PAGEREF _Toc75336307 \h </w:instrText>
          </w:r>
          <w:r>
            <w:fldChar w:fldCharType="separate"/>
          </w:r>
          <w:r>
            <w:t>63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"_Toc75336308" </w:instrText>
          </w:r>
          <w:r>
            <w:fldChar w:fldCharType="separate"/>
          </w:r>
          <w:r>
            <w:rPr>
              <w:rStyle w:val="47"/>
              <w:rFonts w:ascii="Times New Roman" w:hAnsi="Times New Roman"/>
            </w:rPr>
            <w:t>6.1</w:t>
          </w:r>
          <w:r>
            <w:rPr>
              <w:rStyle w:val="47"/>
            </w:rPr>
            <w:t xml:space="preserve"> 总则</w:t>
          </w:r>
          <w:r>
            <w:tab/>
          </w:r>
          <w:r>
            <w:fldChar w:fldCharType="begin"/>
          </w:r>
          <w:r>
            <w:instrText xml:space="preserve"> PAGEREF _Toc75336308 \h </w:instrText>
          </w:r>
          <w:r>
            <w:fldChar w:fldCharType="separate"/>
          </w:r>
          <w:r>
            <w:t>63</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"_Toc75336309" </w:instrText>
          </w:r>
          <w:r>
            <w:fldChar w:fldCharType="separate"/>
          </w:r>
          <w:r>
            <w:rPr>
              <w:rStyle w:val="47"/>
              <w:rFonts w:ascii="Times New Roman" w:hAnsi="Times New Roman"/>
            </w:rPr>
            <w:t>6.2</w:t>
          </w:r>
          <w:r>
            <w:rPr>
              <w:rStyle w:val="47"/>
            </w:rPr>
            <w:t xml:space="preserve"> 评标方法</w:t>
          </w:r>
          <w:r>
            <w:tab/>
          </w:r>
          <w:r>
            <w:fldChar w:fldCharType="begin"/>
          </w:r>
          <w:r>
            <w:instrText xml:space="preserve"> PAGEREF _Toc75336309 \h </w:instrText>
          </w:r>
          <w:r>
            <w:fldChar w:fldCharType="separate"/>
          </w:r>
          <w:r>
            <w:t>64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"_Toc75336310" </w:instrText>
          </w:r>
          <w:r>
            <w:fldChar w:fldCharType="separate"/>
          </w:r>
          <w:r>
            <w:rPr>
              <w:rStyle w:val="47"/>
              <w:rFonts w:ascii="Times New Roman" w:hAnsi="Times New Roman"/>
            </w:rPr>
            <w:t>6.3</w:t>
          </w:r>
          <w:r>
            <w:rPr>
              <w:rStyle w:val="47"/>
            </w:rPr>
            <w:t xml:space="preserve"> 评标程序</w:t>
          </w:r>
          <w:r>
            <w:tab/>
          </w:r>
          <w:r>
            <w:fldChar w:fldCharType="begin"/>
          </w:r>
          <w:r>
            <w:instrText xml:space="preserve"> PAGEREF _Toc75336310 \h </w:instrText>
          </w:r>
          <w:r>
            <w:fldChar w:fldCharType="separate"/>
          </w:r>
          <w:r>
            <w:t>64</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"_Toc75336311" </w:instrText>
          </w:r>
          <w:r>
            <w:fldChar w:fldCharType="separate"/>
          </w:r>
          <w:r>
            <w:rPr>
              <w:rStyle w:val="47"/>
              <w:rFonts w:ascii="Times New Roman" w:hAnsi="Times New Roman"/>
            </w:rPr>
            <w:t>6.4</w:t>
          </w:r>
          <w:r>
            <w:rPr>
              <w:rStyle w:val="47"/>
            </w:rPr>
            <w:t xml:space="preserve"> 评标争议处理规则</w:t>
          </w:r>
          <w:r>
            <w:tab/>
          </w:r>
          <w:r>
            <w:fldChar w:fldCharType="begin"/>
          </w:r>
          <w:r>
            <w:instrText xml:space="preserve"> PAGEREF _Toc75336311 \h </w:instrText>
          </w:r>
          <w:r>
            <w:fldChar w:fldCharType="separate"/>
          </w:r>
          <w:r>
            <w:t>71</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"_Toc75336312" </w:instrText>
          </w:r>
          <w:r>
            <w:fldChar w:fldCharType="separate"/>
          </w:r>
          <w:r>
            <w:rPr>
              <w:rStyle w:val="47"/>
              <w:rFonts w:ascii="Times New Roman" w:hAnsi="Times New Roman"/>
            </w:rPr>
            <w:t>6.5</w:t>
          </w:r>
          <w:r>
            <w:rPr>
              <w:rStyle w:val="47"/>
            </w:rPr>
            <w:t xml:space="preserve"> 评标细则及标准</w:t>
          </w:r>
          <w:r>
            <w:tab/>
          </w:r>
          <w:r>
            <w:fldChar w:fldCharType="begin"/>
          </w:r>
          <w:r>
            <w:instrText xml:space="preserve"> PAGEREF _Toc75336312 \h </w:instrText>
          </w:r>
          <w:r>
            <w:fldChar w:fldCharType="separate"/>
          </w:r>
          <w:r>
            <w:t>72</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"_Toc75336313" </w:instrText>
          </w:r>
          <w:r>
            <w:fldChar w:fldCharType="separate"/>
          </w:r>
          <w:r>
            <w:rPr>
              <w:rStyle w:val="47"/>
              <w:rFonts w:ascii="Times New Roman" w:hAnsi="Times New Roman"/>
            </w:rPr>
            <w:t>6.6</w:t>
          </w:r>
          <w:r>
            <w:rPr>
              <w:rStyle w:val="47"/>
            </w:rPr>
            <w:t xml:space="preserve"> 废标</w:t>
          </w:r>
          <w:r>
            <w:tab/>
          </w:r>
          <w:r>
            <w:fldChar w:fldCharType="begin"/>
          </w:r>
          <w:r>
            <w:instrText xml:space="preserve"> PAGEREF _Toc75336313 \h </w:instrText>
          </w:r>
          <w:r>
            <w:fldChar w:fldCharType="separate"/>
          </w:r>
          <w:r>
            <w:t>76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"_Toc75336314" </w:instrText>
          </w:r>
          <w:r>
            <w:fldChar w:fldCharType="separate"/>
          </w:r>
          <w:r>
            <w:rPr>
              <w:rStyle w:val="47"/>
              <w:rFonts w:ascii="Times New Roman" w:hAnsi="Times New Roman"/>
            </w:rPr>
            <w:t>6.7</w:t>
          </w:r>
          <w:r>
            <w:rPr>
              <w:rStyle w:val="47"/>
            </w:rPr>
            <w:t xml:space="preserve"> 定标</w:t>
          </w:r>
          <w:r>
            <w:tab/>
          </w:r>
          <w:r>
            <w:fldChar w:fldCharType="begin"/>
          </w:r>
          <w:r>
            <w:instrText xml:space="preserve"> PAGEREF _Toc75336314 \h </w:instrText>
          </w:r>
          <w:r>
            <w:fldChar w:fldCharType="separate"/>
          </w:r>
          <w:r>
            <w:t>76</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"_Toc75336315" </w:instrText>
          </w:r>
          <w:r>
            <w:fldChar w:fldCharType="separate"/>
          </w:r>
          <w:r>
            <w:rPr>
              <w:rStyle w:val="47"/>
              <w:rFonts w:ascii="Times New Roman" w:hAnsi="Times New Roman"/>
            </w:rPr>
            <w:t>6.8</w:t>
          </w:r>
          <w:r>
            <w:rPr>
              <w:rStyle w:val="47"/>
            </w:rPr>
            <w:t xml:space="preserve"> 评标专家在政府采购活动中承担以下义务</w:t>
          </w:r>
          <w:r>
            <w:tab/>
          </w:r>
          <w:r>
            <w:fldChar w:fldCharType="begin"/>
          </w:r>
          <w:r>
            <w:instrText xml:space="preserve"> PAGEREF _Toc75336315 \h </w:instrText>
          </w:r>
          <w:r>
            <w:fldChar w:fldCharType="separate"/>
          </w:r>
          <w:r>
            <w:t>77</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"_Toc75336316" </w:instrText>
          </w:r>
          <w:r>
            <w:fldChar w:fldCharType="separate"/>
          </w:r>
          <w:r>
            <w:rPr>
              <w:rStyle w:val="47"/>
              <w:rFonts w:ascii="Times New Roman" w:hAnsi="Times New Roman"/>
            </w:rPr>
            <w:t>6.9</w:t>
          </w:r>
          <w:r>
            <w:rPr>
              <w:rStyle w:val="47"/>
            </w:rPr>
            <w:t xml:space="preserve"> 评标委员会及其成员不得有下列行为：</w:t>
          </w:r>
          <w:r>
            <w:tab/>
          </w:r>
          <w:r>
            <w:fldChar w:fldCharType="begin"/>
          </w:r>
          <w:r>
            <w:instrText xml:space="preserve"> PAGEREF _Toc75336316 \h </w:instrText>
          </w:r>
          <w:r>
            <w:fldChar w:fldCharType="separate"/>
          </w:r>
          <w:r>
            <w:t>78</w:t>
          </w:r>
          <w:r>
            <w:fldChar w:fldCharType="end"/>
          </w:r>
          <w:r>
            <w:fldChar w:fldCharType="end"/>
          </w:r>
        </w:p>
        <w:p>
          <w:pPr>
            <w:pStyle w:val="35"/>
            <w:rPr>
              <w:rFonts w:asciiTheme="minorHAnsi" w:hAnsiTheme="minorHAnsi" w:eastAsiaTheme="minorEastAsia" w:cstheme="minorBidi"/>
              <w:smallCaps w:val="0"/>
              <w:sz w:val="21"/>
              <w:szCs w:val="22"/>
            </w:rPr>
          </w:pPr>
          <w:r>
            <w:fldChar w:fldCharType="begin"/>
          </w:r>
          <w:r>
            <w:instrText xml:space="preserve"> HYPERLINK \l "_Toc75336317" </w:instrText>
          </w:r>
          <w:r>
            <w:fldChar w:fldCharType="separate"/>
          </w:r>
          <w:r>
            <w:rPr>
              <w:rStyle w:val="47"/>
              <w:rFonts w:ascii="Times New Roman" w:hAnsi="Times New Roman"/>
            </w:rPr>
            <w:t>6.10</w:t>
          </w:r>
          <w:r>
            <w:rPr>
              <w:rStyle w:val="47"/>
            </w:rPr>
            <w:t xml:space="preserve"> 评审专家在政府采购活动中应当遵守以下工作纪律</w:t>
          </w:r>
          <w:r>
            <w:tab/>
          </w:r>
          <w:r>
            <w:fldChar w:fldCharType="begin"/>
          </w:r>
          <w:r>
            <w:instrText xml:space="preserve"> PAGEREF _Toc75336317 \h </w:instrText>
          </w:r>
          <w:r>
            <w:fldChar w:fldCharType="separate"/>
          </w:r>
          <w:r>
            <w:t>78</w:t>
          </w:r>
          <w:r>
            <w:fldChar w:fldCharType="end"/>
          </w:r>
          <w:r>
            <w:fldChar w:fldCharType="end"/>
          </w:r>
        </w:p>
        <w:p>
          <w:pPr>
            <w:pStyle w:val="29"/>
            <w:rPr>
              <w:rFonts w:asciiTheme="minorHAnsi" w:hAnsiTheme="minorHAnsi" w:eastAsiaTheme="minorEastAsia" w:cstheme="minorBidi"/>
              <w:bCs w:val="0"/>
              <w:caps w:val="0"/>
              <w:sz w:val="21"/>
              <w:szCs w:val="22"/>
            </w:rPr>
          </w:pPr>
          <w:r>
            <w:fldChar w:fldCharType="begin"/>
          </w:r>
          <w:r>
            <w:instrText xml:space="preserve"> HYPERLINK \l "_Toc75336318" </w:instrText>
          </w:r>
          <w:r>
            <w:fldChar w:fldCharType="separate"/>
          </w:r>
          <w:r>
            <w:rPr>
              <w:rStyle w:val="47"/>
              <w:rFonts w:ascii="Times New Roman" w:hAnsi="Times New Roman"/>
            </w:rPr>
            <w:t>第7章</w:t>
          </w:r>
          <w:r>
            <w:rPr>
              <w:rFonts w:asciiTheme="minorHAnsi" w:hAnsiTheme="minorHAnsi" w:eastAsiaTheme="minorEastAsia" w:cstheme="minorBidi"/>
              <w:bCs w:val="0"/>
              <w:caps w:val="0"/>
              <w:sz w:val="21"/>
              <w:szCs w:val="22"/>
            </w:rPr>
            <w:tab/>
          </w:r>
          <w:r>
            <w:rPr>
              <w:rStyle w:val="47"/>
            </w:rPr>
            <w:t>拟签订合同文本</w:t>
          </w:r>
          <w:r>
            <w:tab/>
          </w:r>
          <w:r>
            <w:fldChar w:fldCharType="begin"/>
          </w:r>
          <w:r>
            <w:instrText xml:space="preserve"> PAGEREF _Toc75336318 \h </w:instrText>
          </w:r>
          <w:r>
            <w:fldChar w:fldCharType="separate"/>
          </w:r>
          <w:r>
            <w:t>80</w:t>
          </w:r>
          <w:r>
            <w:fldChar w:fldCharType="end"/>
          </w:r>
          <w:r>
            <w:fldChar w:fldCharType="end"/>
          </w:r>
        </w:p>
        <w:p>
          <w:pPr>
            <w:pStyle w:val="35"/>
            <w:tabs>
              <w:tab w:val="right" w:leader="dot" w:pos="8647"/>
              <w:tab w:val="clear" w:pos="8364"/>
            </w:tabs>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numPr>
          <w:ilvl w:val="0"/>
          <w:numId w:val="3"/>
        </w:numPr>
        <w:spacing w:before="0" w:after="0" w:line="560" w:lineRule="exact"/>
        <w:ind w:left="0" w:firstLine="0"/>
        <w:rPr>
          <w:color w:val="000000" w:themeColor="text1"/>
          <w14:textFill>
            <w14:solidFill>
              <w14:schemeClr w14:val="tx1"/>
            </w14:solidFill>
          </w14:textFill>
        </w:rPr>
      </w:pPr>
      <w:bookmarkStart w:id="4" w:name="_Toc25954"/>
      <w:bookmarkStart w:id="5" w:name="_Toc22017"/>
      <w:bookmarkStart w:id="6" w:name="_Toc204575871"/>
      <w:bookmarkStart w:id="7" w:name="_Toc26321"/>
      <w:bookmarkStart w:id="8" w:name="_Toc181591102"/>
      <w:bookmarkStart w:id="9" w:name="_Toc75336286"/>
      <w:bookmarkStart w:id="10" w:name="_Toc181610856"/>
      <w:bookmarkStart w:id="11" w:name="_Toc20241"/>
      <w:r>
        <w:rPr>
          <w:rFonts w:hint="eastAsia"/>
          <w:color w:val="000000" w:themeColor="text1"/>
          <w14:textFill>
            <w14:solidFill>
              <w14:schemeClr w14:val="tx1"/>
            </w14:solidFill>
          </w14:textFill>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市公共资源交易服务中心(以下简称“市公资交易中心”)</w:t>
      </w:r>
      <w:r>
        <w:rPr>
          <w:rFonts w:hint="eastAsia" w:asciiTheme="minorEastAsia" w:hAnsiTheme="minorEastAsia" w:eastAsiaTheme="minorEastAsia"/>
          <w:color w:val="000000" w:themeColor="text1"/>
          <w:sz w:val="28"/>
          <w:szCs w:val="28"/>
          <w14:textFill>
            <w14:solidFill>
              <w14:schemeClr w14:val="tx1"/>
            </w14:solidFill>
          </w14:textFill>
        </w:rPr>
        <w:t>受</w:t>
      </w:r>
      <w:r>
        <w:rPr>
          <w:rFonts w:hint="eastAsia" w:ascii="宋体" w:hAnsi="宋体" w:cs="宋体"/>
          <w:b/>
          <w:bCs/>
          <w:sz w:val="28"/>
          <w:szCs w:val="28"/>
          <w:u w:val="single"/>
        </w:rPr>
        <w:t>彭州市人民政府天彭街道办事处</w:t>
      </w:r>
      <w:r>
        <w:rPr>
          <w:rFonts w:hint="eastAsia" w:asciiTheme="minorEastAsia" w:hAnsiTheme="minorEastAsia" w:eastAsiaTheme="minorEastAsia"/>
          <w:color w:val="000000" w:themeColor="text1"/>
          <w:sz w:val="28"/>
          <w:szCs w:val="28"/>
          <w14:textFill>
            <w14:solidFill>
              <w14:schemeClr w14:val="tx1"/>
            </w14:solidFill>
          </w14:textFill>
        </w:rPr>
        <w:t>委托</w:t>
      </w:r>
      <w:r>
        <w:rPr>
          <w:rFonts w:hint="eastAsia" w:ascii="宋体" w:hAnsi="宋体"/>
          <w:color w:val="000000" w:themeColor="text1"/>
          <w:sz w:val="28"/>
          <w:szCs w:val="28"/>
          <w14:textFill>
            <w14:solidFill>
              <w14:schemeClr w14:val="tx1"/>
            </w14:solidFill>
          </w14:textFill>
        </w:rPr>
        <w:t>拟</w:t>
      </w:r>
      <w:r>
        <w:rPr>
          <w:rFonts w:hint="eastAsia" w:ascii="仿宋_GB2312" w:hAnsi="仿宋_GB2312" w:eastAsia="仿宋_GB2312" w:cs="仿宋_GB2312"/>
          <w:b w:val="0"/>
          <w:bCs w:val="0"/>
          <w:sz w:val="28"/>
          <w:szCs w:val="28"/>
          <w:u w:val="none"/>
        </w:rPr>
        <w:t>对</w:t>
      </w:r>
      <w:r>
        <w:rPr>
          <w:rFonts w:hint="eastAsia" w:ascii="宋体" w:hAnsi="宋体" w:cs="宋体"/>
          <w:b/>
          <w:bCs/>
          <w:sz w:val="28"/>
          <w:szCs w:val="28"/>
          <w:u w:val="single"/>
          <w:lang w:val="en-US" w:eastAsia="zh-CN"/>
        </w:rPr>
        <w:t>2021-2022年度东湖花园一二期安置小区物业管理服务采购项目</w:t>
      </w:r>
      <w:r>
        <w:rPr>
          <w:rFonts w:hint="eastAsia" w:ascii="宋体" w:hAnsi="宋体"/>
          <w:color w:val="000000" w:themeColor="text1"/>
          <w:sz w:val="28"/>
          <w:szCs w:val="28"/>
          <w14:textFill>
            <w14:solidFill>
              <w14:schemeClr w14:val="tx1"/>
            </w14:solidFill>
          </w14:textFill>
        </w:rPr>
        <w:t>进行国内公开招标，兹邀请符合本次招标要求的供应商参加投标。</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b/>
          <w:color w:val="000000" w:themeColor="text1"/>
          <w:sz w:val="28"/>
          <w:szCs w:val="28"/>
          <w:lang w:val="en-US" w:eastAsia="zh-CN"/>
          <w14:textFill>
            <w14:solidFill>
              <w14:schemeClr w14:val="tx1"/>
            </w14:solidFill>
          </w14:textFill>
        </w:rPr>
        <w:t>彭州</w:t>
      </w:r>
      <w:r>
        <w:rPr>
          <w:rFonts w:hint="eastAsia" w:ascii="宋体" w:hAnsi="宋体"/>
          <w:b/>
          <w:color w:val="000000" w:themeColor="text1"/>
          <w:sz w:val="28"/>
          <w:szCs w:val="28"/>
          <w14:textFill>
            <w14:solidFill>
              <w14:schemeClr w14:val="tx1"/>
            </w14:solidFill>
          </w14:textFill>
        </w:rPr>
        <w:t>市政采（2021）A</w:t>
      </w:r>
      <w:r>
        <w:rPr>
          <w:rFonts w:hint="eastAsia" w:ascii="宋体" w:hAnsi="宋体"/>
          <w:b/>
          <w:color w:val="000000" w:themeColor="text1"/>
          <w:sz w:val="28"/>
          <w:szCs w:val="28"/>
          <w:lang w:val="en-US" w:eastAsia="zh-CN"/>
          <w14:textFill>
            <w14:solidFill>
              <w14:schemeClr w14:val="tx1"/>
            </w14:solidFill>
          </w14:textFill>
        </w:rPr>
        <w:t>0015</w:t>
      </w:r>
      <w:r>
        <w:rPr>
          <w:rFonts w:hint="eastAsia" w:ascii="宋体" w:hAnsi="宋体"/>
          <w:b/>
          <w:color w:val="000000" w:themeColor="text1"/>
          <w:sz w:val="28"/>
          <w:szCs w:val="28"/>
          <w14:textFill>
            <w14:solidFill>
              <w14:schemeClr w14:val="tx1"/>
            </w14:solidFill>
          </w14:textFill>
        </w:rPr>
        <w:t>号</w:t>
      </w:r>
    </w:p>
    <w:p>
      <w:pPr>
        <w:pStyle w:val="2"/>
        <w:ind w:firstLine="413" w:firstLineChars="147"/>
        <w:rPr>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w:t>
      </w:r>
      <w:r>
        <w:rPr>
          <w:rFonts w:hint="eastAsia" w:ascii="宋体" w:hAnsi="宋体" w:eastAsia="宋体" w:cs="Times New Roman"/>
          <w:b/>
          <w:color w:val="000000" w:themeColor="text1"/>
          <w:kern w:val="2"/>
          <w:sz w:val="28"/>
          <w:szCs w:val="28"/>
          <w:lang w:val="en-US" w:eastAsia="zh-CN" w:bidi="ar-SA"/>
          <w14:textFill>
            <w14:solidFill>
              <w14:schemeClr w14:val="tx1"/>
            </w14:solidFill>
          </w14:textFill>
        </w:rPr>
        <w:t>项目编号：510182202100142）</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cs="Times New Roman"/>
          <w:color w:val="000000" w:themeColor="text1"/>
          <w:sz w:val="28"/>
          <w:szCs w:val="28"/>
          <w:lang w:val="en-US" w:eastAsia="zh-CN"/>
          <w14:textFill>
            <w14:solidFill>
              <w14:schemeClr w14:val="tx1"/>
            </w14:solidFill>
          </w14:textFill>
        </w:rPr>
        <w:t>2021-2022年度东湖花园一二期安置小区物业管理服务采购项目</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w:t>
      </w:r>
      <w:r>
        <w:rPr>
          <w:rFonts w:hint="eastAsia" w:ascii="宋体" w:hAnsi="宋体" w:cs="Times New Roman"/>
          <w:color w:val="000000" w:themeColor="text1"/>
          <w:sz w:val="28"/>
          <w:szCs w:val="28"/>
          <w14:textFill>
            <w14:solidFill>
              <w14:schemeClr w14:val="tx1"/>
            </w14:solidFill>
          </w14:textFill>
        </w:rPr>
        <w:t>案表号：</w:t>
      </w:r>
      <w:r>
        <w:rPr>
          <w:rFonts w:hint="eastAsia" w:ascii="宋体" w:hAnsi="宋体" w:cs="Times New Roman"/>
          <w:color w:val="000000" w:themeColor="text1"/>
          <w:sz w:val="28"/>
          <w:szCs w:val="28"/>
          <w14:textFill>
            <w14:solidFill>
              <w14:schemeClr w14:val="tx1"/>
            </w14:solidFill>
          </w14:textFill>
        </w:rPr>
        <w:fldChar w:fldCharType="begin"/>
      </w:r>
      <w:r>
        <w:rPr>
          <w:rFonts w:hint="eastAsia" w:ascii="宋体" w:hAnsi="宋体" w:cs="Times New Roman"/>
          <w:color w:val="000000" w:themeColor="text1"/>
          <w:sz w:val="28"/>
          <w:szCs w:val="28"/>
          <w14:textFill>
            <w14:solidFill>
              <w14:schemeClr w14:val="tx1"/>
            </w14:solidFill>
          </w14:textFill>
        </w:rPr>
        <w:instrText xml:space="preserve"> HYPERLINK "https://pay.zcygov.cn/purchaseplan_front/" \l "/plan/list/detail?id=1000000000005682749&amp;encrypt=df25cfb059f97cf5ad486b92b3aae835" \t "https://www.zcygov.cn/bidding-entrust/" \l "/purchasePlans/_blank" </w:instrText>
      </w:r>
      <w:r>
        <w:rPr>
          <w:rFonts w:hint="eastAsia" w:ascii="宋体" w:hAnsi="宋体" w:cs="Times New Roman"/>
          <w:color w:val="000000" w:themeColor="text1"/>
          <w:sz w:val="28"/>
          <w:szCs w:val="28"/>
          <w14:textFill>
            <w14:solidFill>
              <w14:schemeClr w14:val="tx1"/>
            </w14:solidFill>
          </w14:textFill>
        </w:rPr>
        <w:fldChar w:fldCharType="separate"/>
      </w:r>
      <w:r>
        <w:rPr>
          <w:rFonts w:hint="eastAsia" w:ascii="宋体" w:hAnsi="宋体" w:cs="Times New Roman"/>
          <w:color w:val="000000" w:themeColor="text1"/>
          <w:sz w:val="28"/>
          <w:szCs w:val="28"/>
          <w14:textFill>
            <w14:solidFill>
              <w14:schemeClr w14:val="tx1"/>
            </w14:solidFill>
          </w14:textFill>
        </w:rPr>
        <w:t>(2021)0439号</w:t>
      </w:r>
      <w:r>
        <w:rPr>
          <w:rFonts w:hint="eastAsia" w:ascii="宋体" w:hAnsi="宋体" w:cs="Times New Roman"/>
          <w:color w:val="000000" w:themeColor="text1"/>
          <w:sz w:val="28"/>
          <w:szCs w:val="28"/>
          <w14:textFill>
            <w14:solidFill>
              <w14:schemeClr w14:val="tx1"/>
            </w14:solidFill>
          </w14:textFill>
        </w:rPr>
        <w:fldChar w:fldCharType="end"/>
      </w:r>
      <w:r>
        <w:rPr>
          <w:rFonts w:hint="eastAsia" w:ascii="宋体" w:hAnsi="宋体" w:cs="Times New Roman"/>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预算品目：</w:t>
      </w:r>
      <w:r>
        <w:rPr>
          <w:rFonts w:hint="eastAsia" w:ascii="宋体" w:hAnsi="宋体"/>
          <w:b/>
          <w:color w:val="000000" w:themeColor="text1"/>
          <w:sz w:val="28"/>
          <w:szCs w:val="28"/>
          <w14:textFill>
            <w14:solidFill>
              <w14:schemeClr w14:val="tx1"/>
            </w14:solidFill>
          </w14:textFill>
        </w:rPr>
        <w:t>C</w:t>
      </w:r>
      <w:r>
        <w:rPr>
          <w:rFonts w:ascii="宋体" w:hAnsi="宋体"/>
          <w:b/>
          <w:color w:val="000000" w:themeColor="text1"/>
          <w:sz w:val="28"/>
          <w:szCs w:val="28"/>
          <w14:textFill>
            <w14:solidFill>
              <w14:schemeClr w14:val="tx1"/>
            </w14:solidFill>
          </w14:textFill>
        </w:rPr>
        <w:t>1204</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b/>
          <w:color w:val="000000" w:themeColor="text1"/>
          <w:sz w:val="28"/>
          <w:szCs w:val="28"/>
          <w14:textFill>
            <w14:solidFill>
              <w14:schemeClr w14:val="tx1"/>
            </w14:solidFill>
          </w14:textFill>
        </w:rPr>
        <w:t>服务</w:t>
      </w:r>
      <w:r>
        <w:rPr>
          <w:rFonts w:hint="eastAsia" w:ascii="宋体" w:hAnsi="宋体"/>
          <w:color w:val="000000" w:themeColor="text1"/>
          <w:sz w:val="28"/>
          <w:szCs w:val="28"/>
          <w14:textFill>
            <w14:solidFill>
              <w14:schemeClr w14:val="tx1"/>
            </w14:solidFill>
          </w14:textFill>
        </w:rPr>
        <w:t>；预算金额：</w:t>
      </w:r>
      <w:r>
        <w:rPr>
          <w:rFonts w:hint="eastAsia" w:ascii="宋体" w:hAnsi="宋体"/>
          <w:b/>
          <w:color w:val="000000" w:themeColor="text1"/>
          <w:sz w:val="28"/>
          <w:szCs w:val="28"/>
          <w:lang w:val="en-US" w:eastAsia="zh-CN"/>
          <w14:textFill>
            <w14:solidFill>
              <w14:schemeClr w14:val="tx1"/>
            </w14:solidFill>
          </w14:textFill>
        </w:rPr>
        <w:t>2872600元</w:t>
      </w:r>
      <w:r>
        <w:rPr>
          <w:rFonts w:hint="eastAsia" w:ascii="宋体" w:hAnsi="宋体"/>
          <w:color w:val="000000" w:themeColor="text1"/>
          <w:sz w:val="28"/>
          <w:szCs w:val="28"/>
          <w14:textFill>
            <w14:solidFill>
              <w14:schemeClr w14:val="tx1"/>
            </w14:solidFill>
          </w14:textFill>
        </w:rPr>
        <w:t>；最高限价：</w:t>
      </w:r>
      <w:r>
        <w:rPr>
          <w:rFonts w:hint="eastAsia" w:ascii="宋体" w:hAnsi="宋体"/>
          <w:b/>
          <w:color w:val="000000" w:themeColor="text1"/>
          <w:sz w:val="28"/>
          <w:szCs w:val="28"/>
          <w:lang w:val="en-US" w:eastAsia="zh-CN"/>
          <w14:textFill>
            <w14:solidFill>
              <w14:schemeClr w14:val="tx1"/>
            </w14:solidFill>
          </w14:textFill>
        </w:rPr>
        <w:t>2872600元</w:t>
      </w:r>
      <w:r>
        <w:rPr>
          <w:rFonts w:hint="eastAsia" w:ascii="宋体" w:hAnsi="宋体"/>
          <w:color w:val="000000" w:themeColor="text1"/>
          <w:sz w:val="28"/>
          <w:szCs w:val="28"/>
          <w14:textFill>
            <w14:solidFill>
              <w14:schemeClr w14:val="tx1"/>
            </w14:solidFill>
          </w14:textFill>
        </w:rPr>
        <w:t>；采购标的：</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b/>
          <w:color w:val="000000" w:themeColor="text1"/>
          <w:sz w:val="28"/>
          <w:szCs w:val="28"/>
          <w14:textFill>
            <w14:solidFill>
              <w14:schemeClr w14:val="tx1"/>
            </w14:solidFill>
          </w14:textFill>
        </w:rPr>
        <w:t>服务</w:t>
      </w:r>
      <w:r>
        <w:rPr>
          <w:rFonts w:hint="eastAsia" w:ascii="宋体" w:hAnsi="宋体"/>
          <w:color w:val="000000" w:themeColor="text1"/>
          <w:sz w:val="28"/>
          <w:szCs w:val="28"/>
          <w14:textFill>
            <w14:solidFill>
              <w14:schemeClr w14:val="tx1"/>
            </w14:solidFill>
          </w14:textFill>
        </w:rPr>
        <w:t>；所属行业：</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color w:val="000000" w:themeColor="text1"/>
          <w:sz w:val="28"/>
          <w:szCs w:val="28"/>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招标项目简介</w:t>
      </w:r>
    </w:p>
    <w:p>
      <w:pPr>
        <w:spacing w:line="600" w:lineRule="exact"/>
        <w:ind w:firstLine="560" w:firstLineChars="200"/>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本次采购服务内容为</w:t>
      </w:r>
      <w:r>
        <w:rPr>
          <w:rFonts w:hint="eastAsia" w:asciiTheme="majorEastAsia" w:hAnsiTheme="majorEastAsia" w:eastAsiaTheme="majorEastAsia" w:cstheme="majorEastAsia"/>
          <w:sz w:val="28"/>
          <w:szCs w:val="28"/>
        </w:rPr>
        <w:t>东湖</w:t>
      </w:r>
      <w:r>
        <w:rPr>
          <w:rFonts w:hint="eastAsia" w:asciiTheme="majorEastAsia" w:hAnsiTheme="majorEastAsia" w:eastAsiaTheme="majorEastAsia" w:cstheme="majorEastAsia"/>
          <w:sz w:val="28"/>
          <w:szCs w:val="28"/>
          <w:lang w:eastAsia="zh-CN"/>
        </w:rPr>
        <w:t>花园一二期</w:t>
      </w:r>
      <w:r>
        <w:rPr>
          <w:rFonts w:hint="eastAsia" w:asciiTheme="majorEastAsia" w:hAnsiTheme="majorEastAsia" w:eastAsiaTheme="majorEastAsia" w:cstheme="majorEastAsia"/>
          <w:color w:val="000000"/>
          <w:sz w:val="28"/>
          <w:szCs w:val="28"/>
        </w:rPr>
        <w:t>小区物业服务，包括综合管理服务、房屋管理、小区共用设施设备维修养护、维护公共秩序、保洁服务和绿化养护管理（含道路绿化保洁）。</w:t>
      </w:r>
      <w:r>
        <w:rPr>
          <w:rFonts w:hint="eastAsia" w:asciiTheme="majorEastAsia" w:hAnsiTheme="majorEastAsia" w:eastAsiaTheme="majorEastAsia" w:cstheme="majorEastAsia"/>
          <w:sz w:val="28"/>
          <w:szCs w:val="28"/>
        </w:rPr>
        <w:t>采购期限为2年</w:t>
      </w:r>
      <w:r>
        <w:rPr>
          <w:rFonts w:hint="eastAsia" w:asciiTheme="majorEastAsia" w:hAnsiTheme="majorEastAsia" w:eastAsiaTheme="majorEastAsia" w:cstheme="majorEastAsia"/>
          <w:color w:val="000000" w:themeColor="text1"/>
          <w:sz w:val="28"/>
          <w:szCs w:val="28"/>
          <w14:textFill>
            <w14:solidFill>
              <w14:schemeClr w14:val="tx1"/>
            </w14:solidFill>
          </w14:textFill>
        </w:rPr>
        <w:t>。</w:t>
      </w:r>
    </w:p>
    <w:p>
      <w:pPr>
        <w:pStyle w:val="2"/>
        <w:rPr>
          <w:rFonts w:hint="eastAsia" w:ascii="仿宋_GB2312" w:hAnsi="仿宋_GB2312" w:eastAsia="仿宋_GB2312" w:cs="仿宋_GB2312"/>
          <w:b/>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详细的服务、商务及其他要求见招标文件第4章。</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pStyle w:val="84"/>
        <w:numPr>
          <w:ilvl w:val="0"/>
          <w:numId w:val="5"/>
        </w:numPr>
        <w:spacing w:line="560" w:lineRule="exact"/>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符合《中华人民共和国政府采购法》第二十二条第一款规定的条件；</w:t>
      </w:r>
    </w:p>
    <w:p>
      <w:pPr>
        <w:tabs>
          <w:tab w:val="left" w:pos="1134"/>
        </w:tabs>
        <w:spacing w:line="560" w:lineRule="exact"/>
        <w:ind w:left="7" w:firstLine="562" w:firstLineChars="20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（二）本项目为专门面向中小企业采购项目，服务全部由符合政策要求的中小企业承接。（说明：监狱企业、残疾人福利性单位视同小型、微型企业）</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（三）在中华人民共和国境内依法登记注册，并有效存续具有独立法人资格的供应商；</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（四）未被列入失信被执行人、重大税收违法案件当事人名单、政府采购严重违法失信行为记录名单；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（六）未处于被行政部门禁止参与政府采购活动的期限内；</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（七）不属于其他国家相关法律法规规定的禁止参加投标的供应商；</w:t>
      </w:r>
    </w:p>
    <w:p>
      <w:pPr>
        <w:pStyle w:val="152"/>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（八）本项目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0"/>
        </w:numPr>
        <w:spacing w:line="360" w:lineRule="auto"/>
        <w:ind w:left="567" w:leftChars="0"/>
        <w:rPr>
          <w:rFonts w:ascii="宋体" w:hAnsi="宋体"/>
          <w:b/>
          <w:sz w:val="28"/>
        </w:rPr>
      </w:pPr>
      <w:r>
        <w:rPr>
          <w:rFonts w:hint="eastAsia" w:ascii="宋体" w:hAnsi="宋体"/>
          <w:color w:val="000000" w:themeColor="text1"/>
          <w:sz w:val="28"/>
          <w:szCs w:val="28"/>
          <w14:textFill>
            <w14:solidFill>
              <w14:schemeClr w14:val="tx1"/>
            </w14:solidFill>
          </w14:textFill>
        </w:rPr>
        <w:t>招标文件获取时间：</w:t>
      </w:r>
      <w:r>
        <w:rPr>
          <w:rFonts w:hint="eastAsia" w:ascii="宋体" w:hAnsi="宋体"/>
          <w:b/>
          <w:sz w:val="28"/>
          <w:szCs w:val="28"/>
        </w:rPr>
        <w:t>2021年</w:t>
      </w:r>
      <w:r>
        <w:rPr>
          <w:rFonts w:hint="eastAsia" w:ascii="宋体" w:hAnsi="宋体"/>
          <w:b/>
          <w:sz w:val="28"/>
          <w:szCs w:val="28"/>
          <w:lang w:val="en-US" w:eastAsia="zh-CN"/>
        </w:rPr>
        <w:t>8</w:t>
      </w:r>
      <w:r>
        <w:rPr>
          <w:rFonts w:hint="eastAsia" w:ascii="宋体" w:hAnsi="宋体"/>
          <w:b/>
          <w:sz w:val="28"/>
          <w:szCs w:val="28"/>
        </w:rPr>
        <w:t>月</w:t>
      </w:r>
      <w:r>
        <w:rPr>
          <w:rFonts w:hint="eastAsia" w:ascii="宋体" w:hAnsi="宋体"/>
          <w:b/>
          <w:sz w:val="28"/>
          <w:szCs w:val="28"/>
          <w:lang w:val="en-US" w:eastAsia="zh-CN"/>
        </w:rPr>
        <w:t>11</w:t>
      </w:r>
      <w:r>
        <w:rPr>
          <w:rFonts w:hint="eastAsia" w:ascii="宋体" w:hAnsi="宋体"/>
          <w:b/>
          <w:sz w:val="28"/>
          <w:szCs w:val="28"/>
        </w:rPr>
        <w:t>日至</w:t>
      </w:r>
      <w:r>
        <w:rPr>
          <w:rFonts w:hint="eastAsia" w:ascii="宋体" w:hAnsi="宋体"/>
          <w:b/>
          <w:sz w:val="28"/>
          <w:szCs w:val="28"/>
          <w:lang w:val="en-US" w:eastAsia="zh-CN"/>
        </w:rPr>
        <w:t>8</w:t>
      </w:r>
      <w:r>
        <w:rPr>
          <w:rFonts w:hint="eastAsia" w:ascii="宋体" w:hAnsi="宋体"/>
          <w:b/>
          <w:sz w:val="28"/>
          <w:szCs w:val="28"/>
        </w:rPr>
        <w:t>月</w:t>
      </w:r>
      <w:r>
        <w:rPr>
          <w:rFonts w:hint="eastAsia" w:ascii="宋体" w:hAnsi="宋体"/>
          <w:b/>
          <w:sz w:val="28"/>
          <w:szCs w:val="28"/>
          <w:lang w:val="en-US" w:eastAsia="zh-CN"/>
        </w:rPr>
        <w:t>17</w:t>
      </w:r>
      <w:r>
        <w:rPr>
          <w:rFonts w:hint="eastAsia" w:ascii="宋体" w:hAnsi="宋体"/>
          <w:b/>
          <w:sz w:val="28"/>
          <w:szCs w:val="28"/>
        </w:rPr>
        <w:t>日。</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bookmarkStart w:id="12" w:name="_Toc174185149"/>
      <w:bookmarkStart w:id="13" w:name="_Toc180051012"/>
      <w:bookmarkStart w:id="14" w:name="_Toc186274101"/>
      <w:bookmarkStart w:id="15" w:name="_Toc184023104"/>
      <w:bookmarkStart w:id="16" w:name="_Toc184013605"/>
      <w:r>
        <w:rPr>
          <w:rFonts w:hint="eastAsia" w:ascii="宋体" w:hAnsi="宋体"/>
          <w:color w:val="000000" w:themeColor="text1"/>
          <w:sz w:val="28"/>
          <w:szCs w:val="28"/>
          <w14:textFill>
            <w14:solidFill>
              <w14:schemeClr w14:val="tx1"/>
            </w14:solidFill>
          </w14:textFill>
        </w:rPr>
        <w:t>（操作指南请登录政府采购云平台后，点击“前台大厅—操作指南—供应商”处下载查看）。</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投标文件递交截止时间及开标时间</w:t>
      </w:r>
      <w:bookmarkEnd w:id="12"/>
      <w:bookmarkEnd w:id="13"/>
      <w:bookmarkEnd w:id="14"/>
      <w:bookmarkEnd w:id="15"/>
      <w:bookmarkEnd w:id="16"/>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color w:val="000000" w:themeColor="text1"/>
          <w:sz w:val="28"/>
          <w:szCs w:val="28"/>
          <w14:textFill>
            <w14:solidFill>
              <w14:schemeClr w14:val="tx1"/>
            </w14:solidFill>
          </w14:textFill>
        </w:rPr>
        <w:t>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9</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日上午09:30。</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政采中小企业政府采购信用担保融资</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（三）本地财政部门电话：028-83888323。</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pStyle w:val="152"/>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宋体" w:hAnsi="宋体" w:eastAsia="宋体" w:cs="Times New Roman"/>
          <w:kern w:val="2"/>
          <w:sz w:val="28"/>
          <w:szCs w:val="28"/>
          <w:lang w:val="en-US" w:eastAsia="zh-CN" w:bidi="ar-SA"/>
        </w:rPr>
      </w:pPr>
      <w:r>
        <w:rPr>
          <w:rFonts w:hint="eastAsia" w:ascii="宋体" w:hAnsi="宋体"/>
          <w:b/>
          <w:kern w:val="0"/>
          <w:sz w:val="28"/>
          <w:szCs w:val="22"/>
        </w:rPr>
        <w:t>采购人：</w:t>
      </w:r>
      <w:r>
        <w:rPr>
          <w:rFonts w:hint="eastAsia" w:ascii="宋体" w:hAnsi="宋体" w:eastAsia="宋体" w:cs="Times New Roman"/>
          <w:kern w:val="2"/>
          <w:sz w:val="28"/>
          <w:szCs w:val="28"/>
          <w:lang w:val="en-US" w:eastAsia="zh-CN" w:bidi="ar-SA"/>
        </w:rPr>
        <w:t>彭州市人民政府天彭街道办事处；</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地  址：彭州市天彭街道东湖大街399号；</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联系人：吴传武</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联系电话：13981808755</w:t>
      </w:r>
    </w:p>
    <w:p>
      <w:pPr>
        <w:pStyle w:val="152"/>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郑维波</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ascii="宋体" w:hAnsi="宋体"/>
          <w:sz w:val="28"/>
          <w:szCs w:val="28"/>
        </w:rPr>
      </w:pPr>
      <w:r>
        <w:rPr>
          <w:rFonts w:hint="eastAsia" w:ascii="宋体" w:hAnsi="宋体" w:cstheme="minorBidi"/>
          <w:b/>
          <w:sz w:val="28"/>
          <w:szCs w:val="28"/>
        </w:rPr>
        <w:t>技术支持电话：4008817190</w:t>
      </w:r>
    </w:p>
    <w:p>
      <w:pPr>
        <w:pStyle w:val="129"/>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2"/>
        <w:jc w:val="left"/>
        <w:textAlignment w:val="auto"/>
        <w:rPr>
          <w:rFonts w:ascii="宋体" w:hAnsi="宋体" w:eastAsia="宋体" w:cs="Times New Roman"/>
          <w:b/>
          <w:kern w:val="0"/>
          <w:sz w:val="28"/>
        </w:rPr>
      </w:pPr>
      <w:r>
        <w:rPr>
          <w:rFonts w:hint="eastAsia" w:ascii="宋体" w:hAnsi="宋体" w:eastAsia="宋体" w:cs="Times New Roman"/>
          <w:b/>
          <w:kern w:val="0"/>
          <w:sz w:val="28"/>
        </w:rPr>
        <w:t>集中采购监督机构：彭州市财政局</w:t>
      </w:r>
    </w:p>
    <w:p>
      <w:pPr>
        <w:pStyle w:val="129"/>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jc w:val="left"/>
        <w:textAlignment w:val="auto"/>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firstLineChars="200"/>
        <w:textAlignment w:val="auto"/>
        <w:rPr>
          <w:rFonts w:ascii="宋体" w:hAnsi="宋体" w:cstheme="minorBidi"/>
          <w:b/>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129"/>
        <w:tabs>
          <w:tab w:val="left" w:pos="900"/>
        </w:tabs>
        <w:spacing w:line="560" w:lineRule="exact"/>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3"/>
        <w:numPr>
          <w:ilvl w:val="0"/>
          <w:numId w:val="3"/>
        </w:numPr>
        <w:spacing w:before="0" w:after="0" w:line="240" w:lineRule="auto"/>
        <w:ind w:left="0" w:firstLine="0"/>
        <w:rPr>
          <w:color w:val="000000" w:themeColor="text1"/>
          <w14:textFill>
            <w14:solidFill>
              <w14:schemeClr w14:val="tx1"/>
            </w14:solidFill>
          </w14:textFill>
        </w:rPr>
      </w:pPr>
      <w:bookmarkStart w:id="17" w:name="_Toc11280"/>
      <w:bookmarkStart w:id="18" w:name="_Toc23978"/>
      <w:bookmarkStart w:id="19" w:name="_Toc22501"/>
      <w:bookmarkStart w:id="20" w:name="_Toc75336287"/>
      <w:bookmarkStart w:id="21" w:name="_Toc16071"/>
      <w:r>
        <w:rPr>
          <w:rFonts w:hint="eastAsia"/>
          <w:color w:val="000000" w:themeColor="text1"/>
          <w14:textFill>
            <w14:solidFill>
              <w14:schemeClr w14:val="tx1"/>
            </w14:solidFill>
          </w14:textFill>
        </w:rPr>
        <w:t>投标人须知</w:t>
      </w:r>
      <w:bookmarkEnd w:id="17"/>
      <w:bookmarkEnd w:id="18"/>
      <w:bookmarkEnd w:id="19"/>
      <w:bookmarkEnd w:id="20"/>
      <w:bookmarkEnd w:id="21"/>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22" w:name="_Toc75336288"/>
      <w:bookmarkStart w:id="23" w:name="_Toc213396760"/>
      <w:bookmarkStart w:id="24" w:name="_Toc1773"/>
      <w:bookmarkStart w:id="25" w:name="_Toc213396946"/>
      <w:bookmarkStart w:id="26" w:name="_Toc15505"/>
      <w:bookmarkStart w:id="27" w:name="_Toc213397010"/>
      <w:bookmarkStart w:id="28" w:name="_Toc32366"/>
      <w:bookmarkStart w:id="29" w:name="_Toc217446032"/>
      <w:bookmarkStart w:id="30" w:name="_Toc316462344"/>
      <w:bookmarkStart w:id="31" w:name="_Toc14528"/>
      <w:bookmarkStart w:id="32" w:name="_Toc189727030"/>
      <w:bookmarkStart w:id="33" w:name="_Toc213496268"/>
      <w:r>
        <w:rPr>
          <w:rFonts w:hint="eastAsia"/>
          <w:color w:val="000000" w:themeColor="text1"/>
          <w14:textFill>
            <w14:solidFill>
              <w14:schemeClr w14:val="tx1"/>
            </w14:solidFill>
          </w14:textFill>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43"/>
        <w:tblW w:w="9312"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1"/>
              <w:ind w:left="38"/>
              <w:jc w:val="center"/>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1"/>
              <w:jc w:val="center"/>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rPr>
                <w:rFonts w:hint="default" w:eastAsia="宋体"/>
                <w:b/>
                <w:color w:val="000000" w:themeColor="text1"/>
                <w:kern w:val="2"/>
                <w:sz w:val="28"/>
                <w:szCs w:val="28"/>
                <w:lang w:val="en-US" w:eastAsia="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人民币</w:t>
            </w:r>
            <w:r>
              <w:rPr>
                <w:rFonts w:hint="eastAsia" w:ascii="宋体" w:hAnsi="宋体"/>
                <w:b/>
                <w:color w:val="000000" w:themeColor="text1"/>
                <w:sz w:val="28"/>
                <w:szCs w:val="28"/>
                <w:lang w:val="en-US" w:eastAsia="zh-CN"/>
                <w14:textFill>
                  <w14:solidFill>
                    <w14:schemeClr w14:val="tx1"/>
                  </w14:solidFill>
                </w14:textFill>
              </w:rPr>
              <w:t>2872600</w:t>
            </w:r>
            <w:r>
              <w:rPr>
                <w:rFonts w:hint="eastAsia"/>
                <w:b/>
                <w:color w:val="000000" w:themeColor="text1"/>
                <w:sz w:val="28"/>
                <w:szCs w:val="28"/>
                <w14:textFill>
                  <w14:solidFill>
                    <w14:schemeClr w14:val="tx1"/>
                  </w14:solidFill>
                </w14:textFill>
              </w:rPr>
              <w:t>元</w:t>
            </w:r>
            <w:r>
              <w:rPr>
                <w:rFonts w:hint="eastAsia"/>
                <w:b/>
                <w:color w:val="000000" w:themeColor="text1"/>
                <w:kern w:val="2"/>
                <w:sz w:val="28"/>
                <w:szCs w:val="28"/>
                <w:lang w:val="zh-CN"/>
                <w14:textFill>
                  <w14:solidFill>
                    <w14:schemeClr w14:val="tx1"/>
                  </w14:solidFill>
                </w14:textFill>
              </w:rPr>
              <w:t>。</w:t>
            </w:r>
            <w:r>
              <w:rPr>
                <w:rFonts w:hint="eastAsia"/>
                <w:b/>
                <w:color w:val="000000" w:themeColor="text1"/>
                <w:kern w:val="2"/>
                <w:sz w:val="28"/>
                <w:szCs w:val="28"/>
                <w:lang w:val="en-US" w:eastAsia="zh-CN"/>
                <w14:textFill>
                  <w14:solidFill>
                    <w14:schemeClr w14:val="tx1"/>
                  </w14:solidFill>
                </w14:textFill>
              </w:rPr>
              <w:t>采购服务期2年。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ind w:left="38"/>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本项目最高限价为人民币</w:t>
            </w:r>
            <w:r>
              <w:rPr>
                <w:rFonts w:hint="eastAsia" w:ascii="宋体" w:hAnsi="宋体"/>
                <w:b/>
                <w:color w:val="000000" w:themeColor="text1"/>
                <w:sz w:val="28"/>
                <w:szCs w:val="28"/>
                <w:lang w:val="en-US" w:eastAsia="zh-CN"/>
                <w14:textFill>
                  <w14:solidFill>
                    <w14:schemeClr w14:val="tx1"/>
                  </w14:solidFill>
                </w14:textFill>
              </w:rPr>
              <w:t>2872600</w:t>
            </w:r>
            <w:r>
              <w:rPr>
                <w:rFonts w:hint="eastAsia"/>
                <w:b/>
                <w:color w:val="000000" w:themeColor="text1"/>
                <w:sz w:val="28"/>
                <w:szCs w:val="28"/>
                <w14:textFill>
                  <w14:solidFill>
                    <w14:schemeClr w14:val="tx1"/>
                  </w14:solidFill>
                </w14:textFill>
              </w:rPr>
              <w:t>元</w:t>
            </w:r>
            <w:r>
              <w:rPr>
                <w:rFonts w:hint="eastAsia"/>
                <w:b/>
                <w:color w:val="000000" w:themeColor="text1"/>
                <w:kern w:val="2"/>
                <w:sz w:val="28"/>
                <w:szCs w:val="28"/>
                <w:lang w:val="zh-CN"/>
                <w14:textFill>
                  <w14:solidFill>
                    <w14:schemeClr w14:val="tx1"/>
                  </w14:solidFill>
                </w14:textFill>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jc w:val="both"/>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right="94" w:rightChars="45"/>
              <w:textAlignment w:val="auto"/>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本项目不收取</w:t>
            </w:r>
            <w:r>
              <w:rPr>
                <w:rFonts w:hint="eastAsia" w:ascii="宋体" w:hAnsi="宋体" w:cs="宋体"/>
                <w:color w:val="000000" w:themeColor="text1"/>
                <w:kern w:val="0"/>
                <w:sz w:val="28"/>
                <w:szCs w:val="28"/>
                <w:lang w:val="en-US" w:eastAsia="zh-CN"/>
                <w14:textFill>
                  <w14:solidFill>
                    <w14:schemeClr w14:val="tx1"/>
                  </w14:solidFill>
                </w14:textFill>
              </w:rPr>
              <w:t>履约</w:t>
            </w:r>
            <w:r>
              <w:rPr>
                <w:rFonts w:hint="eastAsia" w:ascii="宋体" w:hAnsi="宋体" w:cs="宋体"/>
                <w:color w:val="000000" w:themeColor="text1"/>
                <w:kern w:val="0"/>
                <w:sz w:val="28"/>
                <w:szCs w:val="28"/>
                <w:lang w:val="zh-CN"/>
                <w14:textFill>
                  <w14:solidFill>
                    <w14:schemeClr w14:val="tx1"/>
                  </w14:solidFill>
                </w14:textFill>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提交投标文件的截止之日起120天。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详见投标人须知2.4.12</w:t>
            </w:r>
          </w:p>
          <w:p>
            <w:pPr>
              <w:tabs>
                <w:tab w:val="left" w:pos="7665"/>
              </w:tabs>
              <w:snapToGrid w:val="0"/>
              <w:jc w:val="left"/>
              <w:rPr>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详见投标人须知2.5.1。</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投标文件解密：开启解密后，投标人应在系统提示的解密开始时间后</w:t>
            </w:r>
            <w:r>
              <w:rPr>
                <w:rFonts w:ascii="宋体" w:hAnsi="宋体"/>
                <w:b/>
                <w:color w:val="000000" w:themeColor="text1"/>
                <w:sz w:val="28"/>
                <w:szCs w:val="28"/>
                <w14:textFill>
                  <w14:solidFill>
                    <w14:schemeClr w14:val="tx1"/>
                  </w14:solidFill>
                </w14:textFill>
              </w:rPr>
              <w:t>60</w:t>
            </w:r>
            <w:r>
              <w:rPr>
                <w:rFonts w:hint="eastAsia" w:ascii="宋体" w:hAnsi="宋体"/>
                <w:b/>
                <w:color w:val="000000" w:themeColor="text1"/>
                <w:sz w:val="28"/>
                <w:szCs w:val="28"/>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对招标文件中供应商参加本次政府采购活动应当具备的条件，招标项目服务、商务及其他要求，评标细则及标准，以及关于资格审查的询问、质疑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hint="default" w:ascii="宋体" w:hAnsi="宋体" w:eastAsia="宋体" w:cs="宋体"/>
                <w:color w:val="000000" w:themeColor="text1"/>
                <w:kern w:val="0"/>
                <w:sz w:val="28"/>
                <w:szCs w:val="28"/>
                <w:lang w:val="en-US"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向采购人提出，并由</w:t>
            </w:r>
            <w:r>
              <w:rPr>
                <w:rFonts w:hint="eastAsia" w:ascii="宋体" w:hAnsi="宋体"/>
                <w:color w:val="000000" w:themeColor="text1"/>
                <w:kern w:val="0"/>
                <w:sz w:val="28"/>
                <w:szCs w:val="28"/>
                <w14:textFill>
                  <w14:solidFill>
                    <w14:schemeClr w14:val="tx1"/>
                  </w14:solidFill>
                </w14:textFill>
              </w:rPr>
              <w:t>采购人</w:t>
            </w:r>
            <w:r>
              <w:rPr>
                <w:rFonts w:hint="eastAsia" w:ascii="宋体" w:hAnsi="宋体"/>
                <w:color w:val="000000" w:themeColor="text1"/>
                <w:sz w:val="28"/>
                <w:szCs w:val="28"/>
                <w14:textFill>
                  <w14:solidFill>
                    <w14:schemeClr w14:val="tx1"/>
                  </w14:solidFill>
                </w14:textFill>
              </w:rPr>
              <w:t>按相关规定作出答复（详见投标人须知2.8）。</w:t>
            </w:r>
            <w:r>
              <w:rPr>
                <w:rFonts w:hint="eastAsia" w:ascii="宋体" w:hAnsi="宋体"/>
                <w:color w:val="000000" w:themeColor="text1"/>
                <w:sz w:val="28"/>
                <w:szCs w:val="28"/>
                <w:lang w:val="en-US" w:eastAsia="zh-CN"/>
                <w14:textFill>
                  <w14:solidFill>
                    <w14:schemeClr w14:val="tx1"/>
                  </w14:solidFill>
                </w14:textFill>
              </w:rPr>
              <w:t>联系电话：</w:t>
            </w:r>
            <w:r>
              <w:rPr>
                <w:rFonts w:hint="eastAsia" w:ascii="宋体" w:hAnsi="宋体" w:eastAsia="宋体" w:cs="Times New Roman"/>
                <w:kern w:val="2"/>
                <w:sz w:val="28"/>
                <w:szCs w:val="28"/>
                <w:lang w:val="en-US" w:eastAsia="zh-CN" w:bidi="ar-SA"/>
              </w:rPr>
              <w:t>13981808755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向市公资交易中心提出，</w:t>
            </w:r>
            <w:r>
              <w:rPr>
                <w:rFonts w:hint="eastAsia" w:ascii="宋体" w:hAnsi="宋体"/>
                <w:color w:val="000000" w:themeColor="text1"/>
                <w:sz w:val="28"/>
                <w:szCs w:val="28"/>
                <w14:textFill>
                  <w14:solidFill>
                    <w14:schemeClr w14:val="tx1"/>
                  </w14:solidFill>
                </w14:textFill>
              </w:rPr>
              <w:t>并由</w:t>
            </w:r>
            <w:r>
              <w:rPr>
                <w:rFonts w:hint="eastAsia" w:ascii="宋体" w:hAnsi="宋体"/>
                <w:color w:val="000000" w:themeColor="text1"/>
                <w:kern w:val="0"/>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按相关规定作出答复（详见投标人须知2.8）</w:t>
            </w:r>
            <w:r>
              <w:rPr>
                <w:rFonts w:hint="eastAsia" w:ascii="宋体" w:hAnsi="宋体" w:eastAsia="宋体" w:cs="Times New Roman"/>
                <w:color w:val="000000" w:themeColor="text1"/>
                <w:sz w:val="28"/>
                <w:szCs w:val="28"/>
                <w14:textFill>
                  <w14:solidFill>
                    <w14:schemeClr w14:val="tx1"/>
                  </w14:solidFill>
                </w14:textFill>
              </w:rPr>
              <w:t>。</w:t>
            </w:r>
            <w:r>
              <w:rPr>
                <w:rFonts w:hint="eastAsia" w:ascii="宋体" w:hAnsi="宋体" w:eastAsia="宋体" w:cs="Times New Roman"/>
                <w:color w:val="000000" w:themeColor="text1"/>
                <w:sz w:val="28"/>
                <w:szCs w:val="28"/>
                <w:lang w:val="en-US" w:eastAsia="zh-CN"/>
                <w14:textFill>
                  <w14:solidFill>
                    <w14:schemeClr w14:val="tx1"/>
                  </w14:solidFill>
                </w14:textFill>
              </w:rPr>
              <w:t>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tabs>
                <w:tab w:val="left" w:pos="7665"/>
              </w:tabs>
              <w:jc w:val="left"/>
              <w:rPr>
                <w:rFonts w:hint="eastAsia"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投诉受理单位：彭州市财政局。</w:t>
            </w:r>
          </w:p>
          <w:p>
            <w:pPr>
              <w:widowControl/>
              <w:tabs>
                <w:tab w:val="left" w:pos="7665"/>
              </w:tabs>
              <w:jc w:val="left"/>
              <w:rPr>
                <w:rFonts w:hint="eastAsia"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联系电话：028-83888323。</w:t>
            </w:r>
          </w:p>
          <w:p>
            <w:pPr>
              <w:widowControl/>
              <w:tabs>
                <w:tab w:val="left" w:pos="7665"/>
              </w:tabs>
              <w:jc w:val="left"/>
              <w:rPr>
                <w:rFonts w:ascii="宋体" w:hAnsi="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widowControl/>
              <w:tabs>
                <w:tab w:val="left" w:pos="7665"/>
              </w:tabs>
              <w:kinsoku/>
              <w:wordWrap/>
              <w:overflowPunct/>
              <w:topLinePunct w:val="0"/>
              <w:autoSpaceDE/>
              <w:autoSpaceDN/>
              <w:bidi w:val="0"/>
              <w:adjustRightInd/>
              <w:snapToGrid/>
              <w:spacing w:line="400" w:lineRule="exact"/>
              <w:jc w:val="left"/>
              <w:textAlignment w:val="auto"/>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所有</w:t>
            </w:r>
            <w:r>
              <w:rPr>
                <w:rFonts w:hint="eastAsia" w:ascii="宋体" w:hAnsi="宋体"/>
                <w:color w:val="000000" w:themeColor="text1"/>
                <w:sz w:val="28"/>
                <w:szCs w:val="28"/>
                <w14:textFill>
                  <w14:solidFill>
                    <w14:schemeClr w14:val="tx1"/>
                  </w14:solidFill>
                </w14:textFill>
              </w:rPr>
              <w:t>投标人</w:t>
            </w:r>
            <w:r>
              <w:rPr>
                <w:rFonts w:hint="eastAsia" w:ascii="宋体" w:hAnsi="宋体" w:cs="宋体"/>
                <w:color w:val="000000" w:themeColor="text1"/>
                <w:kern w:val="0"/>
                <w:sz w:val="28"/>
                <w:szCs w:val="28"/>
                <w:lang w:val="zh-CN"/>
                <w14:textFill>
                  <w14:solidFill>
                    <w14:schemeClr w14:val="tx1"/>
                  </w14:solidFill>
                </w14:textFill>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lang w:val="zh-CN"/>
                <w14:textFill>
                  <w14:solidFill>
                    <w14:schemeClr w14:val="tx1"/>
                  </w14:solidFill>
                </w14:textFill>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ind w:right="210" w:rightChars="1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w:t>
            </w:r>
            <w:r>
              <w:rPr>
                <w:rFonts w:hint="eastAsia" w:ascii="宋体" w:hAnsi="宋体" w:eastAsia="宋体" w:cs="宋体"/>
                <w:color w:val="000000" w:themeColor="text1"/>
                <w:kern w:val="0"/>
                <w:sz w:val="28"/>
                <w:szCs w:val="28"/>
                <w:lang w:val="en-US" w:eastAsia="zh-CN"/>
                <w14:textFill>
                  <w14:solidFill>
                    <w14:schemeClr w14:val="tx1"/>
                  </w14:solidFill>
                </w14:textFill>
              </w:rPr>
              <w:t>彭州</w:t>
            </w:r>
            <w:r>
              <w:rPr>
                <w:rFonts w:hint="eastAsia" w:ascii="宋体" w:hAnsi="宋体" w:eastAsia="宋体" w:cs="宋体"/>
                <w:color w:val="000000" w:themeColor="text1"/>
                <w:kern w:val="0"/>
                <w:sz w:val="28"/>
                <w:szCs w:val="28"/>
                <w:lang w:val="zh-CN"/>
                <w14:textFill>
                  <w14:solidFill>
                    <w14:schemeClr w14:val="tx1"/>
                  </w14:solidFill>
                </w14:textFill>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ind w:left="-4" w:leftChars="-2" w:right="210"/>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中小企业政府采购信用融资</w:t>
            </w:r>
          </w:p>
        </w:tc>
        <w:tc>
          <w:tcPr>
            <w:tcW w:w="6681" w:type="dxa"/>
            <w:tcBorders>
              <w:top w:val="single" w:color="auto" w:sz="4" w:space="0"/>
              <w:left w:val="single" w:color="auto" w:sz="8" w:space="0"/>
              <w:bottom w:val="single" w:color="auto" w:sz="4" w:space="0"/>
              <w:right w:val="single" w:color="auto" w:sz="18" w:space="0"/>
            </w:tcBorders>
            <w:vAlign w:val="center"/>
          </w:tcPr>
          <w:p>
            <w:pPr>
              <w:pStyle w:val="2"/>
              <w:keepNext w:val="0"/>
              <w:keepLines w:val="0"/>
              <w:pageBreakBefore w:val="0"/>
              <w:widowControl w:val="0"/>
              <w:kinsoku/>
              <w:wordWrap/>
              <w:overflowPunct/>
              <w:topLinePunct w:val="0"/>
              <w:autoSpaceDE/>
              <w:autoSpaceDN/>
              <w:bidi w:val="0"/>
              <w:adjustRightInd/>
              <w:spacing w:after="0" w:line="560" w:lineRule="exact"/>
              <w:ind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1.本项目接受中标的中小微企业以信用融资方式履约。</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tabs>
                <w:tab w:val="left" w:pos="7665"/>
              </w:tabs>
              <w:kinsoku/>
              <w:wordWrap/>
              <w:overflowPunct/>
              <w:topLinePunct w:val="0"/>
              <w:autoSpaceDE/>
              <w:autoSpaceDN/>
              <w:bidi w:val="0"/>
              <w:adjustRightInd/>
              <w:snapToGrid w:val="0"/>
              <w:spacing w:line="560" w:lineRule="exact"/>
              <w:ind w:left="-4" w:leftChars="-2" w:right="210"/>
              <w:textAlignment w:val="auto"/>
              <w:rPr>
                <w:rFonts w:ascii="宋体" w:hAnsi="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200" w:line="400" w:lineRule="exact"/>
              <w:ind w:left="0" w:firstLine="0"/>
              <w:jc w:val="center"/>
              <w:textAlignment w:val="auto"/>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Times New Roman" w:eastAsia="宋体" w:cs="Times New Roman"/>
                <w:kern w:val="0"/>
                <w:sz w:val="24"/>
                <w:szCs w:val="22"/>
                <w:lang w:val="en-US" w:eastAsia="zh-CN" w:bidi="ar-SA"/>
              </w:rPr>
            </w:pPr>
            <w:r>
              <w:rPr>
                <w:rFonts w:hint="eastAsia" w:ascii="宋体" w:hAnsi="Times New Roman" w:eastAsia="宋体" w:cs="Times New Roman"/>
                <w:kern w:val="0"/>
                <w:sz w:val="24"/>
                <w:szCs w:val="22"/>
                <w:lang w:val="en-US" w:eastAsia="zh-CN" w:bidi="ar-SA"/>
              </w:rPr>
              <w:t>扶持不发达地区和</w:t>
            </w:r>
          </w:p>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ind w:left="-4" w:leftChars="-2" w:right="210"/>
              <w:textAlignment w:val="auto"/>
              <w:rPr>
                <w:rFonts w:hint="eastAsia" w:ascii="宋体" w:hAnsi="Times New Roman" w:eastAsia="宋体" w:cs="Times New Roman"/>
                <w:kern w:val="0"/>
                <w:sz w:val="24"/>
                <w:szCs w:val="22"/>
                <w:lang w:val="zh-CN" w:eastAsia="zh-CN" w:bidi="ar-SA"/>
              </w:rPr>
            </w:pPr>
            <w:r>
              <w:rPr>
                <w:rFonts w:hint="eastAsia" w:ascii="宋体" w:hAnsi="Times New Roman" w:eastAsia="宋体" w:cs="Times New Roman"/>
                <w:kern w:val="0"/>
                <w:sz w:val="24"/>
                <w:szCs w:val="22"/>
                <w:lang w:val="en-US" w:eastAsia="zh-CN" w:bidi="ar-SA"/>
              </w:rPr>
              <w:t>少数民族地区</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ind w:left="-4" w:leftChars="-2" w:right="210"/>
              <w:textAlignment w:val="auto"/>
              <w:rPr>
                <w:rFonts w:hint="eastAsia" w:ascii="宋体" w:hAnsi="Times New Roman" w:eastAsia="宋体" w:cs="Times New Roman"/>
                <w:kern w:val="0"/>
                <w:sz w:val="24"/>
                <w:szCs w:val="22"/>
                <w:lang w:val="en-US" w:eastAsia="zh-CN" w:bidi="ar-SA"/>
              </w:rPr>
            </w:pPr>
            <w:r>
              <w:rPr>
                <w:rFonts w:hint="eastAsia" w:ascii="宋体" w:hAnsi="Times New Roman" w:eastAsia="宋体" w:cs="Times New Roman"/>
                <w:kern w:val="0"/>
                <w:sz w:val="24"/>
                <w:szCs w:val="22"/>
                <w:lang w:val="en-US" w:eastAsia="zh-CN" w:bidi="ar-SA"/>
              </w:rPr>
              <w:t>本项目对参与投标的不发达地区或少数民族地区企业给予加分评审，以投标人在投标文件中提供的不发达地区企业或注册地为少数民族地区的相关证明材料为准，否则不予认可。</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200" w:line="400" w:lineRule="exact"/>
              <w:ind w:left="0" w:firstLine="0"/>
              <w:jc w:val="center"/>
              <w:textAlignment w:val="auto"/>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34" w:name="_Toc30390"/>
      <w:bookmarkStart w:id="35" w:name="_Toc10565"/>
      <w:bookmarkStart w:id="36" w:name="_Toc29824"/>
      <w:bookmarkStart w:id="37" w:name="_Toc75336289"/>
      <w:bookmarkStart w:id="38" w:name="_Toc22447"/>
      <w:r>
        <w:rPr>
          <w:rFonts w:hint="eastAsia"/>
          <w:color w:val="000000" w:themeColor="text1"/>
          <w14:textFill>
            <w14:solidFill>
              <w14:schemeClr w14:val="tx1"/>
            </w14:solidFill>
          </w14:textFill>
        </w:rPr>
        <w:t>总则</w:t>
      </w:r>
      <w:bookmarkEnd w:id="34"/>
      <w:bookmarkEnd w:id="35"/>
      <w:bookmarkEnd w:id="36"/>
      <w:bookmarkEnd w:id="37"/>
      <w:bookmarkEnd w:id="38"/>
    </w:p>
    <w:p>
      <w:pPr>
        <w:pStyle w:val="5"/>
        <w:numPr>
          <w:ilvl w:val="2"/>
          <w:numId w:val="3"/>
        </w:numPr>
        <w:spacing w:after="200" w:line="240" w:lineRule="auto"/>
        <w:ind w:left="-141" w:leftChars="-67"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p>
      <w:pPr>
        <w:numPr>
          <w:ilvl w:val="0"/>
          <w:numId w:val="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市公资交易中心享有。对招标文件中供应商参加本次政府采购活动应当具备的条件，招标项目服务、商务及其他要求，评标细则及标准由采购人负责解释。除上述招标文件内容，其他内容由市公资交易中心负责解释。</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有关定义</w:t>
      </w:r>
    </w:p>
    <w:p>
      <w:pPr>
        <w:numPr>
          <w:ilvl w:val="0"/>
          <w:numId w:val="8"/>
        </w:numPr>
        <w:tabs>
          <w:tab w:val="left" w:pos="1134"/>
        </w:tabs>
        <w:spacing w:after="200"/>
        <w:ind w:left="0" w:firstLine="5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市级机关、事业单位、团体组织。本次招标的采购人是</w:t>
      </w:r>
      <w:r>
        <w:rPr>
          <w:rFonts w:hint="eastAsia" w:asciiTheme="minorEastAsia" w:hAnsiTheme="minorEastAsia" w:eastAsiaTheme="minorEastAsia"/>
          <w:b/>
          <w:color w:val="000000" w:themeColor="text1"/>
          <w:kern w:val="0"/>
          <w:sz w:val="28"/>
          <w:lang w:val="en-US" w:eastAsia="zh-CN"/>
          <w14:textFill>
            <w14:solidFill>
              <w14:schemeClr w14:val="tx1"/>
            </w14:solidFill>
          </w14:textFill>
        </w:rPr>
        <w:t>彭州市人民政府天彭街道办事处</w:t>
      </w:r>
      <w:r>
        <w:rPr>
          <w:rFonts w:hint="eastAsia" w:ascii="宋体" w:hAnsi="宋体"/>
          <w:color w:val="000000" w:themeColor="text1"/>
          <w:sz w:val="28"/>
          <w:szCs w:val="28"/>
          <w14:textFill>
            <w14:solidFill>
              <w14:schemeClr w14:val="tx1"/>
            </w14:solidFill>
          </w14:textFill>
        </w:rPr>
        <w:t>。</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不见面开标是指，市公资交易中心依托政府采购云平台组织开标活动，供应商在线参与开标的一种组织形式。</w:t>
      </w:r>
    </w:p>
    <w:p>
      <w:pPr>
        <w:pStyle w:val="5"/>
        <w:numPr>
          <w:ilvl w:val="2"/>
          <w:numId w:val="3"/>
        </w:numPr>
        <w:spacing w:after="200" w:line="240" w:lineRule="auto"/>
        <w:ind w:left="851"/>
        <w:rPr>
          <w:color w:val="000000" w:themeColor="text1"/>
          <w14:textFill>
            <w14:solidFill>
              <w14:schemeClr w14:val="tx1"/>
            </w14:solidFill>
          </w14:textFill>
        </w:rPr>
      </w:pPr>
      <w:bookmarkStart w:id="39" w:name="_Toc183682344"/>
      <w:bookmarkStart w:id="40" w:name="_Toc217446036"/>
      <w:bookmarkStart w:id="41" w:name="_Toc183582207"/>
      <w:bookmarkStart w:id="42" w:name="_Toc217390843"/>
      <w:r>
        <w:rPr>
          <w:rFonts w:hint="eastAsia"/>
          <w:color w:val="000000" w:themeColor="text1"/>
          <w14:textFill>
            <w14:solidFill>
              <w14:schemeClr w14:val="tx1"/>
            </w14:solidFill>
          </w14:textFill>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9"/>
        </w:numPr>
        <w:tabs>
          <w:tab w:val="left" w:pos="1134"/>
        </w:tabs>
        <w:spacing w:after="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9"/>
        </w:numPr>
        <w:tabs>
          <w:tab w:val="left" w:pos="1134"/>
        </w:tabs>
        <w:spacing w:after="200"/>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投标费用</w:t>
      </w:r>
    </w:p>
    <w:p>
      <w:pPr>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4"/>
        <w:tabs>
          <w:tab w:val="left" w:pos="851"/>
        </w:tabs>
        <w:spacing w:before="156" w:line="24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一、单位负责人为同一人或者存在直接控股、管理关系的不同供应商，不得参加同一项目的投标。</w:t>
      </w:r>
    </w:p>
    <w:p>
      <w:pPr>
        <w:pStyle w:val="114"/>
        <w:tabs>
          <w:tab w:val="left" w:pos="851"/>
        </w:tabs>
        <w:spacing w:before="156" w:line="240" w:lineRule="auto"/>
        <w:ind w:left="-143" w:leftChars="-68" w:firstLine="700" w:firstLineChars="250"/>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43" w:name="_Toc12455"/>
      <w:bookmarkStart w:id="44" w:name="_Toc32420"/>
      <w:bookmarkStart w:id="45" w:name="_Toc2675"/>
      <w:bookmarkStart w:id="46" w:name="_Toc14139"/>
      <w:bookmarkStart w:id="47" w:name="_Toc75336290"/>
      <w:r>
        <w:rPr>
          <w:rFonts w:hint="eastAsia"/>
          <w:color w:val="000000" w:themeColor="text1"/>
          <w14:textFill>
            <w14:solidFill>
              <w14:schemeClr w14:val="tx1"/>
            </w14:solidFill>
          </w14:textFill>
        </w:rPr>
        <w:t>招标文件</w:t>
      </w:r>
      <w:bookmarkEnd w:id="43"/>
      <w:bookmarkEnd w:id="44"/>
      <w:bookmarkEnd w:id="45"/>
      <w:bookmarkEnd w:id="46"/>
      <w:bookmarkEnd w:id="47"/>
    </w:p>
    <w:p>
      <w:pPr>
        <w:pStyle w:val="5"/>
        <w:numPr>
          <w:ilvl w:val="2"/>
          <w:numId w:val="3"/>
        </w:numPr>
        <w:spacing w:after="200" w:line="240" w:lineRule="auto"/>
        <w:ind w:left="0" w:firstLine="0"/>
        <w:rPr>
          <w:color w:val="000000" w:themeColor="text1"/>
          <w14:textFill>
            <w14:solidFill>
              <w14:schemeClr w14:val="tx1"/>
            </w14:solidFill>
          </w14:textFill>
        </w:rPr>
      </w:pPr>
      <w:bookmarkStart w:id="48" w:name="_Toc183682347"/>
      <w:bookmarkStart w:id="49" w:name="_Toc183582210"/>
      <w:bookmarkStart w:id="50" w:name="_Toc217446039"/>
      <w:r>
        <w:rPr>
          <w:rFonts w:hint="eastAsia"/>
          <w:color w:val="000000" w:themeColor="text1"/>
          <w14:textFill>
            <w14:solidFill>
              <w14:schemeClr w14:val="tx1"/>
            </w14:solidFill>
          </w14:textFill>
        </w:rPr>
        <w:t>招标文件的构成</w:t>
      </w:r>
      <w:bookmarkEnd w:id="48"/>
      <w:bookmarkEnd w:id="49"/>
      <w:bookmarkEnd w:id="50"/>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招标项目服务、商务及其他要求；</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1"/>
        </w:numPr>
        <w:tabs>
          <w:tab w:val="left" w:pos="1134"/>
        </w:tabs>
        <w:spacing w:after="200"/>
        <w:ind w:left="567" w:firstLine="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pStyle w:val="5"/>
        <w:numPr>
          <w:ilvl w:val="2"/>
          <w:numId w:val="3"/>
        </w:numPr>
        <w:spacing w:after="200" w:line="240" w:lineRule="auto"/>
        <w:ind w:left="0" w:firstLine="0"/>
        <w:rPr>
          <w:color w:val="000000" w:themeColor="text1"/>
          <w14:textFill>
            <w14:solidFill>
              <w14:schemeClr w14:val="tx1"/>
            </w14:solidFill>
          </w14:textFill>
        </w:rPr>
      </w:pPr>
      <w:bookmarkStart w:id="51" w:name="_Toc183582211"/>
      <w:bookmarkStart w:id="52" w:name="_Toc183682348"/>
      <w:bookmarkStart w:id="53" w:name="_Toc217446040"/>
      <w:r>
        <w:rPr>
          <w:rFonts w:hint="eastAsia"/>
          <w:color w:val="000000" w:themeColor="text1"/>
          <w14:textFill>
            <w14:solidFill>
              <w14:schemeClr w14:val="tx1"/>
            </w14:solidFill>
          </w14:textFill>
        </w:rPr>
        <w:t>招标文件的澄清</w:t>
      </w:r>
      <w:bookmarkEnd w:id="51"/>
      <w:bookmarkEnd w:id="52"/>
      <w:r>
        <w:rPr>
          <w:rFonts w:hint="eastAsia"/>
          <w:color w:val="000000" w:themeColor="text1"/>
          <w14:textFill>
            <w14:solidFill>
              <w14:schemeClr w14:val="tx1"/>
            </w14:solidFill>
          </w14:textFill>
        </w:rPr>
        <w:t>和修改</w:t>
      </w:r>
      <w:bookmarkEnd w:id="53"/>
      <w:bookmarkStart w:id="54" w:name="_Toc89075876"/>
      <w:bookmarkStart w:id="55" w:name="_Toc31441"/>
      <w:bookmarkStart w:id="56" w:name="_Toc77400780"/>
      <w:bookmarkStart w:id="57" w:name="_Toc183582214"/>
      <w:bookmarkStart w:id="58" w:name="_Toc27307"/>
      <w:bookmarkStart w:id="59" w:name="_Toc19128"/>
      <w:bookmarkStart w:id="60" w:name="_Toc6071"/>
      <w:bookmarkStart w:id="61" w:name="_Toc217446042"/>
      <w:bookmarkStart w:id="62" w:name="_Toc183682351"/>
    </w:p>
    <w:p>
      <w:pPr>
        <w:numPr>
          <w:ilvl w:val="0"/>
          <w:numId w:val="12"/>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2"/>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2"/>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pPr>
        <w:pStyle w:val="4"/>
        <w:numPr>
          <w:ilvl w:val="1"/>
          <w:numId w:val="3"/>
        </w:numPr>
        <w:spacing w:before="0" w:after="0" w:line="240" w:lineRule="auto"/>
        <w:ind w:left="2269" w:hanging="2127"/>
        <w:rPr>
          <w:color w:val="000000" w:themeColor="text1"/>
          <w14:textFill>
            <w14:solidFill>
              <w14:schemeClr w14:val="tx1"/>
            </w14:solidFill>
          </w14:textFill>
        </w:rPr>
      </w:pPr>
      <w:bookmarkStart w:id="63" w:name="_Toc75336291"/>
      <w:r>
        <w:rPr>
          <w:rFonts w:hint="eastAsia"/>
          <w:color w:val="000000" w:themeColor="text1"/>
          <w14:textFill>
            <w14:solidFill>
              <w14:schemeClr w14:val="tx1"/>
            </w14:solidFill>
          </w14:textFill>
        </w:rPr>
        <w:t>投标文件</w:t>
      </w:r>
      <w:bookmarkEnd w:id="54"/>
      <w:bookmarkEnd w:id="55"/>
      <w:bookmarkEnd w:id="56"/>
      <w:bookmarkEnd w:id="57"/>
      <w:bookmarkEnd w:id="58"/>
      <w:bookmarkEnd w:id="59"/>
      <w:bookmarkEnd w:id="60"/>
      <w:bookmarkEnd w:id="61"/>
      <w:bookmarkEnd w:id="62"/>
      <w:bookmarkEnd w:id="63"/>
    </w:p>
    <w:p>
      <w:pPr>
        <w:pStyle w:val="5"/>
        <w:numPr>
          <w:ilvl w:val="2"/>
          <w:numId w:val="3"/>
        </w:numPr>
        <w:spacing w:after="200" w:line="240" w:lineRule="auto"/>
        <w:ind w:left="0" w:firstLine="0"/>
        <w:rPr>
          <w:color w:val="000000" w:themeColor="text1"/>
          <w14:textFill>
            <w14:solidFill>
              <w14:schemeClr w14:val="tx1"/>
            </w14:solidFill>
          </w14:textFill>
        </w:rPr>
      </w:pPr>
      <w:bookmarkStart w:id="64" w:name="_Toc183582215"/>
      <w:bookmarkStart w:id="65" w:name="_Toc183682352"/>
      <w:bookmarkStart w:id="66" w:name="_Toc217446043"/>
      <w:r>
        <w:rPr>
          <w:rFonts w:hint="eastAsia"/>
          <w:color w:val="000000" w:themeColor="text1"/>
          <w14:textFill>
            <w14:solidFill>
              <w14:schemeClr w14:val="tx1"/>
            </w14:solidFill>
          </w14:textFill>
        </w:rPr>
        <w:t>投标文件的语言</w:t>
      </w:r>
      <w:bookmarkEnd w:id="64"/>
      <w:bookmarkEnd w:id="65"/>
      <w:bookmarkEnd w:id="66"/>
    </w:p>
    <w:p>
      <w:pPr>
        <w:numPr>
          <w:ilvl w:val="0"/>
          <w:numId w:val="13"/>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市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pStyle w:val="5"/>
        <w:numPr>
          <w:ilvl w:val="2"/>
          <w:numId w:val="3"/>
        </w:numPr>
        <w:spacing w:after="200" w:line="240" w:lineRule="auto"/>
        <w:ind w:left="0" w:firstLine="0"/>
        <w:rPr>
          <w:color w:val="000000" w:themeColor="text1"/>
          <w14:textFill>
            <w14:solidFill>
              <w14:schemeClr w14:val="tx1"/>
            </w14:solidFill>
          </w14:textFill>
        </w:rPr>
      </w:pPr>
      <w:bookmarkStart w:id="67" w:name="_Toc183682353"/>
      <w:bookmarkStart w:id="68" w:name="_Toc183582216"/>
      <w:bookmarkStart w:id="69" w:name="_Toc217446044"/>
      <w:r>
        <w:rPr>
          <w:rFonts w:hint="eastAsia"/>
          <w:color w:val="000000" w:themeColor="text1"/>
          <w14:textFill>
            <w14:solidFill>
              <w14:schemeClr w14:val="tx1"/>
            </w14:solidFill>
          </w14:textFill>
        </w:rPr>
        <w:t>计量单位</w:t>
      </w:r>
      <w:bookmarkEnd w:id="67"/>
      <w:bookmarkEnd w:id="68"/>
      <w:bookmarkEnd w:id="69"/>
    </w:p>
    <w:p>
      <w:pPr>
        <w:tabs>
          <w:tab w:val="left" w:pos="7665"/>
        </w:tabs>
        <w:ind w:left="13" w:firstLine="554"/>
        <w:rPr>
          <w:rFonts w:ascii="宋体" w:hAnsi="宋体"/>
          <w:color w:val="000000" w:themeColor="text1"/>
          <w:sz w:val="28"/>
          <w:szCs w:val="28"/>
          <w14:textFill>
            <w14:solidFill>
              <w14:schemeClr w14:val="tx1"/>
            </w14:solidFill>
          </w14:textFill>
        </w:rPr>
      </w:pPr>
      <w:bookmarkStart w:id="70" w:name="_Toc217446045"/>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投标货币</w:t>
      </w:r>
      <w:bookmarkEnd w:id="70"/>
    </w:p>
    <w:p>
      <w:pPr>
        <w:tabs>
          <w:tab w:val="left" w:pos="7665"/>
        </w:tabs>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pStyle w:val="5"/>
        <w:numPr>
          <w:ilvl w:val="2"/>
          <w:numId w:val="3"/>
        </w:numPr>
        <w:spacing w:after="200" w:line="240" w:lineRule="auto"/>
        <w:ind w:left="0" w:firstLine="0"/>
        <w:rPr>
          <w:color w:val="000000" w:themeColor="text1"/>
          <w14:textFill>
            <w14:solidFill>
              <w14:schemeClr w14:val="tx1"/>
            </w14:solidFill>
          </w14:textFill>
        </w:rPr>
      </w:pPr>
      <w:bookmarkStart w:id="71" w:name="_Toc217446046"/>
      <w:r>
        <w:rPr>
          <w:rFonts w:hint="eastAsia"/>
          <w:color w:val="000000" w:themeColor="text1"/>
          <w14:textFill>
            <w14:solidFill>
              <w14:schemeClr w14:val="tx1"/>
            </w14:solidFill>
          </w14:textFill>
        </w:rPr>
        <w:t>联合体投标</w:t>
      </w:r>
      <w:bookmarkEnd w:id="71"/>
    </w:p>
    <w:p>
      <w:pPr>
        <w:tabs>
          <w:tab w:val="left" w:pos="1134"/>
        </w:tabs>
        <w:ind w:left="546"/>
        <w:rPr>
          <w:rFonts w:ascii="宋体" w:hAnsi="宋体"/>
          <w:color w:val="000000" w:themeColor="text1"/>
          <w:sz w:val="28"/>
          <w:szCs w:val="28"/>
          <w14:textFill>
            <w14:solidFill>
              <w14:schemeClr w14:val="tx1"/>
            </w14:solidFill>
          </w14:textFill>
        </w:rPr>
      </w:pPr>
      <w:bookmarkStart w:id="72" w:name="_Toc217446047"/>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知识产权</w:t>
      </w:r>
      <w:bookmarkEnd w:id="72"/>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bookmarkStart w:id="73" w:name="_Toc217446048"/>
      <w:bookmarkStart w:id="74" w:name="_Toc183582217"/>
      <w:bookmarkStart w:id="75" w:name="_Toc183682354"/>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投标文件的组成</w:t>
      </w:r>
      <w:bookmarkEnd w:id="73"/>
      <w:bookmarkEnd w:id="74"/>
      <w:bookmarkEnd w:id="75"/>
    </w:p>
    <w:p>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资格响应文件：</w:t>
      </w:r>
    </w:p>
    <w:p>
      <w:pPr>
        <w:pStyle w:val="153"/>
        <w:numPr>
          <w:ilvl w:val="0"/>
          <w:numId w:val="15"/>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关于投标人资格申明的函；</w:t>
      </w:r>
    </w:p>
    <w:p>
      <w:pPr>
        <w:pStyle w:val="153"/>
        <w:numPr>
          <w:ilvl w:val="0"/>
          <w:numId w:val="15"/>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53"/>
        <w:numPr>
          <w:ilvl w:val="0"/>
          <w:numId w:val="15"/>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pStyle w:val="153"/>
        <w:numPr>
          <w:ilvl w:val="0"/>
          <w:numId w:val="15"/>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pStyle w:val="153"/>
        <w:numPr>
          <w:ilvl w:val="0"/>
          <w:numId w:val="15"/>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sz w:val="28"/>
          <w:szCs w:val="28"/>
        </w:rPr>
        <w:t>由省级以上监狱管理局、戒毒管理局（含新疆生产建设兵团）出具的投标人属于监狱企业的证明文件复印件（说明：提供了《中小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2019或2020会计年度资产负债表复印件（说明：投标人成立时间至递交投标文件截止时间止不足一年的，提供成立后任意时段的资产负债表复印件）；</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投标人缴纳2020或2021年任意时段的税收的银行电子回单或者行政部门出具的纳税证明或完税证明复印件；</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采购人对投标人履行合同所必</w:t>
      </w:r>
      <w:r>
        <w:rPr>
          <w:rFonts w:hint="eastAsia" w:ascii="宋体" w:hAnsi="宋体"/>
          <w:b/>
          <w:bCs/>
          <w:kern w:val="0"/>
          <w:sz w:val="28"/>
          <w:szCs w:val="28"/>
          <w:lang w:val="en-US" w:eastAsia="zh-CN"/>
        </w:rPr>
        <w:t>需</w:t>
      </w:r>
      <w:r>
        <w:rPr>
          <w:rFonts w:hint="eastAsia" w:ascii="宋体" w:hAnsi="宋体"/>
          <w:b/>
          <w:bCs/>
          <w:kern w:val="0"/>
          <w:sz w:val="28"/>
          <w:szCs w:val="28"/>
        </w:rPr>
        <w:t>的设备和专业技术能力无其他特殊要求，投标人具有有效的营业执照或法人证书即可，可不提供其他证明材料；</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投标人缴纳2020或2021年任意时段的社保的银行电子回单或行政部门出具的社保缴纳证明材料复印件；</w:t>
      </w:r>
    </w:p>
    <w:p>
      <w:pPr>
        <w:pStyle w:val="153"/>
        <w:numPr>
          <w:ilvl w:val="0"/>
          <w:numId w:val="16"/>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采购人对法律、行政法规规定的其他条件无其他特殊要求，投标人具有有效的营业执照或法人证书即可，可不提供其他证明材料。</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numPr>
          <w:ilvl w:val="0"/>
          <w:numId w:val="17"/>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投标函；</w:t>
      </w:r>
    </w:p>
    <w:p>
      <w:pPr>
        <w:numPr>
          <w:ilvl w:val="0"/>
          <w:numId w:val="17"/>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法定代表人身份证明书；</w:t>
      </w:r>
    </w:p>
    <w:p>
      <w:pPr>
        <w:numPr>
          <w:ilvl w:val="0"/>
          <w:numId w:val="17"/>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投标人基本情况表；</w:t>
      </w:r>
    </w:p>
    <w:p>
      <w:pPr>
        <w:numPr>
          <w:ilvl w:val="0"/>
          <w:numId w:val="17"/>
        </w:numPr>
        <w:tabs>
          <w:tab w:val="left" w:pos="1134"/>
        </w:tabs>
        <w:spacing w:line="360" w:lineRule="auto"/>
        <w:ind w:hanging="279"/>
        <w:jc w:val="left"/>
        <w:rPr>
          <w:rFonts w:ascii="宋体" w:hAnsi="宋体"/>
          <w:b/>
          <w:color w:val="auto"/>
          <w:sz w:val="28"/>
          <w:szCs w:val="28"/>
        </w:rPr>
      </w:pPr>
      <w:r>
        <w:rPr>
          <w:rFonts w:hint="eastAsia" w:ascii="宋体" w:hAnsi="宋体"/>
          <w:b/>
          <w:color w:val="auto"/>
          <w:kern w:val="0"/>
          <w:sz w:val="28"/>
          <w:szCs w:val="28"/>
        </w:rPr>
        <w:t>服务方案及服务承诺</w:t>
      </w:r>
      <w:r>
        <w:rPr>
          <w:rFonts w:hint="eastAsia" w:ascii="宋体" w:hAnsi="宋体"/>
          <w:b/>
          <w:color w:val="auto"/>
          <w:sz w:val="28"/>
          <w:szCs w:val="28"/>
        </w:rPr>
        <w:t>；</w:t>
      </w:r>
    </w:p>
    <w:p>
      <w:pPr>
        <w:numPr>
          <w:ilvl w:val="0"/>
          <w:numId w:val="17"/>
        </w:numPr>
        <w:tabs>
          <w:tab w:val="left" w:pos="1134"/>
        </w:tabs>
        <w:spacing w:line="360" w:lineRule="auto"/>
        <w:ind w:hanging="279"/>
        <w:jc w:val="left"/>
        <w:rPr>
          <w:rFonts w:ascii="宋体" w:hAnsi="宋体"/>
          <w:b/>
          <w:color w:val="auto"/>
          <w:sz w:val="28"/>
          <w:szCs w:val="28"/>
        </w:rPr>
      </w:pPr>
      <w:r>
        <w:rPr>
          <w:rFonts w:hint="eastAsia" w:ascii="宋体" w:hAnsi="宋体"/>
          <w:b/>
          <w:color w:val="auto"/>
          <w:sz w:val="28"/>
          <w:szCs w:val="28"/>
        </w:rPr>
        <w:t>承诺函；</w:t>
      </w:r>
    </w:p>
    <w:p>
      <w:pPr>
        <w:pStyle w:val="2"/>
        <w:numPr>
          <w:ilvl w:val="0"/>
          <w:numId w:val="18"/>
        </w:numPr>
        <w:ind w:firstLine="562" w:firstLineChars="200"/>
        <w:rPr>
          <w:rFonts w:hint="eastAsia" w:ascii="宋体" w:hAnsi="宋体"/>
          <w:b/>
          <w:color w:val="auto"/>
          <w:sz w:val="28"/>
          <w:szCs w:val="28"/>
          <w:lang w:val="en-US" w:eastAsia="zh-CN"/>
        </w:rPr>
      </w:pPr>
      <w:r>
        <w:rPr>
          <w:rFonts w:hint="eastAsia" w:ascii="宋体" w:hAnsi="宋体"/>
          <w:b/>
          <w:color w:val="auto"/>
          <w:sz w:val="28"/>
          <w:szCs w:val="28"/>
          <w:lang w:val="en-US" w:eastAsia="zh-CN"/>
        </w:rPr>
        <w:t>类似业绩</w:t>
      </w:r>
    </w:p>
    <w:p>
      <w:pPr>
        <w:snapToGrid w:val="0"/>
        <w:spacing w:line="360" w:lineRule="auto"/>
        <w:ind w:firstLine="562" w:firstLineChars="200"/>
        <w:rPr>
          <w:rFonts w:hint="default"/>
          <w:lang w:val="en-US" w:eastAsia="zh-CN"/>
        </w:rPr>
      </w:pPr>
      <w:r>
        <w:rPr>
          <w:rFonts w:hint="eastAsia" w:ascii="宋体" w:hAnsi="宋体"/>
          <w:b/>
          <w:sz w:val="28"/>
          <w:szCs w:val="28"/>
          <w:lang w:val="en-US" w:eastAsia="zh-CN"/>
        </w:rPr>
        <w:t>七、扶持不发达地区和少数民族地区相关证明材料</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numPr>
          <w:ilvl w:val="0"/>
          <w:numId w:val="19"/>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pStyle w:val="5"/>
        <w:numPr>
          <w:ilvl w:val="2"/>
          <w:numId w:val="3"/>
        </w:numPr>
        <w:spacing w:after="200" w:line="240" w:lineRule="auto"/>
        <w:ind w:left="0" w:firstLine="0"/>
        <w:rPr>
          <w:color w:val="000000" w:themeColor="text1"/>
          <w14:textFill>
            <w14:solidFill>
              <w14:schemeClr w14:val="tx1"/>
            </w14:solidFill>
          </w14:textFill>
        </w:rPr>
      </w:pPr>
      <w:bookmarkStart w:id="76" w:name="_Toc316292020"/>
      <w:bookmarkEnd w:id="76"/>
      <w:bookmarkStart w:id="77" w:name="_Toc316292019"/>
      <w:bookmarkEnd w:id="77"/>
      <w:bookmarkStart w:id="78" w:name="_Toc316291396"/>
      <w:bookmarkEnd w:id="78"/>
      <w:bookmarkStart w:id="79" w:name="_Toc316291395"/>
      <w:bookmarkEnd w:id="79"/>
      <w:bookmarkStart w:id="80" w:name="_Toc183682355"/>
      <w:bookmarkStart w:id="81" w:name="_Toc183582218"/>
      <w:bookmarkStart w:id="82" w:name="_Toc217446049"/>
      <w:r>
        <w:rPr>
          <w:rFonts w:hint="eastAsia"/>
          <w:color w:val="000000" w:themeColor="text1"/>
          <w14:textFill>
            <w14:solidFill>
              <w14:schemeClr w14:val="tx1"/>
            </w14:solidFill>
          </w14:textFill>
        </w:rPr>
        <w:t>投标文件格式</w:t>
      </w:r>
      <w:bookmarkEnd w:id="80"/>
      <w:bookmarkEnd w:id="81"/>
      <w:bookmarkEnd w:id="82"/>
      <w:r>
        <w:rPr>
          <w:rFonts w:hint="eastAsia"/>
          <w:color w:val="000000" w:themeColor="text1"/>
          <w14:textFill>
            <w14:solidFill>
              <w14:schemeClr w14:val="tx1"/>
            </w14:solidFill>
          </w14:textFill>
        </w:rPr>
        <w:tab/>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2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pStyle w:val="5"/>
        <w:numPr>
          <w:ilvl w:val="2"/>
          <w:numId w:val="3"/>
        </w:numPr>
        <w:spacing w:after="200" w:line="240" w:lineRule="auto"/>
        <w:ind w:left="0" w:firstLine="0"/>
        <w:rPr>
          <w:color w:val="000000" w:themeColor="text1"/>
          <w14:textFill>
            <w14:solidFill>
              <w14:schemeClr w14:val="tx1"/>
            </w14:solidFill>
          </w14:textFill>
        </w:rPr>
      </w:pPr>
      <w:bookmarkStart w:id="83" w:name="_Toc183582223"/>
      <w:bookmarkStart w:id="84" w:name="_Toc183682360"/>
      <w:bookmarkStart w:id="85" w:name="_Toc217446050"/>
      <w:r>
        <w:rPr>
          <w:rFonts w:hint="eastAsia"/>
          <w:color w:val="000000" w:themeColor="text1"/>
          <w14:textFill>
            <w14:solidFill>
              <w14:schemeClr w14:val="tx1"/>
            </w14:solidFill>
          </w14:textFill>
        </w:rPr>
        <w:t>投标报价</w:t>
      </w:r>
    </w:p>
    <w:p>
      <w:pPr>
        <w:numPr>
          <w:ilvl w:val="0"/>
          <w:numId w:val="21"/>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w:t>
      </w:r>
      <w:bookmarkEnd w:id="83"/>
      <w:bookmarkEnd w:id="84"/>
      <w:bookmarkEnd w:id="8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本项目不收取投标保证金。</w:t>
      </w:r>
    </w:p>
    <w:p>
      <w:pPr>
        <w:pStyle w:val="5"/>
        <w:numPr>
          <w:ilvl w:val="2"/>
          <w:numId w:val="3"/>
        </w:numPr>
        <w:tabs>
          <w:tab w:val="left" w:pos="851"/>
        </w:tabs>
        <w:spacing w:after="200" w:line="240" w:lineRule="auto"/>
        <w:ind w:left="0" w:firstLine="0"/>
        <w:rPr>
          <w:color w:val="000000" w:themeColor="text1"/>
          <w14:textFill>
            <w14:solidFill>
              <w14:schemeClr w14:val="tx1"/>
            </w14:solidFill>
          </w14:textFill>
        </w:rPr>
      </w:pPr>
      <w:bookmarkStart w:id="86" w:name="_Toc316291400"/>
      <w:bookmarkEnd w:id="86"/>
      <w:bookmarkStart w:id="87" w:name="_Toc316292024"/>
      <w:bookmarkEnd w:id="87"/>
      <w:bookmarkStart w:id="88" w:name="_Toc217446051"/>
      <w:bookmarkStart w:id="89" w:name="_Toc183682361"/>
      <w:bookmarkStart w:id="90" w:name="_Toc183582224"/>
      <w:r>
        <w:rPr>
          <w:rFonts w:hint="eastAsia"/>
          <w:color w:val="000000" w:themeColor="text1"/>
          <w14:textFill>
            <w14:solidFill>
              <w14:schemeClr w14:val="tx1"/>
            </w14:solidFill>
          </w14:textFill>
        </w:rPr>
        <w:t>投标有效期</w:t>
      </w:r>
      <w:bookmarkEnd w:id="88"/>
      <w:bookmarkEnd w:id="89"/>
      <w:bookmarkEnd w:id="90"/>
    </w:p>
    <w:p>
      <w:pPr>
        <w:numPr>
          <w:ilvl w:val="0"/>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2"/>
        </w:numPr>
        <w:tabs>
          <w:tab w:val="left" w:pos="1134"/>
        </w:tabs>
        <w:spacing w:after="200"/>
        <w:ind w:left="0" w:firstLine="567"/>
        <w:rPr>
          <w:rFonts w:ascii="宋体" w:hAnsi="宋体"/>
          <w:color w:val="000000" w:themeColor="text1"/>
          <w:sz w:val="28"/>
          <w:szCs w:val="28"/>
          <w14:textFill>
            <w14:solidFill>
              <w14:schemeClr w14:val="tx1"/>
            </w14:solidFill>
          </w14:textFill>
        </w:rPr>
      </w:pPr>
      <w:bookmarkStart w:id="91" w:name="_Toc183682362"/>
      <w:bookmarkStart w:id="92" w:name="_Toc217446052"/>
      <w:bookmarkStart w:id="93" w:name="_Toc183582225"/>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特殊情况下，采购人可于投标有效期满之前要求投标人同意延长有效期，要求与答复均应为书面形式。投标人可以拒绝上述要求，同意延长投标有效期的投标人不能修改其投标文件。</w:t>
      </w:r>
    </w:p>
    <w:p>
      <w:pPr>
        <w:pStyle w:val="5"/>
        <w:numPr>
          <w:ilvl w:val="2"/>
          <w:numId w:val="3"/>
        </w:numPr>
        <w:tabs>
          <w:tab w:val="left" w:pos="851"/>
        </w:tabs>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投标文件的制作和签章、加密</w:t>
      </w:r>
      <w:bookmarkEnd w:id="91"/>
      <w:bookmarkEnd w:id="92"/>
      <w:bookmarkEnd w:id="93"/>
      <w:bookmarkStart w:id="94" w:name="_Toc316475579"/>
      <w:bookmarkEnd w:id="94"/>
      <w:bookmarkStart w:id="95" w:name="_Toc316475581"/>
      <w:bookmarkEnd w:id="95"/>
      <w:bookmarkStart w:id="96" w:name="_Toc316475583"/>
      <w:bookmarkEnd w:id="96"/>
      <w:bookmarkStart w:id="97" w:name="_Toc316475578"/>
      <w:bookmarkEnd w:id="97"/>
      <w:bookmarkStart w:id="98" w:name="_Toc316475580"/>
      <w:bookmarkEnd w:id="98"/>
      <w:bookmarkStart w:id="99" w:name="_Toc316475577"/>
      <w:bookmarkEnd w:id="99"/>
      <w:bookmarkStart w:id="100" w:name="_Toc316475582"/>
      <w:bookmarkEnd w:id="100"/>
      <w:bookmarkStart w:id="101" w:name="_Toc183682364"/>
      <w:bookmarkStart w:id="102" w:name="_Toc183582227"/>
      <w:bookmarkStart w:id="103" w:name="_Toc21744605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101"/>
      <w:bookmarkEnd w:id="102"/>
      <w:r>
        <w:rPr>
          <w:rFonts w:hint="eastAsia"/>
          <w:color w:val="000000" w:themeColor="text1"/>
          <w14:textFill>
            <w14:solidFill>
              <w14:schemeClr w14:val="tx1"/>
            </w14:solidFill>
          </w14:textFill>
        </w:rPr>
        <w:t>递交</w:t>
      </w:r>
      <w:bookmarkEnd w:id="103"/>
    </w:p>
    <w:p>
      <w:pPr>
        <w:tabs>
          <w:tab w:val="left" w:pos="0"/>
        </w:tabs>
        <w:spacing w:line="360" w:lineRule="auto"/>
        <w:ind w:firstLine="560" w:firstLineChars="20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560" w:firstLineChars="20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5"/>
        <w:numPr>
          <w:ilvl w:val="2"/>
          <w:numId w:val="3"/>
        </w:numPr>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投标文件的补充、修改</w:t>
      </w:r>
    </w:p>
    <w:p>
      <w:pPr>
        <w:numPr>
          <w:ilvl w:val="0"/>
          <w:numId w:val="23"/>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5"/>
        <w:numPr>
          <w:ilvl w:val="2"/>
          <w:numId w:val="3"/>
        </w:numPr>
        <w:spacing w:after="200"/>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numPr>
          <w:ilvl w:val="0"/>
          <w:numId w:val="0"/>
        </w:numPr>
        <w:spacing w:before="120" w:after="200" w:line="360" w:lineRule="auto"/>
        <w:ind w:left="7" w:leftChars="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04" w:name="_Toc316475586"/>
      <w:bookmarkEnd w:id="104"/>
      <w:bookmarkStart w:id="105" w:name="_Toc316475587"/>
      <w:bookmarkEnd w:id="105"/>
      <w:bookmarkStart w:id="106" w:name="_Toc75336292"/>
      <w:bookmarkStart w:id="107" w:name="_Toc89075878"/>
      <w:bookmarkStart w:id="108" w:name="_Toc183682368"/>
      <w:bookmarkStart w:id="109" w:name="_Toc28766"/>
      <w:bookmarkStart w:id="110" w:name="_Toc16979"/>
      <w:bookmarkStart w:id="111" w:name="_Toc183582231"/>
      <w:bookmarkStart w:id="112" w:name="_Toc217446056"/>
      <w:bookmarkStart w:id="113" w:name="_Toc31524"/>
      <w:bookmarkStart w:id="114" w:name="_Toc4457"/>
      <w:bookmarkStart w:id="115" w:name="_Toc77400782"/>
      <w:r>
        <w:rPr>
          <w:rFonts w:hint="eastAsia"/>
          <w:color w:val="000000" w:themeColor="text1"/>
          <w14:textFill>
            <w14:solidFill>
              <w14:schemeClr w14:val="tx1"/>
            </w14:solidFill>
          </w14:textFill>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3"/>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16" w:name="_Toc217446057"/>
      <w:bookmarkStart w:id="117" w:name="_Toc183582232"/>
      <w:bookmarkStart w:id="118" w:name="_Toc183682369"/>
      <w:r>
        <w:rPr>
          <w:rFonts w:hint="eastAsia" w:ascii="宋体" w:hAnsi="宋体"/>
          <w:b/>
          <w:bCs/>
          <w:color w:val="000000" w:themeColor="text1"/>
          <w:sz w:val="28"/>
          <w:szCs w:val="28"/>
          <w14:textFill>
            <w14:solidFill>
              <w14:schemeClr w14:val="tx1"/>
            </w14:solidFill>
          </w14:textFill>
        </w:rPr>
        <w:t>开标</w:t>
      </w:r>
      <w:bookmarkEnd w:id="116"/>
      <w:bookmarkEnd w:id="117"/>
      <w:bookmarkEnd w:id="118"/>
      <w:r>
        <w:rPr>
          <w:rFonts w:hint="eastAsia" w:ascii="宋体" w:hAnsi="宋体"/>
          <w:b/>
          <w:bCs/>
          <w:color w:val="000000" w:themeColor="text1"/>
          <w:sz w:val="28"/>
          <w:szCs w:val="28"/>
          <w14:textFill>
            <w14:solidFill>
              <w14:schemeClr w14:val="tx1"/>
            </w14:solidFill>
          </w14:textFill>
        </w:rPr>
        <w:t>及开标程序</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因市公资交易中心断电、断网、系统故障或其他不可抗力等因素导致不见面开标系统无法正常运行的，开标活动中止或延迟，待系统恢复正常后继续进行开标活动。</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评标</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pStyle w:val="5"/>
        <w:numPr>
          <w:ilvl w:val="2"/>
          <w:numId w:val="3"/>
        </w:numPr>
        <w:spacing w:after="200" w:line="240" w:lineRule="auto"/>
        <w:ind w:left="0" w:firstLine="0"/>
        <w:rPr>
          <w:color w:val="000000" w:themeColor="text1"/>
          <w14:textFill>
            <w14:solidFill>
              <w14:schemeClr w14:val="tx1"/>
            </w14:solidFill>
          </w14:textFill>
        </w:rPr>
      </w:pPr>
      <w:bookmarkStart w:id="119" w:name="_Toc183682375"/>
      <w:bookmarkStart w:id="120" w:name="_Toc183582238"/>
      <w:bookmarkStart w:id="121" w:name="_Toc217446063"/>
      <w:r>
        <w:rPr>
          <w:rFonts w:hint="eastAsia"/>
          <w:color w:val="000000" w:themeColor="text1"/>
          <w14:textFill>
            <w14:solidFill>
              <w14:schemeClr w14:val="tx1"/>
            </w14:solidFill>
          </w14:textFill>
        </w:rPr>
        <w:t>中标通知</w:t>
      </w:r>
      <w:bookmarkEnd w:id="119"/>
      <w:bookmarkEnd w:id="120"/>
      <w:r>
        <w:rPr>
          <w:rFonts w:hint="eastAsia"/>
          <w:color w:val="000000" w:themeColor="text1"/>
          <w14:textFill>
            <w14:solidFill>
              <w14:schemeClr w14:val="tx1"/>
            </w14:solidFill>
          </w14:textFill>
        </w:rPr>
        <w:t>书</w:t>
      </w:r>
      <w:bookmarkEnd w:id="121"/>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122" w:name="_Toc217446064"/>
      <w:bookmarkStart w:id="123" w:name="_Toc183682377"/>
      <w:bookmarkStart w:id="124" w:name="_Toc183582240"/>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25" w:name="_Toc6010"/>
      <w:bookmarkStart w:id="126" w:name="_Toc19973"/>
      <w:bookmarkStart w:id="127" w:name="_Toc12385"/>
      <w:bookmarkStart w:id="128" w:name="_Toc18993"/>
      <w:bookmarkStart w:id="129" w:name="_Toc75336293"/>
      <w:r>
        <w:rPr>
          <w:rFonts w:hint="eastAsia"/>
          <w:color w:val="000000" w:themeColor="text1"/>
          <w14:textFill>
            <w14:solidFill>
              <w14:schemeClr w14:val="tx1"/>
            </w14:solidFill>
          </w14:textFill>
        </w:rPr>
        <w:t>签订及履行合同</w:t>
      </w:r>
      <w:bookmarkEnd w:id="122"/>
      <w:r>
        <w:rPr>
          <w:rFonts w:hint="eastAsia"/>
          <w:color w:val="000000" w:themeColor="text1"/>
          <w14:textFill>
            <w14:solidFill>
              <w14:schemeClr w14:val="tx1"/>
            </w14:solidFill>
          </w14:textFill>
        </w:rPr>
        <w:t>和验收</w:t>
      </w:r>
      <w:bookmarkEnd w:id="125"/>
      <w:bookmarkEnd w:id="126"/>
      <w:bookmarkEnd w:id="127"/>
      <w:bookmarkEnd w:id="128"/>
      <w:bookmarkEnd w:id="129"/>
    </w:p>
    <w:p>
      <w:pPr>
        <w:pStyle w:val="5"/>
        <w:numPr>
          <w:ilvl w:val="2"/>
          <w:numId w:val="3"/>
        </w:numPr>
        <w:spacing w:after="200" w:line="240" w:lineRule="auto"/>
        <w:ind w:left="0" w:firstLine="0"/>
        <w:rPr>
          <w:color w:val="000000" w:themeColor="text1"/>
          <w14:textFill>
            <w14:solidFill>
              <w14:schemeClr w14:val="tx1"/>
            </w14:solidFill>
          </w14:textFill>
        </w:rPr>
      </w:pPr>
      <w:bookmarkStart w:id="130" w:name="_Toc217446065"/>
      <w:r>
        <w:rPr>
          <w:rFonts w:hint="eastAsia"/>
          <w:color w:val="000000" w:themeColor="text1"/>
          <w14:textFill>
            <w14:solidFill>
              <w14:schemeClr w14:val="tx1"/>
            </w14:solidFill>
          </w14:textFill>
        </w:rPr>
        <w:t>签订合同</w:t>
      </w:r>
      <w:bookmarkEnd w:id="130"/>
    </w:p>
    <w:p>
      <w:pPr>
        <w:numPr>
          <w:ilvl w:val="0"/>
          <w:numId w:val="25"/>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5"/>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5"/>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5"/>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5"/>
        <w:numPr>
          <w:ilvl w:val="2"/>
          <w:numId w:val="3"/>
        </w:numPr>
        <w:spacing w:after="200" w:line="240" w:lineRule="auto"/>
        <w:ind w:left="0" w:firstLine="0"/>
        <w:rPr>
          <w:color w:val="000000" w:themeColor="text1"/>
          <w14:textFill>
            <w14:solidFill>
              <w14:schemeClr w14:val="tx1"/>
            </w14:solidFill>
          </w14:textFill>
        </w:rPr>
      </w:pPr>
      <w:bookmarkStart w:id="131" w:name="_Toc315871033"/>
      <w:bookmarkEnd w:id="131"/>
      <w:bookmarkStart w:id="132" w:name="_Toc217446066"/>
      <w:bookmarkStart w:id="133" w:name="_Toc217446069"/>
      <w:r>
        <w:rPr>
          <w:rFonts w:hint="eastAsia"/>
          <w:color w:val="000000" w:themeColor="text1"/>
          <w14:textFill>
            <w14:solidFill>
              <w14:schemeClr w14:val="tx1"/>
            </w14:solidFill>
          </w14:textFill>
        </w:rPr>
        <w:t>合同分包</w:t>
      </w:r>
      <w:bookmarkEnd w:id="132"/>
      <w:r>
        <w:rPr>
          <w:rFonts w:hint="eastAsia"/>
          <w:color w:val="000000" w:themeColor="text1"/>
          <w14:textFill>
            <w14:solidFill>
              <w14:schemeClr w14:val="tx1"/>
            </w14:solidFill>
          </w14:textFill>
        </w:rPr>
        <w:t>和转包</w:t>
      </w:r>
    </w:p>
    <w:p>
      <w:pPr>
        <w:pStyle w:val="5"/>
        <w:numPr>
          <w:ilvl w:val="3"/>
          <w:numId w:val="3"/>
        </w:numPr>
        <w:spacing w:after="200" w:line="240" w:lineRule="auto"/>
        <w:rPr>
          <w:color w:val="000000" w:themeColor="text1"/>
          <w14:textFill>
            <w14:solidFill>
              <w14:schemeClr w14:val="tx1"/>
            </w14:solidFill>
          </w14:textFill>
        </w:rPr>
      </w:pPr>
      <w:bookmarkStart w:id="134" w:name="_Toc217446067"/>
      <w:r>
        <w:rPr>
          <w:rFonts w:hint="eastAsia"/>
          <w:color w:val="000000" w:themeColor="text1"/>
          <w14:textFill>
            <w14:solidFill>
              <w14:schemeClr w14:val="tx1"/>
            </w14:solidFill>
          </w14:textFill>
        </w:rPr>
        <w:t>合同分包</w:t>
      </w:r>
    </w:p>
    <w:p>
      <w:pPr>
        <w:pStyle w:val="121"/>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5"/>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采购人增加合同标的的权</w:t>
      </w:r>
      <w:bookmarkEnd w:id="134"/>
      <w:r>
        <w:rPr>
          <w:rFonts w:hint="eastAsia"/>
          <w:color w:val="000000" w:themeColor="text1"/>
          <w14:textFill>
            <w14:solidFill>
              <w14:schemeClr w14:val="tx1"/>
            </w14:solidFill>
          </w14:textFill>
        </w:rPr>
        <w:t>利</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5"/>
        <w:numPr>
          <w:ilvl w:val="2"/>
          <w:numId w:val="3"/>
        </w:numPr>
        <w:spacing w:after="200" w:line="240" w:lineRule="auto"/>
        <w:ind w:left="0" w:firstLine="0"/>
        <w:rPr>
          <w:color w:val="000000" w:themeColor="text1"/>
          <w14:textFill>
            <w14:solidFill>
              <w14:schemeClr w14:val="tx1"/>
            </w14:solidFill>
          </w14:textFill>
        </w:rPr>
      </w:pPr>
      <w:bookmarkStart w:id="135" w:name="_Toc217446068"/>
      <w:r>
        <w:rPr>
          <w:rFonts w:hint="eastAsia"/>
          <w:color w:val="000000" w:themeColor="text1"/>
          <w14:textFill>
            <w14:solidFill>
              <w14:schemeClr w14:val="tx1"/>
            </w14:solidFill>
          </w14:textFill>
        </w:rPr>
        <w:t>履约保证金</w:t>
      </w:r>
      <w:bookmarkEnd w:id="13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w:t>
      </w:r>
      <w:r>
        <w:rPr>
          <w:rFonts w:ascii="宋体" w:hAnsi="宋体"/>
          <w:color w:val="000000" w:themeColor="text1"/>
          <w:sz w:val="28"/>
          <w:szCs w:val="28"/>
          <w14:textFill>
            <w14:solidFill>
              <w14:schemeClr w14:val="tx1"/>
            </w14:solidFill>
          </w14:textFill>
        </w:rPr>
        <w:t>收取履约保证金</w:t>
      </w:r>
      <w:r>
        <w:rPr>
          <w:rFonts w:hint="eastAsia" w:ascii="宋体" w:hAnsi="宋体"/>
          <w:color w:val="000000" w:themeColor="text1"/>
          <w:sz w:val="28"/>
          <w:szCs w:val="28"/>
          <w14:textFill>
            <w14:solidFill>
              <w14:schemeClr w14:val="tx1"/>
            </w14:solidFill>
          </w14:textFill>
        </w:rPr>
        <w:t>。</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合同公告</w:t>
      </w:r>
    </w:p>
    <w:p>
      <w:pPr>
        <w:pStyle w:val="13"/>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合同备案</w:t>
      </w:r>
    </w:p>
    <w:p>
      <w:pPr>
        <w:pageBreakBefore w:val="0"/>
        <w:tabs>
          <w:tab w:val="left" w:pos="1134"/>
        </w:tabs>
        <w:kinsoku/>
        <w:wordWrap/>
        <w:overflowPunct/>
        <w:topLinePunct w:val="0"/>
        <w:bidi w:val="0"/>
        <w:spacing w:line="56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履行合同</w:t>
      </w:r>
      <w:bookmarkEnd w:id="133"/>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在合同履行过程中，如发生合同纠纷，合同双方应按照《中华人民共和国民法典》及合同条款的有关规定进行处理。</w:t>
      </w:r>
    </w:p>
    <w:p>
      <w:pPr>
        <w:pStyle w:val="5"/>
        <w:numPr>
          <w:ilvl w:val="2"/>
          <w:numId w:val="3"/>
        </w:numPr>
        <w:spacing w:after="200" w:line="240" w:lineRule="auto"/>
        <w:ind w:left="0" w:firstLine="0"/>
        <w:rPr>
          <w:color w:val="000000" w:themeColor="text1"/>
          <w14:textFill>
            <w14:solidFill>
              <w14:schemeClr w14:val="tx1"/>
            </w14:solidFill>
          </w14:textFill>
        </w:rPr>
      </w:pPr>
      <w:bookmarkStart w:id="136" w:name="_Toc217446070"/>
      <w:r>
        <w:rPr>
          <w:rFonts w:hint="eastAsia"/>
          <w:color w:val="000000" w:themeColor="text1"/>
          <w14:textFill>
            <w14:solidFill>
              <w14:schemeClr w14:val="tx1"/>
            </w14:solidFill>
          </w14:textFill>
        </w:rPr>
        <w:t>验收或考核</w:t>
      </w:r>
    </w:p>
    <w:p>
      <w:pPr>
        <w:pStyle w:val="13"/>
        <w:spacing w:after="0" w:line="240" w:lineRule="auto"/>
        <w:ind w:firstLine="560" w:firstLineChars="200"/>
        <w:rPr>
          <w:rFonts w:ascii="宋体" w:hAnsi="宋体"/>
          <w:b/>
          <w:color w:val="000000" w:themeColor="text1"/>
          <w14:textFill>
            <w14:solidFill>
              <w14:schemeClr w14:val="tx1"/>
            </w14:solidFill>
          </w14:textFill>
        </w:rPr>
      </w:pPr>
      <w:bookmarkStart w:id="137"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37"/>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39"/>
        <w:shd w:val="clear" w:color="auto" w:fill="FFFFFF"/>
        <w:spacing w:before="0" w:beforeAutospacing="0" w:after="0" w:afterAutospacing="0"/>
        <w:ind w:firstLine="57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采购人按财政部门的相关规定及采购合同的约定进行支付。</w:t>
      </w:r>
    </w:p>
    <w:bookmarkEnd w:id="123"/>
    <w:bookmarkEnd w:id="124"/>
    <w:bookmarkEnd w:id="136"/>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38" w:name="_Toc6102"/>
      <w:bookmarkStart w:id="139" w:name="_Toc30945"/>
      <w:bookmarkStart w:id="140" w:name="_Toc217446074"/>
      <w:bookmarkStart w:id="141" w:name="_Toc13859"/>
      <w:bookmarkStart w:id="142" w:name="_Toc12434"/>
      <w:bookmarkStart w:id="143" w:name="_Toc75336294"/>
      <w:bookmarkStart w:id="144" w:name="_Toc183582243"/>
      <w:bookmarkStart w:id="145" w:name="_Toc183682380"/>
      <w:r>
        <w:rPr>
          <w:rFonts w:hint="eastAsia"/>
          <w:color w:val="000000" w:themeColor="text1"/>
          <w14:textFill>
            <w14:solidFill>
              <w14:schemeClr w14:val="tx1"/>
            </w14:solidFill>
          </w14:textFill>
        </w:rPr>
        <w:t>投标纪律要求</w:t>
      </w:r>
      <w:bookmarkEnd w:id="138"/>
      <w:bookmarkEnd w:id="139"/>
      <w:bookmarkEnd w:id="140"/>
      <w:bookmarkEnd w:id="141"/>
      <w:bookmarkEnd w:id="142"/>
      <w:bookmarkEnd w:id="143"/>
    </w:p>
    <w:p>
      <w:pPr>
        <w:pStyle w:val="5"/>
        <w:numPr>
          <w:ilvl w:val="2"/>
          <w:numId w:val="3"/>
        </w:numPr>
        <w:spacing w:after="200" w:line="240" w:lineRule="auto"/>
        <w:ind w:left="0" w:firstLine="0"/>
        <w:rPr>
          <w:color w:val="000000" w:themeColor="text1"/>
          <w14:textFill>
            <w14:solidFill>
              <w14:schemeClr w14:val="tx1"/>
            </w14:solidFill>
          </w14:textFill>
        </w:rPr>
      </w:pPr>
      <w:bookmarkStart w:id="146" w:name="_Toc217446075"/>
      <w:r>
        <w:rPr>
          <w:rFonts w:hint="eastAsia"/>
          <w:color w:val="000000" w:themeColor="text1"/>
          <w14:textFill>
            <w14:solidFill>
              <w14:schemeClr w14:val="tx1"/>
            </w14:solidFill>
          </w14:textFill>
        </w:rPr>
        <w:t>投标人不得具有的情形</w:t>
      </w:r>
      <w:bookmarkEnd w:id="146"/>
    </w:p>
    <w:p>
      <w:pPr>
        <w:pStyle w:val="13"/>
        <w:spacing w:line="240" w:lineRule="auto"/>
        <w:ind w:firstLine="567"/>
        <w:rPr>
          <w:rFonts w:ascii="宋体" w:hAnsi="宋体"/>
          <w:color w:val="000000" w:themeColor="text1"/>
          <w:sz w:val="28"/>
          <w:szCs w:val="28"/>
          <w14:textFill>
            <w14:solidFill>
              <w14:schemeClr w14:val="tx1"/>
            </w14:solidFill>
          </w14:textFill>
        </w:rPr>
      </w:pPr>
      <w:bookmarkStart w:id="147" w:name="_Toc314574786"/>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ind w:firstLine="425" w:firstLineChars="1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进行协商谈判；</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7"/>
        </w:numPr>
        <w:tabs>
          <w:tab w:val="left" w:pos="1134"/>
          <w:tab w:val="left" w:pos="1418"/>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pStyle w:val="13"/>
        <w:spacing w:line="24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保密</w:t>
      </w:r>
      <w:bookmarkEnd w:id="147"/>
    </w:p>
    <w:p>
      <w:pPr>
        <w:pStyle w:val="13"/>
        <w:numPr>
          <w:ilvl w:val="0"/>
          <w:numId w:val="28"/>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pStyle w:val="13"/>
        <w:numPr>
          <w:ilvl w:val="0"/>
          <w:numId w:val="28"/>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有关投标文件的审查、澄清、评估和比较等情况都不得对外透露。</w:t>
      </w: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在政府采购活动中，采购人员（如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14:textFill>
            <w14:solidFill>
              <w14:schemeClr w14:val="tx1"/>
            </w14:solidFill>
          </w14:textFill>
        </w:rPr>
        <w:t>市公资交易中心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）及相关人员与供应商有下列利害关系之一的，应当回避：</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w:t>
      </w:r>
      <w:r>
        <w:rPr>
          <w:rFonts w:cs="Helvetica"/>
          <w:color w:val="000000" w:themeColor="text1"/>
          <w:sz w:val="28"/>
          <w:szCs w:val="28"/>
          <w14:textFill>
            <w14:solidFill>
              <w14:schemeClr w14:val="tx1"/>
            </w14:solidFill>
          </w14:textFill>
        </w:rPr>
        <w:t>、</w:t>
      </w:r>
      <w:r>
        <w:rPr>
          <w:rFonts w:hint="eastAsia" w:cs="Helvetica"/>
          <w:color w:val="000000" w:themeColor="text1"/>
          <w:sz w:val="28"/>
          <w:szCs w:val="28"/>
          <w14:textFill>
            <w14:solidFill>
              <w14:schemeClr w14:val="tx1"/>
            </w14:solidFill>
          </w14:textFill>
        </w:rPr>
        <w:t>参加采购活动前3年内与供应商存在劳动关系；</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二、参加采购活动前3年内担任供应商的董事、监事；</w:t>
      </w:r>
    </w:p>
    <w:p>
      <w:pPr>
        <w:pStyle w:val="39"/>
        <w:shd w:val="clear" w:color="auto" w:fill="FFFFFF"/>
        <w:spacing w:before="0" w:beforeAutospacing="0" w:after="0" w:afterAutospacing="0"/>
        <w:ind w:firstLine="562" w:firstLineChars="201"/>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三、参加采购活动前3年内是供应商的控股股东或者实际控制人；</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四、与供应商的法定代表人或者负责人有夫妻、直系血亲、三代以内旁系血亲或者近姻亲关系；</w:t>
      </w:r>
    </w:p>
    <w:p>
      <w:pPr>
        <w:pStyle w:val="39"/>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五、与供应商有其他可能影响政府采购活动公平、公正进行的关系。</w:t>
      </w:r>
    </w:p>
    <w:p>
      <w:pPr>
        <w:pStyle w:val="39"/>
        <w:shd w:val="clear" w:color="auto" w:fill="FFFFFF"/>
        <w:spacing w:before="0" w:beforeAutospacing="0" w:after="0" w:afterAutospacing="0"/>
        <w:ind w:firstLine="560" w:firstLineChars="200"/>
        <w:rPr>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4"/>
        <w:numPr>
          <w:ilvl w:val="1"/>
          <w:numId w:val="3"/>
        </w:numPr>
        <w:spacing w:before="0" w:after="0" w:line="240" w:lineRule="auto"/>
        <w:ind w:left="993" w:hanging="993"/>
        <w:rPr>
          <w:color w:val="000000" w:themeColor="text1"/>
          <w14:textFill>
            <w14:solidFill>
              <w14:schemeClr w14:val="tx1"/>
            </w14:solidFill>
          </w14:textFill>
        </w:rPr>
      </w:pPr>
      <w:bookmarkStart w:id="148" w:name="_Toc446402234"/>
      <w:bookmarkStart w:id="149" w:name="_Toc217446078"/>
      <w:bookmarkStart w:id="150" w:name="_Toc8315"/>
      <w:bookmarkStart w:id="151" w:name="_Toc21164"/>
      <w:bookmarkStart w:id="152" w:name="_Toc15833"/>
      <w:bookmarkStart w:id="153" w:name="_Toc26656"/>
      <w:bookmarkStart w:id="154" w:name="_Toc75336295"/>
      <w:bookmarkStart w:id="155" w:name="_Toc379536619"/>
      <w:bookmarkStart w:id="156" w:name="_Toc374971122"/>
      <w:r>
        <w:rPr>
          <w:rFonts w:hint="eastAsia"/>
          <w:color w:val="000000" w:themeColor="text1"/>
          <w14:textFill>
            <w14:solidFill>
              <w14:schemeClr w14:val="tx1"/>
            </w14:solidFill>
          </w14:textFill>
        </w:rPr>
        <w:t>询问、质疑和投诉</w:t>
      </w:r>
      <w:bookmarkEnd w:id="148"/>
      <w:bookmarkEnd w:id="149"/>
      <w:bookmarkEnd w:id="150"/>
      <w:bookmarkEnd w:id="151"/>
      <w:bookmarkEnd w:id="152"/>
      <w:bookmarkEnd w:id="153"/>
      <w:bookmarkEnd w:id="154"/>
      <w:bookmarkStart w:id="157" w:name="_Toc217446079"/>
    </w:p>
    <w:p>
      <w:pPr>
        <w:numPr>
          <w:ilvl w:val="0"/>
          <w:numId w:val="29"/>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9"/>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0"/>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0"/>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供应商对除上述招标文件中的其他内容，采购过程及中标结果（除资格审查）提出询问或质疑的，应通过“政府采购云平台”向市公资交易中心提出</w:t>
      </w:r>
      <w:r>
        <w:rPr>
          <w:rFonts w:hint="eastAsia" w:ascii="宋体" w:hAnsi="宋体"/>
          <w:color w:val="000000" w:themeColor="text1"/>
          <w:sz w:val="28"/>
          <w:szCs w:val="28"/>
          <w14:textFill>
            <w14:solidFill>
              <w14:schemeClr w14:val="tx1"/>
            </w14:solidFill>
          </w14:textFill>
        </w:rPr>
        <w:t>。</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9"/>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市公资交易中心的质疑答复不满意，或者采购人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市公资交易中心未在规定期限内作出答复的，供应商可以在答复期满后15个工作日内向同级财政部门提起投诉。</w:t>
      </w:r>
    </w:p>
    <w:bookmarkEnd w:id="157"/>
    <w:p>
      <w:pPr>
        <w:pStyle w:val="4"/>
        <w:numPr>
          <w:ilvl w:val="1"/>
          <w:numId w:val="3"/>
        </w:numPr>
        <w:spacing w:before="0" w:after="0" w:line="240" w:lineRule="auto"/>
        <w:ind w:left="2269" w:hanging="2269"/>
        <w:rPr>
          <w:color w:val="000000" w:themeColor="text1"/>
          <w:sz w:val="36"/>
          <w:szCs w:val="36"/>
          <w14:textFill>
            <w14:solidFill>
              <w14:schemeClr w14:val="tx1"/>
            </w14:solidFill>
          </w14:textFill>
        </w:rPr>
      </w:pPr>
      <w:bookmarkStart w:id="158" w:name="_Toc8941"/>
      <w:bookmarkStart w:id="159" w:name="_Toc75336296"/>
      <w:bookmarkStart w:id="160" w:name="_Toc10245"/>
      <w:bookmarkStart w:id="161" w:name="_Toc1212"/>
      <w:bookmarkStart w:id="162" w:name="_Toc11597"/>
      <w:r>
        <w:rPr>
          <w:rFonts w:hint="eastAsia"/>
          <w:color w:val="000000" w:themeColor="text1"/>
          <w14:textFill>
            <w14:solidFill>
              <w14:schemeClr w14:val="tx1"/>
            </w14:solidFill>
          </w14:textFill>
        </w:rPr>
        <w:t>中小企业政府采购信用融资</w:t>
      </w:r>
      <w:bookmarkEnd w:id="155"/>
      <w:bookmarkEnd w:id="156"/>
      <w:bookmarkEnd w:id="158"/>
      <w:bookmarkEnd w:id="159"/>
      <w:bookmarkEnd w:id="160"/>
      <w:bookmarkEnd w:id="161"/>
      <w:bookmarkEnd w:id="162"/>
    </w:p>
    <w:p>
      <w:pPr>
        <w:pStyle w:val="2"/>
        <w:spacing w:after="0" w:line="560" w:lineRule="exact"/>
        <w:ind w:firstLine="560" w:firstLineChars="200"/>
        <w:rPr>
          <w:rFonts w:ascii="宋体" w:hAnsi="宋体"/>
          <w:sz w:val="28"/>
          <w:szCs w:val="28"/>
        </w:rPr>
      </w:pPr>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rPr>
          <w:rFonts w:ascii="宋体" w:hAnsi="宋体"/>
          <w:color w:val="000000" w:themeColor="text1"/>
          <w:sz w:val="28"/>
          <w:szCs w:val="28"/>
          <w14:textFill>
            <w14:solidFill>
              <w14:schemeClr w14:val="tx1"/>
            </w14:solidFill>
          </w14:textFill>
        </w:rPr>
      </w:pPr>
    </w:p>
    <w:p>
      <w:pPr>
        <w:pStyle w:val="3"/>
        <w:numPr>
          <w:ilvl w:val="0"/>
          <w:numId w:val="3"/>
        </w:numPr>
        <w:spacing w:line="240" w:lineRule="auto"/>
        <w:rPr>
          <w:color w:val="000000" w:themeColor="text1"/>
          <w14:textFill>
            <w14:solidFill>
              <w14:schemeClr w14:val="tx1"/>
            </w14:solidFill>
          </w14:textFill>
        </w:rPr>
      </w:pPr>
      <w:bookmarkStart w:id="163" w:name="_Toc315871047"/>
      <w:bookmarkEnd w:id="163"/>
      <w:bookmarkStart w:id="164" w:name="_Toc315871049"/>
      <w:bookmarkEnd w:id="164"/>
      <w:bookmarkStart w:id="165" w:name="_Toc316292050"/>
      <w:bookmarkEnd w:id="165"/>
      <w:bookmarkStart w:id="166" w:name="_Toc315871048"/>
      <w:bookmarkEnd w:id="166"/>
      <w:bookmarkStart w:id="167" w:name="_Toc315871050"/>
      <w:bookmarkEnd w:id="167"/>
      <w:bookmarkStart w:id="168" w:name="_Toc315871045"/>
      <w:bookmarkEnd w:id="168"/>
      <w:bookmarkStart w:id="169" w:name="_Toc316292049"/>
      <w:bookmarkEnd w:id="169"/>
      <w:bookmarkStart w:id="170" w:name="_Toc316292048"/>
      <w:bookmarkEnd w:id="170"/>
      <w:bookmarkStart w:id="171" w:name="_Toc316292051"/>
      <w:bookmarkEnd w:id="171"/>
      <w:bookmarkStart w:id="172" w:name="_Toc315871046"/>
      <w:bookmarkEnd w:id="172"/>
      <w:bookmarkStart w:id="173" w:name="_Toc316292052"/>
      <w:bookmarkEnd w:id="173"/>
      <w:bookmarkStart w:id="174" w:name="_Toc75336297"/>
      <w:bookmarkStart w:id="175" w:name="_Toc8836"/>
      <w:bookmarkStart w:id="176" w:name="_Toc7565"/>
      <w:bookmarkStart w:id="177" w:name="_Toc17383"/>
      <w:bookmarkStart w:id="178" w:name="_Toc29131"/>
      <w:r>
        <w:rPr>
          <w:rFonts w:hint="eastAsia"/>
          <w:color w:val="000000" w:themeColor="text1"/>
          <w14:textFill>
            <w14:solidFill>
              <w14:schemeClr w14:val="tx1"/>
            </w14:solidFill>
          </w14:textFill>
        </w:rPr>
        <w:t>投标文件格式</w:t>
      </w:r>
      <w:bookmarkEnd w:id="174"/>
      <w:bookmarkEnd w:id="175"/>
      <w:bookmarkEnd w:id="176"/>
      <w:bookmarkEnd w:id="177"/>
      <w:bookmarkEnd w:id="178"/>
    </w:p>
    <w:p>
      <w:pPr>
        <w:pStyle w:val="4"/>
        <w:numPr>
          <w:ilvl w:val="1"/>
          <w:numId w:val="3"/>
        </w:numPr>
        <w:spacing w:line="240" w:lineRule="auto"/>
        <w:ind w:left="2269" w:hanging="2269"/>
        <w:rPr>
          <w:color w:val="000000" w:themeColor="text1"/>
          <w14:textFill>
            <w14:solidFill>
              <w14:schemeClr w14:val="tx1"/>
            </w14:solidFill>
          </w14:textFill>
        </w:rPr>
      </w:pPr>
      <w:bookmarkStart w:id="179" w:name="_Toc75336298"/>
      <w:bookmarkStart w:id="180" w:name="_Toc295978802"/>
      <w:bookmarkStart w:id="181" w:name="_Toc182629023"/>
      <w:bookmarkStart w:id="182" w:name="_Toc316462354"/>
      <w:bookmarkStart w:id="183" w:name="_Toc23011"/>
      <w:bookmarkStart w:id="184" w:name="_Toc187"/>
      <w:bookmarkStart w:id="185" w:name="_Toc2879"/>
      <w:bookmarkStart w:id="186" w:name="_Toc211218954"/>
      <w:bookmarkStart w:id="187" w:name="_Toc15035"/>
      <w:bookmarkStart w:id="188" w:name="_Toc294701519"/>
      <w:bookmarkStart w:id="189" w:name="_Toc182759327"/>
      <w:bookmarkStart w:id="190" w:name="_Toc287367101"/>
      <w:bookmarkStart w:id="191" w:name="_Toc294688711"/>
      <w:r>
        <w:rPr>
          <w:rFonts w:hint="eastAsia"/>
          <w:color w:val="000000" w:themeColor="text1"/>
          <w14:textFill>
            <w14:solidFill>
              <w14:schemeClr w14:val="tx1"/>
            </w14:solidFill>
          </w14:textFill>
        </w:rPr>
        <w:t>投标文件封面格式</w:t>
      </w:r>
      <w:bookmarkEnd w:id="179"/>
      <w:bookmarkEnd w:id="180"/>
      <w:bookmarkEnd w:id="181"/>
      <w:bookmarkEnd w:id="182"/>
      <w:bookmarkEnd w:id="183"/>
      <w:bookmarkEnd w:id="184"/>
      <w:bookmarkEnd w:id="185"/>
      <w:bookmarkEnd w:id="186"/>
      <w:bookmarkEnd w:id="187"/>
      <w:bookmarkEnd w:id="188"/>
      <w:bookmarkEnd w:id="189"/>
      <w:bookmarkEnd w:id="190"/>
      <w:bookmarkEnd w:id="191"/>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jc w:val="right"/>
        <w:rPr>
          <w:rFonts w:ascii="宋体" w:hAnsi="宋体"/>
          <w:color w:val="000000" w:themeColor="text1"/>
          <w:sz w:val="24"/>
          <w14:textFill>
            <w14:solidFill>
              <w14:schemeClr w14:val="tx1"/>
            </w14:solidFill>
          </w14:textFill>
        </w:rPr>
      </w:pPr>
    </w:p>
    <w:p>
      <w:pPr>
        <w:jc w:val="center"/>
        <w:rPr>
          <w:rFonts w:ascii="宋体" w:hAnsi="宋体"/>
          <w:color w:val="000000" w:themeColor="text1"/>
          <w:spacing w:val="78"/>
          <w:sz w:val="120"/>
          <w:szCs w:val="120"/>
          <w14:textFill>
            <w14:solidFill>
              <w14:schemeClr w14:val="tx1"/>
            </w14:solidFill>
          </w14:textFill>
        </w:rPr>
      </w:pPr>
      <w:r>
        <w:rPr>
          <w:rFonts w:hint="eastAsia" w:ascii="宋体" w:hAnsi="宋体"/>
          <w:color w:val="000000" w:themeColor="text1"/>
          <w:spacing w:val="78"/>
          <w:sz w:val="120"/>
          <w:szCs w:val="120"/>
          <w14:textFill>
            <w14:solidFill>
              <w14:schemeClr w14:val="tx1"/>
            </w14:solidFill>
          </w14:textFill>
        </w:rPr>
        <w:t>投标文件</w:t>
      </w:r>
    </w:p>
    <w:p>
      <w:pPr>
        <w:rPr>
          <w:rFonts w:ascii="宋体" w:hAnsi="宋体"/>
          <w:bCs/>
          <w:color w:val="000000" w:themeColor="text1"/>
          <w:sz w:val="36"/>
          <w14:textFill>
            <w14:solidFill>
              <w14:schemeClr w14:val="tx1"/>
            </w14:solidFill>
          </w14:textFill>
        </w:rPr>
      </w:pPr>
    </w:p>
    <w:p>
      <w:pPr>
        <w:tabs>
          <w:tab w:val="left" w:pos="665"/>
          <w:tab w:val="left" w:pos="3241"/>
          <w:tab w:val="left" w:pos="3525"/>
          <w:tab w:val="left" w:pos="3994"/>
          <w:tab w:val="left" w:pos="4234"/>
        </w:tabs>
        <w:ind w:firstLine="643" w:firstLineChars="200"/>
        <w:jc w:val="left"/>
        <w:rPr>
          <w:rFonts w:hint="default" w:ascii="宋体" w:hAnsi="宋体" w:eastAsia="宋体"/>
          <w:b/>
          <w:bCs/>
          <w:color w:val="000000" w:themeColor="text1"/>
          <w:sz w:val="32"/>
          <w:szCs w:val="32"/>
          <w:lang w:val="en-US" w:eastAsia="zh-CN"/>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w:t>
      </w:r>
      <w:r>
        <w:rPr>
          <w:rFonts w:hint="eastAsia" w:ascii="宋体" w:hAnsi="宋体"/>
          <w:b/>
          <w:bCs/>
          <w:color w:val="000000" w:themeColor="text1"/>
          <w:sz w:val="32"/>
          <w:szCs w:val="32"/>
          <w:lang w:val="en-US" w:eastAsia="zh-CN"/>
          <w14:textFill>
            <w14:solidFill>
              <w14:schemeClr w14:val="tx1"/>
            </w14:solidFill>
          </w14:textFill>
        </w:rPr>
        <w:t>XX</w:t>
      </w:r>
    </w:p>
    <w:p>
      <w:pPr>
        <w:tabs>
          <w:tab w:val="left" w:pos="665"/>
        </w:tabs>
        <w:ind w:firstLine="565" w:firstLineChars="176"/>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w:t>
      </w:r>
      <w:r>
        <w:rPr>
          <w:rFonts w:hint="eastAsia" w:ascii="宋体" w:hAnsi="宋体"/>
          <w:b/>
          <w:bCs/>
          <w:color w:val="000000" w:themeColor="text1"/>
          <w:sz w:val="32"/>
          <w:szCs w:val="32"/>
          <w:lang w:val="en-US" w:eastAsia="zh-CN"/>
          <w14:textFill>
            <w14:solidFill>
              <w14:schemeClr w14:val="tx1"/>
            </w14:solidFill>
          </w14:textFill>
        </w:rPr>
        <w:t>彭州</w:t>
      </w:r>
      <w:r>
        <w:rPr>
          <w:rFonts w:hint="eastAsia" w:ascii="宋体" w:hAnsi="宋体"/>
          <w:b/>
          <w:bCs/>
          <w:color w:val="000000" w:themeColor="text1"/>
          <w:sz w:val="32"/>
          <w:szCs w:val="32"/>
          <w14:textFill>
            <w14:solidFill>
              <w14:schemeClr w14:val="tx1"/>
            </w14:solidFill>
          </w14:textFill>
        </w:rPr>
        <w:t>市政采（2021）A00</w:t>
      </w:r>
      <w:r>
        <w:rPr>
          <w:rFonts w:hint="eastAsia" w:ascii="宋体" w:hAnsi="宋体"/>
          <w:b/>
          <w:bCs/>
          <w:color w:val="000000" w:themeColor="text1"/>
          <w:sz w:val="32"/>
          <w:szCs w:val="32"/>
          <w:lang w:val="en-US" w:eastAsia="zh-CN"/>
          <w14:textFill>
            <w14:solidFill>
              <w14:schemeClr w14:val="tx1"/>
            </w14:solidFill>
          </w14:textFill>
        </w:rPr>
        <w:t>XX</w:t>
      </w:r>
      <w:r>
        <w:rPr>
          <w:rFonts w:hint="eastAsia" w:ascii="宋体" w:hAnsi="宋体"/>
          <w:b/>
          <w:bCs/>
          <w:color w:val="000000" w:themeColor="text1"/>
          <w:sz w:val="32"/>
          <w:szCs w:val="32"/>
          <w14:textFill>
            <w14:solidFill>
              <w14:schemeClr w14:val="tx1"/>
            </w14:solidFill>
          </w14:textFill>
        </w:rPr>
        <w:t>号</w:t>
      </w:r>
    </w:p>
    <w:p>
      <w:pPr>
        <w:jc w:val="left"/>
        <w:rPr>
          <w:rFonts w:ascii="宋体" w:hAnsi="宋体"/>
          <w:b/>
          <w:bCs/>
          <w:color w:val="000000" w:themeColor="text1"/>
          <w:sz w:val="36"/>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192" w:name="_Toc729"/>
      <w:bookmarkStart w:id="193" w:name="_Toc22607"/>
      <w:bookmarkStart w:id="194" w:name="_Toc22488"/>
      <w:bookmarkStart w:id="195" w:name="_Toc9940"/>
      <w:bookmarkStart w:id="196" w:name="_Toc75336299"/>
      <w:bookmarkStart w:id="197" w:name="_Toc217446082"/>
      <w:r>
        <w:rPr>
          <w:rFonts w:hint="eastAsia"/>
          <w:color w:val="000000" w:themeColor="text1"/>
          <w14:textFill>
            <w14:solidFill>
              <w14:schemeClr w14:val="tx1"/>
            </w14:solidFill>
          </w14:textFill>
        </w:rPr>
        <w:t>资格性审查部分</w:t>
      </w:r>
      <w:bookmarkEnd w:id="192"/>
      <w:bookmarkEnd w:id="193"/>
      <w:bookmarkEnd w:id="194"/>
      <w:bookmarkEnd w:id="195"/>
      <w:bookmarkEnd w:id="196"/>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关于投标人资格申明的函</w:t>
      </w:r>
    </w:p>
    <w:p>
      <w:pPr>
        <w:rPr>
          <w:rFonts w:ascii="宋体" w:hAnsi="宋体"/>
          <w:color w:val="000000" w:themeColor="text1"/>
          <w:sz w:val="28"/>
          <w:szCs w:val="28"/>
          <w14:textFill>
            <w14:solidFill>
              <w14:schemeClr w14:val="tx1"/>
            </w14:solidFill>
          </w14:textFill>
        </w:rPr>
      </w:pPr>
      <w:bookmarkStart w:id="198" w:name="_Toc238581782"/>
      <w:bookmarkStart w:id="199" w:name="_Toc119203988"/>
      <w:bookmarkStart w:id="200" w:name="_Toc119295087"/>
      <w:bookmarkStart w:id="201" w:name="_Toc52184753"/>
      <w:bookmarkStart w:id="202" w:name="_Toc146903609"/>
      <w:bookmarkStart w:id="203" w:name="_Toc119296788"/>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w:t>
      </w:r>
      <w:bookmarkEnd w:id="198"/>
    </w:p>
    <w:p>
      <w:pPr>
        <w:ind w:firstLine="565" w:firstLineChars="202"/>
        <w:rPr>
          <w:rFonts w:ascii="宋体" w:hAnsi="宋体"/>
          <w:color w:val="000000" w:themeColor="text1"/>
          <w:sz w:val="28"/>
          <w:szCs w:val="28"/>
          <w14:textFill>
            <w14:solidFill>
              <w14:schemeClr w14:val="tx1"/>
            </w14:solidFill>
          </w14:textFill>
        </w:rPr>
      </w:pPr>
      <w:bookmarkStart w:id="204" w:name="_Toc238581783"/>
      <w:r>
        <w:rPr>
          <w:rFonts w:hint="eastAsia" w:ascii="宋体" w:hAnsi="宋体"/>
          <w:color w:val="000000" w:themeColor="text1"/>
          <w:sz w:val="28"/>
          <w:szCs w:val="28"/>
          <w14:textFill>
            <w14:solidFill>
              <w14:schemeClr w14:val="tx1"/>
            </w14:solidFill>
          </w14:textFill>
        </w:rPr>
        <w:t>关于我方对</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项目（项目编号：</w:t>
      </w:r>
      <w:r>
        <w:rPr>
          <w:rFonts w:hint="eastAsia" w:ascii="宋体" w:hAnsi="宋体"/>
          <w:b/>
          <w:color w:val="000000" w:themeColor="text1"/>
          <w:sz w:val="28"/>
          <w:szCs w:val="28"/>
          <w:u w:val="single"/>
          <w:lang w:val="en-US" w:eastAsia="zh-CN"/>
          <w14:textFill>
            <w14:solidFill>
              <w14:schemeClr w14:val="tx1"/>
            </w14:solidFill>
          </w14:textFill>
        </w:rPr>
        <w:t>彭州</w:t>
      </w:r>
      <w:r>
        <w:rPr>
          <w:rFonts w:hint="eastAsia" w:ascii="宋体" w:hAnsi="宋体"/>
          <w:b/>
          <w:color w:val="000000" w:themeColor="text1"/>
          <w:sz w:val="28"/>
          <w:szCs w:val="28"/>
          <w:u w:val="single"/>
          <w14:textFill>
            <w14:solidFill>
              <w14:schemeClr w14:val="tx1"/>
            </w14:solidFill>
          </w14:textFill>
        </w:rPr>
        <w:t>市政采（2021）A00</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204"/>
    </w:p>
    <w:bookmarkEnd w:id="199"/>
    <w:bookmarkEnd w:id="200"/>
    <w:bookmarkEnd w:id="201"/>
    <w:bookmarkEnd w:id="202"/>
    <w:bookmarkEnd w:id="203"/>
    <w:p>
      <w:pPr>
        <w:widowControl/>
        <w:numPr>
          <w:ilvl w:val="2"/>
          <w:numId w:val="31"/>
        </w:numPr>
        <w:spacing w:after="200"/>
        <w:ind w:left="0" w:firstLine="560" w:firstLineChars="200"/>
        <w:rPr>
          <w:rFonts w:ascii="宋体" w:hAnsi="宋体"/>
          <w:color w:val="000000" w:themeColor="text1"/>
          <w:sz w:val="28"/>
          <w:szCs w:val="28"/>
          <w14:textFill>
            <w14:solidFill>
              <w14:schemeClr w14:val="tx1"/>
            </w14:solidFill>
          </w14:textFill>
        </w:rPr>
      </w:pPr>
      <w:bookmarkStart w:id="205" w:name="_Toc238581784"/>
      <w:r>
        <w:rPr>
          <w:rFonts w:hint="eastAsia" w:ascii="宋体" w:hAnsi="宋体"/>
          <w:color w:val="000000" w:themeColor="text1"/>
          <w:sz w:val="28"/>
          <w:szCs w:val="28"/>
          <w14:textFill>
            <w14:solidFill>
              <w14:schemeClr w14:val="tx1"/>
            </w14:solidFill>
          </w14:textFill>
        </w:rPr>
        <w:t>投标人名称及概况：</w:t>
      </w:r>
      <w:bookmarkEnd w:id="205"/>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widowControl/>
        <w:ind w:left="1261"/>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 XXXX</w:t>
      </w:r>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2"/>
        </w:numPr>
        <w:spacing w:after="200"/>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1"/>
        </w:numPr>
        <w:tabs>
          <w:tab w:val="left" w:pos="1276"/>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left="283" w:leftChars="135" w:firstLine="280" w:firstLineChars="100"/>
        <w:rPr>
          <w:rFonts w:ascii="宋体" w:hAnsi="宋体"/>
          <w:bCs/>
          <w:color w:val="000000" w:themeColor="text1"/>
          <w:sz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20XX年XX月XX日</w:t>
      </w: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项目（项目编号：</w:t>
      </w:r>
      <w:r>
        <w:rPr>
          <w:rFonts w:hint="eastAsia" w:ascii="宋体" w:hAnsi="宋体"/>
          <w:b/>
          <w:color w:val="000000" w:themeColor="text1"/>
          <w:sz w:val="28"/>
          <w:szCs w:val="28"/>
          <w:u w:val="single"/>
          <w:lang w:val="en-US" w:eastAsia="zh-CN"/>
          <w14:textFill>
            <w14:solidFill>
              <w14:schemeClr w14:val="tx1"/>
            </w14:solidFill>
          </w14:textFill>
        </w:rPr>
        <w:t>彭州</w:t>
      </w:r>
      <w:r>
        <w:rPr>
          <w:rFonts w:hint="eastAsia" w:ascii="宋体" w:hAnsi="宋体"/>
          <w:b/>
          <w:color w:val="000000" w:themeColor="text1"/>
          <w:sz w:val="28"/>
          <w:szCs w:val="28"/>
          <w:u w:val="single"/>
          <w14:textFill>
            <w14:solidFill>
              <w14:schemeClr w14:val="tx1"/>
            </w14:solidFill>
          </w14:textFill>
        </w:rPr>
        <w:t>市政采（2021）A00</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的投标人，在此郑重声明：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color w:val="000000" w:themeColor="text1"/>
          <w:sz w:val="28"/>
          <w:szCs w:val="28"/>
          <w14:textFill>
            <w14:solidFill>
              <w14:schemeClr w14:val="tx1"/>
            </w14:solidFill>
          </w14:textFill>
        </w:rPr>
        <w:t xml:space="preserve"> 。</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ind w:firstLine="560" w:firstLineChars="200"/>
        <w:rPr>
          <w:bCs/>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 1.对声明中第一条的说明：如投标人在参加政府采购活动前三年内，在经营活动中有重大违法记录的，应填写“有”，投标人将被认定投标无效或被取消中标资格；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2.对声明中第三条的说明：单位负责人为同一人或者存在直接控股、管理关系的不同供应商，不得参加同一合同项下的政府采购活动；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851"/>
        <w:rPr>
          <w:color w:val="auto"/>
        </w:rPr>
      </w:pPr>
      <w:r>
        <w:rPr>
          <w:rFonts w:hint="eastAsia"/>
          <w:color w:val="auto"/>
        </w:rPr>
        <w:t>中小企业声明函</w:t>
      </w:r>
    </w:p>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中小企业声明函</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本公司郑重声明，根据《政府采购促进中小企业发展管理办法》（财库〔2020〕46号）的规定，本公司参加</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（采购单位）的</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采购项目（</w:t>
      </w:r>
      <w:r>
        <w:rPr>
          <w:rFonts w:hint="eastAsia" w:ascii="宋体" w:hAnsi="宋体"/>
          <w:b/>
          <w:color w:val="000000" w:themeColor="text1"/>
          <w:sz w:val="28"/>
          <w:szCs w:val="28"/>
          <w:u w:val="single"/>
          <w:lang w:val="en-US" w:eastAsia="zh-CN"/>
          <w14:textFill>
            <w14:solidFill>
              <w14:schemeClr w14:val="tx1"/>
            </w14:solidFill>
          </w14:textFill>
        </w:rPr>
        <w:t>彭州</w:t>
      </w:r>
      <w:r>
        <w:rPr>
          <w:rFonts w:hint="eastAsia" w:ascii="宋体" w:hAnsi="宋体"/>
          <w:b/>
          <w:color w:val="000000" w:themeColor="text1"/>
          <w:sz w:val="28"/>
          <w:szCs w:val="28"/>
          <w:u w:val="single"/>
          <w14:textFill>
            <w14:solidFill>
              <w14:schemeClr w14:val="tx1"/>
            </w14:solidFill>
          </w14:textFill>
        </w:rPr>
        <w:t>市政采（2021）A00</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）采购活动，服务全部由符合政策要求的中小企业承接。相关企业的具体情况如下：</w:t>
      </w:r>
    </w:p>
    <w:p>
      <w:pPr>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color w:val="000000" w:themeColor="text1"/>
          <w:sz w:val="28"/>
          <w:szCs w:val="28"/>
          <w14:textFill>
            <w14:solidFill>
              <w14:schemeClr w14:val="tx1"/>
            </w14:solidFill>
          </w14:textFill>
        </w:rPr>
        <w:t>（标的名称），属于</w:t>
      </w:r>
      <w:r>
        <w:rPr>
          <w:rFonts w:hint="eastAsia" w:ascii="宋体" w:hAnsi="宋体"/>
          <w:b/>
          <w:color w:val="000000" w:themeColor="text1"/>
          <w:sz w:val="28"/>
          <w:szCs w:val="28"/>
          <w:u w:val="single"/>
          <w14:textFill>
            <w14:solidFill>
              <w14:schemeClr w14:val="tx1"/>
            </w14:solidFill>
          </w14:textFill>
        </w:rPr>
        <w:t>物业管理（</w:t>
      </w:r>
      <w:r>
        <w:rPr>
          <w:rFonts w:hint="eastAsia" w:ascii="宋体" w:hAnsi="宋体"/>
          <w:color w:val="000000" w:themeColor="text1"/>
          <w:sz w:val="28"/>
          <w:szCs w:val="28"/>
          <w14:textFill>
            <w14:solidFill>
              <w14:schemeClr w14:val="tx1"/>
            </w14:solidFill>
          </w14:textFill>
        </w:rPr>
        <w:t>采购文件中明确的所属行业）；承接企业为XXXX（企业名称），从业人员XX人，营业收入为XX万元，资产总额为XX万元，属于XXXX（中型企业、小型企业、微型企业）。</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以上企业，不属于大企业的分支机构，不存在控股股东为大企业的情形，也不存在与大企业的负责人为同一人的情形。</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本企业对上述声明内容的真实性负责。如有虚假，将依法承担相应责任。</w:t>
      </w:r>
    </w:p>
    <w:p>
      <w:pPr>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企业名称：XXXX </w:t>
      </w: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说明：1. 提供了《残疾人福利性单位声明函》或监狱企业证明文件复印件的不需提供；</w:t>
      </w:r>
    </w:p>
    <w:p>
      <w:pPr>
        <w:pStyle w:val="84"/>
        <w:numPr>
          <w:ilvl w:val="0"/>
          <w:numId w:val="31"/>
        </w:numPr>
        <w:ind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从业人员、营业收入、资产总额填报上一年度数据，无上一年度数据的新成立企业可不填报。</w:t>
      </w:r>
    </w:p>
    <w:p>
      <w:pPr>
        <w:pStyle w:val="5"/>
        <w:numPr>
          <w:ilvl w:val="2"/>
          <w:numId w:val="3"/>
        </w:numPr>
        <w:spacing w:after="200" w:line="240" w:lineRule="auto"/>
        <w:ind w:left="851"/>
        <w:rPr>
          <w:color w:val="auto"/>
        </w:rPr>
      </w:pPr>
      <w:r>
        <w:rPr>
          <w:rFonts w:hint="eastAsia"/>
          <w:color w:val="auto"/>
        </w:rPr>
        <w:t>残疾人福利性单位声明函</w:t>
      </w:r>
    </w:p>
    <w:p>
      <w:pPr>
        <w:spacing w:line="500" w:lineRule="exact"/>
        <w:jc w:val="center"/>
        <w:rPr>
          <w:rFonts w:ascii="宋体" w:hAnsi="宋体"/>
          <w:b/>
          <w:spacing w:val="6"/>
          <w:sz w:val="28"/>
          <w:szCs w:val="28"/>
        </w:rPr>
      </w:pPr>
      <w:r>
        <w:rPr>
          <w:rFonts w:hint="eastAsia" w:ascii="宋体" w:hAnsi="宋体"/>
          <w:b/>
          <w:spacing w:val="6"/>
          <w:sz w:val="28"/>
          <w:szCs w:val="28"/>
        </w:rPr>
        <w:t>残疾人福利性单位声明函</w:t>
      </w:r>
    </w:p>
    <w:p>
      <w:pPr>
        <w:spacing w:line="440" w:lineRule="exact"/>
        <w:rPr>
          <w:rFonts w:ascii="仿宋_GB2312" w:eastAsia="仿宋_GB2312"/>
          <w:b/>
          <w:spacing w:val="6"/>
          <w:sz w:val="30"/>
          <w:szCs w:val="30"/>
        </w:rPr>
      </w:pP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spacing w:val="6"/>
          <w:sz w:val="28"/>
          <w:szCs w:val="28"/>
        </w:rPr>
        <w:t>单位的</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spacing w:val="6"/>
          <w:sz w:val="28"/>
          <w:szCs w:val="28"/>
        </w:rPr>
        <w:t>项目采购活动由本单位提供服务。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ind w:firstLine="563"/>
        <w:rPr>
          <w:rFonts w:ascii="宋体" w:hAnsi="宋体"/>
          <w:b/>
          <w:kern w:val="0"/>
          <w:sz w:val="28"/>
          <w:szCs w:val="28"/>
        </w:rPr>
      </w:pPr>
    </w:p>
    <w:p>
      <w:pPr>
        <w:tabs>
          <w:tab w:val="left" w:pos="1260"/>
        </w:tabs>
        <w:spacing w:line="560" w:lineRule="exact"/>
        <w:ind w:firstLine="562" w:firstLineChars="200"/>
        <w:rPr>
          <w:rFonts w:ascii="宋体" w:hAnsi="宋体"/>
          <w:szCs w:val="28"/>
        </w:rPr>
      </w:pPr>
      <w:r>
        <w:rPr>
          <w:rFonts w:hint="eastAsia" w:ascii="宋体" w:hAnsi="宋体"/>
          <w:b/>
          <w:sz w:val="28"/>
          <w:szCs w:val="28"/>
        </w:rPr>
        <w:t>说明</w:t>
      </w:r>
      <w:r>
        <w:rPr>
          <w:rFonts w:ascii="宋体" w:hAnsi="宋体"/>
          <w:b/>
          <w:sz w:val="28"/>
          <w:szCs w:val="28"/>
        </w:rPr>
        <w:t>：</w:t>
      </w:r>
      <w:r>
        <w:rPr>
          <w:rFonts w:hint="eastAsia" w:ascii="宋体" w:hAnsi="宋体"/>
          <w:b/>
          <w:sz w:val="28"/>
          <w:szCs w:val="28"/>
        </w:rPr>
        <w:t>提供了《中小</w:t>
      </w:r>
      <w:r>
        <w:rPr>
          <w:rFonts w:ascii="宋体" w:hAnsi="宋体"/>
          <w:b/>
          <w:sz w:val="28"/>
          <w:szCs w:val="28"/>
        </w:rPr>
        <w:t>企业声明函</w:t>
      </w:r>
      <w:r>
        <w:rPr>
          <w:rFonts w:hint="eastAsia" w:ascii="宋体" w:hAnsi="宋体"/>
          <w:b/>
          <w:sz w:val="28"/>
          <w:szCs w:val="28"/>
        </w:rPr>
        <w:t>》或监狱企业证明文件复印件的不需提供。</w:t>
      </w:r>
    </w:p>
    <w:p>
      <w:pPr>
        <w:tabs>
          <w:tab w:val="left" w:pos="1260"/>
        </w:tabs>
        <w:spacing w:line="560" w:lineRule="exact"/>
        <w:ind w:firstLine="420" w:firstLineChars="200"/>
        <w:rPr>
          <w:rFonts w:ascii="宋体" w:hAnsi="宋体"/>
          <w:szCs w:val="28"/>
        </w:rPr>
      </w:pPr>
    </w:p>
    <w:p>
      <w:pPr>
        <w:pStyle w:val="5"/>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投标人应提交的相关资格证明材料</w:t>
      </w:r>
    </w:p>
    <w:p>
      <w:pPr>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投标人按招标文件要求，应提供以下相关资格证明材料：</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由省级以上监狱管理局、戒毒管理局（含新疆生产建设兵团）出具的投标人属于监狱企业的证明文件复印件（说明：提供了《中小企业声明函》或《残疾人福利性单位声明函》的不需提供）；</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20</w:t>
      </w:r>
      <w:r>
        <w:rPr>
          <w:rFonts w:ascii="宋体" w:hAnsi="宋体"/>
          <w:color w:val="000000" w:themeColor="text1"/>
          <w:kern w:val="0"/>
          <w:sz w:val="28"/>
          <w:szCs w:val="28"/>
          <w14:textFill>
            <w14:solidFill>
              <w14:schemeClr w14:val="tx1"/>
            </w14:solidFill>
          </w14:textFill>
        </w:rPr>
        <w:t>19</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年会计年度资产负债表复印件（说明：投标人成立时间至递交投标文件截止时间止不足一年的，提供成立后任意时段的资产负债表复印件）；</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年任意时段的税收的银行电子回单或者行政部门出具的纳税证明或完税证明复印件；</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年任意时段的社保的银行电子回单或行政部门出具的社保缴纳证明材料复印件；</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2"/>
        <w:rPr>
          <w:rFonts w:hint="eastAsia" w:ascii="宋体" w:hAnsi="宋体"/>
          <w:color w:val="000000" w:themeColor="text1"/>
          <w:kern w:val="0"/>
          <w:sz w:val="28"/>
          <w:szCs w:val="28"/>
          <w14:textFill>
            <w14:solidFill>
              <w14:schemeClr w14:val="tx1"/>
            </w14:solidFill>
          </w14:textFill>
        </w:rPr>
      </w:pPr>
    </w:p>
    <w:p/>
    <w:p>
      <w:pPr>
        <w:pStyle w:val="4"/>
        <w:numPr>
          <w:ilvl w:val="1"/>
          <w:numId w:val="3"/>
        </w:numPr>
        <w:spacing w:before="0" w:after="0" w:line="240" w:lineRule="auto"/>
        <w:ind w:left="2269" w:hanging="2269"/>
        <w:rPr>
          <w:color w:val="000000" w:themeColor="text1"/>
          <w14:textFill>
            <w14:solidFill>
              <w14:schemeClr w14:val="tx1"/>
            </w14:solidFill>
          </w14:textFill>
        </w:rPr>
      </w:pPr>
      <w:bookmarkStart w:id="206" w:name="_Toc14118"/>
      <w:bookmarkStart w:id="207" w:name="_Toc13502"/>
      <w:bookmarkStart w:id="208" w:name="_Toc29369"/>
      <w:bookmarkStart w:id="209" w:name="_Toc13982"/>
      <w:bookmarkStart w:id="210" w:name="_Toc494464914"/>
      <w:bookmarkStart w:id="211" w:name="_Toc75336300"/>
      <w:r>
        <w:rPr>
          <w:rFonts w:hint="eastAsia"/>
          <w:color w:val="000000" w:themeColor="text1"/>
          <w14:textFill>
            <w14:solidFill>
              <w14:schemeClr w14:val="tx1"/>
            </w14:solidFill>
          </w14:textFill>
        </w:rPr>
        <w:t>服务、商务及其他要求响应部分</w:t>
      </w:r>
      <w:bookmarkEnd w:id="206"/>
      <w:bookmarkEnd w:id="207"/>
      <w:bookmarkEnd w:id="208"/>
      <w:bookmarkEnd w:id="209"/>
      <w:bookmarkEnd w:id="210"/>
      <w:bookmarkEnd w:id="211"/>
    </w:p>
    <w:p>
      <w:pPr>
        <w:pStyle w:val="5"/>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投标函</w:t>
      </w:r>
      <w:bookmarkEnd w:id="197"/>
    </w:p>
    <w:p>
      <w:pPr>
        <w:pStyle w:val="25"/>
        <w:spacing w:after="0" w:line="500" w:lineRule="exact"/>
        <w:ind w:left="0" w:leftChars="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彭州</w:t>
      </w:r>
      <w:r>
        <w:rPr>
          <w:rFonts w:hint="eastAsia" w:ascii="宋体" w:hAnsi="宋体"/>
          <w:bCs/>
          <w:color w:val="000000" w:themeColor="text1"/>
          <w:sz w:val="28"/>
          <w:szCs w:val="28"/>
          <w14:textFill>
            <w14:solidFill>
              <w14:schemeClr w14:val="tx1"/>
            </w14:solidFill>
          </w14:textFill>
        </w:rPr>
        <w:t>市公共资源交易服务中心：</w:t>
      </w:r>
    </w:p>
    <w:p>
      <w:pPr>
        <w:pStyle w:val="25"/>
        <w:spacing w:after="0" w:line="500" w:lineRule="exact"/>
        <w:ind w:left="0" w:leftChars="0"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（项目编号：</w:t>
      </w:r>
      <w:r>
        <w:rPr>
          <w:rFonts w:hint="eastAsia" w:ascii="宋体" w:hAnsi="宋体"/>
          <w:b/>
          <w:bCs/>
          <w:color w:val="000000" w:themeColor="text1"/>
          <w:sz w:val="28"/>
          <w:szCs w:val="28"/>
          <w:u w:val="single"/>
          <w:lang w:val="en-US" w:eastAsia="zh-CN"/>
          <w14:textFill>
            <w14:solidFill>
              <w14:schemeClr w14:val="tx1"/>
            </w14:solidFill>
          </w14:textFill>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号）</w:t>
      </w:r>
      <w:r>
        <w:rPr>
          <w:rFonts w:hint="eastAsia" w:ascii="宋体" w:hAnsi="宋体"/>
          <w:bCs/>
          <w:color w:val="000000" w:themeColor="text1"/>
          <w:sz w:val="28"/>
          <w:szCs w:val="28"/>
          <w14:textFill>
            <w14:solidFill>
              <w14:schemeClr w14:val="tx1"/>
            </w14:solidFill>
          </w14:textFill>
        </w:rPr>
        <w:t>招标文件，决定参加贵单位组织的本项目的投标。我方授权</w:t>
      </w:r>
      <w:r>
        <w:rPr>
          <w:rFonts w:hint="eastAsia" w:ascii="宋体" w:hAnsi="宋体"/>
          <w:bCs/>
          <w:color w:val="000000" w:themeColor="text1"/>
          <w:sz w:val="28"/>
          <w:szCs w:val="28"/>
          <w:u w:val="single"/>
          <w14:textFill>
            <w14:solidFill>
              <w14:schemeClr w14:val="tx1"/>
            </w14:solidFill>
          </w14:textFill>
        </w:rPr>
        <w:t>XXX（姓名、职务）</w:t>
      </w:r>
      <w:r>
        <w:rPr>
          <w:rFonts w:hint="eastAsia" w:ascii="宋体" w:hAnsi="宋体"/>
          <w:bCs/>
          <w:color w:val="000000" w:themeColor="text1"/>
          <w:sz w:val="28"/>
          <w:szCs w:val="28"/>
          <w14:textFill>
            <w14:solidFill>
              <w14:schemeClr w14:val="tx1"/>
            </w14:solidFill>
          </w14:textFill>
        </w:rPr>
        <w:t>代表我方</w:t>
      </w:r>
      <w:r>
        <w:rPr>
          <w:rFonts w:hint="eastAsia" w:ascii="宋体" w:hAnsi="宋体"/>
          <w:bCs/>
          <w:color w:val="000000" w:themeColor="text1"/>
          <w:sz w:val="28"/>
          <w:szCs w:val="28"/>
          <w:u w:val="single"/>
          <w14:textFill>
            <w14:solidFill>
              <w14:schemeClr w14:val="tx1"/>
            </w14:solidFill>
          </w14:textFill>
        </w:rPr>
        <w:t>XXX（投标人名称）</w:t>
      </w:r>
      <w:r>
        <w:rPr>
          <w:rFonts w:hint="eastAsia" w:ascii="宋体" w:hAnsi="宋体"/>
          <w:bCs/>
          <w:color w:val="000000" w:themeColor="text1"/>
          <w:sz w:val="28"/>
          <w:szCs w:val="28"/>
          <w14:textFill>
            <w14:solidFill>
              <w14:schemeClr w14:val="tx1"/>
            </w14:solidFill>
          </w14:textFill>
        </w:rPr>
        <w:t>全权处理本项目投标的有关事宜。</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我方自愿按照招标文件规定的各项要求向采购人提供所需服务，</w:t>
      </w:r>
      <w:r>
        <w:rPr>
          <w:rFonts w:hint="eastAsia" w:ascii="宋体" w:hAnsi="宋体"/>
          <w:b/>
          <w:color w:val="000000" w:themeColor="text1"/>
          <w:sz w:val="28"/>
          <w:szCs w:val="28"/>
          <w14:textFill>
            <w14:solidFill>
              <w14:schemeClr w14:val="tx1"/>
            </w14:solidFill>
          </w14:textFill>
        </w:rPr>
        <w:t>投标报价以《投标报价表》为准</w:t>
      </w:r>
      <w:r>
        <w:rPr>
          <w:rFonts w:hint="eastAsia" w:ascii="宋体" w:hAnsi="宋体"/>
          <w:color w:val="000000" w:themeColor="text1"/>
          <w:sz w:val="28"/>
          <w:szCs w:val="28"/>
          <w14:textFill>
            <w14:solidFill>
              <w14:schemeClr w14:val="tx1"/>
            </w14:solidFill>
          </w14:textFill>
        </w:rPr>
        <w:t>。</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投标有效期为从投标截止之日起120天。</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1"/>
          <w:numId w:val="34"/>
        </w:numPr>
        <w:tabs>
          <w:tab w:val="left" w:pos="1134"/>
        </w:tabs>
        <w:spacing w:after="20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我单位联系方式：XXXX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ind w:firstLine="573"/>
        <w:rPr>
          <w:rFonts w:ascii="宋体" w:hAnsi="宋体"/>
          <w:sz w:val="28"/>
          <w:lang w:val="zh-CN"/>
        </w:rPr>
      </w:pPr>
      <w:r>
        <w:rPr>
          <w:rFonts w:hint="eastAsia" w:ascii="宋体" w:hAnsi="宋体"/>
          <w:sz w:val="28"/>
          <w:lang w:val="zh-CN"/>
        </w:rPr>
        <w:t>特此证明。</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pStyle w:val="2"/>
        <w:rPr>
          <w:rFonts w:ascii="宋体" w:hAnsi="宋体"/>
          <w:color w:val="000000" w:themeColor="text1"/>
          <w:sz w:val="28"/>
          <w:szCs w:val="28"/>
          <w14:textFill>
            <w14:solidFill>
              <w14:schemeClr w14:val="tx1"/>
            </w14:solidFill>
          </w14:textFill>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sz w:val="28"/>
          <w:szCs w:val="28"/>
        </w:rPr>
        <w:t>投标人基本情况表</w:t>
      </w:r>
    </w:p>
    <w:tbl>
      <w:tblPr>
        <w:tblStyle w:val="43"/>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 xml:space="preserve"> 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5"/>
        <w:numPr>
          <w:ilvl w:val="2"/>
          <w:numId w:val="3"/>
        </w:numPr>
        <w:spacing w:after="200" w:line="240" w:lineRule="auto"/>
        <w:ind w:left="851"/>
        <w:rPr>
          <w:color w:val="auto"/>
        </w:rPr>
      </w:pPr>
      <w:r>
        <w:rPr>
          <w:rFonts w:hint="eastAsia"/>
          <w:color w:val="auto"/>
        </w:rPr>
        <w:t>服务方案及服务承诺</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号</w:t>
      </w:r>
    </w:p>
    <w:p>
      <w:pPr>
        <w:snapToGrid w:val="0"/>
        <w:spacing w:line="360" w:lineRule="auto"/>
        <w:rPr>
          <w:rFonts w:hint="eastAsia" w:ascii="宋体" w:hAnsi="宋体" w:eastAsia="宋体"/>
          <w:b/>
          <w:sz w:val="28"/>
          <w:szCs w:val="28"/>
          <w:lang w:eastAsia="zh-CN"/>
        </w:rPr>
      </w:pPr>
      <w:r>
        <w:rPr>
          <w:rFonts w:hint="eastAsia" w:ascii="宋体" w:hAnsi="宋体"/>
          <w:b/>
          <w:sz w:val="28"/>
          <w:szCs w:val="28"/>
          <w:lang w:eastAsia="zh-CN"/>
        </w:rPr>
        <w:t>（</w:t>
      </w:r>
      <w:r>
        <w:rPr>
          <w:rFonts w:hint="eastAsia" w:ascii="宋体" w:hAnsi="宋体"/>
          <w:b/>
          <w:sz w:val="28"/>
          <w:szCs w:val="28"/>
          <w:lang w:val="en-US" w:eastAsia="zh-CN"/>
        </w:rPr>
        <w:t>包括但不限于服务方案、公共秩序维护及应急管理服务、保洁服务、设施设备管理维养服务、绿化养护服务、承诺书</w:t>
      </w:r>
      <w:r>
        <w:rPr>
          <w:rFonts w:hint="eastAsia" w:ascii="宋体" w:hAnsi="宋体"/>
          <w:b/>
          <w:sz w:val="28"/>
          <w:szCs w:val="28"/>
          <w:lang w:eastAsia="zh-CN"/>
        </w:rPr>
        <w:t>）</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keepNext/>
        <w:keepLines/>
        <w:numPr>
          <w:ilvl w:val="2"/>
          <w:numId w:val="3"/>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bCs/>
          <w:color w:val="000000" w:themeColor="text1"/>
          <w:sz w:val="28"/>
          <w:szCs w:val="28"/>
          <w:u w:val="single"/>
          <w:lang w:val="en-US" w:eastAsia="zh-CN"/>
          <w14:textFill>
            <w14:solidFill>
              <w14:schemeClr w14:val="tx1"/>
            </w14:solidFill>
          </w14:textFill>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号</w:t>
      </w:r>
    </w:p>
    <w:p>
      <w:pPr>
        <w:snapToGrid w:val="0"/>
        <w:spacing w:line="360" w:lineRule="auto"/>
        <w:rPr>
          <w:rFonts w:ascii="宋体" w:hAnsi="宋体"/>
          <w:sz w:val="28"/>
        </w:rPr>
      </w:pPr>
    </w:p>
    <w:p>
      <w:pPr>
        <w:adjustRightInd w:val="0"/>
        <w:snapToGrid w:val="0"/>
        <w:spacing w:line="360" w:lineRule="auto"/>
        <w:ind w:firstLine="602" w:firstLineChars="201"/>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我公司作为参加本项目的投标人，在此郑重承诺：</w:t>
      </w:r>
    </w:p>
    <w:p>
      <w:pPr>
        <w:adjustRightInd w:val="0"/>
        <w:snapToGrid w:val="0"/>
        <w:spacing w:line="360" w:lineRule="auto"/>
        <w:ind w:firstLine="605" w:firstLineChars="201"/>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为本项目提供的所有服务符合现行的强制性国家相关标准、行业标准。</w:t>
      </w:r>
    </w:p>
    <w:p>
      <w:pPr>
        <w:adjustRightInd w:val="0"/>
        <w:snapToGrid w:val="0"/>
        <w:spacing w:line="560" w:lineRule="exact"/>
        <w:ind w:firstLine="560" w:firstLineChars="200"/>
        <w:rPr>
          <w:rFonts w:ascii="宋体" w:hAnsi="宋体"/>
          <w:sz w:val="28"/>
        </w:rPr>
      </w:pPr>
    </w:p>
    <w:p>
      <w:pPr>
        <w:adjustRightInd w:val="0"/>
        <w:snapToGrid w:val="0"/>
        <w:spacing w:line="560" w:lineRule="exact"/>
        <w:ind w:firstLine="560" w:firstLineChars="200"/>
        <w:rPr>
          <w:rFonts w:ascii="宋体" w:hAnsi="宋体"/>
          <w:sz w:val="28"/>
        </w:rPr>
      </w:pPr>
    </w:p>
    <w:p>
      <w:pPr>
        <w:adjustRightInd w:val="0"/>
        <w:snapToGrid w:val="0"/>
        <w:spacing w:line="560" w:lineRule="exact"/>
        <w:rPr>
          <w:rFonts w:ascii="宋体" w:hAnsi="宋体"/>
          <w:sz w:val="28"/>
        </w:rPr>
      </w:pPr>
    </w:p>
    <w:p>
      <w:pPr>
        <w:adjustRightInd w:val="0"/>
        <w:snapToGrid w:val="0"/>
        <w:spacing w:line="560" w:lineRule="exact"/>
        <w:ind w:firstLine="560" w:firstLineChars="20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snapToGrid w:val="0"/>
        <w:spacing w:line="360" w:lineRule="auto"/>
        <w:rPr>
          <w:rFonts w:hint="eastAsia" w:ascii="宋体" w:hAnsi="宋体"/>
          <w:b/>
          <w:sz w:val="28"/>
          <w:szCs w:val="28"/>
          <w:lang w:val="en-US" w:eastAsia="zh-CN"/>
        </w:rPr>
      </w:pPr>
    </w:p>
    <w:p>
      <w:pPr>
        <w:snapToGrid w:val="0"/>
        <w:spacing w:line="360" w:lineRule="auto"/>
        <w:rPr>
          <w:rFonts w:hint="eastAsia" w:ascii="宋体" w:hAnsi="宋体"/>
          <w:b/>
          <w:sz w:val="28"/>
          <w:szCs w:val="28"/>
          <w:lang w:val="en-US" w:eastAsia="zh-CN"/>
        </w:rPr>
      </w:pPr>
    </w:p>
    <w:p>
      <w:pPr>
        <w:snapToGrid w:val="0"/>
        <w:spacing w:line="360" w:lineRule="auto"/>
        <w:rPr>
          <w:rFonts w:hint="default" w:ascii="宋体" w:hAnsi="宋体" w:eastAsia="宋体"/>
          <w:b/>
          <w:sz w:val="28"/>
          <w:szCs w:val="28"/>
          <w:lang w:val="en-US" w:eastAsia="zh-CN"/>
        </w:rPr>
      </w:pPr>
      <w:r>
        <w:rPr>
          <w:rFonts w:hint="eastAsia" w:ascii="宋体" w:hAnsi="宋体"/>
          <w:b/>
          <w:sz w:val="28"/>
          <w:szCs w:val="28"/>
          <w:lang w:val="en-US" w:eastAsia="zh-CN"/>
        </w:rPr>
        <w:t>3.3.6 类似业绩</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号</w:t>
      </w: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
      <w:pPr>
        <w:pStyle w:val="2"/>
        <w:rPr>
          <w:rFonts w:ascii="宋体" w:hAnsi="宋体"/>
          <w:color w:val="000000" w:themeColor="text1"/>
          <w:sz w:val="28"/>
          <w:szCs w:val="28"/>
          <w14:textFill>
            <w14:solidFill>
              <w14:schemeClr w14:val="tx1"/>
            </w14:solidFill>
          </w14:textFill>
        </w:rPr>
      </w:pPr>
    </w:p>
    <w:p>
      <w:pPr>
        <w:snapToGrid w:val="0"/>
        <w:spacing w:line="360" w:lineRule="auto"/>
        <w:rPr>
          <w:rFonts w:hint="default" w:ascii="宋体" w:hAnsi="宋体" w:eastAsia="宋体"/>
          <w:b/>
          <w:sz w:val="28"/>
          <w:szCs w:val="28"/>
          <w:lang w:val="en-US" w:eastAsia="zh-CN"/>
        </w:rPr>
      </w:pPr>
      <w:r>
        <w:rPr>
          <w:rFonts w:hint="eastAsia" w:ascii="宋体" w:hAnsi="宋体"/>
          <w:b/>
          <w:sz w:val="28"/>
          <w:szCs w:val="28"/>
          <w:lang w:val="en-US" w:eastAsia="zh-CN"/>
        </w:rPr>
        <w:t>3.3.7 扶持不发达地区和少数民族地区相关证明材料</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color w:val="000000" w:themeColor="text1"/>
          <w:sz w:val="28"/>
          <w:szCs w:val="28"/>
          <w:u w:val="single"/>
          <w:lang w:val="en-US" w:eastAsia="zh-CN"/>
          <w14:textFill>
            <w14:solidFill>
              <w14:schemeClr w14:val="tx1"/>
            </w14:solidFill>
          </w14:textFill>
        </w:rPr>
        <w:t>XX</w:t>
      </w:r>
      <w:r>
        <w:rPr>
          <w:rFonts w:hint="eastAsia" w:ascii="宋体" w:hAnsi="宋体"/>
          <w:b/>
          <w:color w:val="000000" w:themeColor="text1"/>
          <w:sz w:val="28"/>
          <w:szCs w:val="28"/>
          <w:u w:val="single"/>
          <w14:textFill>
            <w14:solidFill>
              <w14:schemeClr w14:val="tx1"/>
            </w14:solidFill>
          </w14:textFill>
        </w:rPr>
        <w:t>项目</w:t>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XX</w:t>
      </w:r>
      <w:r>
        <w:rPr>
          <w:rFonts w:hint="eastAsia" w:ascii="宋体" w:hAnsi="宋体"/>
          <w:b/>
          <w:bCs/>
          <w:color w:val="000000" w:themeColor="text1"/>
          <w:sz w:val="28"/>
          <w:szCs w:val="28"/>
          <w:u w:val="single"/>
          <w14:textFill>
            <w14:solidFill>
              <w14:schemeClr w14:val="tx1"/>
            </w14:solidFill>
          </w14:textFill>
        </w:rPr>
        <w:t>号</w:t>
      </w:r>
    </w:p>
    <w:p>
      <w:pPr>
        <w:pStyle w:val="2"/>
        <w:rPr>
          <w:rFonts w:hint="eastAsia" w:ascii="宋体" w:hAnsi="宋体"/>
          <w:color w:val="000000" w:themeColor="text1"/>
          <w:sz w:val="28"/>
          <w:szCs w:val="28"/>
          <w:lang w:eastAsia="zh-CN"/>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
      <w:pPr>
        <w:pStyle w:val="2"/>
        <w:rPr>
          <w:rFonts w:ascii="宋体" w:hAnsi="宋体"/>
          <w:color w:val="000000" w:themeColor="text1"/>
          <w:sz w:val="28"/>
          <w:szCs w:val="28"/>
          <w14:textFill>
            <w14:solidFill>
              <w14:schemeClr w14:val="tx1"/>
            </w14:solidFill>
          </w14:textFill>
        </w:rPr>
      </w:pPr>
    </w:p>
    <w:p>
      <w:pPr>
        <w:keepNext/>
        <w:keepLines/>
        <w:numPr>
          <w:ilvl w:val="1"/>
          <w:numId w:val="3"/>
        </w:numPr>
        <w:spacing w:before="260" w:after="260" w:line="360" w:lineRule="auto"/>
        <w:jc w:val="left"/>
        <w:outlineLvl w:val="1"/>
        <w:rPr>
          <w:rFonts w:ascii="宋体" w:hAnsi="宋体"/>
          <w:b/>
          <w:sz w:val="28"/>
        </w:rPr>
      </w:pPr>
      <w:bookmarkStart w:id="212" w:name="_Toc73619745"/>
      <w:bookmarkStart w:id="213" w:name="_Toc75336301"/>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212"/>
      <w:bookmarkEnd w:id="213"/>
    </w:p>
    <w:p>
      <w:pPr>
        <w:keepNext/>
        <w:keepLines/>
        <w:numPr>
          <w:ilvl w:val="2"/>
          <w:numId w:val="3"/>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pStyle w:val="2"/>
      </w:pP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pStyle w:val="2"/>
        <w:rPr>
          <w:rFonts w:ascii="宋体" w:hAnsi="宋体"/>
          <w:color w:val="000000" w:themeColor="text1"/>
          <w:sz w:val="28"/>
          <w:szCs w:val="28"/>
          <w14:textFill>
            <w14:solidFill>
              <w14:schemeClr w14:val="tx1"/>
            </w14:solidFill>
          </w14:textFill>
        </w:rPr>
      </w:pPr>
    </w:p>
    <w:p>
      <w:pPr>
        <w:pStyle w:val="3"/>
        <w:pageBreakBefore w:val="0"/>
        <w:widowControl w:val="0"/>
        <w:numPr>
          <w:ilvl w:val="0"/>
          <w:numId w:val="3"/>
        </w:numPr>
        <w:kinsoku/>
        <w:wordWrap/>
        <w:overflowPunct/>
        <w:topLinePunct w:val="0"/>
        <w:autoSpaceDE/>
        <w:autoSpaceDN/>
        <w:bidi w:val="0"/>
        <w:adjustRightInd/>
        <w:snapToGrid/>
        <w:spacing w:before="0" w:after="0" w:line="500" w:lineRule="exact"/>
        <w:textAlignment w:val="auto"/>
        <w:rPr>
          <w:color w:val="auto"/>
        </w:rPr>
      </w:pPr>
      <w:bookmarkStart w:id="214" w:name="_Toc1870"/>
      <w:bookmarkStart w:id="215" w:name="_Toc30585"/>
      <w:bookmarkStart w:id="216" w:name="_Toc4768"/>
      <w:bookmarkStart w:id="217" w:name="_Toc17291826"/>
      <w:bookmarkStart w:id="218" w:name="_Toc24469"/>
      <w:bookmarkStart w:id="219" w:name="_Toc75336302"/>
      <w:bookmarkStart w:id="220" w:name="_Toc316292231"/>
      <w:bookmarkStart w:id="221" w:name="_Toc321382057"/>
      <w:r>
        <w:rPr>
          <w:rFonts w:hint="eastAsia"/>
          <w:color w:val="auto"/>
        </w:rPr>
        <w:t>招标项目服务、商务及其他要求</w:t>
      </w:r>
      <w:bookmarkEnd w:id="214"/>
      <w:bookmarkEnd w:id="215"/>
      <w:bookmarkEnd w:id="216"/>
      <w:bookmarkEnd w:id="217"/>
      <w:bookmarkEnd w:id="218"/>
      <w:bookmarkEnd w:id="219"/>
    </w:p>
    <w:bookmarkEnd w:id="220"/>
    <w:bookmarkEnd w:id="221"/>
    <w:p>
      <w:pPr>
        <w:pStyle w:val="5"/>
        <w:pageBreakBefore w:val="0"/>
        <w:widowControl w:val="0"/>
        <w:kinsoku/>
        <w:wordWrap/>
        <w:overflowPunct/>
        <w:topLinePunct w:val="0"/>
        <w:autoSpaceDE/>
        <w:autoSpaceDN/>
        <w:bidi w:val="0"/>
        <w:adjustRightInd/>
        <w:snapToGrid/>
        <w:spacing w:beforeAutospacing="0" w:afterAutospacing="0"/>
        <w:ind w:firstLine="562" w:firstLineChars="200"/>
        <w:textAlignment w:val="auto"/>
        <w:rPr>
          <w:rFonts w:hint="eastAsia" w:ascii="宋体" w:hAnsi="宋体" w:cs="宋体"/>
          <w:sz w:val="28"/>
          <w:szCs w:val="28"/>
        </w:rPr>
      </w:pPr>
      <w:bookmarkStart w:id="222" w:name="_Toc513796936"/>
      <w:bookmarkStart w:id="223" w:name="_Toc5355"/>
      <w:bookmarkStart w:id="224" w:name="_Toc21821"/>
      <w:bookmarkStart w:id="225" w:name="_Toc26497"/>
      <w:bookmarkStart w:id="226" w:name="_Toc8639"/>
      <w:bookmarkStart w:id="227" w:name="_Toc24101"/>
      <w:r>
        <w:rPr>
          <w:rFonts w:hint="eastAsia" w:ascii="宋体" w:hAnsi="宋体" w:cs="宋体"/>
          <w:sz w:val="28"/>
          <w:szCs w:val="28"/>
        </w:rPr>
        <w:t>1．项目概况</w:t>
      </w:r>
    </w:p>
    <w:p>
      <w:pPr>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cs="宋体"/>
          <w:color w:val="000000"/>
          <w:sz w:val="28"/>
          <w:szCs w:val="28"/>
        </w:rPr>
      </w:pPr>
      <w:bookmarkStart w:id="228" w:name="_Toc502844570"/>
      <w:r>
        <w:rPr>
          <w:rFonts w:hint="eastAsia" w:ascii="宋体" w:hAnsi="宋体" w:cs="宋体"/>
          <w:color w:val="000000"/>
          <w:sz w:val="28"/>
          <w:szCs w:val="28"/>
        </w:rPr>
        <w:t>为保证天彭街道办事处安置小区</w:t>
      </w:r>
      <w:r>
        <w:rPr>
          <w:rFonts w:hint="eastAsia" w:ascii="宋体" w:hAnsi="宋体" w:cs="宋体"/>
          <w:sz w:val="32"/>
          <w:szCs w:val="32"/>
        </w:rPr>
        <w:t>东湖</w:t>
      </w:r>
      <w:r>
        <w:rPr>
          <w:rFonts w:hint="eastAsia" w:ascii="宋体" w:hAnsi="宋体" w:cs="宋体"/>
          <w:sz w:val="32"/>
          <w:szCs w:val="32"/>
          <w:lang w:eastAsia="zh-CN"/>
        </w:rPr>
        <w:t>花园一二期</w:t>
      </w:r>
      <w:r>
        <w:rPr>
          <w:rFonts w:hint="eastAsia" w:ascii="宋体" w:hAnsi="宋体" w:cs="宋体"/>
          <w:color w:val="000000"/>
          <w:sz w:val="28"/>
          <w:szCs w:val="28"/>
        </w:rPr>
        <w:t>物业服务工作正常进行，使小区物业服务质量和形象上升一个新台阶，现拟采购</w:t>
      </w:r>
      <w:r>
        <w:rPr>
          <w:rFonts w:hint="eastAsia" w:ascii="宋体" w:hAnsi="宋体" w:cs="宋体"/>
          <w:sz w:val="32"/>
          <w:szCs w:val="32"/>
        </w:rPr>
        <w:t>东湖</w:t>
      </w:r>
      <w:r>
        <w:rPr>
          <w:rFonts w:hint="eastAsia" w:ascii="宋体" w:hAnsi="宋体" w:cs="宋体"/>
          <w:sz w:val="32"/>
          <w:szCs w:val="32"/>
          <w:lang w:eastAsia="zh-CN"/>
        </w:rPr>
        <w:t>花园一二期</w:t>
      </w:r>
      <w:r>
        <w:rPr>
          <w:rFonts w:hint="eastAsia" w:ascii="宋体" w:hAnsi="宋体" w:cs="宋体"/>
          <w:color w:val="000000"/>
          <w:sz w:val="28"/>
          <w:szCs w:val="28"/>
        </w:rPr>
        <w:t>小区物业服务，包括综合管理服务、房屋管理、小区共用设施设备维修养护、维护公共秩序、保洁服务和绿化养护管理（含道路绿化保洁）。</w:t>
      </w:r>
      <w:r>
        <w:rPr>
          <w:rFonts w:hint="eastAsia" w:ascii="宋体" w:hAnsi="宋体" w:cs="宋体"/>
          <w:sz w:val="28"/>
          <w:szCs w:val="28"/>
        </w:rPr>
        <w:t>拟采购期限为2年，拟采购金额为</w:t>
      </w:r>
      <w:r>
        <w:rPr>
          <w:rFonts w:hint="eastAsia" w:ascii="宋体" w:hAnsi="宋体" w:cs="宋体"/>
          <w:sz w:val="28"/>
          <w:szCs w:val="28"/>
          <w:u w:val="single"/>
          <w:lang w:eastAsia="zh-CN"/>
        </w:rPr>
        <w:t>2872600.00元（1436300.00元/年×2年）</w:t>
      </w:r>
      <w:r>
        <w:rPr>
          <w:rFonts w:hint="eastAsia" w:ascii="宋体" w:hAnsi="宋体" w:cs="宋体"/>
          <w:sz w:val="28"/>
          <w:szCs w:val="28"/>
        </w:rPr>
        <w:t>。</w:t>
      </w:r>
    </w:p>
    <w:p>
      <w:pPr>
        <w:pStyle w:val="5"/>
        <w:pageBreakBefore w:val="0"/>
        <w:widowControl w:val="0"/>
        <w:kinsoku/>
        <w:wordWrap/>
        <w:overflowPunct/>
        <w:topLinePunct w:val="0"/>
        <w:autoSpaceDE/>
        <w:autoSpaceDN/>
        <w:bidi w:val="0"/>
        <w:adjustRightInd/>
        <w:snapToGrid/>
        <w:spacing w:beforeAutospacing="0" w:afterAutospacing="0"/>
        <w:ind w:firstLine="562" w:firstLineChars="200"/>
        <w:textAlignment w:val="auto"/>
        <w:rPr>
          <w:rFonts w:hint="eastAsia" w:ascii="宋体" w:hAnsi="宋体" w:cs="宋体"/>
          <w:sz w:val="28"/>
          <w:szCs w:val="28"/>
        </w:rPr>
      </w:pPr>
      <w:r>
        <w:rPr>
          <w:rFonts w:hint="eastAsia" w:ascii="宋体" w:hAnsi="宋体" w:cs="宋体"/>
          <w:sz w:val="28"/>
          <w:szCs w:val="28"/>
        </w:rPr>
        <w:t>2．采购服务目标</w:t>
      </w:r>
    </w:p>
    <w:p>
      <w:pPr>
        <w:pageBreakBefore w:val="0"/>
        <w:widowControl w:val="0"/>
        <w:kinsoku/>
        <w:wordWrap/>
        <w:overflowPunct/>
        <w:topLinePunct w:val="0"/>
        <w:autoSpaceDE/>
        <w:autoSpaceDN/>
        <w:bidi w:val="0"/>
        <w:adjustRightInd/>
        <w:snapToGrid/>
        <w:spacing w:beforeAutospacing="0" w:afterAutospacing="0" w:line="360" w:lineRule="auto"/>
        <w:ind w:firstLine="560" w:firstLineChars="200"/>
        <w:textAlignment w:val="auto"/>
        <w:rPr>
          <w:rFonts w:hint="eastAsia" w:ascii="宋体" w:hAnsi="宋体" w:cs="宋体"/>
          <w:sz w:val="28"/>
          <w:szCs w:val="28"/>
        </w:rPr>
      </w:pPr>
      <w:r>
        <w:rPr>
          <w:rFonts w:hint="eastAsia" w:ascii="宋体" w:hAnsi="宋体" w:cs="宋体"/>
          <w:sz w:val="28"/>
          <w:szCs w:val="28"/>
        </w:rPr>
        <w:t>投标人须依照现代企业制度，以合理的服务流程和服务人数、优良的服务质量、科学的物业管理理念、稳定的保障服务队伍、优惠的保障服务价格来制定详细的物业服务方案。方案中应充分体现自身的实力，发挥自身优势，用热心、爱心、专心、贴心服务，为天彭街道办事处安置小区提供全方位、一体化的物业服务。为保证各项服务人员管理透明、服务品质透明可视、人员配置科学合理。</w:t>
      </w:r>
    </w:p>
    <w:bookmarkEnd w:id="228"/>
    <w:p>
      <w:pPr>
        <w:pStyle w:val="5"/>
        <w:pageBreakBefore w:val="0"/>
        <w:widowControl w:val="0"/>
        <w:kinsoku/>
        <w:wordWrap/>
        <w:overflowPunct/>
        <w:topLinePunct w:val="0"/>
        <w:autoSpaceDE/>
        <w:autoSpaceDN/>
        <w:bidi w:val="0"/>
        <w:adjustRightInd/>
        <w:snapToGrid/>
        <w:spacing w:beforeAutospacing="0" w:afterAutospacing="0"/>
        <w:ind w:firstLine="562"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项目服务内容及要求</w:t>
      </w:r>
    </w:p>
    <w:p>
      <w:pPr>
        <w:pStyle w:val="6"/>
        <w:pageBreakBefore w:val="0"/>
        <w:widowControl w:val="0"/>
        <w:kinsoku/>
        <w:wordWrap/>
        <w:overflowPunct/>
        <w:topLinePunct w:val="0"/>
        <w:autoSpaceDE/>
        <w:autoSpaceDN/>
        <w:bidi w:val="0"/>
        <w:adjustRightInd/>
        <w:snapToGrid/>
        <w:ind w:firstLine="562"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3.1</w:t>
      </w:r>
      <w:r>
        <w:rPr>
          <w:rFonts w:hint="eastAsia" w:ascii="宋体" w:hAnsi="宋体" w:eastAsia="宋体" w:cs="宋体"/>
          <w:sz w:val="28"/>
          <w:szCs w:val="28"/>
        </w:rPr>
        <w:t>工作区域</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u w:val="none"/>
          <w:lang w:val="en-US" w:eastAsia="zh-CN"/>
        </w:rPr>
        <w:t>拟招标总建筑面积：</w:t>
      </w:r>
      <w:r>
        <w:rPr>
          <w:rFonts w:hint="eastAsia" w:ascii="宋体" w:hAnsi="宋体" w:eastAsia="宋体" w:cs="宋体"/>
          <w:sz w:val="28"/>
          <w:szCs w:val="28"/>
          <w:u w:val="none"/>
          <w:lang w:eastAsia="zh-CN"/>
        </w:rPr>
        <w:t>东湖花园一二期</w:t>
      </w:r>
      <w:r>
        <w:rPr>
          <w:rFonts w:hint="eastAsia" w:ascii="宋体" w:hAnsi="宋体" w:eastAsia="宋体" w:cs="宋体"/>
          <w:sz w:val="28"/>
          <w:szCs w:val="28"/>
          <w:lang w:eastAsia="zh-CN"/>
        </w:rPr>
        <w:t>拟招标</w:t>
      </w:r>
      <w:r>
        <w:rPr>
          <w:rFonts w:hint="eastAsia" w:ascii="宋体" w:hAnsi="宋体" w:eastAsia="宋体" w:cs="宋体"/>
          <w:sz w:val="28"/>
          <w:szCs w:val="28"/>
          <w:lang w:val="en-US" w:eastAsia="zh-CN"/>
        </w:rPr>
        <w:t>总建筑</w:t>
      </w:r>
      <w:r>
        <w:rPr>
          <w:rFonts w:hint="eastAsia" w:ascii="宋体" w:hAnsi="宋体" w:eastAsia="宋体" w:cs="宋体"/>
          <w:sz w:val="28"/>
          <w:szCs w:val="28"/>
        </w:rPr>
        <w:t>面积</w:t>
      </w:r>
      <w:r>
        <w:rPr>
          <w:rFonts w:hint="eastAsia" w:ascii="宋体" w:hAnsi="宋体" w:eastAsia="宋体" w:cs="宋体"/>
          <w:sz w:val="28"/>
          <w:szCs w:val="28"/>
          <w:lang w:val="en-US" w:eastAsia="zh-CN"/>
        </w:rPr>
        <w:t>237411.74㎡；安置总户数：1844户，安置人数约5700余人，本次拟招标单价为0.45元/㎡，招标服务期限为2年，拟招标费用：1282023.00元/年；</w:t>
      </w:r>
    </w:p>
    <w:p>
      <w:pPr>
        <w:pStyle w:val="2"/>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sz w:val="28"/>
          <w:szCs w:val="28"/>
          <w:u w:val="none"/>
          <w:lang w:val="en-US" w:eastAsia="zh-CN" w:bidi="ar-SA"/>
        </w:rPr>
      </w:pPr>
      <w:r>
        <w:rPr>
          <w:rFonts w:hint="eastAsia" w:ascii="宋体" w:hAnsi="宋体" w:eastAsia="宋体" w:cs="宋体"/>
          <w:sz w:val="28"/>
          <w:szCs w:val="28"/>
          <w:u w:val="none"/>
          <w:lang w:val="en-US" w:eastAsia="zh-CN" w:bidi="ar-SA"/>
        </w:rPr>
        <w:t>拟招标道路保洁面积：锦阳西南路150000㎡、锦阳西路4355㎡，锦阳西北路4000㎡、锦泰路13000㎡，锦阳北路2000㎡，锦阳南路2500㎡，锦阳东南路2000㎡，共道路7条，道路面积共计42855㎡，本次拟招标单价为0.3元/㎡，招标服务期限为2年，拟招标费用：154278.00元/年。</w:t>
      </w:r>
    </w:p>
    <w:p>
      <w:pPr>
        <w:pStyle w:val="6"/>
        <w:pageBreakBefore w:val="0"/>
        <w:widowControl w:val="0"/>
        <w:kinsoku/>
        <w:wordWrap/>
        <w:overflowPunct/>
        <w:topLinePunct w:val="0"/>
        <w:autoSpaceDE/>
        <w:autoSpaceDN/>
        <w:bidi w:val="0"/>
        <w:adjustRightInd/>
        <w:snapToGrid/>
        <w:ind w:firstLine="281" w:firstLineChars="100"/>
        <w:textAlignment w:val="auto"/>
        <w:rPr>
          <w:rFonts w:hint="eastAsia" w:ascii="宋体" w:hAnsi="宋体" w:eastAsia="宋体" w:cs="宋体"/>
          <w:sz w:val="28"/>
        </w:rPr>
      </w:pPr>
      <w:r>
        <w:rPr>
          <w:rFonts w:hint="eastAsia" w:ascii="宋体" w:hAnsi="宋体" w:eastAsia="宋体" w:cs="宋体"/>
          <w:sz w:val="28"/>
          <w:lang w:val="en-US" w:eastAsia="zh-CN"/>
        </w:rPr>
        <w:t>3</w:t>
      </w:r>
      <w:r>
        <w:rPr>
          <w:rFonts w:hint="eastAsia" w:ascii="宋体" w:hAnsi="宋体" w:eastAsia="宋体" w:cs="宋体"/>
          <w:sz w:val="28"/>
        </w:rPr>
        <w:t>.2项目服务标准要求：</w:t>
      </w:r>
    </w:p>
    <w:p>
      <w:pPr>
        <w:pageBreakBefore w:val="0"/>
        <w:widowControl w:val="0"/>
        <w:tabs>
          <w:tab w:val="left" w:pos="6525"/>
        </w:tabs>
        <w:kinsoku/>
        <w:wordWrap/>
        <w:overflowPunct/>
        <w:topLinePunct w:val="0"/>
        <w:autoSpaceDE/>
        <w:autoSpaceDN/>
        <w:bidi w:val="0"/>
        <w:adjustRightInd/>
        <w:snapToGrid/>
        <w:ind w:firstLine="165" w:firstLineChars="59"/>
        <w:jc w:val="both"/>
        <w:textAlignment w:val="auto"/>
        <w:rPr>
          <w:rFonts w:hint="eastAsia" w:ascii="宋体" w:hAnsi="宋体" w:cs="宋体"/>
          <w:color w:val="000000"/>
          <w:sz w:val="28"/>
          <w:szCs w:val="28"/>
        </w:rPr>
      </w:pPr>
      <w:r>
        <w:rPr>
          <w:rFonts w:hint="eastAsia" w:ascii="宋体" w:hAnsi="宋体" w:cs="宋体"/>
          <w:sz w:val="28"/>
          <w:szCs w:val="28"/>
        </w:rPr>
        <w:t>本项目的物业服务具体技术规范与要求如下：</w:t>
      </w:r>
    </w:p>
    <w:p>
      <w:pPr>
        <w:pageBreakBefore w:val="0"/>
        <w:widowControl w:val="0"/>
        <w:kinsoku/>
        <w:wordWrap/>
        <w:overflowPunct/>
        <w:topLinePunct w:val="0"/>
        <w:autoSpaceDE/>
        <w:autoSpaceDN/>
        <w:bidi w:val="0"/>
        <w:adjustRightInd/>
        <w:snapToGrid/>
        <w:textAlignment w:val="auto"/>
        <w:rPr>
          <w:rFonts w:hint="eastAsia" w:ascii="宋体" w:hAnsi="宋体" w:cs="宋体"/>
          <w:sz w:val="28"/>
          <w:szCs w:val="28"/>
        </w:rPr>
      </w:pPr>
    </w:p>
    <w:tbl>
      <w:tblPr>
        <w:tblStyle w:val="43"/>
        <w:tblW w:w="9540" w:type="dxa"/>
        <w:jc w:val="center"/>
        <w:tblInd w:w="0" w:type="dxa"/>
        <w:tblLayout w:type="fixed"/>
        <w:tblCellMar>
          <w:top w:w="0" w:type="dxa"/>
          <w:left w:w="108" w:type="dxa"/>
          <w:bottom w:w="0" w:type="dxa"/>
          <w:right w:w="108" w:type="dxa"/>
        </w:tblCellMar>
      </w:tblPr>
      <w:tblGrid>
        <w:gridCol w:w="1011"/>
        <w:gridCol w:w="8529"/>
      </w:tblGrid>
      <w:tr>
        <w:tblPrEx>
          <w:tblLayout w:type="fixed"/>
          <w:tblCellMar>
            <w:top w:w="0" w:type="dxa"/>
            <w:left w:w="108" w:type="dxa"/>
            <w:bottom w:w="0" w:type="dxa"/>
            <w:right w:w="108" w:type="dxa"/>
          </w:tblCellMar>
        </w:tblPrEx>
        <w:trPr>
          <w:trHeight w:val="434" w:hRule="atLeast"/>
          <w:jc w:val="center"/>
        </w:trPr>
        <w:tc>
          <w:tcPr>
            <w:tcW w:w="101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cs="宋体"/>
                <w:b/>
                <w:color w:val="000000"/>
                <w:sz w:val="28"/>
                <w:szCs w:val="28"/>
              </w:rPr>
            </w:pPr>
            <w:r>
              <w:rPr>
                <w:rFonts w:hint="eastAsia" w:ascii="宋体" w:hAnsi="宋体" w:cs="宋体"/>
                <w:b/>
                <w:color w:val="000000"/>
                <w:sz w:val="28"/>
                <w:szCs w:val="28"/>
              </w:rPr>
              <w:t>项目</w:t>
            </w:r>
          </w:p>
        </w:tc>
        <w:tc>
          <w:tcPr>
            <w:tcW w:w="852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cs="宋体"/>
                <w:b/>
                <w:color w:val="000000"/>
                <w:sz w:val="28"/>
                <w:szCs w:val="28"/>
              </w:rPr>
            </w:pPr>
            <w:r>
              <w:rPr>
                <w:rFonts w:hint="eastAsia" w:ascii="宋体" w:hAnsi="宋体" w:cs="宋体"/>
                <w:b/>
                <w:color w:val="000000"/>
                <w:sz w:val="28"/>
                <w:szCs w:val="28"/>
              </w:rPr>
              <w:t>内 容 与 标 准</w:t>
            </w:r>
          </w:p>
        </w:tc>
      </w:tr>
      <w:tr>
        <w:tblPrEx>
          <w:tblLayout w:type="fixed"/>
          <w:tblCellMar>
            <w:top w:w="0" w:type="dxa"/>
            <w:left w:w="108" w:type="dxa"/>
            <w:bottom w:w="0" w:type="dxa"/>
            <w:right w:w="108" w:type="dxa"/>
          </w:tblCellMar>
        </w:tblPrEx>
        <w:trPr>
          <w:trHeight w:val="270" w:hRule="atLeast"/>
          <w:jc w:val="center"/>
        </w:trPr>
        <w:tc>
          <w:tcPr>
            <w:tcW w:w="1011"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cs="宋体"/>
                <w:color w:val="000000"/>
                <w:sz w:val="28"/>
                <w:szCs w:val="28"/>
              </w:rPr>
            </w:pPr>
            <w:r>
              <w:rPr>
                <w:rFonts w:hint="eastAsia" w:ascii="宋体" w:hAnsi="宋体" w:cs="宋体"/>
                <w:color w:val="000000"/>
                <w:sz w:val="28"/>
                <w:szCs w:val="28"/>
              </w:rPr>
              <w:t>（一）   综合管理服务</w:t>
            </w: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rPr>
                <w:rFonts w:hint="eastAsia" w:ascii="宋体" w:hAnsi="宋体" w:cs="宋体"/>
                <w:color w:val="000000"/>
                <w:sz w:val="28"/>
                <w:szCs w:val="28"/>
              </w:rPr>
            </w:pPr>
            <w:r>
              <w:rPr>
                <w:rFonts w:hint="eastAsia" w:ascii="宋体" w:hAnsi="宋体" w:cs="宋体"/>
                <w:color w:val="000000"/>
                <w:sz w:val="28"/>
                <w:szCs w:val="28"/>
              </w:rPr>
              <w:t>1、服务与被服务双方签订规范的物业服务合同，双方权利义务关系明确。</w:t>
            </w:r>
          </w:p>
        </w:tc>
      </w:tr>
      <w:tr>
        <w:tblPrEx>
          <w:tblLayout w:type="fixed"/>
          <w:tblCellMar>
            <w:top w:w="0" w:type="dxa"/>
            <w:left w:w="108" w:type="dxa"/>
            <w:bottom w:w="0" w:type="dxa"/>
            <w:right w:w="108" w:type="dxa"/>
          </w:tblCellMar>
        </w:tblPrEx>
        <w:trPr>
          <w:trHeight w:val="270"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2、承接项目时，对住宅小区共用部位、共用设施设备进行认真查验，验收手续齐全。</w:t>
            </w:r>
          </w:p>
        </w:tc>
      </w:tr>
      <w:tr>
        <w:tblPrEx>
          <w:tblLayout w:type="fixed"/>
          <w:tblCellMar>
            <w:top w:w="0" w:type="dxa"/>
            <w:left w:w="108" w:type="dxa"/>
            <w:bottom w:w="0" w:type="dxa"/>
            <w:right w:w="108" w:type="dxa"/>
          </w:tblCellMar>
        </w:tblPrEx>
        <w:trPr>
          <w:trHeight w:val="270"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3、管理人员、专业操作人员按照国家有关规定取得物业管理职业资格证书或者岗位证书。</w:t>
            </w:r>
          </w:p>
        </w:tc>
      </w:tr>
      <w:tr>
        <w:tblPrEx>
          <w:tblLayout w:type="fixed"/>
          <w:tblCellMar>
            <w:top w:w="0" w:type="dxa"/>
            <w:left w:w="108" w:type="dxa"/>
            <w:bottom w:w="0" w:type="dxa"/>
            <w:right w:w="108" w:type="dxa"/>
          </w:tblCellMar>
        </w:tblPrEx>
        <w:trPr>
          <w:trHeight w:val="270"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4、有完善的物业管理方案，质量管理、财务管理、档案管理等制度健全。</w:t>
            </w:r>
          </w:p>
        </w:tc>
      </w:tr>
      <w:tr>
        <w:tblPrEx>
          <w:tblLayout w:type="fixed"/>
          <w:tblCellMar>
            <w:top w:w="0" w:type="dxa"/>
            <w:left w:w="108" w:type="dxa"/>
            <w:bottom w:w="0" w:type="dxa"/>
            <w:right w:w="108" w:type="dxa"/>
          </w:tblCellMar>
        </w:tblPrEx>
        <w:trPr>
          <w:trHeight w:val="270"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5、管理服务人员佩戴标志，行为规范，服务主动、热情。</w:t>
            </w:r>
          </w:p>
        </w:tc>
      </w:tr>
      <w:tr>
        <w:tblPrEx>
          <w:tblLayout w:type="fixed"/>
          <w:tblCellMar>
            <w:top w:w="0" w:type="dxa"/>
            <w:left w:w="108" w:type="dxa"/>
            <w:bottom w:w="0" w:type="dxa"/>
            <w:right w:w="108" w:type="dxa"/>
          </w:tblCellMar>
        </w:tblPrEx>
        <w:trPr>
          <w:trHeight w:val="270"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6、公示8小时服务电话。报修按双方约定时间到达现场，有报修、维修记录。</w:t>
            </w:r>
          </w:p>
        </w:tc>
      </w:tr>
      <w:tr>
        <w:tblPrEx>
          <w:tblLayout w:type="fixed"/>
          <w:tblCellMar>
            <w:top w:w="0" w:type="dxa"/>
            <w:left w:w="108" w:type="dxa"/>
            <w:bottom w:w="0" w:type="dxa"/>
            <w:right w:w="108" w:type="dxa"/>
          </w:tblCellMar>
        </w:tblPrEx>
        <w:trPr>
          <w:trHeight w:val="270"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7、按有关规定和合同约定公布物业服务费用或者物业服务资金的收支情况。</w:t>
            </w:r>
          </w:p>
        </w:tc>
      </w:tr>
      <w:tr>
        <w:tblPrEx>
          <w:tblLayout w:type="fixed"/>
          <w:tblCellMar>
            <w:top w:w="0" w:type="dxa"/>
            <w:left w:w="108" w:type="dxa"/>
            <w:bottom w:w="0" w:type="dxa"/>
            <w:right w:w="108" w:type="dxa"/>
          </w:tblCellMar>
        </w:tblPrEx>
        <w:trPr>
          <w:trHeight w:val="270"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8、每年至少1次征询业主对物业服务的意见，满意率70%以上。</w:t>
            </w:r>
          </w:p>
        </w:tc>
      </w:tr>
      <w:tr>
        <w:tblPrEx>
          <w:tblLayout w:type="fixed"/>
          <w:tblCellMar>
            <w:top w:w="0" w:type="dxa"/>
            <w:left w:w="108" w:type="dxa"/>
            <w:bottom w:w="0" w:type="dxa"/>
            <w:right w:w="108" w:type="dxa"/>
          </w:tblCellMar>
        </w:tblPrEx>
        <w:trPr>
          <w:trHeight w:val="285" w:hRule="atLeast"/>
          <w:jc w:val="center"/>
        </w:trPr>
        <w:tc>
          <w:tcPr>
            <w:tcW w:w="1011"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cs="宋体"/>
                <w:color w:val="000000"/>
                <w:sz w:val="28"/>
                <w:szCs w:val="28"/>
              </w:rPr>
            </w:pPr>
            <w:r>
              <w:rPr>
                <w:rFonts w:hint="eastAsia" w:ascii="宋体" w:hAnsi="宋体" w:cs="宋体"/>
                <w:color w:val="000000"/>
                <w:sz w:val="28"/>
                <w:szCs w:val="28"/>
              </w:rPr>
              <w:t>（二）     房     屋     管     理</w:t>
            </w: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1、对房屋共用部位进行日常管理和维修养护，检修记录和保养记录齐全。</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2、每周巡查1次小区房屋单元门、楼梯通道以及其他共用部位的门窗、玻璃等，定期维修养护。</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3、按照住宅装饰装修管理有关规定和业主公约（业主临时公约）要求，建立完善的住宅装饰装修管理制度。装修前，依规定审核业主（使用人）的装修方案，告知装修人有关装饰装修的禁止行为和注意事项。至少两次巡查装修施工现场，发现影响房屋外观、危及房屋结构安全及拆改共用管线等损害公共利益现象的，及时劝阻并报告业主委员会和有关主管部门。</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4、对违反规划私搭乱建和擅自改变房屋用途的行为及时劝阻，并报告业主委员会和有关主管部门。</w:t>
            </w:r>
          </w:p>
        </w:tc>
      </w:tr>
      <w:tr>
        <w:tblPrEx>
          <w:tblLayout w:type="fixed"/>
          <w:tblCellMar>
            <w:top w:w="0" w:type="dxa"/>
            <w:left w:w="108" w:type="dxa"/>
            <w:bottom w:w="0" w:type="dxa"/>
            <w:right w:w="108" w:type="dxa"/>
          </w:tblCellMar>
        </w:tblPrEx>
        <w:trPr>
          <w:trHeight w:val="602"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5、各组团、栋、单元（门）、户有明显标志。</w:t>
            </w:r>
          </w:p>
        </w:tc>
      </w:tr>
      <w:tr>
        <w:tblPrEx>
          <w:tblLayout w:type="fixed"/>
          <w:tblCellMar>
            <w:top w:w="0" w:type="dxa"/>
            <w:left w:w="108" w:type="dxa"/>
            <w:bottom w:w="0" w:type="dxa"/>
            <w:right w:w="108" w:type="dxa"/>
          </w:tblCellMar>
        </w:tblPrEx>
        <w:trPr>
          <w:trHeight w:val="285" w:hRule="atLeast"/>
          <w:jc w:val="center"/>
        </w:trPr>
        <w:tc>
          <w:tcPr>
            <w:tcW w:w="1011"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cs="宋体"/>
                <w:color w:val="000000"/>
                <w:sz w:val="28"/>
                <w:szCs w:val="28"/>
              </w:rPr>
            </w:pPr>
            <w:r>
              <w:rPr>
                <w:rFonts w:hint="eastAsia" w:ascii="宋体" w:hAnsi="宋体" w:cs="宋体"/>
                <w:color w:val="000000"/>
                <w:sz w:val="28"/>
                <w:szCs w:val="28"/>
              </w:rPr>
              <w:t>（三）    共用     设施     设备     维修     养护</w:t>
            </w:r>
          </w:p>
        </w:tc>
        <w:tc>
          <w:tcPr>
            <w:tcW w:w="8529" w:type="dxa"/>
            <w:tcBorders>
              <w:top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1、对共用设施设备进行日常管理和维修养护（依法应由专业部门负责的除外）。</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2、建立共用设施设备档案（设备台帐），设施设备的运行、检修等记录齐全。</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3、操作维护人员严格执行设施设备操作规程及保养规范；设施设备运行正常。</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4、消防设施设备完好，可随时启用；消防通道畅通。</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5、路灯、楼道灯完好率不低于80%。</w:t>
            </w:r>
          </w:p>
        </w:tc>
      </w:tr>
      <w:tr>
        <w:tblPrEx>
          <w:tblLayout w:type="fixed"/>
          <w:tblCellMar>
            <w:top w:w="0" w:type="dxa"/>
            <w:left w:w="108" w:type="dxa"/>
            <w:bottom w:w="0" w:type="dxa"/>
            <w:right w:w="108" w:type="dxa"/>
          </w:tblCellMar>
        </w:tblPrEx>
        <w:trPr>
          <w:trHeight w:val="813" w:hRule="atLeast"/>
          <w:jc w:val="center"/>
        </w:trPr>
        <w:tc>
          <w:tcPr>
            <w:tcW w:w="1011" w:type="dxa"/>
            <w:vMerge w:val="continue"/>
            <w:tcBorders>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bottom w:val="single" w:color="auto"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6、容易危及人身安全的设施设备有明显警示标志和防范措施；对可能发生的各种突发设备故障有应急方案。</w:t>
            </w:r>
          </w:p>
        </w:tc>
      </w:tr>
      <w:tr>
        <w:tblPrEx>
          <w:tblLayout w:type="fixed"/>
          <w:tblCellMar>
            <w:top w:w="0" w:type="dxa"/>
            <w:left w:w="108" w:type="dxa"/>
            <w:bottom w:w="0" w:type="dxa"/>
            <w:right w:w="108" w:type="dxa"/>
          </w:tblCellMar>
        </w:tblPrEx>
        <w:trPr>
          <w:trHeight w:val="285" w:hRule="atLeast"/>
          <w:jc w:val="center"/>
        </w:trPr>
        <w:tc>
          <w:tcPr>
            <w:tcW w:w="1011"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cs="宋体"/>
                <w:color w:val="000000"/>
                <w:sz w:val="28"/>
                <w:szCs w:val="28"/>
              </w:rPr>
            </w:pPr>
            <w:r>
              <w:rPr>
                <w:rFonts w:hint="eastAsia" w:ascii="宋体" w:hAnsi="宋体" w:cs="宋体"/>
                <w:color w:val="000000"/>
                <w:sz w:val="28"/>
                <w:szCs w:val="28"/>
              </w:rPr>
              <w:t>（四）     协助     维护     公共     秩序</w:t>
            </w: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1、小区24小时值勤。</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2、对重点区域、重点部位每3小时至少巡查1次。</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3、车辆停放有序。</w:t>
            </w:r>
          </w:p>
        </w:tc>
      </w:tr>
      <w:tr>
        <w:tblPrEx>
          <w:tblLayout w:type="fixed"/>
          <w:tblCellMar>
            <w:top w:w="0" w:type="dxa"/>
            <w:left w:w="108" w:type="dxa"/>
            <w:bottom w:w="0" w:type="dxa"/>
            <w:right w:w="108" w:type="dxa"/>
          </w:tblCellMar>
        </w:tblPrEx>
        <w:trPr>
          <w:trHeight w:val="718"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bottom w:val="single" w:color="auto"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4、对火灾、治安、公共卫生等突发事件有应急预案，事发时及时报告业主委员会和有关部门，并协助采取相应措施。</w:t>
            </w:r>
          </w:p>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5、按照各小区户数及布局分别在各点位配置足额的灭火器，并保证在履约期内的灭火器是有效且能正常使用的。</w:t>
            </w:r>
          </w:p>
        </w:tc>
      </w:tr>
      <w:tr>
        <w:tblPrEx>
          <w:tblLayout w:type="fixed"/>
          <w:tblCellMar>
            <w:top w:w="0" w:type="dxa"/>
            <w:left w:w="108" w:type="dxa"/>
            <w:bottom w:w="0" w:type="dxa"/>
            <w:right w:w="108" w:type="dxa"/>
          </w:tblCellMar>
        </w:tblPrEx>
        <w:trPr>
          <w:trHeight w:val="285" w:hRule="atLeast"/>
          <w:jc w:val="center"/>
        </w:trPr>
        <w:tc>
          <w:tcPr>
            <w:tcW w:w="1011"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cs="宋体"/>
                <w:color w:val="000000"/>
                <w:sz w:val="28"/>
                <w:szCs w:val="28"/>
              </w:rPr>
            </w:pPr>
            <w:r>
              <w:rPr>
                <w:rFonts w:hint="eastAsia" w:ascii="宋体" w:hAnsi="宋体" w:cs="宋体"/>
                <w:color w:val="000000"/>
                <w:sz w:val="28"/>
                <w:szCs w:val="28"/>
              </w:rPr>
              <w:t>（五）     保洁     服务</w:t>
            </w:r>
          </w:p>
        </w:tc>
        <w:tc>
          <w:tcPr>
            <w:tcW w:w="8529" w:type="dxa"/>
            <w:tcBorders>
              <w:top w:val="single" w:color="auto"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1、小区内设有垃圾收集点，生活垃圾每天清运1次。</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2、小区公共场所每日清扫1次；楼道每日清扫1次；共用部位玻璃每季度清洁1次；路灯、楼道灯每半年清洁1次。</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3、</w:t>
            </w:r>
            <w:r>
              <w:rPr>
                <w:rFonts w:hint="eastAsia" w:ascii="宋体" w:hAnsi="宋体" w:cs="宋体"/>
                <w:color w:val="000000"/>
                <w:sz w:val="28"/>
                <w:szCs w:val="28"/>
                <w:lang w:eastAsia="zh-CN"/>
              </w:rPr>
              <w:t>小</w:t>
            </w:r>
            <w:r>
              <w:rPr>
                <w:rFonts w:hint="eastAsia" w:ascii="宋体" w:hAnsi="宋体" w:cs="宋体"/>
                <w:color w:val="000000"/>
                <w:sz w:val="28"/>
                <w:szCs w:val="28"/>
              </w:rPr>
              <w:t>区内公共雨、污水管道每年疏通1次；雨、污水井每半年检查1次，并视检查情况及时清掏；化粪池每季度检查1次，每年清掏1次，发现异常及时清掏。</w:t>
            </w:r>
          </w:p>
        </w:tc>
      </w:tr>
      <w:tr>
        <w:tblPrEx>
          <w:tblLayout w:type="fixed"/>
          <w:tblCellMar>
            <w:top w:w="0" w:type="dxa"/>
            <w:left w:w="108" w:type="dxa"/>
            <w:bottom w:w="0" w:type="dxa"/>
            <w:right w:w="108" w:type="dxa"/>
          </w:tblCellMar>
        </w:tblPrEx>
        <w:trPr>
          <w:trHeight w:val="503"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285" w:hRule="atLeast"/>
          <w:jc w:val="center"/>
        </w:trPr>
        <w:tc>
          <w:tcPr>
            <w:tcW w:w="1011"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center"/>
              <w:rPr>
                <w:rFonts w:hint="eastAsia" w:ascii="宋体" w:hAnsi="宋体" w:cs="宋体"/>
                <w:color w:val="000000"/>
                <w:sz w:val="28"/>
                <w:szCs w:val="28"/>
              </w:rPr>
            </w:pPr>
            <w:r>
              <w:rPr>
                <w:rFonts w:hint="eastAsia" w:ascii="宋体" w:hAnsi="宋体" w:cs="宋体"/>
                <w:color w:val="000000"/>
                <w:sz w:val="28"/>
                <w:szCs w:val="28"/>
              </w:rPr>
              <w:t>（六）     绿化养        护管理</w:t>
            </w: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1、对草坪、花卉、绿篱、树木定期进行修剪、养护。</w:t>
            </w:r>
          </w:p>
        </w:tc>
      </w:tr>
      <w:tr>
        <w:tblPrEx>
          <w:tblLayout w:type="fixed"/>
          <w:tblCellMar>
            <w:top w:w="0" w:type="dxa"/>
            <w:left w:w="108" w:type="dxa"/>
            <w:bottom w:w="0" w:type="dxa"/>
            <w:right w:w="108" w:type="dxa"/>
          </w:tblCellMar>
        </w:tblPrEx>
        <w:trPr>
          <w:trHeight w:val="285"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2、定期清除绿地杂草、杂物。</w:t>
            </w:r>
          </w:p>
        </w:tc>
      </w:tr>
      <w:tr>
        <w:tblPrEx>
          <w:tblLayout w:type="fixed"/>
          <w:tblCellMar>
            <w:top w:w="0" w:type="dxa"/>
            <w:left w:w="108" w:type="dxa"/>
            <w:bottom w:w="0" w:type="dxa"/>
            <w:right w:w="108" w:type="dxa"/>
          </w:tblCellMar>
        </w:tblPrEx>
        <w:trPr>
          <w:trHeight w:val="561" w:hRule="atLeast"/>
          <w:jc w:val="center"/>
        </w:trPr>
        <w:tc>
          <w:tcPr>
            <w:tcW w:w="1011"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p>
        </w:tc>
        <w:tc>
          <w:tcPr>
            <w:tcW w:w="8529" w:type="dxa"/>
            <w:tcBorders>
              <w:bottom w:val="single" w:color="000000" w:sz="4" w:space="0"/>
              <w:right w:val="single" w:color="000000" w:sz="4" w:space="0"/>
            </w:tcBorders>
            <w:noWrap w:val="0"/>
            <w:tcMar>
              <w:top w:w="0" w:type="dxa"/>
              <w:left w:w="108" w:type="dxa"/>
              <w:bottom w:w="0" w:type="dxa"/>
              <w:right w:w="108" w:type="dxa"/>
            </w:tcMar>
            <w:vAlign w:val="center"/>
          </w:tcPr>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3、预防花草、树木病虫害。</w:t>
            </w:r>
          </w:p>
          <w:p>
            <w:pPr>
              <w:spacing w:line="360" w:lineRule="auto"/>
              <w:jc w:val="both"/>
              <w:rPr>
                <w:rFonts w:hint="eastAsia" w:ascii="宋体" w:hAnsi="宋体" w:cs="宋体"/>
                <w:color w:val="000000"/>
                <w:sz w:val="28"/>
                <w:szCs w:val="28"/>
              </w:rPr>
            </w:pPr>
            <w:r>
              <w:rPr>
                <w:rFonts w:hint="eastAsia" w:ascii="宋体" w:hAnsi="宋体" w:cs="宋体"/>
                <w:color w:val="000000"/>
                <w:sz w:val="28"/>
                <w:szCs w:val="28"/>
              </w:rPr>
              <w:t>4、定期对绿化施肥。</w:t>
            </w:r>
          </w:p>
        </w:tc>
      </w:tr>
    </w:tbl>
    <w:p>
      <w:pPr>
        <w:pStyle w:val="6"/>
        <w:rPr>
          <w:rFonts w:hint="eastAsia" w:ascii="宋体" w:hAnsi="宋体" w:eastAsia="宋体" w:cs="宋体"/>
          <w:color w:val="auto"/>
          <w:sz w:val="28"/>
        </w:rPr>
      </w:pPr>
      <w:r>
        <w:rPr>
          <w:rFonts w:hint="eastAsia" w:ascii="宋体" w:hAnsi="宋体" w:eastAsia="宋体" w:cs="宋体"/>
          <w:sz w:val="28"/>
          <w:lang w:val="en-US" w:eastAsia="zh-CN"/>
        </w:rPr>
        <w:t>3</w:t>
      </w:r>
      <w:r>
        <w:rPr>
          <w:rFonts w:hint="eastAsia" w:ascii="宋体" w:hAnsi="宋体" w:eastAsia="宋体" w:cs="宋体"/>
          <w:sz w:val="28"/>
        </w:rPr>
        <w:t xml:space="preserve">.3 </w:t>
      </w:r>
      <w:r>
        <w:rPr>
          <w:rFonts w:hint="eastAsia" w:ascii="宋体" w:hAnsi="宋体" w:eastAsia="宋体" w:cs="宋体"/>
          <w:color w:val="auto"/>
          <w:sz w:val="28"/>
        </w:rPr>
        <w:t>拟投入项目服务团队要求</w:t>
      </w:r>
    </w:p>
    <w:p>
      <w:pPr>
        <w:spacing w:line="360" w:lineRule="auto"/>
        <w:ind w:left="149" w:firstLine="450"/>
        <w:jc w:val="both"/>
        <w:rPr>
          <w:rFonts w:hint="eastAsia" w:ascii="宋体" w:hAnsi="宋体" w:cs="宋体"/>
          <w:color w:val="auto"/>
          <w:sz w:val="28"/>
          <w:szCs w:val="28"/>
        </w:rPr>
      </w:pPr>
      <w:r>
        <w:rPr>
          <w:rFonts w:hint="eastAsia" w:ascii="宋体" w:hAnsi="宋体" w:cs="宋体"/>
          <w:color w:val="auto"/>
          <w:sz w:val="28"/>
          <w:szCs w:val="28"/>
        </w:rPr>
        <w:t>拟投入本项目的服务人员不得少于</w:t>
      </w:r>
      <w:r>
        <w:rPr>
          <w:rFonts w:hint="eastAsia" w:ascii="宋体" w:hAnsi="宋体" w:cs="宋体"/>
          <w:color w:val="auto"/>
          <w:sz w:val="28"/>
          <w:szCs w:val="28"/>
          <w:u w:val="none"/>
          <w:lang w:val="en-US" w:eastAsia="zh-CN"/>
        </w:rPr>
        <w:t>50</w:t>
      </w:r>
      <w:r>
        <w:rPr>
          <w:rFonts w:hint="eastAsia" w:ascii="宋体" w:hAnsi="宋体" w:cs="宋体"/>
          <w:color w:val="auto"/>
          <w:sz w:val="28"/>
          <w:szCs w:val="28"/>
        </w:rPr>
        <w:t>人。</w:t>
      </w:r>
    </w:p>
    <w:p>
      <w:pPr>
        <w:spacing w:line="360" w:lineRule="auto"/>
        <w:ind w:left="149" w:firstLine="450"/>
        <w:jc w:val="both"/>
        <w:rPr>
          <w:rFonts w:hint="eastAsia" w:ascii="宋体" w:hAnsi="宋体" w:cs="宋体"/>
          <w:sz w:val="28"/>
          <w:szCs w:val="28"/>
        </w:rPr>
      </w:pPr>
      <w:r>
        <w:rPr>
          <w:rFonts w:hint="eastAsia" w:ascii="宋体" w:hAnsi="宋体" w:cs="宋体"/>
          <w:sz w:val="28"/>
          <w:szCs w:val="28"/>
        </w:rPr>
        <w:t>具体如下：</w:t>
      </w:r>
    </w:p>
    <w:tbl>
      <w:tblPr>
        <w:tblStyle w:val="43"/>
        <w:tblW w:w="8999" w:type="dxa"/>
        <w:jc w:val="center"/>
        <w:tblInd w:w="0" w:type="dxa"/>
        <w:tblLayout w:type="fixed"/>
        <w:tblCellMar>
          <w:top w:w="0" w:type="dxa"/>
          <w:left w:w="108" w:type="dxa"/>
          <w:bottom w:w="0" w:type="dxa"/>
          <w:right w:w="108" w:type="dxa"/>
        </w:tblCellMar>
      </w:tblPr>
      <w:tblGrid>
        <w:gridCol w:w="791"/>
        <w:gridCol w:w="1984"/>
        <w:gridCol w:w="2399"/>
        <w:gridCol w:w="992"/>
        <w:gridCol w:w="1417"/>
        <w:gridCol w:w="1416"/>
      </w:tblGrid>
      <w:tr>
        <w:tblPrEx>
          <w:tblLayout w:type="fixed"/>
          <w:tblCellMar>
            <w:top w:w="0" w:type="dxa"/>
            <w:left w:w="108" w:type="dxa"/>
            <w:bottom w:w="0" w:type="dxa"/>
            <w:right w:w="108" w:type="dxa"/>
          </w:tblCellMar>
        </w:tblPrEx>
        <w:trPr>
          <w:trHeight w:val="366" w:hRule="atLeast"/>
          <w:jc w:val="center"/>
        </w:trPr>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60"/>
              <w:jc w:val="center"/>
              <w:rPr>
                <w:rFonts w:hint="eastAsia" w:ascii="宋体" w:hAnsi="宋体" w:cs="宋体"/>
                <w:b/>
                <w:sz w:val="28"/>
                <w:szCs w:val="28"/>
              </w:rPr>
            </w:pPr>
            <w:r>
              <w:rPr>
                <w:rFonts w:hint="eastAsia" w:ascii="宋体" w:hAnsi="宋体" w:cs="宋体"/>
                <w:b/>
                <w:sz w:val="28"/>
                <w:szCs w:val="28"/>
              </w:rPr>
              <w:t>序号</w:t>
            </w:r>
          </w:p>
        </w:tc>
        <w:tc>
          <w:tcPr>
            <w:tcW w:w="19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b/>
                <w:sz w:val="28"/>
                <w:szCs w:val="28"/>
              </w:rPr>
            </w:pPr>
            <w:r>
              <w:rPr>
                <w:rFonts w:hint="eastAsia" w:ascii="宋体" w:hAnsi="宋体" w:cs="宋体"/>
                <w:b/>
                <w:sz w:val="28"/>
                <w:szCs w:val="28"/>
              </w:rPr>
              <w:t>工种</w:t>
            </w:r>
          </w:p>
        </w:tc>
        <w:tc>
          <w:tcPr>
            <w:tcW w:w="2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b/>
                <w:sz w:val="28"/>
                <w:szCs w:val="28"/>
              </w:rPr>
            </w:pPr>
            <w:r>
              <w:rPr>
                <w:rFonts w:hint="eastAsia" w:ascii="宋体" w:hAnsi="宋体" w:cs="宋体"/>
                <w:b/>
                <w:sz w:val="28"/>
                <w:szCs w:val="28"/>
              </w:rPr>
              <w:t>岗位</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b/>
                <w:sz w:val="28"/>
                <w:szCs w:val="28"/>
              </w:rPr>
            </w:pPr>
            <w:r>
              <w:rPr>
                <w:rFonts w:hint="eastAsia" w:ascii="宋体" w:hAnsi="宋体" w:cs="宋体"/>
                <w:b/>
                <w:sz w:val="28"/>
                <w:szCs w:val="28"/>
              </w:rPr>
              <w:t>单位</w:t>
            </w:r>
          </w:p>
        </w:tc>
        <w:tc>
          <w:tcPr>
            <w:tcW w:w="14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b/>
                <w:sz w:val="28"/>
                <w:szCs w:val="28"/>
              </w:rPr>
            </w:pPr>
            <w:r>
              <w:rPr>
                <w:rFonts w:hint="eastAsia" w:ascii="宋体" w:hAnsi="宋体" w:cs="宋体"/>
                <w:b/>
                <w:sz w:val="28"/>
                <w:szCs w:val="28"/>
              </w:rPr>
              <w:t>人数</w:t>
            </w:r>
          </w:p>
        </w:tc>
        <w:tc>
          <w:tcPr>
            <w:tcW w:w="14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b/>
                <w:sz w:val="28"/>
                <w:szCs w:val="28"/>
              </w:rPr>
            </w:pPr>
            <w:r>
              <w:rPr>
                <w:rFonts w:hint="eastAsia" w:ascii="宋体" w:hAnsi="宋体" w:cs="宋体"/>
                <w:b/>
                <w:sz w:val="28"/>
                <w:szCs w:val="28"/>
              </w:rPr>
              <w:t>备注</w:t>
            </w: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60"/>
              <w:jc w:val="center"/>
              <w:rPr>
                <w:rFonts w:hint="eastAsia" w:ascii="宋体" w:hAnsi="宋体" w:cs="宋体"/>
                <w:sz w:val="28"/>
                <w:szCs w:val="28"/>
              </w:rPr>
            </w:pPr>
            <w:r>
              <w:rPr>
                <w:rFonts w:hint="eastAsia" w:ascii="宋体" w:hAnsi="宋体" w:cs="宋体"/>
                <w:sz w:val="28"/>
                <w:szCs w:val="28"/>
              </w:rPr>
              <w:t>1</w:t>
            </w:r>
          </w:p>
        </w:tc>
        <w:tc>
          <w:tcPr>
            <w:tcW w:w="19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管理人员</w:t>
            </w:r>
          </w:p>
        </w:tc>
        <w:tc>
          <w:tcPr>
            <w:tcW w:w="2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项目经理</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人</w:t>
            </w:r>
          </w:p>
        </w:tc>
        <w:tc>
          <w:tcPr>
            <w:tcW w:w="14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ascii="宋体" w:hAnsi="宋体" w:cs="宋体"/>
                <w:sz w:val="28"/>
                <w:szCs w:val="28"/>
              </w:rPr>
            </w:pPr>
            <w:r>
              <w:rPr>
                <w:rFonts w:hint="eastAsia" w:ascii="宋体" w:hAnsi="宋体" w:cs="宋体"/>
                <w:sz w:val="28"/>
                <w:szCs w:val="28"/>
              </w:rPr>
              <w:t>1</w:t>
            </w:r>
          </w:p>
        </w:tc>
        <w:tc>
          <w:tcPr>
            <w:tcW w:w="14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60"/>
              <w:jc w:val="center"/>
              <w:rPr>
                <w:rFonts w:hint="eastAsia" w:ascii="宋体" w:hAnsi="宋体" w:cs="宋体"/>
                <w:sz w:val="28"/>
                <w:szCs w:val="28"/>
              </w:rPr>
            </w:pPr>
            <w:r>
              <w:rPr>
                <w:rFonts w:hint="eastAsia" w:ascii="宋体" w:hAnsi="宋体" w:cs="宋体"/>
                <w:sz w:val="28"/>
                <w:szCs w:val="28"/>
              </w:rPr>
              <w:t>2</w:t>
            </w:r>
          </w:p>
        </w:tc>
        <w:tc>
          <w:tcPr>
            <w:tcW w:w="19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客服人员</w:t>
            </w:r>
          </w:p>
        </w:tc>
        <w:tc>
          <w:tcPr>
            <w:tcW w:w="2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客服</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人</w:t>
            </w:r>
          </w:p>
        </w:tc>
        <w:tc>
          <w:tcPr>
            <w:tcW w:w="14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2</w:t>
            </w:r>
          </w:p>
        </w:tc>
        <w:tc>
          <w:tcPr>
            <w:tcW w:w="14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60"/>
              <w:jc w:val="center"/>
              <w:rPr>
                <w:rFonts w:hint="eastAsia" w:ascii="宋体" w:hAnsi="宋体" w:cs="宋体"/>
                <w:sz w:val="28"/>
                <w:szCs w:val="28"/>
              </w:rPr>
            </w:pPr>
            <w:r>
              <w:rPr>
                <w:rFonts w:hint="eastAsia" w:ascii="宋体" w:hAnsi="宋体" w:cs="宋体"/>
                <w:sz w:val="28"/>
                <w:szCs w:val="28"/>
              </w:rPr>
              <w:t>3</w:t>
            </w:r>
          </w:p>
        </w:tc>
        <w:tc>
          <w:tcPr>
            <w:tcW w:w="19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工程人员</w:t>
            </w:r>
          </w:p>
        </w:tc>
        <w:tc>
          <w:tcPr>
            <w:tcW w:w="2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设施设备维护人员</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人</w:t>
            </w:r>
          </w:p>
        </w:tc>
        <w:tc>
          <w:tcPr>
            <w:tcW w:w="14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eastAsia="宋体" w:cs="宋体"/>
                <w:sz w:val="28"/>
                <w:szCs w:val="28"/>
                <w:lang w:val="en-US" w:eastAsia="zh-CN"/>
              </w:rPr>
            </w:pPr>
            <w:r>
              <w:rPr>
                <w:rFonts w:hint="eastAsia" w:ascii="宋体" w:hAnsi="宋体" w:cs="宋体"/>
                <w:sz w:val="28"/>
                <w:szCs w:val="28"/>
                <w:lang w:val="en-US" w:eastAsia="zh-CN"/>
              </w:rPr>
              <w:t>3</w:t>
            </w:r>
          </w:p>
        </w:tc>
        <w:tc>
          <w:tcPr>
            <w:tcW w:w="14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60"/>
              <w:jc w:val="center"/>
              <w:rPr>
                <w:rFonts w:hint="eastAsia" w:ascii="宋体" w:hAnsi="宋体" w:cs="宋体"/>
                <w:sz w:val="28"/>
                <w:szCs w:val="28"/>
              </w:rPr>
            </w:pPr>
            <w:r>
              <w:rPr>
                <w:rFonts w:hint="eastAsia" w:ascii="宋体" w:hAnsi="宋体" w:cs="宋体"/>
                <w:sz w:val="28"/>
                <w:szCs w:val="28"/>
              </w:rPr>
              <w:t>4</w:t>
            </w:r>
          </w:p>
        </w:tc>
        <w:tc>
          <w:tcPr>
            <w:tcW w:w="19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绿化维护人员</w:t>
            </w:r>
          </w:p>
        </w:tc>
        <w:tc>
          <w:tcPr>
            <w:tcW w:w="2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绿化维护人员</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人</w:t>
            </w:r>
          </w:p>
        </w:tc>
        <w:tc>
          <w:tcPr>
            <w:tcW w:w="14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w:t>
            </w:r>
          </w:p>
        </w:tc>
        <w:tc>
          <w:tcPr>
            <w:tcW w:w="14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60"/>
              <w:jc w:val="center"/>
              <w:rPr>
                <w:rFonts w:hint="eastAsia" w:ascii="宋体" w:hAnsi="宋体" w:cs="宋体"/>
                <w:sz w:val="28"/>
                <w:szCs w:val="28"/>
              </w:rPr>
            </w:pPr>
            <w:r>
              <w:rPr>
                <w:rFonts w:hint="eastAsia" w:ascii="宋体" w:hAnsi="宋体" w:cs="宋体"/>
                <w:sz w:val="28"/>
                <w:szCs w:val="28"/>
              </w:rPr>
              <w:t>5</w:t>
            </w:r>
          </w:p>
        </w:tc>
        <w:tc>
          <w:tcPr>
            <w:tcW w:w="19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秩序维护人员</w:t>
            </w:r>
          </w:p>
        </w:tc>
        <w:tc>
          <w:tcPr>
            <w:tcW w:w="2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秩序维护人员</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人</w:t>
            </w:r>
          </w:p>
        </w:tc>
        <w:tc>
          <w:tcPr>
            <w:tcW w:w="14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default" w:ascii="宋体" w:hAnsi="宋体" w:eastAsia="宋体" w:cs="宋体"/>
                <w:sz w:val="28"/>
                <w:szCs w:val="28"/>
                <w:lang w:val="en-US" w:eastAsia="zh-CN"/>
              </w:rPr>
            </w:pPr>
            <w:r>
              <w:rPr>
                <w:rFonts w:hint="eastAsia" w:ascii="宋体" w:hAnsi="宋体" w:cs="宋体"/>
                <w:sz w:val="28"/>
                <w:szCs w:val="28"/>
                <w:lang w:val="en-US" w:eastAsia="zh-CN"/>
              </w:rPr>
              <w:t>16</w:t>
            </w:r>
          </w:p>
        </w:tc>
        <w:tc>
          <w:tcPr>
            <w:tcW w:w="14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60"/>
              <w:jc w:val="center"/>
              <w:rPr>
                <w:rFonts w:hint="eastAsia" w:ascii="宋体" w:hAnsi="宋体" w:cs="宋体"/>
                <w:sz w:val="28"/>
                <w:szCs w:val="28"/>
              </w:rPr>
            </w:pPr>
            <w:r>
              <w:rPr>
                <w:rFonts w:hint="eastAsia" w:ascii="宋体" w:hAnsi="宋体" w:cs="宋体"/>
                <w:sz w:val="28"/>
                <w:szCs w:val="28"/>
              </w:rPr>
              <w:t>6</w:t>
            </w:r>
          </w:p>
        </w:tc>
        <w:tc>
          <w:tcPr>
            <w:tcW w:w="19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环境维护人员</w:t>
            </w:r>
          </w:p>
        </w:tc>
        <w:tc>
          <w:tcPr>
            <w:tcW w:w="239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环境维护人员</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r>
              <w:rPr>
                <w:rFonts w:hint="eastAsia" w:ascii="宋体" w:hAnsi="宋体" w:cs="宋体"/>
                <w:sz w:val="28"/>
                <w:szCs w:val="28"/>
              </w:rPr>
              <w:t>人</w:t>
            </w:r>
          </w:p>
        </w:tc>
        <w:tc>
          <w:tcPr>
            <w:tcW w:w="14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24</w:t>
            </w:r>
          </w:p>
        </w:tc>
        <w:tc>
          <w:tcPr>
            <w:tcW w:w="14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r>
      <w:tr>
        <w:tblPrEx>
          <w:tblLayout w:type="fixed"/>
          <w:tblCellMar>
            <w:top w:w="0" w:type="dxa"/>
            <w:left w:w="108" w:type="dxa"/>
            <w:bottom w:w="0" w:type="dxa"/>
            <w:right w:w="108" w:type="dxa"/>
          </w:tblCellMar>
        </w:tblPrEx>
        <w:trPr>
          <w:trHeight w:val="460" w:hRule="atLeast"/>
          <w:jc w:val="center"/>
        </w:trPr>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60"/>
              <w:jc w:val="center"/>
              <w:rPr>
                <w:rFonts w:hint="eastAsia" w:ascii="宋体" w:hAnsi="宋体" w:cs="宋体"/>
                <w:b/>
                <w:sz w:val="28"/>
                <w:szCs w:val="28"/>
              </w:rPr>
            </w:pPr>
            <w:r>
              <w:rPr>
                <w:rFonts w:hint="eastAsia" w:ascii="宋体" w:hAnsi="宋体" w:cs="宋体"/>
                <w:b/>
                <w:sz w:val="28"/>
                <w:szCs w:val="28"/>
              </w:rPr>
              <w:t>7</w:t>
            </w:r>
          </w:p>
        </w:tc>
        <w:tc>
          <w:tcPr>
            <w:tcW w:w="4383" w:type="dxa"/>
            <w:gridSpan w:val="2"/>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b/>
                <w:sz w:val="28"/>
                <w:szCs w:val="28"/>
              </w:rPr>
            </w:pPr>
            <w:r>
              <w:rPr>
                <w:rFonts w:hint="eastAsia" w:ascii="宋体" w:hAnsi="宋体" w:cs="宋体"/>
                <w:b/>
                <w:sz w:val="28"/>
                <w:szCs w:val="28"/>
              </w:rPr>
              <w:t>合    计</w:t>
            </w:r>
          </w:p>
        </w:tc>
        <w:tc>
          <w:tcPr>
            <w:tcW w:w="99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b/>
                <w:sz w:val="28"/>
                <w:szCs w:val="28"/>
              </w:rPr>
            </w:pPr>
            <w:r>
              <w:rPr>
                <w:rFonts w:hint="eastAsia" w:ascii="宋体" w:hAnsi="宋体" w:cs="宋体"/>
                <w:b/>
                <w:sz w:val="28"/>
                <w:szCs w:val="28"/>
              </w:rPr>
              <w:t>人</w:t>
            </w:r>
          </w:p>
        </w:tc>
        <w:tc>
          <w:tcPr>
            <w:tcW w:w="141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default" w:ascii="宋体" w:hAnsi="宋体" w:eastAsia="宋体" w:cs="宋体"/>
                <w:b/>
                <w:sz w:val="28"/>
                <w:szCs w:val="28"/>
                <w:lang w:val="en-US" w:eastAsia="zh-CN"/>
              </w:rPr>
            </w:pPr>
            <w:r>
              <w:rPr>
                <w:rFonts w:hint="eastAsia" w:ascii="宋体" w:hAnsi="宋体" w:cs="宋体"/>
                <w:b/>
                <w:sz w:val="28"/>
                <w:szCs w:val="28"/>
                <w:lang w:val="en-US" w:eastAsia="zh-CN"/>
              </w:rPr>
              <w:t>50</w:t>
            </w:r>
          </w:p>
        </w:tc>
        <w:tc>
          <w:tcPr>
            <w:tcW w:w="141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b/>
                <w:sz w:val="28"/>
                <w:szCs w:val="28"/>
              </w:rPr>
            </w:pPr>
          </w:p>
        </w:tc>
      </w:tr>
    </w:tbl>
    <w:p>
      <w:pPr>
        <w:spacing w:line="360" w:lineRule="auto"/>
        <w:ind w:firstLine="426"/>
        <w:rPr>
          <w:rFonts w:hint="eastAsia" w:ascii="宋体" w:hAnsi="宋体" w:cs="宋体"/>
          <w:sz w:val="28"/>
          <w:szCs w:val="28"/>
        </w:rPr>
      </w:pPr>
      <w:r>
        <w:rPr>
          <w:rFonts w:hint="eastAsia" w:ascii="宋体" w:hAnsi="宋体" w:cs="宋体"/>
          <w:sz w:val="28"/>
          <w:szCs w:val="28"/>
        </w:rPr>
        <w:t>成交项目的供应商应当全员签订《劳动合同》，支付所派出全部工作人员工资、社会保险等费用及各项补助、节日福利等，并对其疾病和人身安全等完全负责，服务人员工资标准不得低于彭州市的最低工资标准，采购人对此不承担任何的法律责任和义务。</w:t>
      </w:r>
    </w:p>
    <w:p>
      <w:pPr>
        <w:spacing w:line="360" w:lineRule="auto"/>
        <w:ind w:firstLine="426"/>
        <w:rPr>
          <w:rFonts w:hint="eastAsia" w:ascii="宋体" w:hAnsi="宋体" w:cs="宋体"/>
          <w:sz w:val="28"/>
          <w:szCs w:val="28"/>
        </w:rPr>
      </w:pPr>
      <w:r>
        <w:rPr>
          <w:rFonts w:hint="eastAsia" w:ascii="宋体" w:hAnsi="宋体" w:cs="宋体"/>
          <w:sz w:val="28"/>
          <w:szCs w:val="28"/>
        </w:rPr>
        <w:t>项目经理年龄在45岁以下，秩序维护人员年龄在50岁以下。</w:t>
      </w:r>
    </w:p>
    <w:p>
      <w:pPr>
        <w:rPr>
          <w:rFonts w:hint="eastAsia"/>
        </w:rPr>
      </w:pPr>
    </w:p>
    <w:p>
      <w:pPr>
        <w:pStyle w:val="5"/>
        <w:spacing w:before="100" w:beforeAutospacing="1" w:after="100" w:afterAutospacing="1"/>
        <w:rPr>
          <w:rFonts w:hint="eastAsia" w:ascii="宋体" w:hAnsi="宋体" w:cs="宋体"/>
          <w:sz w:val="28"/>
          <w:szCs w:val="28"/>
        </w:rPr>
      </w:pPr>
      <w:r>
        <w:rPr>
          <w:rFonts w:hint="eastAsia" w:ascii="宋体" w:hAnsi="宋体" w:cs="宋体"/>
          <w:sz w:val="28"/>
          <w:szCs w:val="28"/>
          <w:lang w:val="en-US" w:eastAsia="zh-CN"/>
        </w:rPr>
        <w:t>4</w:t>
      </w:r>
      <w:r>
        <w:rPr>
          <w:rFonts w:hint="eastAsia" w:ascii="宋体" w:hAnsi="宋体" w:cs="宋体"/>
          <w:sz w:val="28"/>
          <w:szCs w:val="28"/>
        </w:rPr>
        <w:t>、采购项目考核标准：</w:t>
      </w:r>
    </w:p>
    <w:p>
      <w:pPr>
        <w:pStyle w:val="6"/>
        <w:spacing w:before="0" w:after="0" w:line="240" w:lineRule="auto"/>
        <w:ind w:firstLine="495" w:firstLineChars="176"/>
        <w:rPr>
          <w:rFonts w:hint="eastAsia" w:ascii="宋体" w:hAnsi="宋体" w:eastAsia="宋体" w:cs="宋体"/>
          <w:sz w:val="28"/>
        </w:rPr>
      </w:pPr>
      <w:r>
        <w:rPr>
          <w:rFonts w:hint="eastAsia" w:ascii="宋体" w:hAnsi="宋体" w:eastAsia="宋体" w:cs="宋体"/>
          <w:sz w:val="28"/>
          <w:lang w:val="en-US" w:eastAsia="zh-CN"/>
        </w:rPr>
        <w:t>4</w:t>
      </w:r>
      <w:r>
        <w:rPr>
          <w:rFonts w:hint="eastAsia" w:ascii="宋体" w:hAnsi="宋体" w:eastAsia="宋体" w:cs="宋体"/>
          <w:sz w:val="28"/>
        </w:rPr>
        <w:t>.1 物业管理考核细则</w:t>
      </w:r>
    </w:p>
    <w:tbl>
      <w:tblPr>
        <w:tblStyle w:val="43"/>
        <w:tblpPr w:vertAnchor="text" w:horzAnchor="margin" w:tblpXSpec="center" w:tblpY="392"/>
        <w:tblW w:w="9464" w:type="dxa"/>
        <w:tblInd w:w="0" w:type="dxa"/>
        <w:tblLayout w:type="fixed"/>
        <w:tblCellMar>
          <w:top w:w="0" w:type="dxa"/>
          <w:left w:w="108" w:type="dxa"/>
          <w:bottom w:w="0" w:type="dxa"/>
          <w:right w:w="108" w:type="dxa"/>
        </w:tblCellMar>
      </w:tblPr>
      <w:tblGrid>
        <w:gridCol w:w="828"/>
        <w:gridCol w:w="634"/>
        <w:gridCol w:w="2143"/>
        <w:gridCol w:w="4540"/>
        <w:gridCol w:w="636"/>
        <w:gridCol w:w="683"/>
      </w:tblGrid>
      <w:tr>
        <w:tblPrEx>
          <w:tblLayout w:type="fixed"/>
          <w:tblCellMar>
            <w:top w:w="0" w:type="dxa"/>
            <w:left w:w="108" w:type="dxa"/>
            <w:bottom w:w="0" w:type="dxa"/>
            <w:right w:w="108" w:type="dxa"/>
          </w:tblCellMar>
        </w:tblPrEx>
        <w:trPr>
          <w:trHeight w:val="420" w:hRule="atLeast"/>
        </w:trPr>
        <w:tc>
          <w:tcPr>
            <w:tcW w:w="82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bottom"/>
          </w:tcPr>
          <w:p>
            <w:pPr>
              <w:jc w:val="center"/>
              <w:rPr>
                <w:rFonts w:hint="eastAsia" w:ascii="宋体" w:hAnsi="宋体" w:cs="宋体"/>
                <w:color w:val="000000"/>
                <w:sz w:val="28"/>
                <w:szCs w:val="28"/>
              </w:rPr>
            </w:pPr>
            <w:r>
              <w:rPr>
                <w:rFonts w:hint="eastAsia" w:ascii="宋体" w:hAnsi="宋体" w:cs="宋体"/>
                <w:color w:val="000000"/>
                <w:sz w:val="28"/>
                <w:szCs w:val="28"/>
              </w:rPr>
              <w:t>测评内容</w:t>
            </w:r>
          </w:p>
        </w:tc>
        <w:tc>
          <w:tcPr>
            <w:tcW w:w="2777" w:type="dxa"/>
            <w:gridSpan w:val="2"/>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测评指标</w:t>
            </w:r>
          </w:p>
        </w:tc>
        <w:tc>
          <w:tcPr>
            <w:tcW w:w="4540"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扣分标准</w:t>
            </w:r>
          </w:p>
        </w:tc>
        <w:tc>
          <w:tcPr>
            <w:tcW w:w="636"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单笔分值</w:t>
            </w:r>
          </w:p>
        </w:tc>
        <w:tc>
          <w:tcPr>
            <w:tcW w:w="683"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分值</w:t>
            </w:r>
          </w:p>
        </w:tc>
      </w:tr>
      <w:tr>
        <w:tblPrEx>
          <w:tblLayout w:type="fixed"/>
          <w:tblCellMar>
            <w:top w:w="0" w:type="dxa"/>
            <w:left w:w="108" w:type="dxa"/>
            <w:bottom w:w="0" w:type="dxa"/>
            <w:right w:w="108" w:type="dxa"/>
          </w:tblCellMar>
        </w:tblPrEx>
        <w:trPr>
          <w:trHeight w:val="855" w:hRule="atLeast"/>
        </w:trPr>
        <w:tc>
          <w:tcPr>
            <w:tcW w:w="828"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环境测评</w:t>
            </w:r>
          </w:p>
          <w:p>
            <w:pPr>
              <w:jc w:val="center"/>
              <w:rPr>
                <w:rFonts w:hint="eastAsia" w:ascii="宋体" w:hAnsi="宋体" w:cs="宋体"/>
                <w:sz w:val="28"/>
                <w:szCs w:val="28"/>
              </w:rPr>
            </w:pPr>
          </w:p>
        </w:tc>
        <w:tc>
          <w:tcPr>
            <w:tcW w:w="634"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w:t>
            </w:r>
          </w:p>
          <w:p>
            <w:pPr>
              <w:jc w:val="center"/>
              <w:rPr>
                <w:rFonts w:hint="eastAsia" w:ascii="宋体" w:hAnsi="宋体" w:cs="宋体"/>
                <w:color w:val="000000"/>
                <w:sz w:val="28"/>
                <w:szCs w:val="28"/>
              </w:rPr>
            </w:pPr>
            <w:r>
              <w:rPr>
                <w:rFonts w:hint="eastAsia" w:ascii="宋体" w:hAnsi="宋体" w:cs="宋体"/>
                <w:color w:val="000000"/>
                <w:sz w:val="28"/>
                <w:szCs w:val="28"/>
              </w:rPr>
              <w:t>环境卫生</w:t>
            </w:r>
          </w:p>
          <w:p>
            <w:pPr>
              <w:jc w:val="center"/>
              <w:rPr>
                <w:rFonts w:hint="eastAsia" w:ascii="宋体" w:hAnsi="宋体" w:cs="宋体"/>
                <w:sz w:val="28"/>
                <w:szCs w:val="28"/>
              </w:rPr>
            </w:pP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1）院落内道路、广场平整，路面无垃圾、杂物</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（1）院落内道路、广场不平整以面积计算，以2平米算1处。发现1处记1笔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0.3</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5</w:t>
            </w:r>
          </w:p>
        </w:tc>
      </w:tr>
      <w:tr>
        <w:tblPrEx>
          <w:tblLayout w:type="fixed"/>
          <w:tblCellMar>
            <w:top w:w="0" w:type="dxa"/>
            <w:left w:w="108" w:type="dxa"/>
            <w:bottom w:w="0" w:type="dxa"/>
            <w:right w:w="108" w:type="dxa"/>
          </w:tblCellMar>
        </w:tblPrEx>
        <w:trPr>
          <w:trHeight w:val="109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（2）路面有垃圾以2平米为计算单元。2平米内出现问题的，每发现1处记1笔。同时出现多个问题的，重复记分。比如2平米内同时出现果皮、纸屑、塑料袋，则要在“路面有垃圾”一项记3笔。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90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（3）路面有杂物是指路面有杂物包括木板、柜子、椅子等废弃物，发现1处记1笔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0.3</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96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2）院落环境整洁，沟渠、绿化带干净、无杂物。</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（1）环境不整洁包括晒衣服、被子、帚布、乱挂香肠；车棚内乱堆杂物；楼栋外墙、院落围墙张贴小广告；院内公共区域包括住户阳台、窗台乱张贴广告、乱设置广告牌等行为发现一处记1笔。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0.25</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5</w:t>
            </w:r>
          </w:p>
        </w:tc>
      </w:tr>
      <w:tr>
        <w:tblPrEx>
          <w:tblLayout w:type="fixed"/>
          <w:tblCellMar>
            <w:top w:w="0" w:type="dxa"/>
            <w:left w:w="108" w:type="dxa"/>
            <w:bottom w:w="0" w:type="dxa"/>
            <w:right w:w="108" w:type="dxa"/>
          </w:tblCellMar>
        </w:tblPrEx>
        <w:trPr>
          <w:trHeight w:val="82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（2）沟渠和绿化带的垃圾、杂物记算方法同路面垃圾记算方法，以2平米为单位，重复计扣。</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82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3）院落内公共健身、休闲等公共设施整洁，无张贴乱刻</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（1）健身、休闲设施包括健身器材、游泳池、统一制作的休闲椅、凉亭、散步小径等，发现1个设施出现不整洁有污迹、有乱张贴刻画，记1笔。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4</w:t>
            </w:r>
          </w:p>
        </w:tc>
      </w:tr>
      <w:tr>
        <w:tblPrEx>
          <w:tblLayout w:type="fixed"/>
          <w:tblCellMar>
            <w:top w:w="0" w:type="dxa"/>
            <w:left w:w="108" w:type="dxa"/>
            <w:bottom w:w="0" w:type="dxa"/>
            <w:right w:w="108" w:type="dxa"/>
          </w:tblCellMar>
        </w:tblPrEx>
        <w:trPr>
          <w:trHeight w:val="61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（2）功能不完好，有破损，发现1个设施有此问题记1笔。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102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2垃圾管理</w:t>
            </w:r>
          </w:p>
        </w:tc>
        <w:tc>
          <w:tcPr>
            <w:tcW w:w="214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4）院落有垃圾收运站（点）</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(1）如果院落内没有发现垃圾收运点，可询问院内居民，如果院落附近(一般不超过院落大门左右50米范围）有常用垃圾点，则观测该垃圾点。（2）经确认在附近也没有垃圾点的，视为没有垃圾收运点计</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4</w:t>
            </w:r>
          </w:p>
        </w:tc>
      </w:tr>
      <w:tr>
        <w:tblPrEx>
          <w:tblLayout w:type="fixed"/>
          <w:tblCellMar>
            <w:top w:w="0" w:type="dxa"/>
            <w:left w:w="108" w:type="dxa"/>
            <w:bottom w:w="0" w:type="dxa"/>
            <w:right w:w="108" w:type="dxa"/>
          </w:tblCellMar>
        </w:tblPrEx>
        <w:trPr>
          <w:trHeight w:val="60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5）院落垃圾处理实行袋装化，日产日清</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（1）观察院落垃圾堆放点或垃圾桶（点），发现1处没有实行垃圾袋装化，则记1笔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5</w:t>
            </w:r>
          </w:p>
        </w:tc>
      </w:tr>
      <w:tr>
        <w:tblPrEx>
          <w:tblLayout w:type="fixed"/>
          <w:tblCellMar>
            <w:top w:w="0" w:type="dxa"/>
            <w:left w:w="108" w:type="dxa"/>
            <w:bottom w:w="0" w:type="dxa"/>
            <w:right w:w="108" w:type="dxa"/>
          </w:tblCellMar>
        </w:tblPrEx>
        <w:trPr>
          <w:trHeight w:val="85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（2）发现1处垃圾堆放点或垃圾桶，垃圾没有日产日清，则记1笔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555" w:hRule="atLeast"/>
        </w:trPr>
        <w:tc>
          <w:tcPr>
            <w:tcW w:w="828" w:type="dxa"/>
            <w:tcBorders>
              <w:left w:val="single" w:color="000000" w:sz="4" w:space="0"/>
              <w:bottom w:val="single" w:color="000000" w:sz="4" w:space="0"/>
              <w:right w:val="single" w:color="000000" w:sz="4" w:space="0"/>
            </w:tcBorders>
            <w:noWrap w:val="0"/>
            <w:tcMar>
              <w:top w:w="0" w:type="dxa"/>
              <w:left w:w="108" w:type="dxa"/>
              <w:bottom w:w="0" w:type="dxa"/>
              <w:right w:w="108" w:type="dxa"/>
            </w:tcMar>
            <w:vAlign w:val="bottom"/>
          </w:tcPr>
          <w:p>
            <w:pPr>
              <w:jc w:val="center"/>
              <w:rPr>
                <w:rFonts w:hint="eastAsia" w:ascii="宋体" w:hAnsi="宋体" w:cs="宋体"/>
                <w:color w:val="000000"/>
                <w:sz w:val="28"/>
                <w:szCs w:val="28"/>
              </w:rPr>
            </w:pPr>
            <w:r>
              <w:rPr>
                <w:rFonts w:hint="eastAsia" w:ascii="宋体" w:hAnsi="宋体" w:cs="宋体"/>
                <w:color w:val="000000"/>
                <w:sz w:val="28"/>
                <w:szCs w:val="28"/>
              </w:rPr>
              <w:t>测评内容</w:t>
            </w:r>
          </w:p>
        </w:tc>
        <w:tc>
          <w:tcPr>
            <w:tcW w:w="2777" w:type="dxa"/>
            <w:gridSpan w:val="2"/>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测评指标</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扣分标准</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单笔分值</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分值</w:t>
            </w:r>
          </w:p>
        </w:tc>
      </w:tr>
      <w:tr>
        <w:tblPrEx>
          <w:tblLayout w:type="fixed"/>
          <w:tblCellMar>
            <w:top w:w="0" w:type="dxa"/>
            <w:left w:w="108" w:type="dxa"/>
            <w:bottom w:w="0" w:type="dxa"/>
            <w:right w:w="108" w:type="dxa"/>
          </w:tblCellMar>
        </w:tblPrEx>
        <w:trPr>
          <w:trHeight w:val="900" w:hRule="atLeast"/>
        </w:trPr>
        <w:tc>
          <w:tcPr>
            <w:tcW w:w="828"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ind w:left="41" w:leftChars="-59" w:hanging="165" w:hangingChars="59"/>
              <w:jc w:val="center"/>
              <w:rPr>
                <w:rFonts w:hint="eastAsia" w:ascii="宋体" w:hAnsi="宋体" w:cs="宋体"/>
                <w:color w:val="000000"/>
                <w:sz w:val="28"/>
                <w:szCs w:val="28"/>
              </w:rPr>
            </w:pPr>
            <w:r>
              <w:rPr>
                <w:rFonts w:hint="eastAsia" w:ascii="宋体" w:hAnsi="宋体" w:cs="宋体"/>
                <w:color w:val="000000"/>
                <w:sz w:val="28"/>
                <w:szCs w:val="28"/>
              </w:rPr>
              <w:t xml:space="preserve"> 环境测评</w:t>
            </w:r>
          </w:p>
          <w:p>
            <w:pPr>
              <w:jc w:val="center"/>
              <w:rPr>
                <w:rFonts w:hint="eastAsia" w:ascii="宋体" w:hAnsi="宋体" w:cs="宋体"/>
                <w:sz w:val="28"/>
                <w:szCs w:val="28"/>
              </w:rPr>
            </w:pPr>
          </w:p>
        </w:tc>
        <w:tc>
          <w:tcPr>
            <w:tcW w:w="634"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3</w:t>
            </w:r>
          </w:p>
          <w:p>
            <w:pPr>
              <w:jc w:val="center"/>
              <w:rPr>
                <w:rFonts w:hint="eastAsia" w:ascii="宋体" w:hAnsi="宋体" w:cs="宋体"/>
                <w:color w:val="000000"/>
                <w:sz w:val="28"/>
                <w:szCs w:val="28"/>
              </w:rPr>
            </w:pPr>
            <w:r>
              <w:rPr>
                <w:rFonts w:hint="eastAsia" w:ascii="宋体" w:hAnsi="宋体" w:cs="宋体"/>
                <w:color w:val="000000"/>
                <w:sz w:val="28"/>
                <w:szCs w:val="28"/>
              </w:rPr>
              <w:t>标识管理</w:t>
            </w:r>
          </w:p>
        </w:tc>
        <w:tc>
          <w:tcPr>
            <w:tcW w:w="214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6）院落内宣传标识上无乱张贴、乱涂画。</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有宣传栏/橱窗的，发现有乱张贴和重复张贴现象，发现1处记1笔。发现有乱涂画的，发现1处记1笔。发现有破损的，发现1处记1笔。【同一个宣传栏/橱窗，重复出现上述问题的，重复计扣。】</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5</w:t>
            </w:r>
          </w:p>
        </w:tc>
      </w:tr>
      <w:tr>
        <w:tblPrEx>
          <w:tblLayout w:type="fixed"/>
          <w:tblCellMar>
            <w:top w:w="0" w:type="dxa"/>
            <w:left w:w="108" w:type="dxa"/>
            <w:bottom w:w="0" w:type="dxa"/>
            <w:right w:w="108" w:type="dxa"/>
          </w:tblCellMar>
        </w:tblPrEx>
        <w:trPr>
          <w:trHeight w:val="37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4</w:t>
            </w:r>
          </w:p>
          <w:p>
            <w:pPr>
              <w:jc w:val="center"/>
              <w:rPr>
                <w:rFonts w:hint="eastAsia" w:ascii="宋体" w:hAnsi="宋体" w:cs="宋体"/>
                <w:color w:val="000000"/>
                <w:sz w:val="28"/>
                <w:szCs w:val="28"/>
              </w:rPr>
            </w:pPr>
            <w:r>
              <w:rPr>
                <w:rFonts w:hint="eastAsia" w:ascii="宋体" w:hAnsi="宋体" w:cs="宋体"/>
                <w:color w:val="000000"/>
                <w:sz w:val="28"/>
                <w:szCs w:val="28"/>
              </w:rPr>
              <w:t>楼道卫生</w:t>
            </w: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7）居民住宅楼干净卫生、楼道无蜘蛛网、无乱张贴广告现象。</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（1）发现1个蜘蛛网记1笔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8</w:t>
            </w:r>
          </w:p>
        </w:tc>
      </w:tr>
      <w:tr>
        <w:tblPrEx>
          <w:tblLayout w:type="fixed"/>
          <w:tblCellMar>
            <w:top w:w="0" w:type="dxa"/>
            <w:left w:w="108" w:type="dxa"/>
            <w:bottom w:w="0" w:type="dxa"/>
            <w:right w:w="108" w:type="dxa"/>
          </w:tblCellMar>
        </w:tblPrEx>
        <w:trPr>
          <w:trHeight w:val="84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（2)乱涂画、乱张贴以立面记。发现1个立面有此问题，则记1笔。（注：楼道地面、楼梯作为立面记算。张贴的喜、福及挂的艾蒿不计扣）</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75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（3）楼道地面发现的垃圾（纸屑、烟蒂、果皮、纸盒、塑料纸及袋、其他废弃物）以1平方米为单位计扣，分类重复计扣。</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88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8）楼道通畅，无杂物堆放、堵塞通道。</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按处记算，发现1处记1笔。住户门口有垃圾袋装好的垃圾、拖把、鞋及扫帚不计扣。【单元口两侧堆放杂物，单元口两侧沟渠内堆放杂物，均纳入该指标进行考核、计扣。】</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8</w:t>
            </w:r>
          </w:p>
        </w:tc>
      </w:tr>
      <w:tr>
        <w:tblPrEx>
          <w:tblLayout w:type="fixed"/>
          <w:tblCellMar>
            <w:top w:w="0" w:type="dxa"/>
            <w:left w:w="108" w:type="dxa"/>
            <w:bottom w:w="0" w:type="dxa"/>
            <w:right w:w="108" w:type="dxa"/>
          </w:tblCellMar>
        </w:tblPrEx>
        <w:trPr>
          <w:trHeight w:val="21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非机动车按辆记，发现堆放1辆记1笔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87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5</w:t>
            </w:r>
          </w:p>
          <w:p>
            <w:pPr>
              <w:jc w:val="center"/>
              <w:rPr>
                <w:rFonts w:hint="eastAsia" w:ascii="宋体" w:hAnsi="宋体" w:cs="宋体"/>
                <w:color w:val="000000"/>
                <w:sz w:val="28"/>
                <w:szCs w:val="28"/>
              </w:rPr>
            </w:pPr>
            <w:r>
              <w:rPr>
                <w:rFonts w:hint="eastAsia" w:ascii="宋体" w:hAnsi="宋体" w:cs="宋体"/>
                <w:color w:val="000000"/>
                <w:sz w:val="28"/>
                <w:szCs w:val="28"/>
              </w:rPr>
              <w:t>阳台管理</w:t>
            </w:r>
          </w:p>
        </w:tc>
        <w:tc>
          <w:tcPr>
            <w:tcW w:w="214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9）住宅阳台无杂物乱堆放现象</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以阳台级。发现1个阳台有杂物堆放算1处。一楼阳台下有杂物堆放，也记入阳台管理问题。</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0.05</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2</w:t>
            </w:r>
          </w:p>
        </w:tc>
      </w:tr>
      <w:tr>
        <w:tblPrEx>
          <w:tblLayout w:type="fixed"/>
          <w:tblCellMar>
            <w:top w:w="0" w:type="dxa"/>
            <w:left w:w="108" w:type="dxa"/>
            <w:bottom w:w="0" w:type="dxa"/>
            <w:right w:w="108" w:type="dxa"/>
          </w:tblCellMar>
        </w:tblPrEx>
        <w:trPr>
          <w:trHeight w:val="150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6</w:t>
            </w:r>
          </w:p>
          <w:p>
            <w:pPr>
              <w:jc w:val="center"/>
              <w:rPr>
                <w:rFonts w:hint="eastAsia" w:ascii="宋体" w:hAnsi="宋体" w:cs="宋体"/>
                <w:color w:val="000000"/>
                <w:sz w:val="28"/>
                <w:szCs w:val="28"/>
              </w:rPr>
            </w:pPr>
            <w:r>
              <w:rPr>
                <w:rFonts w:hint="eastAsia" w:ascii="宋体" w:hAnsi="宋体" w:cs="宋体"/>
                <w:color w:val="000000"/>
                <w:sz w:val="28"/>
                <w:szCs w:val="28"/>
              </w:rPr>
              <w:t>车辆管理</w:t>
            </w:r>
          </w:p>
        </w:tc>
        <w:tc>
          <w:tcPr>
            <w:tcW w:w="214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10）院落内车辆（含机动车和非机动车）归点分类停放有序，无随意停放影响通行现象。</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若发现有车辆随意停放（15分钟以外），发现1处计扣1笔（一般情况下以2米为1处)。2、如停放无序，发现1处计扣1笔。院落内机动车靠右有序停放在墙角、沟渠、绿化带边，不能占用或阻挡消防通道，保证院落道路有3米及以上宽度，则不视为乱停放。不满足上述任一条件，则视为乱停放。若院落内规划有机动车停放点，但不满足上述任一条件，也视为乱停放。</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10</w:t>
            </w:r>
          </w:p>
        </w:tc>
      </w:tr>
      <w:tr>
        <w:tblPrEx>
          <w:tblLayout w:type="fixed"/>
          <w:tblCellMar>
            <w:top w:w="0" w:type="dxa"/>
            <w:left w:w="108" w:type="dxa"/>
            <w:bottom w:w="0" w:type="dxa"/>
            <w:right w:w="108" w:type="dxa"/>
          </w:tblCellMar>
        </w:tblPrEx>
        <w:trPr>
          <w:trHeight w:val="96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7</w:t>
            </w:r>
          </w:p>
          <w:p>
            <w:pPr>
              <w:jc w:val="center"/>
              <w:rPr>
                <w:rFonts w:hint="eastAsia" w:ascii="宋体" w:hAnsi="宋体" w:cs="宋体"/>
                <w:color w:val="000000"/>
                <w:sz w:val="28"/>
                <w:szCs w:val="28"/>
              </w:rPr>
            </w:pPr>
            <w:r>
              <w:rPr>
                <w:rFonts w:hint="eastAsia" w:ascii="宋体" w:hAnsi="宋体" w:cs="宋体"/>
                <w:color w:val="000000"/>
                <w:sz w:val="28"/>
                <w:szCs w:val="28"/>
              </w:rPr>
              <w:t>摊点管理</w:t>
            </w:r>
          </w:p>
        </w:tc>
        <w:tc>
          <w:tcPr>
            <w:tcW w:w="214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11)院落内无占用公共空间乱摆摊设点现象。</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按处记算，发现1处记1笔。摊贩管理，主要是居民私自占用公共设施摆摊设点（如快餐、擦皮鞋、缝纫、卖小商品等）阻碍交通、造成环境脏乱差的现象。经过规划的摊贩（如标注了社区服务点）不扣分。</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0.5</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10</w:t>
            </w:r>
          </w:p>
        </w:tc>
      </w:tr>
      <w:tr>
        <w:tblPrEx>
          <w:tblLayout w:type="fixed"/>
          <w:tblCellMar>
            <w:top w:w="0" w:type="dxa"/>
            <w:left w:w="108" w:type="dxa"/>
            <w:bottom w:w="0" w:type="dxa"/>
            <w:right w:w="108" w:type="dxa"/>
          </w:tblCellMar>
        </w:tblPrEx>
        <w:trPr>
          <w:trHeight w:val="73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8</w:t>
            </w:r>
          </w:p>
          <w:p>
            <w:pPr>
              <w:jc w:val="center"/>
              <w:rPr>
                <w:rFonts w:hint="eastAsia" w:ascii="宋体" w:hAnsi="宋体" w:cs="宋体"/>
                <w:color w:val="000000"/>
                <w:sz w:val="28"/>
                <w:szCs w:val="28"/>
              </w:rPr>
            </w:pPr>
            <w:r>
              <w:rPr>
                <w:rFonts w:hint="eastAsia" w:ascii="宋体" w:hAnsi="宋体" w:cs="宋体"/>
                <w:color w:val="000000"/>
                <w:sz w:val="28"/>
                <w:szCs w:val="28"/>
              </w:rPr>
              <w:t>宠物管理</w:t>
            </w: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12）院落内宠物无乱拉粪便现象。</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按处记算，发现1处记1笔。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3</w:t>
            </w:r>
          </w:p>
        </w:tc>
      </w:tr>
      <w:tr>
        <w:tblPrEx>
          <w:tblLayout w:type="fixed"/>
          <w:tblCellMar>
            <w:top w:w="0" w:type="dxa"/>
            <w:left w:w="108" w:type="dxa"/>
            <w:bottom w:w="0" w:type="dxa"/>
            <w:right w:w="108" w:type="dxa"/>
          </w:tblCellMar>
        </w:tblPrEx>
        <w:trPr>
          <w:trHeight w:val="94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发现一只敞放宠物或家禽记1笔。在道路上、绿化带内宠物关在笼子中不计扣。</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330" w:hRule="atLeast"/>
        </w:trPr>
        <w:tc>
          <w:tcPr>
            <w:tcW w:w="828" w:type="dxa"/>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测评内容</w:t>
            </w:r>
          </w:p>
        </w:tc>
        <w:tc>
          <w:tcPr>
            <w:tcW w:w="2777" w:type="dxa"/>
            <w:gridSpan w:val="2"/>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测评指标</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扣分标准</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单笔分值</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分值</w:t>
            </w:r>
          </w:p>
        </w:tc>
      </w:tr>
      <w:tr>
        <w:tblPrEx>
          <w:tblLayout w:type="fixed"/>
          <w:tblCellMar>
            <w:top w:w="0" w:type="dxa"/>
            <w:left w:w="108" w:type="dxa"/>
            <w:bottom w:w="0" w:type="dxa"/>
            <w:right w:w="108" w:type="dxa"/>
          </w:tblCellMar>
        </w:tblPrEx>
        <w:trPr>
          <w:trHeight w:val="450" w:hRule="atLeast"/>
        </w:trPr>
        <w:tc>
          <w:tcPr>
            <w:tcW w:w="828"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 xml:space="preserve">环境测评 </w:t>
            </w:r>
          </w:p>
        </w:tc>
        <w:tc>
          <w:tcPr>
            <w:tcW w:w="634"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9</w:t>
            </w:r>
          </w:p>
          <w:p>
            <w:pPr>
              <w:jc w:val="center"/>
              <w:rPr>
                <w:rFonts w:hint="eastAsia" w:ascii="宋体" w:hAnsi="宋体" w:cs="宋体"/>
                <w:color w:val="000000"/>
                <w:sz w:val="28"/>
                <w:szCs w:val="28"/>
              </w:rPr>
            </w:pPr>
            <w:r>
              <w:rPr>
                <w:rFonts w:hint="eastAsia" w:ascii="宋体" w:hAnsi="宋体" w:cs="宋体"/>
                <w:color w:val="000000"/>
                <w:sz w:val="28"/>
                <w:szCs w:val="28"/>
              </w:rPr>
              <w:t>门卫室管理</w:t>
            </w: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13）院落门卫室清洁整齐，无乱堆放杂物，无乱张贴。</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门卫室不清洁、发现1处垃圾、污渍等现象，记1笔。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5</w:t>
            </w:r>
          </w:p>
        </w:tc>
      </w:tr>
      <w:tr>
        <w:tblPrEx>
          <w:tblLayout w:type="fixed"/>
          <w:tblCellMar>
            <w:top w:w="0" w:type="dxa"/>
            <w:left w:w="108" w:type="dxa"/>
            <w:bottom w:w="0" w:type="dxa"/>
            <w:right w:w="108" w:type="dxa"/>
          </w:tblCellMar>
        </w:tblPrEx>
        <w:trPr>
          <w:trHeight w:val="21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发现1处乱张贴现象，记1笔。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24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发现1处乱堆放杂物现象，记1笔。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990" w:hRule="atLeast"/>
        </w:trPr>
        <w:tc>
          <w:tcPr>
            <w:tcW w:w="828"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基础设施测评</w:t>
            </w:r>
          </w:p>
          <w:p>
            <w:pPr>
              <w:jc w:val="center"/>
              <w:rPr>
                <w:rFonts w:hint="eastAsia" w:ascii="宋体" w:hAnsi="宋体" w:cs="宋体"/>
                <w:sz w:val="28"/>
                <w:szCs w:val="28"/>
              </w:rPr>
            </w:pPr>
          </w:p>
        </w:tc>
        <w:tc>
          <w:tcPr>
            <w:tcW w:w="634"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10公共安全</w:t>
            </w:r>
          </w:p>
          <w:p>
            <w:pPr>
              <w:jc w:val="center"/>
              <w:rPr>
                <w:rFonts w:hint="eastAsia" w:ascii="宋体" w:hAnsi="宋体" w:cs="宋体"/>
                <w:sz w:val="28"/>
                <w:szCs w:val="28"/>
              </w:rPr>
            </w:pP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14）社区人防符合安全要求。社区院落有门卫值班及安全巡逻等防范制度。</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院落大门口没有门卫室，或者经询问确认没有门卫，直接记3笔。（2）有门卫室或者确认有门卫，但测评时没有观测到，直接记2笔。（3）有门卫，但对陌生人出入没有主动询问，或没按要求进行出入登记等，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0.3</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3</w:t>
            </w:r>
          </w:p>
        </w:tc>
      </w:tr>
      <w:tr>
        <w:tblPrEx>
          <w:tblLayout w:type="fixed"/>
          <w:tblCellMar>
            <w:top w:w="0" w:type="dxa"/>
            <w:left w:w="108" w:type="dxa"/>
            <w:bottom w:w="0" w:type="dxa"/>
            <w:right w:w="108" w:type="dxa"/>
          </w:tblCellMar>
        </w:tblPrEx>
        <w:trPr>
          <w:trHeight w:val="66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院落显眼处张贴安全巡逻等防范制度，且完好无损，清晰。没有张贴该制度，记3笔；防范制度不完好、不清晰，发现1处记1笔。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0.5</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3</w:t>
            </w:r>
          </w:p>
        </w:tc>
      </w:tr>
      <w:tr>
        <w:tblPrEx>
          <w:tblLayout w:type="fixed"/>
          <w:tblCellMar>
            <w:top w:w="0" w:type="dxa"/>
            <w:left w:w="108" w:type="dxa"/>
            <w:bottom w:w="0" w:type="dxa"/>
            <w:right w:w="108" w:type="dxa"/>
          </w:tblCellMar>
        </w:tblPrEx>
        <w:trPr>
          <w:trHeight w:val="21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15）社区消防符合安全要求。住宅楼有符合标准的消防设施。疏散通道、安全出口、楼道没有被占用、堵塞现象。</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确认没有消防通道，记1笔。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4</w:t>
            </w:r>
          </w:p>
        </w:tc>
      </w:tr>
      <w:tr>
        <w:tblPrEx>
          <w:tblLayout w:type="fixed"/>
          <w:tblCellMar>
            <w:top w:w="0" w:type="dxa"/>
            <w:left w:w="108" w:type="dxa"/>
            <w:bottom w:w="0" w:type="dxa"/>
            <w:right w:w="108" w:type="dxa"/>
          </w:tblCellMar>
        </w:tblPrEx>
        <w:trPr>
          <w:trHeight w:val="40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确认1处消防通道没有标识，记1笔。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42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发现1处消防通道不畅通，存在堵塞、占用现象，记1笔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0.1</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45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（1）院落公共区域、门卫室等处设有消防栓、灭火器、消防沙等消防设施，且功能完好。具有1项即符合要求，都没有即记1笔。（2）发现1个/处消防设施功能不完好（被损坏、不在保质期等），计扣1笔。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4</w:t>
            </w:r>
          </w:p>
        </w:tc>
      </w:tr>
      <w:tr>
        <w:tblPrEx>
          <w:tblLayout w:type="fixed"/>
          <w:tblCellMar>
            <w:top w:w="0" w:type="dxa"/>
            <w:left w:w="108" w:type="dxa"/>
            <w:bottom w:w="0" w:type="dxa"/>
            <w:right w:w="108" w:type="dxa"/>
          </w:tblCellMar>
        </w:tblPrEx>
        <w:trPr>
          <w:trHeight w:val="21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p>
        </w:tc>
        <w:tc>
          <w:tcPr>
            <w:tcW w:w="636" w:type="dxa"/>
            <w:tcBorders>
              <w:bottom w:val="single" w:color="000000" w:sz="4" w:space="0"/>
              <w:right w:val="single" w:color="000000" w:sz="4" w:space="0"/>
            </w:tcBorders>
            <w:noWrap w:val="0"/>
            <w:tcMar>
              <w:top w:w="0" w:type="dxa"/>
              <w:left w:w="108" w:type="dxa"/>
              <w:bottom w:w="0" w:type="dxa"/>
              <w:right w:w="108" w:type="dxa"/>
            </w:tcMar>
            <w:vAlign w:val="bottom"/>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108" w:type="dxa"/>
            <w:bottom w:w="0" w:type="dxa"/>
            <w:right w:w="108" w:type="dxa"/>
          </w:tblCellMar>
        </w:tblPrEx>
        <w:trPr>
          <w:trHeight w:val="51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16）社区技防符合安全要求。住宅楼有符合标准的防盗设施。院落围墙符合防盗要求。</w:t>
            </w: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（1）院落单元口前后、左右两侧的排水管等处都要安装防盗伞或打黄油等安全措施，发现1处排水管没有安装防盗伞或防盗伞已损坏，记1笔。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0.4</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4</w:t>
            </w:r>
          </w:p>
        </w:tc>
      </w:tr>
      <w:tr>
        <w:tblPrEx>
          <w:tblLayout w:type="fixed"/>
          <w:tblCellMar>
            <w:top w:w="0" w:type="dxa"/>
            <w:left w:w="108" w:type="dxa"/>
            <w:bottom w:w="0" w:type="dxa"/>
            <w:right w:w="108" w:type="dxa"/>
          </w:tblCellMar>
        </w:tblPrEx>
        <w:trPr>
          <w:trHeight w:val="495"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（2）院落楼栋单元口安装防盗门，且完好无损。发现1个单元门没有安装防盗门或者防盗门功能不完好（破损、损坏），记1笔。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2</w:t>
            </w:r>
          </w:p>
        </w:tc>
      </w:tr>
      <w:tr>
        <w:tblPrEx>
          <w:tblLayout w:type="fixed"/>
          <w:tblCellMar>
            <w:top w:w="0" w:type="dxa"/>
            <w:left w:w="108" w:type="dxa"/>
            <w:bottom w:w="0" w:type="dxa"/>
            <w:right w:w="108" w:type="dxa"/>
          </w:tblCellMar>
        </w:tblPrEx>
        <w:trPr>
          <w:trHeight w:val="624"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3）院落安装视频监控系统，且功能完好。若确认整个院落没有安装电子眼或者已安装电子眼，但监控设备并没有正常运行的，记1笔。然后随机抽查2-3个电子监控摄像头，观察是否功能完好。发现1处不符合，记1笔</w:t>
            </w:r>
          </w:p>
        </w:tc>
        <w:tc>
          <w:tcPr>
            <w:tcW w:w="636" w:type="dxa"/>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2</w:t>
            </w:r>
          </w:p>
        </w:tc>
      </w:tr>
      <w:tr>
        <w:tblPrEx>
          <w:tblLayout w:type="fixed"/>
          <w:tblCellMar>
            <w:top w:w="0" w:type="dxa"/>
            <w:left w:w="108" w:type="dxa"/>
            <w:bottom w:w="0" w:type="dxa"/>
            <w:right w:w="108" w:type="dxa"/>
          </w:tblCellMar>
        </w:tblPrEx>
        <w:trPr>
          <w:trHeight w:val="21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（4)围墙高度现场测量，高度不足1.8M记1笔。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restart"/>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4</w:t>
            </w:r>
          </w:p>
        </w:tc>
      </w:tr>
      <w:tr>
        <w:tblPrEx>
          <w:tblLayout w:type="fixed"/>
          <w:tblCellMar>
            <w:top w:w="0" w:type="dxa"/>
            <w:left w:w="108" w:type="dxa"/>
            <w:bottom w:w="0" w:type="dxa"/>
            <w:right w:w="108" w:type="dxa"/>
          </w:tblCellMar>
        </w:tblPrEx>
        <w:trPr>
          <w:trHeight w:val="420" w:hRule="atLeast"/>
        </w:trPr>
        <w:tc>
          <w:tcPr>
            <w:tcW w:w="828"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634"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sz w:val="28"/>
                <w:szCs w:val="28"/>
              </w:rPr>
            </w:pPr>
          </w:p>
        </w:tc>
        <w:tc>
          <w:tcPr>
            <w:tcW w:w="214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c>
          <w:tcPr>
            <w:tcW w:w="4540" w:type="dxa"/>
            <w:tcBorders>
              <w:bottom w:val="single" w:color="000000" w:sz="4" w:space="0"/>
              <w:right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r>
              <w:rPr>
                <w:rFonts w:hint="eastAsia" w:ascii="宋体" w:hAnsi="宋体" w:cs="宋体"/>
                <w:color w:val="000000"/>
                <w:sz w:val="28"/>
                <w:szCs w:val="28"/>
              </w:rPr>
              <w:t>（5）发现1处围墙缺损、失修现象（以人能够翻越、钻入为标准），记1笔。</w:t>
            </w:r>
          </w:p>
        </w:tc>
        <w:tc>
          <w:tcPr>
            <w:tcW w:w="636" w:type="dxa"/>
            <w:tcBorders>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r>
              <w:rPr>
                <w:rFonts w:hint="eastAsia" w:ascii="宋体" w:hAnsi="宋体" w:cs="宋体"/>
                <w:color w:val="000000"/>
                <w:sz w:val="28"/>
                <w:szCs w:val="28"/>
              </w:rPr>
              <w:t>0.2</w:t>
            </w:r>
          </w:p>
        </w:tc>
        <w:tc>
          <w:tcPr>
            <w:tcW w:w="683"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jc w:val="center"/>
              <w:rPr>
                <w:rFonts w:hint="eastAsia" w:ascii="宋体" w:hAnsi="宋体" w:cs="宋体"/>
                <w:color w:val="000000"/>
                <w:sz w:val="28"/>
                <w:szCs w:val="28"/>
              </w:rPr>
            </w:pPr>
          </w:p>
        </w:tc>
      </w:tr>
      <w:tr>
        <w:tblPrEx>
          <w:tblLayout w:type="fixed"/>
          <w:tblCellMar>
            <w:top w:w="0" w:type="dxa"/>
            <w:left w:w="0" w:type="dxa"/>
            <w:bottom w:w="0" w:type="dxa"/>
            <w:right w:w="0" w:type="dxa"/>
          </w:tblCellMar>
        </w:tblPrEx>
        <w:trPr>
          <w:trHeight w:val="70" w:hRule="atLeast"/>
        </w:trPr>
        <w:tc>
          <w:tcPr>
            <w:tcW w:w="9464" w:type="dxa"/>
            <w:gridSpan w:val="6"/>
            <w:tcBorders>
              <w:top w:val="single" w:color="000000" w:sz="4" w:space="0"/>
            </w:tcBorders>
            <w:noWrap w:val="0"/>
            <w:tcMar>
              <w:top w:w="0" w:type="dxa"/>
              <w:left w:w="108" w:type="dxa"/>
              <w:bottom w:w="0" w:type="dxa"/>
              <w:right w:w="108" w:type="dxa"/>
            </w:tcMar>
            <w:vAlign w:val="center"/>
          </w:tcPr>
          <w:p>
            <w:pPr>
              <w:rPr>
                <w:rFonts w:hint="eastAsia" w:ascii="宋体" w:hAnsi="宋体" w:cs="宋体"/>
                <w:color w:val="000000"/>
                <w:sz w:val="28"/>
                <w:szCs w:val="28"/>
              </w:rPr>
            </w:pPr>
          </w:p>
        </w:tc>
      </w:tr>
    </w:tbl>
    <w:p>
      <w:pPr>
        <w:pStyle w:val="6"/>
        <w:spacing w:before="0" w:after="0" w:line="360" w:lineRule="auto"/>
        <w:ind w:firstLine="495" w:firstLineChars="176"/>
        <w:rPr>
          <w:rFonts w:hint="eastAsia" w:ascii="宋体" w:hAnsi="宋体" w:eastAsia="宋体" w:cs="宋体"/>
          <w:sz w:val="28"/>
        </w:rPr>
      </w:pPr>
      <w:r>
        <w:rPr>
          <w:rFonts w:hint="eastAsia" w:ascii="宋体" w:hAnsi="宋体" w:eastAsia="宋体" w:cs="宋体"/>
          <w:sz w:val="28"/>
          <w:lang w:val="en-US" w:eastAsia="zh-CN"/>
        </w:rPr>
        <w:t>4</w:t>
      </w:r>
      <w:r>
        <w:rPr>
          <w:rFonts w:hint="eastAsia" w:ascii="宋体" w:hAnsi="宋体" w:eastAsia="宋体" w:cs="宋体"/>
          <w:sz w:val="28"/>
        </w:rPr>
        <w:t>.2 日常资料考核</w:t>
      </w:r>
    </w:p>
    <w:p>
      <w:pPr>
        <w:spacing w:line="360" w:lineRule="auto"/>
        <w:ind w:firstLine="660" w:firstLineChars="236"/>
        <w:rPr>
          <w:rFonts w:hint="eastAsia" w:ascii="宋体" w:hAnsi="宋体" w:cs="宋体"/>
          <w:sz w:val="28"/>
          <w:szCs w:val="28"/>
        </w:rPr>
      </w:pPr>
      <w:r>
        <w:rPr>
          <w:rFonts w:hint="eastAsia" w:ascii="宋体" w:hAnsi="宋体" w:cs="宋体"/>
          <w:sz w:val="28"/>
          <w:szCs w:val="28"/>
        </w:rPr>
        <w:t>按照采购人要求，每日上报工作动态；年终资料考核等并纳入考评。</w:t>
      </w:r>
    </w:p>
    <w:p>
      <w:pPr>
        <w:pStyle w:val="6"/>
        <w:spacing w:before="0" w:after="0" w:line="360" w:lineRule="auto"/>
        <w:ind w:firstLine="495" w:firstLineChars="176"/>
        <w:rPr>
          <w:rFonts w:hint="eastAsia" w:ascii="宋体" w:hAnsi="宋体" w:eastAsia="宋体" w:cs="宋体"/>
          <w:sz w:val="28"/>
        </w:rPr>
      </w:pPr>
      <w:r>
        <w:rPr>
          <w:rFonts w:hint="eastAsia" w:ascii="宋体" w:hAnsi="宋体" w:eastAsia="宋体" w:cs="宋体"/>
          <w:sz w:val="28"/>
          <w:lang w:val="en-US" w:eastAsia="zh-CN"/>
        </w:rPr>
        <w:t>4</w:t>
      </w:r>
      <w:r>
        <w:rPr>
          <w:rFonts w:hint="eastAsia" w:ascii="宋体" w:hAnsi="宋体" w:eastAsia="宋体" w:cs="宋体"/>
          <w:sz w:val="28"/>
        </w:rPr>
        <w:t>.3 考核标准的应用</w:t>
      </w:r>
    </w:p>
    <w:p>
      <w:pPr>
        <w:spacing w:line="360" w:lineRule="auto"/>
        <w:ind w:firstLine="495" w:firstLineChars="177"/>
        <w:rPr>
          <w:rFonts w:hint="eastAsia" w:ascii="宋体" w:hAnsi="宋体" w:cs="宋体"/>
          <w:sz w:val="28"/>
          <w:szCs w:val="28"/>
        </w:rPr>
      </w:pPr>
      <w:r>
        <w:rPr>
          <w:rFonts w:hint="eastAsia" w:ascii="宋体" w:hAnsi="宋体" w:cs="宋体"/>
          <w:sz w:val="28"/>
          <w:szCs w:val="28"/>
        </w:rPr>
        <w:t>由天彭街道物业管理办公室组织考评，考评方式采取日常考评和月考评，考评项目对清扫保洁服务效果、及时性等进行考评。</w:t>
      </w:r>
    </w:p>
    <w:p>
      <w:pPr>
        <w:spacing w:line="360" w:lineRule="auto"/>
        <w:ind w:firstLine="495" w:firstLineChars="177"/>
        <w:rPr>
          <w:rFonts w:hint="eastAsia" w:ascii="宋体" w:hAnsi="宋体" w:cs="宋体"/>
          <w:sz w:val="28"/>
          <w:szCs w:val="28"/>
        </w:rPr>
      </w:pPr>
      <w:r>
        <w:rPr>
          <w:rFonts w:hint="eastAsia" w:ascii="宋体" w:hAnsi="宋体" w:cs="宋体"/>
          <w:sz w:val="28"/>
          <w:szCs w:val="28"/>
        </w:rPr>
        <w:t>日常考评根据各项服务日常检查和满意度测评对服务质量进行的考核。考核部门对检查结果进行汇总，以备在每月项服务费用支付时扣除。</w:t>
      </w:r>
    </w:p>
    <w:p>
      <w:pPr>
        <w:spacing w:line="360" w:lineRule="auto"/>
        <w:ind w:firstLine="495" w:firstLineChars="177"/>
        <w:rPr>
          <w:rFonts w:hint="eastAsia" w:ascii="宋体" w:hAnsi="宋体" w:cs="宋体"/>
          <w:sz w:val="28"/>
          <w:szCs w:val="28"/>
        </w:rPr>
      </w:pPr>
      <w:r>
        <w:rPr>
          <w:rFonts w:hint="eastAsia" w:ascii="宋体" w:hAnsi="宋体" w:cs="宋体"/>
          <w:sz w:val="28"/>
          <w:szCs w:val="28"/>
        </w:rPr>
        <w:t>月考评：月考评作为支付当月服务费的主要依据，根据采购人的各单项考评打分及综合评分支付单月服务费。</w:t>
      </w:r>
    </w:p>
    <w:p>
      <w:pPr>
        <w:spacing w:line="360" w:lineRule="auto"/>
        <w:ind w:firstLine="495" w:firstLineChars="177"/>
        <w:rPr>
          <w:rFonts w:hint="eastAsia" w:ascii="宋体" w:hAnsi="宋体" w:cs="宋体"/>
          <w:sz w:val="28"/>
          <w:szCs w:val="28"/>
        </w:rPr>
      </w:pPr>
      <w:r>
        <w:rPr>
          <w:rFonts w:hint="eastAsia" w:ascii="宋体" w:hAnsi="宋体" w:cs="宋体"/>
          <w:sz w:val="28"/>
          <w:szCs w:val="28"/>
        </w:rPr>
        <w:t>各项服务考评细则由采购人制定和执行。月综合考评得分95分以上的，当月的服务费按合同金额全额向供应商支付；当月综合平均得分低于95分（不含），则每0.5分扣除500元服务费，供应商须提供问题整改报告；每年度月考核中有三个月或连续两个月得分低于90分，视为年度考核不合格，甲方有权终止合同，由此产生的经济损失由乙方自行承担。</w:t>
      </w:r>
    </w:p>
    <w:p>
      <w:pPr>
        <w:pStyle w:val="5"/>
        <w:spacing w:before="100" w:beforeAutospacing="1" w:after="100" w:afterAutospacing="1"/>
        <w:ind w:firstLine="562" w:firstLineChars="200"/>
        <w:rPr>
          <w:rFonts w:hint="eastAsia" w:ascii="宋体" w:hAnsi="宋体" w:cs="宋体"/>
          <w:sz w:val="28"/>
          <w:szCs w:val="28"/>
        </w:rPr>
      </w:pPr>
      <w:r>
        <w:rPr>
          <w:rFonts w:hint="eastAsia" w:ascii="宋体" w:hAnsi="宋体" w:cs="宋体"/>
          <w:sz w:val="28"/>
          <w:szCs w:val="28"/>
          <w:lang w:val="en-US" w:eastAsia="zh-CN"/>
        </w:rPr>
        <w:t>5</w:t>
      </w:r>
      <w:r>
        <w:rPr>
          <w:rFonts w:hint="eastAsia" w:ascii="宋体" w:hAnsi="宋体" w:cs="宋体"/>
          <w:sz w:val="28"/>
          <w:szCs w:val="28"/>
        </w:rPr>
        <w:t>、商务要求：</w:t>
      </w:r>
    </w:p>
    <w:p>
      <w:pPr>
        <w:spacing w:line="360" w:lineRule="auto"/>
        <w:ind w:firstLine="560" w:firstLineChars="200"/>
        <w:rPr>
          <w:rFonts w:hint="eastAsia" w:ascii="宋体" w:hAnsi="宋体" w:cs="宋体"/>
          <w:sz w:val="28"/>
          <w:szCs w:val="28"/>
        </w:rPr>
      </w:pPr>
      <w:r>
        <w:rPr>
          <w:rFonts w:hint="eastAsia" w:ascii="宋体" w:hAnsi="宋体" w:cs="宋体"/>
          <w:sz w:val="28"/>
          <w:szCs w:val="28"/>
          <w:lang w:val="en-US" w:eastAsia="zh-CN"/>
        </w:rPr>
        <w:t>5</w:t>
      </w:r>
      <w:r>
        <w:rPr>
          <w:rFonts w:hint="eastAsia" w:ascii="宋体" w:hAnsi="宋体" w:cs="宋体"/>
          <w:sz w:val="28"/>
          <w:szCs w:val="28"/>
        </w:rPr>
        <w:t>.1 服务期限：本项目一招两年，一次性签订2年服务合同。（签订合同时约定具体的起止时间）。</w:t>
      </w:r>
    </w:p>
    <w:p>
      <w:pPr>
        <w:spacing w:line="360" w:lineRule="auto"/>
        <w:ind w:firstLine="560" w:firstLineChars="200"/>
        <w:rPr>
          <w:rFonts w:hint="eastAsia" w:ascii="宋体" w:hAnsi="宋体" w:cs="宋体"/>
          <w:color w:val="000000"/>
          <w:sz w:val="28"/>
          <w:szCs w:val="28"/>
        </w:rPr>
      </w:pPr>
      <w:r>
        <w:rPr>
          <w:rFonts w:hint="eastAsia" w:ascii="宋体" w:hAnsi="宋体" w:cs="宋体"/>
          <w:color w:val="000000"/>
          <w:sz w:val="28"/>
          <w:szCs w:val="28"/>
          <w:lang w:val="en-US" w:eastAsia="zh-CN"/>
        </w:rPr>
        <w:t>5</w:t>
      </w:r>
      <w:r>
        <w:rPr>
          <w:rFonts w:hint="eastAsia" w:ascii="宋体" w:hAnsi="宋体" w:cs="宋体"/>
          <w:color w:val="000000"/>
          <w:sz w:val="28"/>
          <w:szCs w:val="28"/>
        </w:rPr>
        <w:t>.2 付款方式：按月结算，根据每月考核结果支付费用。具体支付细节采购双方根据合同约定执行。</w:t>
      </w:r>
    </w:p>
    <w:p>
      <w:pPr>
        <w:spacing w:line="360" w:lineRule="auto"/>
        <w:ind w:firstLine="560" w:firstLineChars="200"/>
        <w:rPr>
          <w:rFonts w:hint="eastAsia" w:ascii="宋体" w:hAnsi="宋体" w:cs="宋体"/>
          <w:color w:val="000000"/>
          <w:sz w:val="28"/>
          <w:szCs w:val="28"/>
        </w:rPr>
      </w:pPr>
      <w:r>
        <w:rPr>
          <w:rFonts w:hint="eastAsia" w:ascii="宋体" w:hAnsi="宋体" w:cs="宋体"/>
          <w:color w:val="000000"/>
          <w:sz w:val="28"/>
          <w:szCs w:val="28"/>
          <w:lang w:val="en-US" w:eastAsia="zh-CN"/>
        </w:rPr>
        <w:t>5</w:t>
      </w:r>
      <w:r>
        <w:rPr>
          <w:rFonts w:hint="eastAsia" w:ascii="宋体" w:hAnsi="宋体" w:cs="宋体"/>
          <w:color w:val="000000"/>
          <w:sz w:val="28"/>
          <w:szCs w:val="28"/>
        </w:rPr>
        <w:t>.3 验收标准：</w:t>
      </w:r>
    </w:p>
    <w:p>
      <w:pPr>
        <w:spacing w:line="360" w:lineRule="auto"/>
        <w:ind w:firstLine="560" w:firstLineChars="200"/>
        <w:contextualSpacing/>
        <w:rPr>
          <w:rFonts w:hint="eastAsia" w:ascii="宋体" w:hAnsi="宋体" w:cs="宋体"/>
          <w:sz w:val="28"/>
          <w:szCs w:val="28"/>
        </w:rPr>
      </w:pPr>
      <w:r>
        <w:rPr>
          <w:rFonts w:hint="eastAsia" w:ascii="宋体" w:hAnsi="宋体" w:cs="宋体"/>
          <w:sz w:val="28"/>
          <w:szCs w:val="28"/>
        </w:rPr>
        <w:t>由采购人组织，验收分为3次，按照初验、复验、终验三个环节进行验收。成交人与采购人应严格按照《财政部关于进一步加强政府采购需求和履约验收管理的指导意见》（财库〔2016〕205号）</w:t>
      </w:r>
      <w:r>
        <w:rPr>
          <w:rFonts w:hint="eastAsia" w:ascii="宋体" w:hAnsi="宋体" w:cs="宋体"/>
          <w:sz w:val="28"/>
          <w:szCs w:val="28"/>
          <w:lang w:val="en-US" w:eastAsia="zh-CN"/>
        </w:rPr>
        <w:t>等相关规定</w:t>
      </w:r>
      <w:r>
        <w:rPr>
          <w:rFonts w:hint="eastAsia" w:ascii="宋体" w:hAnsi="宋体" w:cs="宋体"/>
          <w:sz w:val="28"/>
          <w:szCs w:val="28"/>
        </w:rPr>
        <w:t>的要求进行验收。</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初验：成交人应在双方签订合同后7个工作日内，将所投入服务人员经采购人确认进行定岗、定责及上岗培训作为初验，初验合格后才能按合同内容履行服务。</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复验：采购人根据本项目考核办法及标准对成交人进行每月服务达标考核，考核合格后采购人在成交人提供的考核合格表上签字盖章作为年度考核的佐证材料。</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终验：项目服务年度结束前15日内成交人向采购人提出终验申请，采购人根据成交人每月的考核合格表及年度考核所需材料组织验收。</w:t>
      </w:r>
    </w:p>
    <w:p>
      <w:pPr>
        <w:pStyle w:val="2"/>
        <w:rPr>
          <w:rFonts w:hint="eastAsia"/>
        </w:rPr>
      </w:pPr>
    </w:p>
    <w:bookmarkEnd w:id="222"/>
    <w:p>
      <w:pPr>
        <w:pStyle w:val="5"/>
        <w:numPr>
          <w:ilvl w:val="0"/>
          <w:numId w:val="0"/>
        </w:numPr>
        <w:spacing w:after="200" w:line="560" w:lineRule="exact"/>
        <w:ind w:leftChars="0" w:firstLine="562" w:firstLineChars="200"/>
        <w:rPr>
          <w:rFonts w:ascii="宋体" w:hAnsi="宋体"/>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报价要求</w:t>
      </w:r>
    </w:p>
    <w:p>
      <w:pPr>
        <w:pStyle w:val="84"/>
        <w:tabs>
          <w:tab w:val="left" w:pos="993"/>
          <w:tab w:val="left" w:pos="1134"/>
        </w:tabs>
        <w:spacing w:line="560" w:lineRule="exact"/>
        <w:ind w:firstLine="565" w:firstLineChars="201"/>
        <w:rPr>
          <w:rFonts w:ascii="宋体" w:hAnsi="宋体"/>
          <w:color w:val="000000" w:themeColor="text1"/>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★本项目最高限价为人民币</w:t>
      </w:r>
      <w:r>
        <w:rPr>
          <w:rFonts w:hint="eastAsia" w:ascii="宋体" w:hAnsi="宋体" w:eastAsia="宋体"/>
          <w:b/>
          <w:color w:val="000000" w:themeColor="text1"/>
          <w:sz w:val="28"/>
          <w:szCs w:val="28"/>
          <w:lang w:val="en-US" w:eastAsia="zh-CN"/>
          <w14:textFill>
            <w14:solidFill>
              <w14:schemeClr w14:val="tx1"/>
            </w14:solidFill>
          </w14:textFill>
        </w:rPr>
        <w:t>2872600</w:t>
      </w:r>
      <w:r>
        <w:rPr>
          <w:rFonts w:hint="eastAsia" w:ascii="宋体" w:hAnsi="宋体" w:eastAsia="宋体"/>
          <w:b/>
          <w:color w:val="000000" w:themeColor="text1"/>
          <w:sz w:val="28"/>
          <w:szCs w:val="28"/>
          <w14:textFill>
            <w14:solidFill>
              <w14:schemeClr w14:val="tx1"/>
            </w14:solidFill>
          </w14:textFill>
        </w:rPr>
        <w:t>元，采购服务期</w:t>
      </w:r>
      <w:r>
        <w:rPr>
          <w:rFonts w:hint="eastAsia" w:ascii="宋体" w:hAnsi="宋体" w:eastAsia="宋体"/>
          <w:b/>
          <w:color w:val="000000" w:themeColor="text1"/>
          <w:sz w:val="28"/>
          <w:szCs w:val="28"/>
          <w:lang w:val="en-US" w:eastAsia="zh-CN"/>
          <w14:textFill>
            <w14:solidFill>
              <w14:schemeClr w14:val="tx1"/>
            </w14:solidFill>
          </w14:textFill>
        </w:rPr>
        <w:t>2</w:t>
      </w:r>
      <w:r>
        <w:rPr>
          <w:rFonts w:hint="eastAsia" w:ascii="宋体" w:hAnsi="宋体" w:eastAsia="宋体"/>
          <w:b/>
          <w:color w:val="000000" w:themeColor="text1"/>
          <w:sz w:val="28"/>
          <w:szCs w:val="28"/>
          <w14:textFill>
            <w14:solidFill>
              <w14:schemeClr w14:val="tx1"/>
            </w14:solidFill>
          </w14:textFill>
        </w:rPr>
        <w:t>年</w:t>
      </w:r>
      <w:r>
        <w:rPr>
          <w:rFonts w:hint="eastAsia" w:ascii="宋体" w:hAnsi="宋体" w:eastAsia="宋体"/>
          <w:b/>
          <w:color w:val="000000" w:themeColor="text1"/>
          <w:sz w:val="28"/>
          <w:szCs w:val="28"/>
          <w:lang w:val="en-US" w:eastAsia="zh-CN"/>
          <w14:textFill>
            <w14:solidFill>
              <w14:schemeClr w14:val="tx1"/>
            </w14:solidFill>
          </w14:textFill>
        </w:rPr>
        <w:t>.</w:t>
      </w:r>
      <w:r>
        <w:rPr>
          <w:rFonts w:hint="eastAsia" w:ascii="宋体" w:hAnsi="宋体" w:eastAsia="宋体"/>
          <w:b/>
          <w:color w:val="000000" w:themeColor="text1"/>
          <w:sz w:val="28"/>
          <w:szCs w:val="28"/>
          <w14:textFill>
            <w14:solidFill>
              <w14:schemeClr w14:val="tx1"/>
            </w14:solidFill>
          </w14:textFill>
        </w:rPr>
        <w:t>投标人投标报价高于最高限价的，则其投标文件将按无效投标文件处理。</w:t>
      </w:r>
    </w:p>
    <w:p>
      <w:pPr>
        <w:pStyle w:val="84"/>
        <w:tabs>
          <w:tab w:val="left" w:pos="993"/>
          <w:tab w:val="left" w:pos="1134"/>
        </w:tabs>
        <w:spacing w:line="560" w:lineRule="exact"/>
        <w:ind w:firstLine="568" w:firstLineChars="202"/>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bookmarkEnd w:id="223"/>
    <w:bookmarkEnd w:id="224"/>
    <w:bookmarkEnd w:id="225"/>
    <w:bookmarkEnd w:id="226"/>
    <w:bookmarkEnd w:id="227"/>
    <w:p>
      <w:pPr>
        <w:pStyle w:val="3"/>
        <w:numPr>
          <w:ilvl w:val="0"/>
          <w:numId w:val="3"/>
        </w:numPr>
        <w:spacing w:before="0" w:after="0" w:line="360" w:lineRule="auto"/>
        <w:ind w:left="0" w:firstLine="0"/>
        <w:rPr>
          <w:color w:val="000000" w:themeColor="text1"/>
          <w14:textFill>
            <w14:solidFill>
              <w14:schemeClr w14:val="tx1"/>
            </w14:solidFill>
          </w14:textFill>
        </w:rPr>
      </w:pPr>
      <w:bookmarkStart w:id="229" w:name="_Toc75336306"/>
      <w:bookmarkStart w:id="230" w:name="_Toc10524"/>
      <w:bookmarkStart w:id="231" w:name="_Toc1676"/>
      <w:bookmarkStart w:id="232" w:name="_Toc7093"/>
      <w:bookmarkStart w:id="233" w:name="_Toc7800"/>
      <w:r>
        <w:rPr>
          <w:rFonts w:hint="eastAsia"/>
          <w:color w:val="000000" w:themeColor="text1"/>
          <w14:textFill>
            <w14:solidFill>
              <w14:schemeClr w14:val="tx1"/>
            </w14:solidFill>
          </w14:textFill>
        </w:rPr>
        <w:t>资格性审查</w:t>
      </w:r>
      <w:bookmarkEnd w:id="229"/>
      <w:bookmarkEnd w:id="230"/>
      <w:bookmarkEnd w:id="231"/>
      <w:bookmarkEnd w:id="232"/>
      <w:bookmarkEnd w:id="233"/>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资格性审查时因断电、断网、系统故障或其他不可抗力等因素，导致资格审查小组无法通过系统阅读投标文件进行审查的，待系统恢复后继续审查。资格性审查标准见下表：</w:t>
      </w:r>
    </w:p>
    <w:tbl>
      <w:tblPr>
        <w:tblStyle w:val="43"/>
        <w:tblW w:w="8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96"/>
        <w:gridCol w:w="1592"/>
        <w:gridCol w:w="5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9" w:hRule="atLeast"/>
        </w:trPr>
        <w:tc>
          <w:tcPr>
            <w:tcW w:w="2750"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4"/>
                <w:szCs w:val="24"/>
              </w:rPr>
            </w:pPr>
            <w:r>
              <w:rPr>
                <w:rFonts w:hint="eastAsia"/>
                <w:b/>
                <w:sz w:val="24"/>
                <w:szCs w:val="24"/>
              </w:rPr>
              <w:t>资格性审查项</w:t>
            </w:r>
          </w:p>
        </w:tc>
        <w:tc>
          <w:tcPr>
            <w:tcW w:w="5936"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4"/>
                <w:szCs w:val="24"/>
              </w:rPr>
            </w:pPr>
            <w:r>
              <w:rPr>
                <w:rFonts w:hint="eastAsia"/>
                <w:b/>
                <w:sz w:val="24"/>
                <w:szCs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4"/>
                <w:szCs w:val="24"/>
              </w:rPr>
            </w:pPr>
            <w:r>
              <w:rPr>
                <w:sz w:val="24"/>
                <w:szCs w:val="24"/>
              </w:rPr>
              <w:t>1</w:t>
            </w:r>
          </w:p>
        </w:tc>
        <w:tc>
          <w:tcPr>
            <w:tcW w:w="208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在中华人民共和国境内依法登记注册，并有效存续具有独立法人资格的供应商</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营业执照复印件（正本或副本）或法人证书复印件（正本或副本）。【说明：</w:t>
            </w:r>
            <w:r>
              <w:rPr>
                <w:rFonts w:hint="eastAsia" w:ascii="宋体" w:hAnsi="宋体"/>
                <w:sz w:val="24"/>
                <w:szCs w:val="24"/>
              </w:rPr>
              <w:t>①</w:t>
            </w:r>
            <w:r>
              <w:rPr>
                <w:rFonts w:hint="eastAsia"/>
                <w:sz w:val="24"/>
                <w:szCs w:val="24"/>
              </w:rPr>
              <w:t>营业执照或法人证书载明有期限的，应在有效期限内；</w:t>
            </w:r>
            <w:r>
              <w:rPr>
                <w:rFonts w:hint="eastAsia" w:ascii="宋体" w:hAnsi="宋体"/>
                <w:sz w:val="24"/>
                <w:szCs w:val="24"/>
              </w:rPr>
              <w:t>②</w:t>
            </w:r>
            <w:r>
              <w:rPr>
                <w:rFonts w:hint="eastAsia"/>
                <w:sz w:val="24"/>
                <w:szCs w:val="24"/>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4"/>
                <w:szCs w:val="24"/>
              </w:rPr>
            </w:pPr>
            <w:r>
              <w:rPr>
                <w:sz w:val="24"/>
                <w:szCs w:val="24"/>
              </w:rPr>
              <w:t>2</w:t>
            </w:r>
          </w:p>
        </w:tc>
        <w:tc>
          <w:tcPr>
            <w:tcW w:w="496"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书面声明材料</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具有良好的商业信誉的证明材料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投标人具有良好的商业信誉的书面声明材</w:t>
            </w:r>
            <w:r>
              <w:rPr>
                <w:rFonts w:hint="eastAsia" w:ascii="宋体" w:hAnsi="宋体"/>
                <w:sz w:val="24"/>
                <w:szCs w:val="24"/>
              </w:rPr>
              <w:t>料。【说明：①按招标文件第</w:t>
            </w:r>
            <w:r>
              <w:rPr>
                <w:rFonts w:ascii="宋体" w:hAnsi="宋体"/>
                <w:sz w:val="24"/>
                <w:szCs w:val="24"/>
              </w:rPr>
              <w:t>3</w:t>
            </w:r>
            <w:r>
              <w:rPr>
                <w:rFonts w:hint="eastAsia" w:ascii="宋体" w:hAnsi="宋体"/>
                <w:sz w:val="24"/>
                <w:szCs w:val="24"/>
              </w:rPr>
              <w:t>章的内容及要求提供书面声明材料；②供应商具有良好的商业信誉</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参加政府采购活动前三年内，在经营活动中没有重大违法记录</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sz w:val="24"/>
                <w:szCs w:val="24"/>
              </w:rPr>
              <w:t>1.</w:t>
            </w:r>
            <w:r>
              <w:rPr>
                <w:rFonts w:hint="eastAsia"/>
                <w:sz w:val="24"/>
                <w:szCs w:val="24"/>
              </w:rPr>
              <w:t>投标人参加政府采购活动前三年内，在经营活动中没有重大违法记录的书面声明材料。【说明：</w:t>
            </w:r>
            <w:r>
              <w:rPr>
                <w:rFonts w:hint="eastAsia" w:ascii="宋体" w:hAnsi="宋体"/>
                <w:sz w:val="24"/>
                <w:szCs w:val="24"/>
              </w:rPr>
              <w:t>①按招标文件第</w:t>
            </w:r>
            <w:r>
              <w:rPr>
                <w:rFonts w:ascii="宋体" w:hAnsi="宋体"/>
                <w:sz w:val="24"/>
                <w:szCs w:val="24"/>
              </w:rPr>
              <w:t>3</w:t>
            </w:r>
            <w:r>
              <w:rPr>
                <w:rFonts w:hint="eastAsia" w:ascii="宋体" w:hAnsi="宋体"/>
                <w:sz w:val="24"/>
                <w:szCs w:val="24"/>
              </w:rPr>
              <w:t>章的内容及要求提供书面声明材料；②供应商参加政府采购活动前三年内，在经营活动中没有重大违法记录</w:t>
            </w:r>
            <w:r>
              <w:rPr>
                <w:rFonts w:hint="eastAsia"/>
                <w:sz w:val="24"/>
                <w:szCs w:val="24"/>
              </w:rPr>
              <w:t>。】</w:t>
            </w:r>
          </w:p>
          <w:p>
            <w:pPr>
              <w:tabs>
                <w:tab w:val="left" w:pos="851"/>
              </w:tabs>
              <w:spacing w:line="360" w:lineRule="auto"/>
              <w:rPr>
                <w:sz w:val="24"/>
                <w:szCs w:val="24"/>
              </w:rPr>
            </w:pPr>
            <w:r>
              <w:rPr>
                <w:sz w:val="24"/>
                <w:szCs w:val="24"/>
              </w:rPr>
              <w:t xml:space="preserve">2. </w:t>
            </w:r>
            <w:r>
              <w:rPr>
                <w:rFonts w:hint="eastAsia"/>
                <w:sz w:val="24"/>
                <w:szCs w:val="24"/>
              </w:rPr>
              <w:t>资格审查小组根据</w:t>
            </w:r>
            <w:r>
              <w:rPr>
                <w:sz w:val="24"/>
                <w:szCs w:val="24"/>
              </w:rPr>
              <w:t>“</w:t>
            </w:r>
            <w:r>
              <w:rPr>
                <w:rFonts w:hint="eastAsia"/>
                <w:sz w:val="24"/>
                <w:szCs w:val="24"/>
              </w:rPr>
              <w:t>信用中国</w:t>
            </w:r>
            <w:r>
              <w:rPr>
                <w:sz w:val="24"/>
                <w:szCs w:val="24"/>
              </w:rPr>
              <w:t>”</w:t>
            </w:r>
            <w:r>
              <w:rPr>
                <w:rFonts w:hint="eastAsia"/>
                <w:sz w:val="24"/>
                <w:szCs w:val="24"/>
              </w:rPr>
              <w:t>和</w:t>
            </w:r>
            <w:r>
              <w:rPr>
                <w:sz w:val="24"/>
                <w:szCs w:val="24"/>
              </w:rPr>
              <w:t>“</w:t>
            </w:r>
            <w:r>
              <w:rPr>
                <w:rFonts w:hint="eastAsia"/>
                <w:sz w:val="24"/>
                <w:szCs w:val="24"/>
              </w:rPr>
              <w:t>中国政府采购网</w:t>
            </w:r>
            <w:r>
              <w:rPr>
                <w:sz w:val="24"/>
                <w:szCs w:val="24"/>
              </w:rPr>
              <w:t>”</w:t>
            </w:r>
            <w:r>
              <w:rPr>
                <w:rFonts w:hint="eastAsia"/>
                <w:sz w:val="24"/>
                <w:szCs w:val="24"/>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未被列入失信被执行人、重大税收违法案件当事人名单、政府采购严重违法失信行为记录名单</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sz w:val="24"/>
                <w:szCs w:val="24"/>
              </w:rPr>
              <w:t>1.</w:t>
            </w:r>
            <w:r>
              <w:rPr>
                <w:rFonts w:hint="eastAsia"/>
                <w:sz w:val="24"/>
                <w:szCs w:val="24"/>
              </w:rPr>
              <w:t>投标人未列入失信被执行人、重大税收违法案件当事人名单、政府采购严重违法失信行为记录名单的书面声明材料。【说明：</w:t>
            </w:r>
            <w:r>
              <w:rPr>
                <w:rFonts w:hint="eastAsia" w:ascii="宋体" w:hAnsi="宋体"/>
                <w:sz w:val="24"/>
                <w:szCs w:val="24"/>
              </w:rPr>
              <w:t>①</w:t>
            </w:r>
            <w:r>
              <w:rPr>
                <w:rFonts w:hint="eastAsia"/>
                <w:sz w:val="24"/>
                <w:szCs w:val="24"/>
              </w:rPr>
              <w:t>投标人未列入失信被执行人、重大税收违法案件当事人名单、政府采购严重违法失信行为记录名单；</w:t>
            </w:r>
            <w:r>
              <w:rPr>
                <w:rFonts w:hint="eastAsia" w:ascii="宋体" w:hAnsi="宋体"/>
                <w:sz w:val="24"/>
                <w:szCs w:val="24"/>
              </w:rPr>
              <w:t>②按招标文件第</w:t>
            </w:r>
            <w:r>
              <w:rPr>
                <w:rFonts w:ascii="宋体" w:hAnsi="宋体"/>
                <w:sz w:val="24"/>
                <w:szCs w:val="24"/>
              </w:rPr>
              <w:t>3</w:t>
            </w:r>
            <w:r>
              <w:rPr>
                <w:rFonts w:hint="eastAsia" w:ascii="宋体" w:hAnsi="宋体"/>
                <w:sz w:val="24"/>
                <w:szCs w:val="24"/>
              </w:rPr>
              <w:t>章的内容及要求提供书面声明材料。</w:t>
            </w:r>
            <w:r>
              <w:rPr>
                <w:rFonts w:hint="eastAsia"/>
                <w:sz w:val="24"/>
                <w:szCs w:val="24"/>
              </w:rPr>
              <w:t>】</w:t>
            </w:r>
          </w:p>
          <w:p>
            <w:pPr>
              <w:tabs>
                <w:tab w:val="left" w:pos="851"/>
              </w:tabs>
              <w:spacing w:line="360" w:lineRule="auto"/>
              <w:rPr>
                <w:sz w:val="24"/>
                <w:szCs w:val="24"/>
              </w:rPr>
            </w:pPr>
            <w:r>
              <w:rPr>
                <w:sz w:val="24"/>
                <w:szCs w:val="24"/>
              </w:rPr>
              <w:t xml:space="preserve">2. </w:t>
            </w:r>
            <w:r>
              <w:rPr>
                <w:rFonts w:hint="eastAsia"/>
                <w:sz w:val="24"/>
                <w:szCs w:val="24"/>
              </w:rPr>
              <w:t>资格审查小组根据</w:t>
            </w:r>
            <w:r>
              <w:rPr>
                <w:sz w:val="24"/>
                <w:szCs w:val="24"/>
              </w:rPr>
              <w:t>“</w:t>
            </w:r>
            <w:r>
              <w:rPr>
                <w:rFonts w:hint="eastAsia"/>
                <w:sz w:val="24"/>
                <w:szCs w:val="24"/>
              </w:rPr>
              <w:t>信用中国</w:t>
            </w:r>
            <w:r>
              <w:rPr>
                <w:sz w:val="24"/>
                <w:szCs w:val="24"/>
              </w:rPr>
              <w:t>”</w:t>
            </w:r>
            <w:r>
              <w:rPr>
                <w:rFonts w:hint="eastAsia"/>
                <w:sz w:val="24"/>
                <w:szCs w:val="24"/>
              </w:rPr>
              <w:t>和</w:t>
            </w:r>
            <w:r>
              <w:rPr>
                <w:sz w:val="24"/>
                <w:szCs w:val="24"/>
              </w:rPr>
              <w:t>“</w:t>
            </w:r>
            <w:r>
              <w:rPr>
                <w:rFonts w:hint="eastAsia"/>
                <w:sz w:val="24"/>
                <w:szCs w:val="24"/>
              </w:rPr>
              <w:t>中国政府采购网</w:t>
            </w:r>
            <w:r>
              <w:rPr>
                <w:sz w:val="24"/>
                <w:szCs w:val="24"/>
              </w:rPr>
              <w:t>”</w:t>
            </w:r>
            <w:r>
              <w:rPr>
                <w:rFonts w:hint="eastAsia"/>
                <w:sz w:val="24"/>
                <w:szCs w:val="24"/>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未处于被行政部门禁止参与政府采购活动的期限内</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投标人未处于被行政部门禁止参与政府采购活动的期限内。【说明：</w:t>
            </w:r>
            <w:r>
              <w:rPr>
                <w:rFonts w:hint="eastAsia" w:ascii="宋体" w:hAnsi="宋体"/>
                <w:sz w:val="24"/>
                <w:szCs w:val="24"/>
              </w:rPr>
              <w:t>①按招标文件第</w:t>
            </w:r>
            <w:r>
              <w:rPr>
                <w:rFonts w:ascii="宋体" w:hAnsi="宋体"/>
                <w:sz w:val="24"/>
                <w:szCs w:val="24"/>
              </w:rPr>
              <w:t>3</w:t>
            </w:r>
            <w:r>
              <w:rPr>
                <w:rFonts w:hint="eastAsia" w:ascii="宋体" w:hAnsi="宋体"/>
                <w:sz w:val="24"/>
                <w:szCs w:val="24"/>
              </w:rPr>
              <w:t>章的内容及要求提供书面声明材料；②供应商未处于被行政部门禁止参与政府采购活动的期限内。</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行贿犯罪记录</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在行贿犯罪信息查询期限内，投标人及其现任法定代表人、主要负责人没有行贿犯罪记录的书面声明材料。【说明：</w:t>
            </w:r>
            <w:r>
              <w:rPr>
                <w:rFonts w:hint="eastAsia" w:ascii="宋体" w:hAnsi="宋体"/>
                <w:sz w:val="24"/>
                <w:szCs w:val="24"/>
              </w:rPr>
              <w:t>①按招标文件第</w:t>
            </w:r>
            <w:r>
              <w:rPr>
                <w:rFonts w:ascii="宋体" w:hAnsi="宋体"/>
                <w:sz w:val="24"/>
                <w:szCs w:val="24"/>
              </w:rPr>
              <w:t>3</w:t>
            </w:r>
            <w:r>
              <w:rPr>
                <w:rFonts w:hint="eastAsia" w:ascii="宋体" w:hAnsi="宋体"/>
                <w:sz w:val="24"/>
                <w:szCs w:val="24"/>
              </w:rPr>
              <w:t>章的内容及要求提供书面声明材料，</w:t>
            </w:r>
            <w:r>
              <w:rPr>
                <w:rFonts w:hint="eastAsia"/>
                <w:sz w:val="24"/>
                <w:szCs w:val="24"/>
              </w:rPr>
              <w:t>投标文件中不需提供中国裁判文书网（</w:t>
            </w:r>
            <w:r>
              <w:rPr>
                <w:sz w:val="24"/>
                <w:szCs w:val="24"/>
              </w:rPr>
              <w:t>https://wenshu.court.gov.cn</w:t>
            </w:r>
            <w:r>
              <w:rPr>
                <w:rFonts w:hint="eastAsia"/>
                <w:sz w:val="24"/>
                <w:szCs w:val="24"/>
              </w:rPr>
              <w:t>）查询结果的证明材料；</w:t>
            </w:r>
            <w:r>
              <w:rPr>
                <w:rFonts w:hint="eastAsia" w:ascii="宋体" w:hAnsi="宋体"/>
                <w:sz w:val="24"/>
                <w:szCs w:val="24"/>
              </w:rPr>
              <w:t>②在行贿犯罪信息查询期限内，供应商及其现任法定代表人、主要负责人没有行贿犯罪记录</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单位负责人为同一人或者存在直接控股、管理关系的不同供应商，不得参加同一项目的投标</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与投标人负责人为同一人或者存在直接控股、管理关系的相关供应商的书面声明材料。【说明：</w:t>
            </w:r>
            <w:r>
              <w:rPr>
                <w:rFonts w:hint="eastAsia" w:ascii="宋体" w:hAnsi="宋体"/>
                <w:sz w:val="24"/>
                <w:szCs w:val="24"/>
              </w:rPr>
              <w:t>①</w:t>
            </w:r>
            <w:r>
              <w:rPr>
                <w:rFonts w:hint="eastAsia"/>
                <w:color w:val="000000" w:themeColor="text1"/>
                <w:sz w:val="24"/>
                <w:szCs w:val="24"/>
                <w14:textFill>
                  <w14:solidFill>
                    <w14:schemeClr w14:val="tx1"/>
                  </w14:solidFill>
                </w14:textFill>
              </w:rPr>
              <w:t>按招标文件第</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章的内容及要求提供书面声明材料；</w:t>
            </w:r>
            <w:r>
              <w:rPr>
                <w:rFonts w:hint="eastAsia" w:ascii="宋体" w:hAnsi="宋体"/>
                <w:sz w:val="24"/>
                <w:szCs w:val="24"/>
              </w:rPr>
              <w:t>②参加投标的供应商中无与投标人的负责人为同一人或者存在直接控股、管理关系的供应商。</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restart"/>
            <w:tcBorders>
              <w:left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3</w:t>
            </w:r>
          </w:p>
        </w:tc>
        <w:tc>
          <w:tcPr>
            <w:tcW w:w="496" w:type="dxa"/>
            <w:vMerge w:val="restart"/>
            <w:tcBorders>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其他</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具有履行合同所必需的设备和专业技术能力</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采购人对投标人履行合同所必需的设备和专业技术能力无其他特殊要求，投标人具有有效的营业执照或法人证书</w:t>
            </w:r>
            <w:r>
              <w:rPr>
                <w:rFonts w:hint="eastAsia" w:ascii="宋体" w:hAnsi="宋体"/>
                <w:sz w:val="24"/>
                <w:szCs w:val="24"/>
              </w:rPr>
              <w:t>即可，可不提供其他证明材料</w:t>
            </w:r>
            <w:r>
              <w:rPr>
                <w:rFonts w:hint="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jc w:val="center"/>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不属于其他国家相关法律法规规定的禁止参加投标的供应商</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sz w:val="24"/>
                <w:szCs w:val="24"/>
              </w:rPr>
              <w:t>1</w:t>
            </w:r>
            <w:r>
              <w:rPr>
                <w:rFonts w:hint="eastAsia"/>
                <w:sz w:val="24"/>
                <w:szCs w:val="24"/>
              </w:rPr>
              <w:t>、根据招标文件的要求不属于禁止参加投标或投标无效的供应商；</w:t>
            </w:r>
          </w:p>
          <w:p>
            <w:pPr>
              <w:tabs>
                <w:tab w:val="left" w:pos="851"/>
              </w:tabs>
              <w:spacing w:line="360" w:lineRule="auto"/>
              <w:rPr>
                <w:sz w:val="24"/>
                <w:szCs w:val="24"/>
              </w:rPr>
            </w:pPr>
            <w:r>
              <w:rPr>
                <w:sz w:val="24"/>
                <w:szCs w:val="24"/>
              </w:rPr>
              <w:t>2</w:t>
            </w:r>
            <w:r>
              <w:rPr>
                <w:rFonts w:hint="eastAsia"/>
                <w:sz w:val="24"/>
                <w:szCs w:val="24"/>
              </w:rPr>
              <w:t>、资格审查小组未发现或者未知晓投标人存在属于国家相关法律法规规定的禁止参加投标或投标无效的供应商。</w:t>
            </w:r>
          </w:p>
          <w:p>
            <w:pPr>
              <w:tabs>
                <w:tab w:val="left" w:pos="851"/>
              </w:tabs>
              <w:spacing w:line="360" w:lineRule="auto"/>
              <w:rPr>
                <w:sz w:val="24"/>
                <w:szCs w:val="24"/>
              </w:rPr>
            </w:pPr>
            <w:r>
              <w:rPr>
                <w:rFonts w:hint="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联合体投标</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投标文件解密情况</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ascii="宋体" w:hAnsi="宋体"/>
                <w:sz w:val="24"/>
                <w:szCs w:val="24"/>
              </w:rPr>
              <w:t>除因断电、断网、系统故障或其他不可抗力等因素，导致系统无法使用外，投标文件已成功解密。</w:t>
            </w:r>
            <w:r>
              <w:rPr>
                <w:rFonts w:hint="eastAsia"/>
                <w:sz w:val="24"/>
                <w:szCs w:val="24"/>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投标文件签章</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投标文件资格响应</w:t>
            </w:r>
            <w:r>
              <w:rPr>
                <w:color w:val="000000" w:themeColor="text1"/>
                <w:sz w:val="24"/>
                <w:szCs w:val="24"/>
                <w14:textFill>
                  <w14:solidFill>
                    <w14:schemeClr w14:val="tx1"/>
                  </w14:solidFill>
                </w14:textFill>
              </w:rPr>
              <w:t>文件</w:t>
            </w:r>
            <w:r>
              <w:rPr>
                <w:rFonts w:hint="eastAsia"/>
                <w:color w:val="000000" w:themeColor="text1"/>
                <w:sz w:val="24"/>
                <w:szCs w:val="24"/>
                <w14:textFill>
                  <w14:solidFill>
                    <w14:schemeClr w14:val="tx1"/>
                  </w14:solidFill>
                </w14:textFill>
              </w:rPr>
              <w:t>组成</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符合招标文件</w:t>
            </w:r>
            <w:r>
              <w:rPr>
                <w:color w:val="000000" w:themeColor="text1"/>
                <w:sz w:val="24"/>
                <w:szCs w:val="24"/>
                <w14:textFill>
                  <w14:solidFill>
                    <w14:schemeClr w14:val="tx1"/>
                  </w14:solidFill>
                </w14:textFill>
              </w:rPr>
              <w:t>“2.4.6</w:t>
            </w:r>
            <w:r>
              <w:rPr>
                <w:rFonts w:hint="eastAsia"/>
                <w:color w:val="000000" w:themeColor="text1"/>
                <w:sz w:val="24"/>
                <w:szCs w:val="24"/>
                <w14:textFill>
                  <w14:solidFill>
                    <w14:schemeClr w14:val="tx1"/>
                  </w14:solidFill>
                </w14:textFill>
              </w:rPr>
              <w:t>投标文件的组成</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规定要求。【说明：无须提供证明材料，上传空白页即可，不对本项上传的材料作资格审查】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投标文件资格响应文件的语言</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color w:val="000000" w:themeColor="text1"/>
                <w:sz w:val="24"/>
                <w:szCs w:val="24"/>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5</w:t>
            </w: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具有健全的财务会计制度的证明材料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具有健全的财务会计制度的证明材料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4"/>
              </w:rPr>
            </w:pPr>
            <w:r>
              <w:rPr>
                <w:sz w:val="24"/>
                <w:szCs w:val="24"/>
              </w:rPr>
              <w:t>2019</w:t>
            </w:r>
            <w:r>
              <w:rPr>
                <w:rFonts w:hint="eastAsia"/>
                <w:sz w:val="24"/>
                <w:szCs w:val="24"/>
              </w:rPr>
              <w:t>年或</w:t>
            </w:r>
            <w:r>
              <w:rPr>
                <w:sz w:val="24"/>
                <w:szCs w:val="24"/>
              </w:rPr>
              <w:t>2020</w:t>
            </w:r>
            <w:r>
              <w:rPr>
                <w:rFonts w:hint="eastAsia"/>
                <w:sz w:val="24"/>
                <w:szCs w:val="24"/>
              </w:rPr>
              <w:t>年会计年度资产负债表复印件。【说明：投标人成立时间至投标截止时间止不足一年的，提供成立后任意时段的资产负债表复印件。】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6</w:t>
            </w: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缴纳社会保障资金的证明材料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缴纳社会保障资金的证明材料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4"/>
              </w:rPr>
            </w:pPr>
            <w:r>
              <w:rPr>
                <w:rFonts w:hint="eastAsia"/>
                <w:sz w:val="24"/>
                <w:szCs w:val="24"/>
              </w:rPr>
              <w:t>投标人缴纳</w:t>
            </w:r>
            <w:r>
              <w:rPr>
                <w:sz w:val="24"/>
                <w:szCs w:val="24"/>
              </w:rPr>
              <w:t>2020</w:t>
            </w:r>
            <w:r>
              <w:rPr>
                <w:rFonts w:hint="eastAsia"/>
                <w:sz w:val="24"/>
                <w:szCs w:val="24"/>
              </w:rPr>
              <w:t>年或</w:t>
            </w:r>
            <w:r>
              <w:rPr>
                <w:sz w:val="24"/>
                <w:szCs w:val="24"/>
              </w:rPr>
              <w:t>2021</w:t>
            </w:r>
            <w:r>
              <w:rPr>
                <w:rFonts w:hint="eastAsia"/>
                <w:sz w:val="24"/>
                <w:szCs w:val="24"/>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vMerge w:val="continue"/>
            <w:tcBorders>
              <w:left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7</w:t>
            </w:r>
          </w:p>
        </w:tc>
        <w:tc>
          <w:tcPr>
            <w:tcW w:w="496" w:type="dxa"/>
            <w:vMerge w:val="continue"/>
            <w:tcBorders>
              <w:left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缴纳税收的证明材料</w:t>
            </w:r>
          </w:p>
        </w:tc>
        <w:tc>
          <w:tcPr>
            <w:tcW w:w="159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4"/>
                <w:szCs w:val="24"/>
              </w:rPr>
            </w:pPr>
            <w:r>
              <w:rPr>
                <w:rFonts w:hint="eastAsia"/>
                <w:sz w:val="24"/>
                <w:szCs w:val="24"/>
              </w:rPr>
              <w:t>缴纳税收的证明材料</w:t>
            </w: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4"/>
              </w:rPr>
            </w:pPr>
            <w:r>
              <w:rPr>
                <w:rFonts w:hint="eastAsia"/>
                <w:sz w:val="24"/>
                <w:szCs w:val="24"/>
              </w:rPr>
              <w:t>投标人缴纳</w:t>
            </w:r>
            <w:r>
              <w:rPr>
                <w:sz w:val="24"/>
                <w:szCs w:val="24"/>
              </w:rPr>
              <w:t>2020</w:t>
            </w:r>
            <w:r>
              <w:rPr>
                <w:rFonts w:hint="eastAsia"/>
                <w:sz w:val="24"/>
                <w:szCs w:val="24"/>
              </w:rPr>
              <w:t>年或</w:t>
            </w:r>
            <w:r>
              <w:rPr>
                <w:sz w:val="24"/>
                <w:szCs w:val="24"/>
              </w:rPr>
              <w:t>2021</w:t>
            </w:r>
            <w:r>
              <w:rPr>
                <w:rFonts w:hint="eastAsia"/>
                <w:sz w:val="24"/>
                <w:szCs w:val="24"/>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4"/>
                <w:szCs w:val="24"/>
              </w:rPr>
            </w:pPr>
            <w:r>
              <w:rPr>
                <w:rFonts w:hint="eastAsia"/>
                <w:sz w:val="24"/>
                <w:szCs w:val="24"/>
              </w:rPr>
              <w:t>8</w:t>
            </w:r>
          </w:p>
        </w:tc>
        <w:tc>
          <w:tcPr>
            <w:tcW w:w="2088" w:type="dxa"/>
            <w:gridSpan w:val="2"/>
            <w:tcBorders>
              <w:top w:val="single" w:color="auto" w:sz="2" w:space="0"/>
              <w:left w:val="single" w:color="auto" w:sz="2" w:space="0"/>
              <w:bottom w:val="single" w:color="auto" w:sz="2" w:space="0"/>
              <w:right w:val="single" w:color="auto" w:sz="2" w:space="0"/>
            </w:tcBorders>
            <w:vAlign w:val="center"/>
          </w:tcPr>
          <w:p>
            <w:pPr>
              <w:tabs>
                <w:tab w:val="left" w:pos="1134"/>
              </w:tabs>
              <w:spacing w:line="560" w:lineRule="exact"/>
              <w:ind w:left="7" w:firstLine="480" w:firstLineChars="200"/>
              <w:rPr>
                <w:rFonts w:ascii="宋体" w:hAnsi="宋体"/>
                <w:b/>
                <w:color w:val="000000" w:themeColor="text1"/>
                <w:sz w:val="28"/>
                <w:szCs w:val="28"/>
                <w14:textFill>
                  <w14:solidFill>
                    <w14:schemeClr w14:val="tx1"/>
                  </w14:solidFill>
                </w14:textFill>
              </w:rPr>
            </w:pPr>
            <w:r>
              <w:rPr>
                <w:rFonts w:hint="eastAsia"/>
                <w:sz w:val="24"/>
                <w:szCs w:val="24"/>
              </w:rPr>
              <w:t>本项目为专门面向中小企业采购项目，服务全部由符合政策要求的中小企业承接。（说明：监狱企业、残疾人福利性单位视同小型、微型企业）</w:t>
            </w:r>
          </w:p>
          <w:p>
            <w:pPr>
              <w:tabs>
                <w:tab w:val="left" w:pos="851"/>
              </w:tabs>
              <w:spacing w:line="360" w:lineRule="auto"/>
              <w:rPr>
                <w:rFonts w:hint="eastAsia" w:eastAsia="宋体"/>
                <w:sz w:val="24"/>
                <w:szCs w:val="24"/>
                <w:lang w:eastAsia="zh-CN"/>
              </w:rPr>
            </w:pPr>
          </w:p>
        </w:tc>
        <w:tc>
          <w:tcPr>
            <w:tcW w:w="593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4"/>
              </w:rPr>
            </w:pPr>
            <w:r>
              <w:rPr>
                <w:rFonts w:hint="eastAsia" w:ascii="宋体" w:hAnsi="宋体"/>
                <w:sz w:val="24"/>
                <w:szCs w:val="24"/>
              </w:rPr>
              <w:t>专门面向中小企业采购项目:</w:t>
            </w:r>
          </w:p>
          <w:p>
            <w:pPr>
              <w:tabs>
                <w:tab w:val="left" w:pos="851"/>
              </w:tabs>
              <w:spacing w:line="360" w:lineRule="auto"/>
              <w:rPr>
                <w:rFonts w:ascii="宋体" w:hAnsi="宋体"/>
                <w:sz w:val="24"/>
                <w:szCs w:val="24"/>
              </w:rPr>
            </w:pPr>
            <w:r>
              <w:rPr>
                <w:rFonts w:hint="eastAsia" w:ascii="宋体" w:hAnsi="宋体"/>
                <w:sz w:val="24"/>
                <w:szCs w:val="24"/>
              </w:rPr>
              <w:t>1.《中小企业声明函》中声明提供的服务全部由符合政策要求的中小企业承接；</w:t>
            </w:r>
          </w:p>
          <w:p>
            <w:pPr>
              <w:tabs>
                <w:tab w:val="left" w:pos="851"/>
              </w:tabs>
              <w:spacing w:line="360" w:lineRule="auto"/>
              <w:rPr>
                <w:rFonts w:ascii="宋体" w:hAnsi="宋体"/>
                <w:sz w:val="24"/>
                <w:szCs w:val="24"/>
              </w:rPr>
            </w:pPr>
            <w:r>
              <w:rPr>
                <w:rFonts w:hint="eastAsia" w:ascii="宋体" w:hAnsi="宋体"/>
                <w:sz w:val="24"/>
                <w:szCs w:val="24"/>
              </w:rPr>
              <w:t>2.残疾人福利性单位视同为小型、微型企业，《残疾人福利性单位声明函》中声明投标人为符合条件的残疾人福利性单位，其参加</w:t>
            </w:r>
            <w:r>
              <w:rPr>
                <w:rFonts w:hint="eastAsia" w:ascii="宋体" w:hAnsi="宋体"/>
                <w:sz w:val="24"/>
                <w:szCs w:val="24"/>
                <w:u w:val="single"/>
              </w:rPr>
              <w:t>本</w:t>
            </w:r>
            <w:r>
              <w:rPr>
                <w:rFonts w:hint="eastAsia" w:ascii="宋体" w:hAnsi="宋体"/>
                <w:sz w:val="24"/>
                <w:szCs w:val="24"/>
              </w:rPr>
              <w:t>项目采购活动由本单位提供服务；</w:t>
            </w:r>
          </w:p>
          <w:p>
            <w:pPr>
              <w:tabs>
                <w:tab w:val="left" w:pos="851"/>
              </w:tabs>
              <w:spacing w:line="360" w:lineRule="auto"/>
              <w:rPr>
                <w:sz w:val="24"/>
                <w:szCs w:val="24"/>
              </w:rPr>
            </w:pPr>
            <w:r>
              <w:rPr>
                <w:rFonts w:hint="eastAsia" w:ascii="宋体" w:hAnsi="宋体"/>
                <w:sz w:val="24"/>
                <w:szCs w:val="24"/>
              </w:rPr>
              <w:t>3.监狱企业视同为小型、微型企业，提供由省级以上监狱管理局、戒毒管理局（含新疆生产建设兵团）出具的</w:t>
            </w:r>
            <w:r>
              <w:rPr>
                <w:rFonts w:hint="eastAsia"/>
                <w:sz w:val="24"/>
                <w:szCs w:val="24"/>
              </w:rPr>
              <w:t>投标人</w:t>
            </w:r>
            <w:r>
              <w:rPr>
                <w:rFonts w:hint="eastAsia" w:ascii="宋体" w:hAnsi="宋体"/>
                <w:sz w:val="24"/>
                <w:szCs w:val="24"/>
              </w:rPr>
              <w:t>属于监狱企业的证明文件复印件。</w:t>
            </w:r>
          </w:p>
        </w:tc>
      </w:tr>
    </w:tbl>
    <w:p>
      <w:pPr>
        <w:tabs>
          <w:tab w:val="left" w:pos="851"/>
        </w:tabs>
        <w:spacing w:line="360" w:lineRule="auto"/>
        <w:rPr>
          <w:rFonts w:ascii="宋体" w:hAnsi="宋体"/>
          <w:color w:val="000000" w:themeColor="text1"/>
          <w:sz w:val="28"/>
          <w:szCs w:val="28"/>
          <w14:textFill>
            <w14:solidFill>
              <w14:schemeClr w14:val="tx1"/>
            </w14:solidFill>
          </w14:textFill>
        </w:rPr>
      </w:pPr>
    </w:p>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pPr>
        <w:ind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3"/>
        <w:numPr>
          <w:ilvl w:val="0"/>
          <w:numId w:val="3"/>
        </w:numPr>
        <w:spacing w:before="0" w:after="0" w:line="360" w:lineRule="auto"/>
        <w:ind w:left="0" w:firstLine="0"/>
        <w:rPr>
          <w:color w:val="000000" w:themeColor="text1"/>
          <w14:textFill>
            <w14:solidFill>
              <w14:schemeClr w14:val="tx1"/>
            </w14:solidFill>
          </w14:textFill>
        </w:rPr>
      </w:pPr>
      <w:bookmarkStart w:id="234" w:name="_Toc11596"/>
      <w:bookmarkStart w:id="235" w:name="_Toc18121"/>
      <w:bookmarkStart w:id="236" w:name="_Toc29184"/>
      <w:bookmarkStart w:id="237" w:name="_Toc75336307"/>
      <w:bookmarkStart w:id="238" w:name="_Toc16118"/>
      <w:r>
        <w:rPr>
          <w:rFonts w:hint="eastAsia"/>
          <w:color w:val="000000" w:themeColor="text1"/>
          <w14:textFill>
            <w14:solidFill>
              <w14:schemeClr w14:val="tx1"/>
            </w14:solidFill>
          </w14:textFill>
        </w:rPr>
        <w:t>评标办法</w:t>
      </w:r>
      <w:bookmarkEnd w:id="234"/>
      <w:bookmarkEnd w:id="235"/>
      <w:bookmarkEnd w:id="236"/>
      <w:bookmarkEnd w:id="237"/>
      <w:bookmarkEnd w:id="238"/>
      <w:bookmarkStart w:id="239" w:name="_Toc183682415"/>
      <w:bookmarkStart w:id="240" w:name="_Toc208849007"/>
      <w:bookmarkStart w:id="241" w:name="_Toc217446097"/>
      <w:bookmarkStart w:id="242" w:name="_Toc183582280"/>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43" w:name="_Toc30790"/>
      <w:bookmarkStart w:id="244" w:name="_Toc75336308"/>
      <w:bookmarkStart w:id="245" w:name="_Toc12005"/>
      <w:bookmarkStart w:id="246" w:name="_Toc316292248"/>
      <w:bookmarkStart w:id="247" w:name="_Toc315871642"/>
      <w:bookmarkStart w:id="248" w:name="_Toc13609"/>
      <w:bookmarkStart w:id="249" w:name="_Toc10788"/>
      <w:r>
        <w:rPr>
          <w:rFonts w:hint="eastAsia"/>
          <w:color w:val="000000" w:themeColor="text1"/>
          <w14:textFill>
            <w14:solidFill>
              <w14:schemeClr w14:val="tx1"/>
            </w14:solidFill>
          </w14:textFill>
        </w:rPr>
        <w:t>总则</w:t>
      </w:r>
      <w:bookmarkEnd w:id="239"/>
      <w:bookmarkEnd w:id="240"/>
      <w:bookmarkEnd w:id="241"/>
      <w:bookmarkEnd w:id="242"/>
      <w:bookmarkEnd w:id="243"/>
      <w:bookmarkEnd w:id="244"/>
      <w:bookmarkEnd w:id="245"/>
      <w:bookmarkEnd w:id="246"/>
      <w:bookmarkEnd w:id="247"/>
      <w:bookmarkEnd w:id="248"/>
      <w:bookmarkEnd w:id="249"/>
    </w:p>
    <w:p>
      <w:pPr>
        <w:numPr>
          <w:ilvl w:val="0"/>
          <w:numId w:val="35"/>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5"/>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评标工作由市公资交易中心负责组织，具体评标事务由采购人或市公资交易中心依法组建的评标委员会负责。评标委员会由采购人代表和评审专家组成。</w:t>
      </w:r>
    </w:p>
    <w:p>
      <w:pPr>
        <w:numPr>
          <w:ilvl w:val="0"/>
          <w:numId w:val="35"/>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5"/>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向采购人、市公资交易中心构或者财政、监察等有关部门报告或举报非法干预评标工作的行为；</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5"/>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5"/>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七、评标委员会发现招标文件表述不明确或需要说明的事项，可提请采购人和市公资交易中心书面解释说明。</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50" w:name="_Toc75336309"/>
      <w:bookmarkStart w:id="251" w:name="_Toc29481"/>
      <w:bookmarkStart w:id="252" w:name="_Toc28274"/>
      <w:bookmarkStart w:id="253" w:name="_Toc7423"/>
      <w:bookmarkStart w:id="254" w:name="_Toc3818"/>
      <w:bookmarkStart w:id="255" w:name="_Toc315871644"/>
      <w:bookmarkStart w:id="256" w:name="_Toc316292250"/>
      <w:bookmarkStart w:id="257" w:name="_Toc217446098"/>
      <w:r>
        <w:rPr>
          <w:rFonts w:hint="eastAsia"/>
          <w:color w:val="000000" w:themeColor="text1"/>
          <w14:textFill>
            <w14:solidFill>
              <w14:schemeClr w14:val="tx1"/>
            </w14:solidFill>
          </w14:textFill>
        </w:rPr>
        <w:t>评标方法</w:t>
      </w:r>
      <w:bookmarkEnd w:id="250"/>
      <w:bookmarkEnd w:id="251"/>
      <w:bookmarkEnd w:id="252"/>
      <w:bookmarkEnd w:id="253"/>
      <w:bookmarkEnd w:id="254"/>
    </w:p>
    <w:p>
      <w:pPr>
        <w:spacing w:line="560" w:lineRule="exact"/>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综合评分法。</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58" w:name="_Toc6803"/>
      <w:bookmarkStart w:id="259" w:name="_Toc10678"/>
      <w:bookmarkStart w:id="260" w:name="_Toc30741"/>
      <w:bookmarkStart w:id="261" w:name="_Toc3207"/>
      <w:bookmarkStart w:id="262" w:name="_Toc75336310"/>
      <w:r>
        <w:rPr>
          <w:rFonts w:hint="eastAsia"/>
          <w:color w:val="000000" w:themeColor="text1"/>
          <w14:textFill>
            <w14:solidFill>
              <w14:schemeClr w14:val="tx1"/>
            </w14:solidFill>
          </w14:textFill>
        </w:rPr>
        <w:t>评标程序</w:t>
      </w:r>
      <w:bookmarkEnd w:id="255"/>
      <w:bookmarkEnd w:id="256"/>
      <w:bookmarkEnd w:id="257"/>
      <w:bookmarkEnd w:id="258"/>
      <w:bookmarkEnd w:id="259"/>
      <w:bookmarkEnd w:id="260"/>
      <w:bookmarkEnd w:id="261"/>
      <w:bookmarkEnd w:id="262"/>
    </w:p>
    <w:p>
      <w:pPr>
        <w:pStyle w:val="5"/>
        <w:numPr>
          <w:ilvl w:val="2"/>
          <w:numId w:val="3"/>
        </w:numPr>
        <w:spacing w:after="200" w:line="560" w:lineRule="exact"/>
        <w:ind w:left="0" w:firstLine="0"/>
        <w:rPr>
          <w:color w:val="000000" w:themeColor="text1"/>
          <w14:textFill>
            <w14:solidFill>
              <w14:schemeClr w14:val="tx1"/>
            </w14:solidFill>
          </w14:textFill>
        </w:rPr>
      </w:pPr>
      <w:bookmarkStart w:id="263" w:name="_Toc316475650"/>
      <w:bookmarkEnd w:id="263"/>
      <w:bookmarkStart w:id="264" w:name="_Toc217446099"/>
      <w:r>
        <w:rPr>
          <w:rFonts w:hint="eastAsia"/>
          <w:color w:val="000000" w:themeColor="text1"/>
          <w14:textFill>
            <w14:solidFill>
              <w14:schemeClr w14:val="tx1"/>
            </w14:solidFill>
          </w14:textFill>
        </w:rPr>
        <w:t>符合性审查</w:t>
      </w:r>
    </w:p>
    <w:p>
      <w:pPr>
        <w:tabs>
          <w:tab w:val="left" w:pos="851"/>
        </w:tabs>
        <w:spacing w:line="560" w:lineRule="exact"/>
        <w:ind w:firstLine="565" w:firstLineChars="202"/>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符合性审查标准见下表（按以下顺序审查）：</w:t>
      </w:r>
    </w:p>
    <w:p>
      <w:pPr>
        <w:tabs>
          <w:tab w:val="left" w:pos="2979"/>
        </w:tabs>
        <w:bidi w:val="0"/>
        <w:jc w:val="left"/>
        <w:rPr>
          <w:rFonts w:ascii="Calibri" w:hAnsi="Calibri" w:eastAsia="宋体" w:cs="Times New Roman"/>
          <w:kern w:val="2"/>
          <w:sz w:val="21"/>
          <w:szCs w:val="22"/>
          <w:lang w:val="en-US" w:eastAsia="zh-CN" w:bidi="ar-SA"/>
        </w:rPr>
      </w:pPr>
      <w:r>
        <w:rPr>
          <w:rFonts w:hint="eastAsia" w:cs="Times New Roman"/>
          <w:kern w:val="2"/>
          <w:sz w:val="21"/>
          <w:szCs w:val="22"/>
          <w:lang w:val="en-US" w:eastAsia="zh-CN" w:bidi="ar-SA"/>
        </w:rPr>
        <w:tab/>
      </w:r>
    </w:p>
    <w:tbl>
      <w:tblPr>
        <w:tblStyle w:val="43"/>
        <w:tblpPr w:leftFromText="180" w:rightFromText="180" w:vertAnchor="text" w:horzAnchor="page" w:tblpX="1490" w:tblpY="544"/>
        <w:tblOverlap w:val="never"/>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252"/>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序号</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投标文件商务技术</w:t>
            </w:r>
            <w:r>
              <w:rPr>
                <w:rFonts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14:textFill>
                  <w14:solidFill>
                    <w14:schemeClr w14:val="tx1"/>
                  </w14:solidFill>
                </w14:textFill>
              </w:rPr>
              <w:t>及</w:t>
            </w:r>
            <w:r>
              <w:rPr>
                <w:rFonts w:ascii="宋体" w:hAnsi="宋体"/>
                <w:color w:val="000000" w:themeColor="text1"/>
                <w:sz w:val="24"/>
                <w:szCs w:val="24"/>
                <w14:textFill>
                  <w14:solidFill>
                    <w14:schemeClr w14:val="tx1"/>
                  </w14:solidFill>
                </w14:textFill>
              </w:rPr>
              <w:t>报价要求响应文件</w:t>
            </w:r>
            <w:r>
              <w:rPr>
                <w:rFonts w:hint="eastAsia" w:ascii="宋体" w:hAnsi="宋体"/>
                <w:color w:val="000000" w:themeColor="text1"/>
                <w:sz w:val="24"/>
                <w:szCs w:val="24"/>
                <w14:textFill>
                  <w14:solidFill>
                    <w14:schemeClr w14:val="tx1"/>
                  </w14:solidFill>
                </w14:textFill>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 </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投标文件签章投标文件加盖有投标人（法定名称）电子签章。</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投标文件商务技术</w:t>
            </w:r>
            <w:r>
              <w:rPr>
                <w:rFonts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14:textFill>
                  <w14:solidFill>
                    <w14:schemeClr w14:val="tx1"/>
                  </w14:solidFill>
                </w14:textFill>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报价</w:t>
            </w:r>
            <w:r>
              <w:rPr>
                <w:rFonts w:ascii="宋体" w:hAnsi="宋体"/>
                <w:color w:val="000000" w:themeColor="text1"/>
                <w:sz w:val="24"/>
                <w:szCs w:val="24"/>
                <w14:textFill>
                  <w14:solidFill>
                    <w14:schemeClr w14:val="tx1"/>
                  </w14:solidFill>
                </w14:textFill>
              </w:rPr>
              <w:t>要求响应文件</w:t>
            </w:r>
            <w:r>
              <w:rPr>
                <w:rFonts w:hint="eastAsia" w:ascii="宋体" w:hAnsi="宋体"/>
                <w:color w:val="000000" w:themeColor="text1"/>
                <w:sz w:val="24"/>
                <w:szCs w:val="24"/>
                <w14:textFill>
                  <w14:solidFill>
                    <w14:schemeClr w14:val="tx1"/>
                  </w14:solidFill>
                </w14:textFill>
              </w:rPr>
              <w:t>的</w:t>
            </w:r>
            <w:r>
              <w:rPr>
                <w:rFonts w:ascii="宋体" w:hAnsi="宋体"/>
                <w:color w:val="000000" w:themeColor="text1"/>
                <w:sz w:val="24"/>
                <w:szCs w:val="24"/>
                <w14:textFill>
                  <w14:solidFill>
                    <w14:schemeClr w14:val="tx1"/>
                  </w14:solidFill>
                </w14:textFill>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计量单位、语言、报价货币均符合招标文件的要求。【说明：无须提供证明材料，上传空白页即可，不对本项上传的材料作符合性审查】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5</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4"/>
                <w14:textFill>
                  <w14:solidFill>
                    <w14:schemeClr w14:val="tx1"/>
                  </w14:solidFill>
                </w14:textFill>
              </w:rPr>
              <w:t>②</w:t>
            </w:r>
            <w:r>
              <w:rPr>
                <w:rFonts w:hint="eastAsia" w:ascii="宋体" w:hAnsi="宋体"/>
                <w:color w:val="000000" w:themeColor="text1"/>
                <w:sz w:val="24"/>
                <w:szCs w:val="24"/>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4"/>
                <w14:textFill>
                  <w14:solidFill>
                    <w14:schemeClr w14:val="tx1"/>
                  </w14:solidFill>
                </w14:textFill>
              </w:rPr>
              <w:t>③</w:t>
            </w:r>
            <w:r>
              <w:rPr>
                <w:rFonts w:hint="eastAsia" w:ascii="宋体" w:hAnsi="宋体"/>
                <w:color w:val="000000" w:themeColor="text1"/>
                <w:sz w:val="24"/>
                <w:szCs w:val="24"/>
                <w14:textFill>
                  <w14:solidFill>
                    <w14:schemeClr w14:val="tx1"/>
                  </w14:solidFill>
                </w14:textFill>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4"/>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4"/>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6</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投标文件均实质性响应招标文件中加★号的服务、商务和其他要求。【说明：无须提供证明材料，上传空白页即可，不对本项上传的材料作符合性审查】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7</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招标文件中未载明“允许采购进口产品”的产品，投标产品为国产产品。【说明：无须提供证明材料，上传空白页即可，不对本项上传的材料作符合性审查】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8</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9</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10</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无。</w:t>
            </w:r>
          </w:p>
        </w:tc>
      </w:tr>
    </w:tbl>
    <w:p>
      <w:pPr>
        <w:tabs>
          <w:tab w:val="left" w:pos="851"/>
        </w:tabs>
        <w:spacing w:line="560" w:lineRule="exact"/>
        <w:rPr>
          <w:rFonts w:ascii="宋体" w:hAnsi="宋体"/>
          <w:color w:val="000000" w:themeColor="text1"/>
          <w:sz w:val="28"/>
          <w:szCs w:val="28"/>
          <w14:textFill>
            <w14:solidFill>
              <w14:schemeClr w14:val="tx1"/>
            </w14:solidFill>
          </w14:textFill>
        </w:rPr>
      </w:pP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解释、澄清有关问题</w:t>
      </w:r>
    </w:p>
    <w:p>
      <w:pPr>
        <w:numPr>
          <w:ilvl w:val="0"/>
          <w:numId w:val="37"/>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pPr>
        <w:numPr>
          <w:ilvl w:val="0"/>
          <w:numId w:val="37"/>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7"/>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pStyle w:val="156"/>
        <w:numPr>
          <w:ilvl w:val="0"/>
          <w:numId w:val="38"/>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投标人投标文件中不响应招标文件规定的技术参数指标和商务应答；</w:t>
      </w:r>
    </w:p>
    <w:p>
      <w:pPr>
        <w:pStyle w:val="156"/>
        <w:numPr>
          <w:ilvl w:val="0"/>
          <w:numId w:val="38"/>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投标人投标文件中未提供的证明其是否符合招标文件资格性、符合性规定要求的相关材料。</w:t>
      </w:r>
    </w:p>
    <w:p>
      <w:pPr>
        <w:pStyle w:val="156"/>
        <w:numPr>
          <w:ilvl w:val="0"/>
          <w:numId w:val="38"/>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投标人投标文件中的材料因印刷、影印等不清晰而难以辨认的。</w:t>
      </w:r>
    </w:p>
    <w:p>
      <w:pPr>
        <w:numPr>
          <w:ilvl w:val="0"/>
          <w:numId w:val="37"/>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pStyle w:val="156"/>
        <w:numPr>
          <w:ilvl w:val="0"/>
          <w:numId w:val="39"/>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大写金额和小写金额不一致的，以大写金额为准，但大写金额出现文字错误，导致金额无法判断的除外；</w:t>
      </w:r>
    </w:p>
    <w:p>
      <w:pPr>
        <w:pStyle w:val="156"/>
        <w:numPr>
          <w:ilvl w:val="0"/>
          <w:numId w:val="39"/>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p>
    <w:p>
      <w:pPr>
        <w:pStyle w:val="156"/>
        <w:numPr>
          <w:ilvl w:val="0"/>
          <w:numId w:val="39"/>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pStyle w:val="5"/>
        <w:numPr>
          <w:ilvl w:val="2"/>
          <w:numId w:val="3"/>
        </w:numPr>
        <w:spacing w:after="200" w:line="560" w:lineRule="exact"/>
        <w:ind w:left="851"/>
        <w:rPr>
          <w:color w:val="000000" w:themeColor="text1"/>
          <w14:textFill>
            <w14:solidFill>
              <w14:schemeClr w14:val="tx1"/>
            </w14:solidFill>
          </w14:textFill>
        </w:rPr>
      </w:pPr>
      <w:bookmarkStart w:id="265" w:name="_Toc315871652"/>
      <w:bookmarkEnd w:id="265"/>
      <w:bookmarkStart w:id="266" w:name="_Toc315871649"/>
      <w:bookmarkEnd w:id="266"/>
      <w:bookmarkStart w:id="267" w:name="_Toc315871650"/>
      <w:bookmarkEnd w:id="267"/>
      <w:bookmarkStart w:id="268" w:name="_Toc315871651"/>
      <w:bookmarkEnd w:id="268"/>
      <w:bookmarkStart w:id="269" w:name="_Toc315871647"/>
      <w:bookmarkStart w:id="270" w:name="_Toc316292253"/>
      <w:bookmarkStart w:id="271" w:name="_Toc315871653"/>
      <w:bookmarkStart w:id="272" w:name="_Toc316292255"/>
      <w:r>
        <w:rPr>
          <w:rFonts w:hint="eastAsia"/>
          <w:color w:val="000000" w:themeColor="text1"/>
          <w14:textFill>
            <w14:solidFill>
              <w14:schemeClr w14:val="tx1"/>
            </w14:solidFill>
          </w14:textFill>
        </w:rPr>
        <w:t>比较与评价</w:t>
      </w:r>
      <w:bookmarkEnd w:id="269"/>
      <w:bookmarkEnd w:id="270"/>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按招标文件中规定的评标细则及标准，对符合性检查合格的投标文件进行商务和服务评估，综合比较与评价。</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pStyle w:val="84"/>
        <w:numPr>
          <w:ilvl w:val="0"/>
          <w:numId w:val="40"/>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分值汇总计算错误的；</w:t>
      </w:r>
    </w:p>
    <w:p>
      <w:pPr>
        <w:pStyle w:val="84"/>
        <w:numPr>
          <w:ilvl w:val="0"/>
          <w:numId w:val="40"/>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分项评分超出评分标准范围的；</w:t>
      </w:r>
    </w:p>
    <w:p>
      <w:pPr>
        <w:pStyle w:val="84"/>
        <w:numPr>
          <w:ilvl w:val="0"/>
          <w:numId w:val="40"/>
        </w:numPr>
        <w:tabs>
          <w:tab w:val="left" w:pos="851"/>
          <w:tab w:val="left" w:pos="1276"/>
          <w:tab w:val="left" w:pos="1418"/>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评标委员会成员对客观评审因素评分不一致的；</w:t>
      </w:r>
    </w:p>
    <w:p>
      <w:pPr>
        <w:pStyle w:val="84"/>
        <w:numPr>
          <w:ilvl w:val="0"/>
          <w:numId w:val="40"/>
        </w:numPr>
        <w:tabs>
          <w:tab w:val="left" w:pos="851"/>
          <w:tab w:val="left" w:pos="1276"/>
        </w:tabs>
        <w:spacing w:after="200" w:line="560" w:lineRule="exact"/>
        <w:ind w:left="0" w:firstLine="42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确定中标候选人名单</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14:textFill>
            <w14:solidFill>
              <w14:schemeClr w14:val="tx1"/>
            </w14:solidFill>
          </w14:textFill>
        </w:rPr>
        <w:t>投标文件满足招标文件全部实质性要求，且按照评审因素的量化指标评审得分最高的投标人为排名第一的中标候选人。</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编写评标报告</w:t>
      </w:r>
      <w:bookmarkEnd w:id="271"/>
      <w:bookmarkEnd w:id="272"/>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其他需要说明的情况，包括评标过程中投标人根据评标委员会要求进行的澄清、说明或者补正，评标委员会成员的更换等； </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4"/>
        <w:numPr>
          <w:ilvl w:val="1"/>
          <w:numId w:val="3"/>
        </w:numPr>
        <w:spacing w:line="560" w:lineRule="exact"/>
        <w:ind w:left="2269" w:hanging="2269"/>
        <w:rPr>
          <w:color w:val="000000" w:themeColor="text1"/>
          <w14:textFill>
            <w14:solidFill>
              <w14:schemeClr w14:val="tx1"/>
            </w14:solidFill>
          </w14:textFill>
        </w:rPr>
      </w:pPr>
      <w:bookmarkStart w:id="273" w:name="_Toc479753445"/>
      <w:bookmarkStart w:id="274" w:name="_Toc75336311"/>
      <w:bookmarkStart w:id="275" w:name="_Toc11482"/>
      <w:bookmarkStart w:id="276" w:name="_Toc27797"/>
      <w:bookmarkStart w:id="277" w:name="_Toc7609"/>
      <w:bookmarkStart w:id="278" w:name="_Toc30340"/>
      <w:bookmarkStart w:id="279" w:name="_Toc217446103"/>
      <w:bookmarkStart w:id="280" w:name="_Toc316292256"/>
      <w:bookmarkStart w:id="281" w:name="_Toc315871654"/>
      <w:r>
        <w:rPr>
          <w:rFonts w:hint="eastAsia"/>
          <w:color w:val="000000" w:themeColor="text1"/>
          <w14:textFill>
            <w14:solidFill>
              <w14:schemeClr w14:val="tx1"/>
            </w14:solidFill>
          </w14:textFill>
        </w:rPr>
        <w:t>评标争议处理规则</w:t>
      </w:r>
      <w:bookmarkEnd w:id="273"/>
      <w:bookmarkEnd w:id="274"/>
      <w:bookmarkEnd w:id="275"/>
      <w:bookmarkEnd w:id="276"/>
      <w:bookmarkEnd w:id="277"/>
      <w:bookmarkEnd w:id="278"/>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282" w:name="_Toc25222"/>
      <w:bookmarkStart w:id="283" w:name="_Toc23552"/>
      <w:bookmarkStart w:id="284" w:name="_Toc18642"/>
      <w:bookmarkStart w:id="285" w:name="_Toc75336312"/>
      <w:bookmarkStart w:id="286" w:name="_Toc6600"/>
      <w:r>
        <w:rPr>
          <w:rFonts w:hint="eastAsia"/>
          <w:color w:val="000000" w:themeColor="text1"/>
          <w14:textFill>
            <w14:solidFill>
              <w14:schemeClr w14:val="tx1"/>
            </w14:solidFill>
          </w14:textFill>
        </w:rPr>
        <w:t>评标细则及标准</w:t>
      </w:r>
      <w:bookmarkEnd w:id="279"/>
      <w:bookmarkEnd w:id="280"/>
      <w:bookmarkEnd w:id="281"/>
      <w:bookmarkEnd w:id="282"/>
      <w:bookmarkEnd w:id="283"/>
      <w:bookmarkEnd w:id="284"/>
      <w:bookmarkEnd w:id="285"/>
      <w:bookmarkEnd w:id="286"/>
    </w:p>
    <w:p>
      <w:pPr>
        <w:numPr>
          <w:ilvl w:val="0"/>
          <w:numId w:val="42"/>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评标委员会只对通过初审的投标文件，根据招标文件的要求采用相同的评标程序、评分办法及标准进行评价和比较。</w:t>
      </w:r>
    </w:p>
    <w:p>
      <w:pPr>
        <w:numPr>
          <w:ilvl w:val="0"/>
          <w:numId w:val="42"/>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本次综合评分的因素是：价格、服务、商务等。</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bookmarkStart w:id="287" w:name="_Toc218498587"/>
      <w:bookmarkStart w:id="288" w:name="_Toc310176995"/>
      <w:bookmarkStart w:id="289" w:name="_Toc217102344"/>
      <w:r>
        <w:rPr>
          <w:rFonts w:hint="eastAsia" w:ascii="宋体" w:hAnsi="宋体"/>
          <w:color w:val="000000" w:themeColor="text1"/>
          <w:sz w:val="28"/>
          <w:szCs w:val="28"/>
          <w14:textFill>
            <w14:solidFill>
              <w14:schemeClr w14:val="tx1"/>
            </w14:solidFill>
          </w14:textFill>
        </w:rPr>
        <w:t>评标委员会成员应依据招标文件规定的评分标准和方法独立打分。</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评分办法</w:t>
      </w:r>
      <w:bookmarkEnd w:id="287"/>
      <w:bookmarkEnd w:id="288"/>
      <w:bookmarkEnd w:id="289"/>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widowControl/>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pStyle w:val="5"/>
        <w:numPr>
          <w:ilvl w:val="2"/>
          <w:numId w:val="3"/>
        </w:numPr>
        <w:spacing w:after="200"/>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评分标准</w:t>
      </w:r>
    </w:p>
    <w:tbl>
      <w:tblPr>
        <w:tblStyle w:val="43"/>
        <w:tblW w:w="99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117"/>
        <w:gridCol w:w="850"/>
        <w:gridCol w:w="627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序号</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评分项</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分值</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评分标准</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报价</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10</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420" w:firstLineChars="15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满足</w:t>
            </w:r>
            <w:r>
              <w:rPr>
                <w:rFonts w:hint="eastAsia" w:asciiTheme="majorEastAsia" w:hAnsiTheme="majorEastAsia" w:eastAsiaTheme="majorEastAsia" w:cstheme="majorEastAsia"/>
                <w:sz w:val="28"/>
                <w:szCs w:val="28"/>
                <w:lang w:eastAsia="zh-CN"/>
              </w:rPr>
              <w:t>公开招标</w:t>
            </w:r>
            <w:r>
              <w:rPr>
                <w:rFonts w:hint="eastAsia" w:asciiTheme="majorEastAsia" w:hAnsiTheme="majorEastAsia" w:eastAsiaTheme="majorEastAsia" w:cstheme="majorEastAsia"/>
                <w:sz w:val="28"/>
                <w:szCs w:val="28"/>
              </w:rPr>
              <w:t>文件要求且最后价格最低的报价为评审基准价，其价格分为满分。其他供应商的价格分统一按照下列公式计算：</w:t>
            </w:r>
            <w:r>
              <w:rPr>
                <w:rFonts w:hint="eastAsia" w:asciiTheme="majorEastAsia" w:hAnsiTheme="majorEastAsia" w:eastAsiaTheme="majorEastAsia" w:cstheme="majorEastAsia"/>
                <w:sz w:val="28"/>
                <w:szCs w:val="28"/>
                <w:lang w:eastAsia="zh-CN"/>
              </w:rPr>
              <w:t>公开招标</w:t>
            </w:r>
            <w:r>
              <w:rPr>
                <w:rFonts w:hint="eastAsia" w:asciiTheme="majorEastAsia" w:hAnsiTheme="majorEastAsia" w:eastAsiaTheme="majorEastAsia" w:cstheme="majorEastAsia"/>
                <w:sz w:val="28"/>
                <w:szCs w:val="28"/>
              </w:rPr>
              <w:t>报价得分=(评审基准价÷最终报价)×10%×100</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left="-40"/>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7"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0"/>
              </w:tabs>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kern w:val="2"/>
                <w:sz w:val="28"/>
                <w:szCs w:val="28"/>
                <w:lang w:eastAsia="zh-CN"/>
              </w:rPr>
              <w:t>服务方案</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both"/>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30</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eastAsia="zh-CN"/>
              </w:rPr>
            </w:pPr>
            <w:r>
              <w:rPr>
                <w:rFonts w:hint="eastAsia" w:asciiTheme="majorEastAsia" w:hAnsiTheme="majorEastAsia" w:eastAsiaTheme="majorEastAsia" w:cstheme="majorEastAsia"/>
                <w:kern w:val="2"/>
                <w:sz w:val="28"/>
                <w:szCs w:val="28"/>
                <w:lang w:eastAsia="zh-CN"/>
              </w:rPr>
              <w:t>根据投标人提供的针</w:t>
            </w:r>
            <w:r>
              <w:rPr>
                <w:rFonts w:hint="eastAsia" w:asciiTheme="majorEastAsia" w:hAnsiTheme="majorEastAsia" w:eastAsiaTheme="majorEastAsia" w:cstheme="majorEastAsia"/>
                <w:kern w:val="2"/>
                <w:sz w:val="28"/>
                <w:szCs w:val="28"/>
              </w:rPr>
              <w:t>对</w:t>
            </w:r>
            <w:r>
              <w:rPr>
                <w:rFonts w:hint="eastAsia" w:asciiTheme="majorEastAsia" w:hAnsiTheme="majorEastAsia" w:eastAsiaTheme="majorEastAsia" w:cstheme="majorEastAsia"/>
                <w:kern w:val="2"/>
                <w:sz w:val="28"/>
                <w:szCs w:val="28"/>
                <w:lang w:eastAsia="zh-CN"/>
              </w:rPr>
              <w:t>本</w:t>
            </w:r>
            <w:r>
              <w:rPr>
                <w:rFonts w:hint="eastAsia" w:asciiTheme="majorEastAsia" w:hAnsiTheme="majorEastAsia" w:eastAsiaTheme="majorEastAsia" w:cstheme="majorEastAsia"/>
                <w:kern w:val="2"/>
                <w:sz w:val="28"/>
                <w:szCs w:val="28"/>
              </w:rPr>
              <w:t>项目</w:t>
            </w:r>
            <w:r>
              <w:rPr>
                <w:rFonts w:hint="eastAsia" w:asciiTheme="majorEastAsia" w:hAnsiTheme="majorEastAsia" w:eastAsiaTheme="majorEastAsia" w:cstheme="majorEastAsia"/>
                <w:kern w:val="2"/>
                <w:sz w:val="28"/>
                <w:szCs w:val="28"/>
                <w:lang w:eastAsia="zh-CN"/>
              </w:rPr>
              <w:t>方案进行评审：</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rPr>
            </w:pPr>
            <w:r>
              <w:rPr>
                <w:rFonts w:hint="eastAsia" w:asciiTheme="majorEastAsia" w:hAnsiTheme="majorEastAsia" w:eastAsiaTheme="majorEastAsia" w:cstheme="majorEastAsia"/>
                <w:kern w:val="2"/>
                <w:sz w:val="28"/>
                <w:szCs w:val="28"/>
                <w:lang w:val="en-US" w:eastAsia="zh-CN"/>
              </w:rPr>
              <w:t>1、</w:t>
            </w:r>
            <w:r>
              <w:rPr>
                <w:rFonts w:hint="eastAsia" w:asciiTheme="majorEastAsia" w:hAnsiTheme="majorEastAsia" w:eastAsiaTheme="majorEastAsia" w:cstheme="majorEastAsia"/>
                <w:kern w:val="2"/>
                <w:sz w:val="28"/>
                <w:szCs w:val="28"/>
                <w:lang w:eastAsia="zh-CN"/>
              </w:rPr>
              <w:t>提供物业</w:t>
            </w:r>
            <w:r>
              <w:rPr>
                <w:rFonts w:hint="eastAsia" w:asciiTheme="majorEastAsia" w:hAnsiTheme="majorEastAsia" w:eastAsiaTheme="majorEastAsia" w:cstheme="majorEastAsia"/>
                <w:kern w:val="2"/>
                <w:sz w:val="28"/>
                <w:szCs w:val="28"/>
              </w:rPr>
              <w:t>服务方案</w:t>
            </w:r>
            <w:r>
              <w:rPr>
                <w:rFonts w:hint="eastAsia" w:asciiTheme="majorEastAsia" w:hAnsiTheme="majorEastAsia" w:eastAsiaTheme="majorEastAsia" w:cstheme="majorEastAsia"/>
                <w:kern w:val="2"/>
                <w:sz w:val="28"/>
                <w:szCs w:val="28"/>
                <w:lang w:eastAsia="zh-CN"/>
              </w:rPr>
              <w:t>（</w:t>
            </w:r>
            <w:r>
              <w:rPr>
                <w:rFonts w:hint="eastAsia" w:asciiTheme="majorEastAsia" w:hAnsiTheme="majorEastAsia" w:eastAsiaTheme="majorEastAsia" w:cstheme="majorEastAsia"/>
                <w:kern w:val="2"/>
                <w:sz w:val="28"/>
                <w:szCs w:val="28"/>
              </w:rPr>
              <w:t>包括但不限于组织机构设置、工作职能、内部管理职责、人员配置</w:t>
            </w:r>
            <w:r>
              <w:rPr>
                <w:rFonts w:hint="eastAsia" w:asciiTheme="majorEastAsia" w:hAnsiTheme="majorEastAsia" w:eastAsiaTheme="majorEastAsia" w:cstheme="majorEastAsia"/>
                <w:kern w:val="2"/>
                <w:sz w:val="28"/>
                <w:szCs w:val="28"/>
                <w:lang w:eastAsia="zh-CN"/>
              </w:rPr>
              <w:t>及结构图</w:t>
            </w:r>
            <w:r>
              <w:rPr>
                <w:rFonts w:hint="eastAsia" w:asciiTheme="majorEastAsia" w:hAnsiTheme="majorEastAsia" w:eastAsiaTheme="majorEastAsia" w:cstheme="majorEastAsia"/>
                <w:kern w:val="2"/>
                <w:sz w:val="28"/>
                <w:szCs w:val="28"/>
              </w:rPr>
              <w:t>、员工培训</w:t>
            </w:r>
            <w:r>
              <w:rPr>
                <w:rFonts w:hint="eastAsia" w:asciiTheme="majorEastAsia" w:hAnsiTheme="majorEastAsia" w:eastAsiaTheme="majorEastAsia" w:cstheme="majorEastAsia"/>
                <w:kern w:val="2"/>
                <w:sz w:val="28"/>
                <w:szCs w:val="28"/>
                <w:lang w:eastAsia="zh-CN"/>
              </w:rPr>
              <w:t>等）的得</w:t>
            </w:r>
            <w:r>
              <w:rPr>
                <w:rFonts w:hint="eastAsia" w:asciiTheme="majorEastAsia" w:hAnsiTheme="majorEastAsia" w:eastAsiaTheme="majorEastAsia" w:cstheme="majorEastAsia"/>
                <w:kern w:val="2"/>
                <w:sz w:val="28"/>
                <w:szCs w:val="28"/>
                <w:lang w:val="en-US" w:eastAsia="zh-CN"/>
              </w:rPr>
              <w:t>10分，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内容不符合采购需求的</w:t>
            </w:r>
            <w:r>
              <w:rPr>
                <w:rFonts w:hint="eastAsia" w:asciiTheme="majorEastAsia" w:hAnsiTheme="majorEastAsia" w:eastAsiaTheme="majorEastAsia" w:cstheme="majorEastAsia"/>
                <w:kern w:val="2"/>
                <w:sz w:val="28"/>
                <w:szCs w:val="28"/>
              </w:rPr>
              <w:t>扣</w:t>
            </w:r>
            <w:r>
              <w:rPr>
                <w:rFonts w:hint="eastAsia" w:asciiTheme="majorEastAsia" w:hAnsiTheme="majorEastAsia" w:eastAsiaTheme="majorEastAsia" w:cstheme="majorEastAsia"/>
                <w:kern w:val="2"/>
                <w:sz w:val="28"/>
                <w:szCs w:val="28"/>
                <w:lang w:val="en-US" w:eastAsia="zh-CN"/>
              </w:rPr>
              <w:t>10</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val="en-US" w:eastAsia="zh-CN"/>
              </w:rPr>
              <w:t>；</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kern w:val="2"/>
                <w:sz w:val="28"/>
                <w:szCs w:val="28"/>
                <w:lang w:val="en-US" w:eastAsia="zh-CN"/>
              </w:rPr>
              <w:t>2、</w:t>
            </w:r>
            <w:r>
              <w:rPr>
                <w:rFonts w:hint="eastAsia" w:asciiTheme="majorEastAsia" w:hAnsiTheme="majorEastAsia" w:eastAsiaTheme="majorEastAsia" w:cstheme="majorEastAsia"/>
                <w:kern w:val="2"/>
                <w:sz w:val="28"/>
                <w:szCs w:val="28"/>
                <w:lang w:eastAsia="zh-CN"/>
              </w:rPr>
              <w:t>提供重难点分析及措施</w:t>
            </w:r>
            <w:r>
              <w:rPr>
                <w:rFonts w:hint="eastAsia" w:asciiTheme="majorEastAsia" w:hAnsiTheme="majorEastAsia" w:eastAsiaTheme="majorEastAsia" w:cstheme="majorEastAsia"/>
                <w:kern w:val="2"/>
                <w:sz w:val="28"/>
                <w:szCs w:val="28"/>
                <w:lang w:val="en-US" w:eastAsia="zh-CN"/>
              </w:rPr>
              <w:t>（根据需要自行实地考察）</w:t>
            </w:r>
            <w:r>
              <w:rPr>
                <w:rFonts w:hint="eastAsia" w:asciiTheme="majorEastAsia" w:hAnsiTheme="majorEastAsia" w:eastAsiaTheme="majorEastAsia" w:cstheme="majorEastAsia"/>
                <w:kern w:val="2"/>
                <w:sz w:val="28"/>
                <w:szCs w:val="28"/>
                <w:lang w:eastAsia="zh-CN"/>
              </w:rPr>
              <w:t>的得</w:t>
            </w:r>
            <w:r>
              <w:rPr>
                <w:rFonts w:hint="eastAsia" w:asciiTheme="majorEastAsia" w:hAnsiTheme="majorEastAsia" w:eastAsiaTheme="majorEastAsia" w:cstheme="majorEastAsia"/>
                <w:kern w:val="2"/>
                <w:sz w:val="28"/>
                <w:szCs w:val="28"/>
                <w:lang w:val="en-US" w:eastAsia="zh-CN"/>
              </w:rPr>
              <w:t>20分，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w:t>
            </w:r>
            <w:r>
              <w:rPr>
                <w:rFonts w:hint="eastAsia" w:asciiTheme="majorEastAsia" w:hAnsiTheme="majorEastAsia" w:eastAsiaTheme="majorEastAsia" w:cstheme="majorEastAsia"/>
                <w:kern w:val="2"/>
                <w:sz w:val="28"/>
                <w:szCs w:val="28"/>
              </w:rPr>
              <w:t>不符合</w:t>
            </w:r>
            <w:r>
              <w:rPr>
                <w:rFonts w:hint="eastAsia" w:asciiTheme="majorEastAsia" w:hAnsiTheme="majorEastAsia" w:eastAsiaTheme="majorEastAsia" w:cstheme="majorEastAsia"/>
                <w:kern w:val="2"/>
                <w:sz w:val="28"/>
                <w:szCs w:val="28"/>
                <w:lang w:eastAsia="zh-CN"/>
              </w:rPr>
              <w:t>采购</w:t>
            </w:r>
            <w:r>
              <w:rPr>
                <w:rFonts w:hint="eastAsia" w:asciiTheme="majorEastAsia" w:hAnsiTheme="majorEastAsia" w:eastAsiaTheme="majorEastAsia" w:cstheme="majorEastAsia"/>
                <w:kern w:val="2"/>
                <w:sz w:val="28"/>
                <w:szCs w:val="28"/>
              </w:rPr>
              <w:t>需求的扣</w:t>
            </w:r>
            <w:r>
              <w:rPr>
                <w:rFonts w:hint="eastAsia" w:asciiTheme="majorEastAsia" w:hAnsiTheme="majorEastAsia" w:eastAsiaTheme="majorEastAsia" w:cstheme="majorEastAsia"/>
                <w:kern w:val="2"/>
                <w:sz w:val="28"/>
                <w:szCs w:val="28"/>
                <w:lang w:val="en-US" w:eastAsia="zh-CN"/>
              </w:rPr>
              <w:t>20</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eastAsia="zh-CN"/>
              </w:rPr>
              <w:t>。</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kern w:val="2"/>
                <w:sz w:val="28"/>
                <w:szCs w:val="28"/>
              </w:rPr>
              <w:t>（说明：不符合釆购需求是指存在</w:t>
            </w:r>
            <w:r>
              <w:rPr>
                <w:rFonts w:hint="eastAsia" w:asciiTheme="majorEastAsia" w:hAnsiTheme="majorEastAsia" w:eastAsiaTheme="majorEastAsia" w:cstheme="majorEastAsia"/>
                <w:kern w:val="2"/>
                <w:sz w:val="28"/>
                <w:szCs w:val="28"/>
                <w:lang w:val="en-US" w:eastAsia="zh-CN"/>
              </w:rPr>
              <w:t>不完全响应采购要求、</w:t>
            </w:r>
            <w:r>
              <w:rPr>
                <w:rFonts w:hint="eastAsia" w:asciiTheme="majorEastAsia" w:hAnsiTheme="majorEastAsia" w:eastAsiaTheme="majorEastAsia" w:cstheme="majorEastAsia"/>
                <w:kern w:val="2"/>
                <w:sz w:val="28"/>
                <w:szCs w:val="28"/>
              </w:rPr>
              <w:t>不适用项目实际情况、凭空编造、逻辑漏洞、原理错误情形。</w:t>
            </w:r>
            <w:r>
              <w:rPr>
                <w:rFonts w:hint="eastAsia" w:asciiTheme="majorEastAsia" w:hAnsiTheme="majorEastAsia" w:eastAsiaTheme="majorEastAsia" w:cstheme="majorEastAsia"/>
                <w:kern w:val="2"/>
                <w:sz w:val="28"/>
                <w:szCs w:val="28"/>
                <w:lang w:eastAsia="zh-CN"/>
              </w:rPr>
              <w:t>投标人提供</w:t>
            </w:r>
            <w:r>
              <w:rPr>
                <w:rFonts w:hint="eastAsia" w:asciiTheme="majorEastAsia" w:hAnsiTheme="majorEastAsia" w:eastAsiaTheme="majorEastAsia" w:cstheme="majorEastAsia"/>
                <w:kern w:val="2"/>
                <w:sz w:val="28"/>
                <w:szCs w:val="28"/>
              </w:rPr>
              <w:t>材料缺项的</w:t>
            </w:r>
            <w:r>
              <w:rPr>
                <w:rFonts w:hint="eastAsia" w:asciiTheme="majorEastAsia" w:hAnsiTheme="majorEastAsia" w:eastAsiaTheme="majorEastAsia" w:cstheme="majorEastAsia"/>
                <w:kern w:val="2"/>
                <w:sz w:val="28"/>
                <w:szCs w:val="28"/>
                <w:lang w:eastAsia="zh-CN"/>
              </w:rPr>
              <w:t>本评分项</w:t>
            </w:r>
            <w:r>
              <w:rPr>
                <w:rFonts w:hint="eastAsia" w:asciiTheme="majorEastAsia" w:hAnsiTheme="majorEastAsia" w:eastAsiaTheme="majorEastAsia" w:cstheme="majorEastAsia"/>
                <w:kern w:val="2"/>
                <w:sz w:val="28"/>
                <w:szCs w:val="28"/>
              </w:rPr>
              <w:t>不得分）</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3</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0"/>
              </w:tabs>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公共秩序维护及应急管理服务</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both"/>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20</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kern w:val="2"/>
                <w:sz w:val="28"/>
                <w:szCs w:val="28"/>
                <w:lang w:eastAsia="zh-CN"/>
              </w:rPr>
              <w:t>根据投标人提供的针</w:t>
            </w:r>
            <w:r>
              <w:rPr>
                <w:rFonts w:hint="eastAsia" w:asciiTheme="majorEastAsia" w:hAnsiTheme="majorEastAsia" w:eastAsiaTheme="majorEastAsia" w:cstheme="majorEastAsia"/>
                <w:kern w:val="2"/>
                <w:sz w:val="28"/>
                <w:szCs w:val="28"/>
              </w:rPr>
              <w:t>对</w:t>
            </w:r>
            <w:r>
              <w:rPr>
                <w:rFonts w:hint="eastAsia" w:asciiTheme="majorEastAsia" w:hAnsiTheme="majorEastAsia" w:eastAsiaTheme="majorEastAsia" w:cstheme="majorEastAsia"/>
                <w:kern w:val="2"/>
                <w:sz w:val="28"/>
                <w:szCs w:val="28"/>
                <w:lang w:eastAsia="zh-CN"/>
              </w:rPr>
              <w:t>本</w:t>
            </w:r>
            <w:r>
              <w:rPr>
                <w:rFonts w:hint="eastAsia" w:asciiTheme="majorEastAsia" w:hAnsiTheme="majorEastAsia" w:eastAsiaTheme="majorEastAsia" w:cstheme="majorEastAsia"/>
                <w:kern w:val="2"/>
                <w:sz w:val="28"/>
                <w:szCs w:val="28"/>
              </w:rPr>
              <w:t>项目</w:t>
            </w:r>
            <w:r>
              <w:rPr>
                <w:rFonts w:hint="eastAsia" w:asciiTheme="majorEastAsia" w:hAnsiTheme="majorEastAsia" w:eastAsiaTheme="majorEastAsia" w:cstheme="majorEastAsia"/>
                <w:sz w:val="28"/>
                <w:szCs w:val="28"/>
              </w:rPr>
              <w:t>服务方案</w:t>
            </w:r>
            <w:r>
              <w:rPr>
                <w:rFonts w:hint="eastAsia" w:asciiTheme="majorEastAsia" w:hAnsiTheme="majorEastAsia" w:eastAsiaTheme="majorEastAsia" w:cstheme="majorEastAsia"/>
                <w:sz w:val="28"/>
                <w:szCs w:val="28"/>
                <w:lang w:eastAsia="zh-CN"/>
              </w:rPr>
              <w:t>进行评审：</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color w:val="auto"/>
                <w:sz w:val="28"/>
                <w:szCs w:val="28"/>
                <w:lang w:val="en-US" w:eastAsia="zh-CN"/>
              </w:rPr>
            </w:pPr>
            <w:r>
              <w:rPr>
                <w:rFonts w:hint="eastAsia" w:asciiTheme="majorEastAsia" w:hAnsiTheme="majorEastAsia" w:eastAsiaTheme="majorEastAsia" w:cstheme="majorEastAsia"/>
                <w:sz w:val="28"/>
                <w:szCs w:val="28"/>
                <w:lang w:val="en-US" w:eastAsia="zh-CN"/>
              </w:rPr>
              <w:t>1、提供</w:t>
            </w:r>
            <w:r>
              <w:rPr>
                <w:rFonts w:hint="eastAsia" w:asciiTheme="majorEastAsia" w:hAnsiTheme="majorEastAsia" w:eastAsiaTheme="majorEastAsia" w:cstheme="majorEastAsia"/>
                <w:sz w:val="28"/>
                <w:szCs w:val="28"/>
              </w:rPr>
              <w:t>日常公共秩序维护方案</w:t>
            </w:r>
            <w:r>
              <w:rPr>
                <w:rFonts w:hint="eastAsia" w:asciiTheme="majorEastAsia" w:hAnsiTheme="majorEastAsia" w:eastAsiaTheme="majorEastAsia" w:cstheme="majorEastAsia"/>
                <w:kern w:val="2"/>
                <w:sz w:val="28"/>
                <w:szCs w:val="28"/>
                <w:lang w:eastAsia="zh-CN"/>
              </w:rPr>
              <w:t>的得</w:t>
            </w:r>
            <w:r>
              <w:rPr>
                <w:rFonts w:hint="eastAsia" w:asciiTheme="majorEastAsia" w:hAnsiTheme="majorEastAsia" w:eastAsiaTheme="majorEastAsia" w:cstheme="majorEastAsia"/>
                <w:kern w:val="2"/>
                <w:sz w:val="28"/>
                <w:szCs w:val="28"/>
                <w:lang w:val="en-US" w:eastAsia="zh-CN"/>
              </w:rPr>
              <w:t>5分，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内容不符合采购需求的</w:t>
            </w:r>
            <w:r>
              <w:rPr>
                <w:rFonts w:hint="eastAsia" w:asciiTheme="majorEastAsia" w:hAnsiTheme="majorEastAsia" w:eastAsiaTheme="majorEastAsia" w:cstheme="majorEastAsia"/>
                <w:kern w:val="2"/>
                <w:sz w:val="28"/>
                <w:szCs w:val="28"/>
              </w:rPr>
              <w:t>扣</w:t>
            </w:r>
            <w:r>
              <w:rPr>
                <w:rFonts w:hint="eastAsia" w:asciiTheme="majorEastAsia" w:hAnsiTheme="majorEastAsia" w:eastAsiaTheme="majorEastAsia" w:cstheme="majorEastAsia"/>
                <w:kern w:val="2"/>
                <w:sz w:val="28"/>
                <w:szCs w:val="28"/>
                <w:lang w:val="en-US" w:eastAsia="zh-CN"/>
              </w:rPr>
              <w:t>5</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val="en-US" w:eastAsia="zh-CN"/>
              </w:rPr>
              <w:t>；</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color w:val="auto"/>
                <w:sz w:val="28"/>
                <w:szCs w:val="28"/>
                <w:lang w:val="en-US" w:eastAsia="zh-CN"/>
              </w:rPr>
            </w:pPr>
            <w:r>
              <w:rPr>
                <w:rFonts w:hint="eastAsia" w:asciiTheme="majorEastAsia" w:hAnsiTheme="majorEastAsia" w:eastAsiaTheme="majorEastAsia" w:cstheme="majorEastAsia"/>
                <w:sz w:val="28"/>
                <w:szCs w:val="28"/>
                <w:lang w:val="en-US" w:eastAsia="zh-CN"/>
              </w:rPr>
              <w:t>2、提供小区</w:t>
            </w:r>
            <w:r>
              <w:rPr>
                <w:rFonts w:hint="eastAsia" w:asciiTheme="majorEastAsia" w:hAnsiTheme="majorEastAsia" w:eastAsiaTheme="majorEastAsia" w:cstheme="majorEastAsia"/>
                <w:sz w:val="28"/>
                <w:szCs w:val="28"/>
              </w:rPr>
              <w:t>防疫服务方案</w:t>
            </w:r>
            <w:r>
              <w:rPr>
                <w:rFonts w:hint="eastAsia" w:asciiTheme="majorEastAsia" w:hAnsiTheme="majorEastAsia" w:eastAsiaTheme="majorEastAsia" w:cstheme="majorEastAsia"/>
                <w:kern w:val="2"/>
                <w:sz w:val="28"/>
                <w:szCs w:val="28"/>
                <w:lang w:eastAsia="zh-CN"/>
              </w:rPr>
              <w:t>的得</w:t>
            </w:r>
            <w:r>
              <w:rPr>
                <w:rFonts w:hint="eastAsia" w:asciiTheme="majorEastAsia" w:hAnsiTheme="majorEastAsia" w:eastAsiaTheme="majorEastAsia" w:cstheme="majorEastAsia"/>
                <w:kern w:val="2"/>
                <w:sz w:val="28"/>
                <w:szCs w:val="28"/>
                <w:lang w:val="en-US" w:eastAsia="zh-CN"/>
              </w:rPr>
              <w:t>5分，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内容不符合采购需求的</w:t>
            </w:r>
            <w:r>
              <w:rPr>
                <w:rFonts w:hint="eastAsia" w:asciiTheme="majorEastAsia" w:hAnsiTheme="majorEastAsia" w:eastAsiaTheme="majorEastAsia" w:cstheme="majorEastAsia"/>
                <w:kern w:val="2"/>
                <w:sz w:val="28"/>
                <w:szCs w:val="28"/>
              </w:rPr>
              <w:t>扣</w:t>
            </w:r>
            <w:r>
              <w:rPr>
                <w:rFonts w:hint="eastAsia" w:asciiTheme="majorEastAsia" w:hAnsiTheme="majorEastAsia" w:eastAsiaTheme="majorEastAsia" w:cstheme="majorEastAsia"/>
                <w:kern w:val="2"/>
                <w:sz w:val="28"/>
                <w:szCs w:val="28"/>
                <w:lang w:val="en-US" w:eastAsia="zh-CN"/>
              </w:rPr>
              <w:t>5</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val="en-US" w:eastAsia="zh-CN"/>
              </w:rPr>
              <w:t>；</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rPr>
            </w:pPr>
            <w:r>
              <w:rPr>
                <w:rFonts w:hint="eastAsia" w:asciiTheme="majorEastAsia" w:hAnsiTheme="majorEastAsia" w:eastAsiaTheme="majorEastAsia" w:cstheme="majorEastAsia"/>
                <w:sz w:val="28"/>
                <w:szCs w:val="28"/>
                <w:lang w:val="en-US" w:eastAsia="zh-CN"/>
              </w:rPr>
              <w:t>3、提供小区巡逻人员点位分布图及巡逻线路图并标明巡逻具体时间</w:t>
            </w:r>
            <w:r>
              <w:rPr>
                <w:rFonts w:hint="eastAsia" w:asciiTheme="majorEastAsia" w:hAnsiTheme="majorEastAsia" w:eastAsiaTheme="majorEastAsia" w:cstheme="majorEastAsia"/>
                <w:kern w:val="2"/>
                <w:sz w:val="28"/>
                <w:szCs w:val="28"/>
                <w:lang w:eastAsia="zh-CN"/>
              </w:rPr>
              <w:t>的得</w:t>
            </w:r>
            <w:r>
              <w:rPr>
                <w:rFonts w:hint="eastAsia" w:asciiTheme="majorEastAsia" w:hAnsiTheme="majorEastAsia" w:eastAsiaTheme="majorEastAsia" w:cstheme="majorEastAsia"/>
                <w:kern w:val="2"/>
                <w:sz w:val="28"/>
                <w:szCs w:val="28"/>
                <w:lang w:val="en-US" w:eastAsia="zh-CN"/>
              </w:rPr>
              <w:t>10分，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内容不符合采购需求的</w:t>
            </w:r>
            <w:r>
              <w:rPr>
                <w:rFonts w:hint="eastAsia" w:asciiTheme="majorEastAsia" w:hAnsiTheme="majorEastAsia" w:eastAsiaTheme="majorEastAsia" w:cstheme="majorEastAsia"/>
                <w:kern w:val="2"/>
                <w:sz w:val="28"/>
                <w:szCs w:val="28"/>
              </w:rPr>
              <w:t>扣</w:t>
            </w:r>
            <w:r>
              <w:rPr>
                <w:rFonts w:hint="eastAsia" w:asciiTheme="majorEastAsia" w:hAnsiTheme="majorEastAsia" w:eastAsiaTheme="majorEastAsia" w:cstheme="majorEastAsia"/>
                <w:kern w:val="2"/>
                <w:sz w:val="28"/>
                <w:szCs w:val="28"/>
                <w:lang w:val="en-US" w:eastAsia="zh-CN"/>
              </w:rPr>
              <w:t>10</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val="en-US" w:eastAsia="zh-CN"/>
              </w:rPr>
              <w:t>；</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（说明：不符合釆购需求是指存在不适用项目实际情况、凭空编造、逻辑漏洞、原理错误情形。</w:t>
            </w:r>
            <w:r>
              <w:rPr>
                <w:rFonts w:hint="eastAsia" w:asciiTheme="majorEastAsia" w:hAnsiTheme="majorEastAsia" w:eastAsiaTheme="majorEastAsia" w:cstheme="majorEastAsia"/>
                <w:kern w:val="2"/>
                <w:sz w:val="28"/>
                <w:szCs w:val="28"/>
                <w:lang w:eastAsia="zh-CN"/>
              </w:rPr>
              <w:t>投标人提供</w:t>
            </w:r>
            <w:r>
              <w:rPr>
                <w:rFonts w:hint="eastAsia" w:asciiTheme="majorEastAsia" w:hAnsiTheme="majorEastAsia" w:eastAsiaTheme="majorEastAsia" w:cstheme="majorEastAsia"/>
                <w:kern w:val="2"/>
                <w:sz w:val="28"/>
                <w:szCs w:val="28"/>
              </w:rPr>
              <w:t>材料缺项的</w:t>
            </w:r>
            <w:r>
              <w:rPr>
                <w:rFonts w:hint="eastAsia" w:asciiTheme="majorEastAsia" w:hAnsiTheme="majorEastAsia" w:eastAsiaTheme="majorEastAsia" w:cstheme="majorEastAsia"/>
                <w:kern w:val="2"/>
                <w:sz w:val="28"/>
                <w:szCs w:val="28"/>
                <w:lang w:eastAsia="zh-CN"/>
              </w:rPr>
              <w:t>本评分项</w:t>
            </w:r>
            <w:r>
              <w:rPr>
                <w:rFonts w:hint="eastAsia" w:asciiTheme="majorEastAsia" w:hAnsiTheme="majorEastAsia" w:eastAsiaTheme="majorEastAsia" w:cstheme="majorEastAsia"/>
                <w:kern w:val="2"/>
                <w:sz w:val="28"/>
                <w:szCs w:val="28"/>
              </w:rPr>
              <w:t>不得分）</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4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4</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0"/>
              </w:tabs>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保洁</w:t>
            </w:r>
          </w:p>
          <w:p>
            <w:pPr>
              <w:keepNext w:val="0"/>
              <w:keepLines w:val="0"/>
              <w:pageBreakBefore w:val="0"/>
              <w:tabs>
                <w:tab w:val="left" w:pos="0"/>
              </w:tabs>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服务</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8</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kern w:val="2"/>
                <w:sz w:val="28"/>
                <w:szCs w:val="28"/>
                <w:lang w:eastAsia="zh-CN"/>
              </w:rPr>
              <w:t>根据投标人提供的针</w:t>
            </w:r>
            <w:r>
              <w:rPr>
                <w:rFonts w:hint="eastAsia" w:asciiTheme="majorEastAsia" w:hAnsiTheme="majorEastAsia" w:eastAsiaTheme="majorEastAsia" w:cstheme="majorEastAsia"/>
                <w:kern w:val="2"/>
                <w:sz w:val="28"/>
                <w:szCs w:val="28"/>
              </w:rPr>
              <w:t>对</w:t>
            </w:r>
            <w:r>
              <w:rPr>
                <w:rFonts w:hint="eastAsia" w:asciiTheme="majorEastAsia" w:hAnsiTheme="majorEastAsia" w:eastAsiaTheme="majorEastAsia" w:cstheme="majorEastAsia"/>
                <w:kern w:val="2"/>
                <w:sz w:val="28"/>
                <w:szCs w:val="28"/>
                <w:lang w:eastAsia="zh-CN"/>
              </w:rPr>
              <w:t>本</w:t>
            </w:r>
            <w:r>
              <w:rPr>
                <w:rFonts w:hint="eastAsia" w:asciiTheme="majorEastAsia" w:hAnsiTheme="majorEastAsia" w:eastAsiaTheme="majorEastAsia" w:cstheme="majorEastAsia"/>
                <w:kern w:val="2"/>
                <w:sz w:val="28"/>
                <w:szCs w:val="28"/>
              </w:rPr>
              <w:t>项目</w:t>
            </w:r>
            <w:r>
              <w:rPr>
                <w:rFonts w:hint="eastAsia" w:asciiTheme="majorEastAsia" w:hAnsiTheme="majorEastAsia" w:eastAsiaTheme="majorEastAsia" w:cstheme="majorEastAsia"/>
                <w:sz w:val="28"/>
                <w:szCs w:val="28"/>
              </w:rPr>
              <w:t>服务方案</w:t>
            </w:r>
            <w:r>
              <w:rPr>
                <w:rFonts w:hint="eastAsia" w:asciiTheme="majorEastAsia" w:hAnsiTheme="majorEastAsia" w:eastAsiaTheme="majorEastAsia" w:cstheme="majorEastAsia"/>
                <w:sz w:val="28"/>
                <w:szCs w:val="28"/>
                <w:lang w:eastAsia="zh-CN"/>
              </w:rPr>
              <w:t>进行评审：</w:t>
            </w:r>
          </w:p>
          <w:p>
            <w:pPr>
              <w:keepNext w:val="0"/>
              <w:keepLines w:val="0"/>
              <w:pageBreakBefore w:val="0"/>
              <w:numPr>
                <w:ilvl w:val="0"/>
                <w:numId w:val="0"/>
              </w:numPr>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rPr>
            </w:pPr>
            <w:r>
              <w:rPr>
                <w:rFonts w:hint="eastAsia" w:asciiTheme="majorEastAsia" w:hAnsiTheme="majorEastAsia" w:eastAsiaTheme="majorEastAsia" w:cstheme="majorEastAsia"/>
                <w:kern w:val="2"/>
                <w:sz w:val="28"/>
                <w:szCs w:val="28"/>
                <w:lang w:val="en-US" w:eastAsia="zh-CN"/>
              </w:rPr>
              <w:t>1、提供</w:t>
            </w:r>
            <w:r>
              <w:rPr>
                <w:rFonts w:hint="eastAsia" w:asciiTheme="majorEastAsia" w:hAnsiTheme="majorEastAsia" w:eastAsiaTheme="majorEastAsia" w:cstheme="majorEastAsia"/>
                <w:kern w:val="2"/>
                <w:sz w:val="28"/>
                <w:szCs w:val="28"/>
              </w:rPr>
              <w:t>卫生</w:t>
            </w:r>
            <w:r>
              <w:rPr>
                <w:rFonts w:hint="eastAsia" w:asciiTheme="majorEastAsia" w:hAnsiTheme="majorEastAsia" w:eastAsiaTheme="majorEastAsia" w:cstheme="majorEastAsia"/>
                <w:sz w:val="28"/>
                <w:szCs w:val="28"/>
              </w:rPr>
              <w:t>保洁服务</w:t>
            </w:r>
            <w:r>
              <w:rPr>
                <w:rFonts w:hint="eastAsia" w:asciiTheme="majorEastAsia" w:hAnsiTheme="majorEastAsia" w:eastAsiaTheme="majorEastAsia" w:cstheme="majorEastAsia"/>
                <w:sz w:val="28"/>
                <w:szCs w:val="28"/>
                <w:lang w:eastAsia="zh-CN"/>
              </w:rPr>
              <w:t>方案及</w:t>
            </w:r>
            <w:r>
              <w:rPr>
                <w:rFonts w:hint="eastAsia" w:asciiTheme="majorEastAsia" w:hAnsiTheme="majorEastAsia" w:eastAsiaTheme="majorEastAsia" w:cstheme="majorEastAsia"/>
                <w:sz w:val="28"/>
                <w:szCs w:val="28"/>
              </w:rPr>
              <w:t>流程</w:t>
            </w:r>
            <w:r>
              <w:rPr>
                <w:rFonts w:hint="eastAsia" w:asciiTheme="majorEastAsia" w:hAnsiTheme="majorEastAsia" w:eastAsiaTheme="majorEastAsia" w:cstheme="majorEastAsia"/>
                <w:kern w:val="2"/>
                <w:sz w:val="28"/>
                <w:szCs w:val="28"/>
                <w:lang w:eastAsia="zh-CN"/>
              </w:rPr>
              <w:t>的得</w:t>
            </w:r>
            <w:r>
              <w:rPr>
                <w:rFonts w:hint="eastAsia" w:asciiTheme="majorEastAsia" w:hAnsiTheme="majorEastAsia" w:eastAsiaTheme="majorEastAsia" w:cstheme="majorEastAsia"/>
                <w:kern w:val="2"/>
                <w:sz w:val="28"/>
                <w:szCs w:val="28"/>
                <w:lang w:val="en-US" w:eastAsia="zh-CN"/>
              </w:rPr>
              <w:t>4分，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内容不符合采购需求的</w:t>
            </w:r>
            <w:r>
              <w:rPr>
                <w:rFonts w:hint="eastAsia" w:asciiTheme="majorEastAsia" w:hAnsiTheme="majorEastAsia" w:eastAsiaTheme="majorEastAsia" w:cstheme="majorEastAsia"/>
                <w:kern w:val="2"/>
                <w:sz w:val="28"/>
                <w:szCs w:val="28"/>
              </w:rPr>
              <w:t>扣</w:t>
            </w:r>
            <w:r>
              <w:rPr>
                <w:rFonts w:hint="eastAsia" w:asciiTheme="majorEastAsia" w:hAnsiTheme="majorEastAsia" w:eastAsiaTheme="majorEastAsia" w:cstheme="majorEastAsia"/>
                <w:kern w:val="2"/>
                <w:sz w:val="28"/>
                <w:szCs w:val="28"/>
                <w:lang w:val="en-US" w:eastAsia="zh-CN"/>
              </w:rPr>
              <w:t>4</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val="en-US" w:eastAsia="zh-CN"/>
              </w:rPr>
              <w:t>；</w:t>
            </w:r>
          </w:p>
          <w:p>
            <w:pPr>
              <w:keepNext w:val="0"/>
              <w:keepLines w:val="0"/>
              <w:pageBreakBefore w:val="0"/>
              <w:numPr>
                <w:ilvl w:val="0"/>
                <w:numId w:val="0"/>
              </w:numPr>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rPr>
            </w:pPr>
            <w:r>
              <w:rPr>
                <w:rFonts w:hint="eastAsia" w:asciiTheme="majorEastAsia" w:hAnsiTheme="majorEastAsia" w:eastAsiaTheme="majorEastAsia" w:cstheme="majorEastAsia"/>
                <w:sz w:val="28"/>
                <w:szCs w:val="28"/>
                <w:lang w:val="en-US" w:eastAsia="zh-CN"/>
              </w:rPr>
              <w:t>2、提供生活垃圾分类方案</w:t>
            </w:r>
            <w:r>
              <w:rPr>
                <w:rFonts w:hint="eastAsia" w:asciiTheme="majorEastAsia" w:hAnsiTheme="majorEastAsia" w:eastAsiaTheme="majorEastAsia" w:cstheme="majorEastAsia"/>
                <w:kern w:val="2"/>
                <w:sz w:val="28"/>
                <w:szCs w:val="28"/>
                <w:lang w:eastAsia="zh-CN"/>
              </w:rPr>
              <w:t>的得</w:t>
            </w:r>
            <w:r>
              <w:rPr>
                <w:rFonts w:hint="eastAsia" w:asciiTheme="majorEastAsia" w:hAnsiTheme="majorEastAsia" w:eastAsiaTheme="majorEastAsia" w:cstheme="majorEastAsia"/>
                <w:kern w:val="2"/>
                <w:sz w:val="28"/>
                <w:szCs w:val="28"/>
                <w:lang w:val="en-US" w:eastAsia="zh-CN"/>
              </w:rPr>
              <w:t>4分，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内容不符合采购需求的</w:t>
            </w:r>
            <w:r>
              <w:rPr>
                <w:rFonts w:hint="eastAsia" w:asciiTheme="majorEastAsia" w:hAnsiTheme="majorEastAsia" w:eastAsiaTheme="majorEastAsia" w:cstheme="majorEastAsia"/>
                <w:kern w:val="2"/>
                <w:sz w:val="28"/>
                <w:szCs w:val="28"/>
              </w:rPr>
              <w:t>扣</w:t>
            </w:r>
            <w:r>
              <w:rPr>
                <w:rFonts w:hint="eastAsia" w:asciiTheme="majorEastAsia" w:hAnsiTheme="majorEastAsia" w:eastAsiaTheme="majorEastAsia" w:cstheme="majorEastAsia"/>
                <w:kern w:val="2"/>
                <w:sz w:val="28"/>
                <w:szCs w:val="28"/>
                <w:lang w:val="en-US" w:eastAsia="zh-CN"/>
              </w:rPr>
              <w:t>4</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val="en-US" w:eastAsia="zh-CN"/>
              </w:rPr>
              <w:t>；</w:t>
            </w:r>
          </w:p>
          <w:p>
            <w:pPr>
              <w:keepNext w:val="0"/>
              <w:keepLines w:val="0"/>
              <w:pageBreakBefore w:val="0"/>
              <w:tabs>
                <w:tab w:val="left" w:pos="0"/>
              </w:tabs>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kern w:val="2"/>
                <w:sz w:val="28"/>
                <w:szCs w:val="28"/>
              </w:rPr>
              <w:t>（说明：不符合釆购需求是指存在不适用项目实际情况、凭空编造、逻辑漏洞、原理错误情形。</w:t>
            </w:r>
            <w:r>
              <w:rPr>
                <w:rFonts w:hint="eastAsia" w:asciiTheme="majorEastAsia" w:hAnsiTheme="majorEastAsia" w:eastAsiaTheme="majorEastAsia" w:cstheme="majorEastAsia"/>
                <w:kern w:val="2"/>
                <w:sz w:val="28"/>
                <w:szCs w:val="28"/>
                <w:lang w:eastAsia="zh-CN"/>
              </w:rPr>
              <w:t>投标人提供</w:t>
            </w:r>
            <w:r>
              <w:rPr>
                <w:rFonts w:hint="eastAsia" w:asciiTheme="majorEastAsia" w:hAnsiTheme="majorEastAsia" w:eastAsiaTheme="majorEastAsia" w:cstheme="majorEastAsia"/>
                <w:kern w:val="2"/>
                <w:sz w:val="28"/>
                <w:szCs w:val="28"/>
              </w:rPr>
              <w:t>材料缺项的</w:t>
            </w:r>
            <w:r>
              <w:rPr>
                <w:rFonts w:hint="eastAsia" w:asciiTheme="majorEastAsia" w:hAnsiTheme="majorEastAsia" w:eastAsiaTheme="majorEastAsia" w:cstheme="majorEastAsia"/>
                <w:kern w:val="2"/>
                <w:sz w:val="28"/>
                <w:szCs w:val="28"/>
                <w:lang w:eastAsia="zh-CN"/>
              </w:rPr>
              <w:t>本评分项</w:t>
            </w:r>
            <w:r>
              <w:rPr>
                <w:rFonts w:hint="eastAsia" w:asciiTheme="majorEastAsia" w:hAnsiTheme="majorEastAsia" w:eastAsiaTheme="majorEastAsia" w:cstheme="majorEastAsia"/>
                <w:kern w:val="2"/>
                <w:sz w:val="28"/>
                <w:szCs w:val="28"/>
              </w:rPr>
              <w:t>不得分）</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5</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设施设备管理维养服务</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10</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kern w:val="2"/>
                <w:sz w:val="28"/>
                <w:szCs w:val="28"/>
                <w:lang w:eastAsia="zh-CN"/>
              </w:rPr>
              <w:t>根据投标人提供的针</w:t>
            </w:r>
            <w:r>
              <w:rPr>
                <w:rFonts w:hint="eastAsia" w:asciiTheme="majorEastAsia" w:hAnsiTheme="majorEastAsia" w:eastAsiaTheme="majorEastAsia" w:cstheme="majorEastAsia"/>
                <w:kern w:val="2"/>
                <w:sz w:val="28"/>
                <w:szCs w:val="28"/>
              </w:rPr>
              <w:t>对</w:t>
            </w:r>
            <w:r>
              <w:rPr>
                <w:rFonts w:hint="eastAsia" w:asciiTheme="majorEastAsia" w:hAnsiTheme="majorEastAsia" w:eastAsiaTheme="majorEastAsia" w:cstheme="majorEastAsia"/>
                <w:kern w:val="2"/>
                <w:sz w:val="28"/>
                <w:szCs w:val="28"/>
                <w:lang w:eastAsia="zh-CN"/>
              </w:rPr>
              <w:t>本</w:t>
            </w:r>
            <w:r>
              <w:rPr>
                <w:rFonts w:hint="eastAsia" w:asciiTheme="majorEastAsia" w:hAnsiTheme="majorEastAsia" w:eastAsiaTheme="majorEastAsia" w:cstheme="majorEastAsia"/>
                <w:kern w:val="2"/>
                <w:sz w:val="28"/>
                <w:szCs w:val="28"/>
              </w:rPr>
              <w:t>项目</w:t>
            </w:r>
            <w:r>
              <w:rPr>
                <w:rFonts w:hint="eastAsia" w:asciiTheme="majorEastAsia" w:hAnsiTheme="majorEastAsia" w:eastAsiaTheme="majorEastAsia" w:cstheme="majorEastAsia"/>
                <w:sz w:val="28"/>
                <w:szCs w:val="28"/>
              </w:rPr>
              <w:t>服务方案</w:t>
            </w:r>
            <w:r>
              <w:rPr>
                <w:rFonts w:hint="eastAsia" w:asciiTheme="majorEastAsia" w:hAnsiTheme="majorEastAsia" w:eastAsiaTheme="majorEastAsia" w:cstheme="majorEastAsia"/>
                <w:sz w:val="28"/>
                <w:szCs w:val="28"/>
                <w:lang w:eastAsia="zh-CN"/>
              </w:rPr>
              <w:t>进行评审：</w:t>
            </w:r>
          </w:p>
          <w:p>
            <w:pPr>
              <w:keepNext w:val="0"/>
              <w:keepLines w:val="0"/>
              <w:pageBreakBefore w:val="0"/>
              <w:numPr>
                <w:ilvl w:val="0"/>
                <w:numId w:val="0"/>
              </w:numPr>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rPr>
            </w:pPr>
            <w:r>
              <w:rPr>
                <w:rFonts w:hint="eastAsia" w:asciiTheme="majorEastAsia" w:hAnsiTheme="majorEastAsia" w:eastAsiaTheme="majorEastAsia" w:cstheme="majorEastAsia"/>
                <w:sz w:val="28"/>
                <w:szCs w:val="28"/>
                <w:lang w:val="en-US" w:eastAsia="zh-CN"/>
              </w:rPr>
              <w:t>1、提供</w:t>
            </w:r>
            <w:r>
              <w:rPr>
                <w:rFonts w:hint="eastAsia" w:asciiTheme="majorEastAsia" w:hAnsiTheme="majorEastAsia" w:eastAsiaTheme="majorEastAsia" w:cstheme="majorEastAsia"/>
                <w:sz w:val="28"/>
                <w:szCs w:val="28"/>
              </w:rPr>
              <w:t>公共设施设备日常管理和维养方案</w:t>
            </w:r>
            <w:r>
              <w:rPr>
                <w:rFonts w:hint="eastAsia" w:asciiTheme="majorEastAsia" w:hAnsiTheme="majorEastAsia" w:eastAsiaTheme="majorEastAsia" w:cstheme="majorEastAsia"/>
                <w:kern w:val="2"/>
                <w:sz w:val="28"/>
                <w:szCs w:val="28"/>
                <w:lang w:eastAsia="zh-CN"/>
              </w:rPr>
              <w:t>的得</w:t>
            </w:r>
            <w:r>
              <w:rPr>
                <w:rFonts w:hint="eastAsia" w:asciiTheme="majorEastAsia" w:hAnsiTheme="majorEastAsia" w:eastAsiaTheme="majorEastAsia" w:cstheme="majorEastAsia"/>
                <w:kern w:val="2"/>
                <w:sz w:val="28"/>
                <w:szCs w:val="28"/>
                <w:lang w:val="en-US" w:eastAsia="zh-CN"/>
              </w:rPr>
              <w:t>5分，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内容不符合采购需求的</w:t>
            </w:r>
            <w:r>
              <w:rPr>
                <w:rFonts w:hint="eastAsia" w:asciiTheme="majorEastAsia" w:hAnsiTheme="majorEastAsia" w:eastAsiaTheme="majorEastAsia" w:cstheme="majorEastAsia"/>
                <w:kern w:val="2"/>
                <w:sz w:val="28"/>
                <w:szCs w:val="28"/>
              </w:rPr>
              <w:t>扣</w:t>
            </w:r>
            <w:r>
              <w:rPr>
                <w:rFonts w:hint="eastAsia" w:asciiTheme="majorEastAsia" w:hAnsiTheme="majorEastAsia" w:eastAsiaTheme="majorEastAsia" w:cstheme="majorEastAsia"/>
                <w:kern w:val="2"/>
                <w:sz w:val="28"/>
                <w:szCs w:val="28"/>
                <w:lang w:val="en-US" w:eastAsia="zh-CN"/>
              </w:rPr>
              <w:t>5</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val="en-US" w:eastAsia="zh-CN"/>
              </w:rPr>
              <w:t>；</w:t>
            </w:r>
          </w:p>
          <w:p>
            <w:pPr>
              <w:keepNext w:val="0"/>
              <w:keepLines w:val="0"/>
              <w:pageBreakBefore w:val="0"/>
              <w:numPr>
                <w:ilvl w:val="0"/>
                <w:numId w:val="0"/>
              </w:numPr>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rPr>
            </w:pPr>
            <w:r>
              <w:rPr>
                <w:rFonts w:hint="eastAsia" w:asciiTheme="majorEastAsia" w:hAnsiTheme="majorEastAsia" w:eastAsiaTheme="majorEastAsia" w:cstheme="majorEastAsia"/>
                <w:sz w:val="28"/>
                <w:szCs w:val="28"/>
                <w:lang w:val="en-US" w:eastAsia="zh-CN"/>
              </w:rPr>
              <w:t>2、提供</w:t>
            </w:r>
            <w:r>
              <w:rPr>
                <w:rFonts w:hint="eastAsia" w:asciiTheme="majorEastAsia" w:hAnsiTheme="majorEastAsia" w:eastAsiaTheme="majorEastAsia" w:cstheme="majorEastAsia"/>
                <w:sz w:val="28"/>
                <w:szCs w:val="28"/>
                <w:lang w:eastAsia="zh-CN"/>
              </w:rPr>
              <w:t>设备设施</w:t>
            </w:r>
            <w:r>
              <w:rPr>
                <w:rFonts w:hint="eastAsia" w:asciiTheme="majorEastAsia" w:hAnsiTheme="majorEastAsia" w:eastAsiaTheme="majorEastAsia" w:cstheme="majorEastAsia"/>
                <w:sz w:val="28"/>
                <w:szCs w:val="28"/>
              </w:rPr>
              <w:t>紧急</w:t>
            </w:r>
            <w:r>
              <w:rPr>
                <w:rFonts w:hint="eastAsia" w:asciiTheme="majorEastAsia" w:hAnsiTheme="majorEastAsia" w:eastAsiaTheme="majorEastAsia" w:cstheme="majorEastAsia"/>
                <w:sz w:val="28"/>
                <w:szCs w:val="28"/>
                <w:lang w:eastAsia="zh-CN"/>
              </w:rPr>
              <w:t>维修</w:t>
            </w:r>
            <w:r>
              <w:rPr>
                <w:rFonts w:hint="eastAsia" w:asciiTheme="majorEastAsia" w:hAnsiTheme="majorEastAsia" w:eastAsiaTheme="majorEastAsia" w:cstheme="majorEastAsia"/>
                <w:sz w:val="28"/>
                <w:szCs w:val="28"/>
              </w:rPr>
              <w:t>应急措施</w:t>
            </w:r>
            <w:r>
              <w:rPr>
                <w:rFonts w:hint="eastAsia" w:asciiTheme="majorEastAsia" w:hAnsiTheme="majorEastAsia" w:eastAsiaTheme="majorEastAsia" w:cstheme="majorEastAsia"/>
                <w:kern w:val="2"/>
                <w:sz w:val="28"/>
                <w:szCs w:val="28"/>
              </w:rPr>
              <w:t>方案</w:t>
            </w:r>
            <w:r>
              <w:rPr>
                <w:rFonts w:hint="eastAsia" w:asciiTheme="majorEastAsia" w:hAnsiTheme="majorEastAsia" w:eastAsiaTheme="majorEastAsia" w:cstheme="majorEastAsia"/>
                <w:kern w:val="2"/>
                <w:sz w:val="28"/>
                <w:szCs w:val="28"/>
                <w:lang w:eastAsia="zh-CN"/>
              </w:rPr>
              <w:t>的得</w:t>
            </w:r>
            <w:r>
              <w:rPr>
                <w:rFonts w:hint="eastAsia" w:asciiTheme="majorEastAsia" w:hAnsiTheme="majorEastAsia" w:eastAsiaTheme="majorEastAsia" w:cstheme="majorEastAsia"/>
                <w:kern w:val="2"/>
                <w:sz w:val="28"/>
                <w:szCs w:val="28"/>
                <w:lang w:val="en-US" w:eastAsia="zh-CN"/>
              </w:rPr>
              <w:t>5分，</w:t>
            </w:r>
            <w:r>
              <w:rPr>
                <w:rFonts w:hint="eastAsia" w:asciiTheme="majorEastAsia" w:hAnsiTheme="majorEastAsia" w:eastAsiaTheme="majorEastAsia" w:cstheme="majorEastAsia"/>
                <w:kern w:val="2"/>
                <w:sz w:val="28"/>
                <w:szCs w:val="28"/>
                <w:lang w:eastAsia="zh-CN"/>
              </w:rPr>
              <w:t>提供</w:t>
            </w:r>
            <w:r>
              <w:rPr>
                <w:rFonts w:hint="eastAsia" w:asciiTheme="majorEastAsia" w:hAnsiTheme="majorEastAsia" w:eastAsiaTheme="majorEastAsia" w:cstheme="majorEastAsia"/>
                <w:kern w:val="2"/>
                <w:sz w:val="28"/>
                <w:szCs w:val="28"/>
              </w:rPr>
              <w:t>材料</w:t>
            </w:r>
            <w:r>
              <w:rPr>
                <w:rFonts w:hint="eastAsia" w:asciiTheme="majorEastAsia" w:hAnsiTheme="majorEastAsia" w:eastAsiaTheme="majorEastAsia" w:cstheme="majorEastAsia"/>
                <w:kern w:val="2"/>
                <w:sz w:val="28"/>
                <w:szCs w:val="28"/>
                <w:lang w:eastAsia="zh-CN"/>
              </w:rPr>
              <w:t>内容不符合采购需求的</w:t>
            </w:r>
            <w:r>
              <w:rPr>
                <w:rFonts w:hint="eastAsia" w:asciiTheme="majorEastAsia" w:hAnsiTheme="majorEastAsia" w:eastAsiaTheme="majorEastAsia" w:cstheme="majorEastAsia"/>
                <w:kern w:val="2"/>
                <w:sz w:val="28"/>
                <w:szCs w:val="28"/>
              </w:rPr>
              <w:t>扣</w:t>
            </w:r>
            <w:r>
              <w:rPr>
                <w:rFonts w:hint="eastAsia" w:asciiTheme="majorEastAsia" w:hAnsiTheme="majorEastAsia" w:eastAsiaTheme="majorEastAsia" w:cstheme="majorEastAsia"/>
                <w:kern w:val="2"/>
                <w:sz w:val="28"/>
                <w:szCs w:val="28"/>
                <w:lang w:val="en-US" w:eastAsia="zh-CN"/>
              </w:rPr>
              <w:t>5</w:t>
            </w:r>
            <w:r>
              <w:rPr>
                <w:rFonts w:hint="eastAsia" w:asciiTheme="majorEastAsia" w:hAnsiTheme="majorEastAsia" w:eastAsiaTheme="majorEastAsia" w:cstheme="majorEastAsia"/>
                <w:kern w:val="2"/>
                <w:sz w:val="28"/>
                <w:szCs w:val="28"/>
              </w:rPr>
              <w:t>分</w:t>
            </w:r>
            <w:r>
              <w:rPr>
                <w:rFonts w:hint="eastAsia" w:asciiTheme="majorEastAsia" w:hAnsiTheme="majorEastAsia" w:eastAsiaTheme="majorEastAsia" w:cstheme="majorEastAsia"/>
                <w:kern w:val="2"/>
                <w:sz w:val="28"/>
                <w:szCs w:val="28"/>
                <w:lang w:eastAsia="zh-CN"/>
              </w:rPr>
              <w:t>。</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（说明：不符合釆购需求是指存在不适用项目实际情况、凭空编造、逻辑漏洞、原理错误情形。</w:t>
            </w:r>
            <w:r>
              <w:rPr>
                <w:rFonts w:hint="eastAsia" w:asciiTheme="majorEastAsia" w:hAnsiTheme="majorEastAsia" w:eastAsiaTheme="majorEastAsia" w:cstheme="majorEastAsia"/>
                <w:kern w:val="2"/>
                <w:sz w:val="28"/>
                <w:szCs w:val="28"/>
                <w:lang w:eastAsia="zh-CN"/>
              </w:rPr>
              <w:t>投标人提供</w:t>
            </w:r>
            <w:r>
              <w:rPr>
                <w:rFonts w:hint="eastAsia" w:asciiTheme="majorEastAsia" w:hAnsiTheme="majorEastAsia" w:eastAsiaTheme="majorEastAsia" w:cstheme="majorEastAsia"/>
                <w:kern w:val="2"/>
                <w:sz w:val="28"/>
                <w:szCs w:val="28"/>
              </w:rPr>
              <w:t>材料缺项的</w:t>
            </w:r>
            <w:r>
              <w:rPr>
                <w:rFonts w:hint="eastAsia" w:asciiTheme="majorEastAsia" w:hAnsiTheme="majorEastAsia" w:eastAsiaTheme="majorEastAsia" w:cstheme="majorEastAsia"/>
                <w:kern w:val="2"/>
                <w:sz w:val="28"/>
                <w:szCs w:val="28"/>
                <w:lang w:eastAsia="zh-CN"/>
              </w:rPr>
              <w:t>本评分项</w:t>
            </w:r>
            <w:r>
              <w:rPr>
                <w:rFonts w:hint="eastAsia" w:asciiTheme="majorEastAsia" w:hAnsiTheme="majorEastAsia" w:eastAsiaTheme="majorEastAsia" w:cstheme="majorEastAsia"/>
                <w:kern w:val="2"/>
                <w:sz w:val="28"/>
                <w:szCs w:val="28"/>
              </w:rPr>
              <w:t>不得分）</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6</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绿化养护服务</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8</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根据投标人提供的针对本项目服务方案进行评审：</w:t>
            </w:r>
          </w:p>
          <w:p>
            <w:pPr>
              <w:keepNext w:val="0"/>
              <w:keepLines w:val="0"/>
              <w:pageBreakBefore w:val="0"/>
              <w:numPr>
                <w:ilvl w:val="0"/>
                <w:numId w:val="0"/>
              </w:numPr>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1、提供绿化养护计划的得4分，提供材料内容不符合采购需求的扣4分；</w:t>
            </w:r>
          </w:p>
          <w:p>
            <w:pPr>
              <w:keepNext w:val="0"/>
              <w:keepLines w:val="0"/>
              <w:pageBreakBefore w:val="0"/>
              <w:numPr>
                <w:ilvl w:val="0"/>
                <w:numId w:val="0"/>
              </w:numPr>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2、提供绿化养护方案的得4分，提供材料内容不符合采购需求的扣4分。</w:t>
            </w:r>
          </w:p>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（说明：不符合釆购需求是指存在不适用项目实际情况、凭空编造、逻辑漏洞、原理错误情形。</w:t>
            </w:r>
            <w:r>
              <w:rPr>
                <w:rFonts w:hint="eastAsia" w:asciiTheme="majorEastAsia" w:hAnsiTheme="majorEastAsia" w:eastAsiaTheme="majorEastAsia" w:cstheme="majorEastAsia"/>
                <w:kern w:val="2"/>
                <w:sz w:val="28"/>
                <w:szCs w:val="28"/>
                <w:lang w:eastAsia="zh-CN"/>
              </w:rPr>
              <w:t>投标人提供</w:t>
            </w:r>
            <w:r>
              <w:rPr>
                <w:rFonts w:hint="eastAsia" w:asciiTheme="majorEastAsia" w:hAnsiTheme="majorEastAsia" w:eastAsiaTheme="majorEastAsia" w:cstheme="majorEastAsia"/>
                <w:kern w:val="2"/>
                <w:sz w:val="28"/>
                <w:szCs w:val="28"/>
              </w:rPr>
              <w:t>材料缺项的</w:t>
            </w:r>
            <w:r>
              <w:rPr>
                <w:rFonts w:hint="eastAsia" w:asciiTheme="majorEastAsia" w:hAnsiTheme="majorEastAsia" w:eastAsiaTheme="majorEastAsia" w:cstheme="majorEastAsia"/>
                <w:kern w:val="2"/>
                <w:sz w:val="28"/>
                <w:szCs w:val="28"/>
                <w:lang w:eastAsia="zh-CN"/>
              </w:rPr>
              <w:t>本评分项</w:t>
            </w:r>
            <w:r>
              <w:rPr>
                <w:rFonts w:hint="eastAsia" w:asciiTheme="majorEastAsia" w:hAnsiTheme="majorEastAsia" w:eastAsiaTheme="majorEastAsia" w:cstheme="majorEastAsia"/>
                <w:kern w:val="2"/>
                <w:sz w:val="28"/>
                <w:szCs w:val="28"/>
              </w:rPr>
              <w:t>不得分）</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3"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7</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类似</w:t>
            </w:r>
          </w:p>
          <w:p>
            <w:pPr>
              <w:keepNext w:val="0"/>
              <w:keepLines w:val="0"/>
              <w:pageBreakBefore w:val="0"/>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业绩</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5</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1、提供2019年1月1日以来服务类似项目，每提供1个得1分，最多2分。</w:t>
            </w:r>
          </w:p>
          <w:p>
            <w:pPr>
              <w:pStyle w:val="2"/>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bidi="ar-SA"/>
              </w:rPr>
            </w:pPr>
            <w:r>
              <w:rPr>
                <w:rFonts w:hint="eastAsia" w:asciiTheme="majorEastAsia" w:hAnsiTheme="majorEastAsia" w:eastAsiaTheme="majorEastAsia" w:cstheme="majorEastAsia"/>
                <w:kern w:val="2"/>
                <w:sz w:val="28"/>
                <w:szCs w:val="28"/>
                <w:lang w:val="en-US" w:eastAsia="zh-CN" w:bidi="ar-SA"/>
              </w:rPr>
              <w:t>注：供应商提供中标通知书或者合同佐证得分（佐证材料加盖单位公章）。</w:t>
            </w:r>
          </w:p>
          <w:p>
            <w:pPr>
              <w:rPr>
                <w:rFonts w:hint="eastAsia" w:asciiTheme="majorEastAsia" w:hAnsiTheme="majorEastAsia" w:eastAsiaTheme="majorEastAsia" w:cstheme="majorEastAsia"/>
                <w:sz w:val="28"/>
                <w:szCs w:val="28"/>
              </w:rPr>
            </w:pP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2、提供</w:t>
            </w:r>
            <w:r>
              <w:rPr>
                <w:rFonts w:hint="eastAsia" w:asciiTheme="majorEastAsia" w:hAnsiTheme="majorEastAsia" w:eastAsiaTheme="majorEastAsia" w:cstheme="majorEastAsia"/>
                <w:sz w:val="28"/>
                <w:szCs w:val="28"/>
              </w:rPr>
              <w:t>2019年1月1日以来</w:t>
            </w:r>
            <w:r>
              <w:rPr>
                <w:rFonts w:hint="eastAsia" w:asciiTheme="majorEastAsia" w:hAnsiTheme="majorEastAsia" w:eastAsiaTheme="majorEastAsia" w:cstheme="majorEastAsia"/>
                <w:sz w:val="28"/>
                <w:szCs w:val="28"/>
                <w:lang w:eastAsia="zh-CN"/>
              </w:rPr>
              <w:t>，服务</w:t>
            </w:r>
            <w:r>
              <w:rPr>
                <w:rFonts w:hint="eastAsia" w:asciiTheme="majorEastAsia" w:hAnsiTheme="majorEastAsia" w:eastAsiaTheme="majorEastAsia" w:cstheme="majorEastAsia"/>
                <w:sz w:val="28"/>
                <w:szCs w:val="28"/>
              </w:rPr>
              <w:t>类似项目，受到</w:t>
            </w:r>
            <w:r>
              <w:rPr>
                <w:rFonts w:hint="eastAsia" w:asciiTheme="majorEastAsia" w:hAnsiTheme="majorEastAsia" w:eastAsiaTheme="majorEastAsia" w:cstheme="majorEastAsia"/>
                <w:sz w:val="28"/>
                <w:szCs w:val="28"/>
                <w:lang w:eastAsia="zh-CN"/>
              </w:rPr>
              <w:t>当地政府</w:t>
            </w:r>
            <w:r>
              <w:rPr>
                <w:rFonts w:hint="eastAsia" w:asciiTheme="majorEastAsia" w:hAnsiTheme="majorEastAsia" w:eastAsiaTheme="majorEastAsia" w:cstheme="majorEastAsia"/>
                <w:sz w:val="28"/>
                <w:szCs w:val="28"/>
              </w:rPr>
              <w:t>书面表扬、表彰的得</w:t>
            </w:r>
            <w:r>
              <w:rPr>
                <w:rFonts w:hint="eastAsia" w:asciiTheme="majorEastAsia" w:hAnsiTheme="majorEastAsia" w:eastAsiaTheme="majorEastAsia" w:cstheme="majorEastAsia"/>
                <w:sz w:val="28"/>
                <w:szCs w:val="28"/>
                <w:lang w:val="en-US" w:eastAsia="zh-CN"/>
              </w:rPr>
              <w:t>3</w:t>
            </w:r>
            <w:r>
              <w:rPr>
                <w:rFonts w:hint="eastAsia" w:asciiTheme="majorEastAsia" w:hAnsiTheme="majorEastAsia" w:eastAsiaTheme="majorEastAsia" w:cstheme="majorEastAsia"/>
                <w:sz w:val="28"/>
                <w:szCs w:val="28"/>
              </w:rPr>
              <w:t>分。</w:t>
            </w:r>
          </w:p>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注：供应商提供</w:t>
            </w:r>
            <w:r>
              <w:rPr>
                <w:rFonts w:hint="eastAsia" w:asciiTheme="majorEastAsia" w:hAnsiTheme="majorEastAsia" w:eastAsiaTheme="majorEastAsia" w:cstheme="majorEastAsia"/>
                <w:sz w:val="28"/>
                <w:szCs w:val="28"/>
                <w:lang w:eastAsia="zh-CN"/>
              </w:rPr>
              <w:t>中标通知书</w:t>
            </w:r>
            <w:r>
              <w:rPr>
                <w:rFonts w:hint="eastAsia" w:asciiTheme="majorEastAsia" w:hAnsiTheme="majorEastAsia" w:eastAsiaTheme="majorEastAsia" w:cstheme="majorEastAsia"/>
                <w:sz w:val="28"/>
                <w:szCs w:val="28"/>
                <w:lang w:val="en-US" w:eastAsia="zh-CN"/>
              </w:rPr>
              <w:t>或者</w:t>
            </w:r>
            <w:r>
              <w:rPr>
                <w:rFonts w:hint="eastAsia" w:asciiTheme="majorEastAsia" w:hAnsiTheme="majorEastAsia" w:eastAsiaTheme="majorEastAsia" w:cstheme="majorEastAsia"/>
                <w:sz w:val="28"/>
                <w:szCs w:val="28"/>
                <w:lang w:eastAsia="zh-CN"/>
              </w:rPr>
              <w:t>合同及书面</w:t>
            </w:r>
            <w:r>
              <w:rPr>
                <w:rFonts w:hint="eastAsia" w:asciiTheme="majorEastAsia" w:hAnsiTheme="majorEastAsia" w:eastAsiaTheme="majorEastAsia" w:cstheme="majorEastAsia"/>
                <w:sz w:val="28"/>
                <w:szCs w:val="28"/>
                <w:lang w:val="en-US" w:eastAsia="zh-CN"/>
              </w:rPr>
              <w:t>表扬</w:t>
            </w:r>
            <w:r>
              <w:rPr>
                <w:rFonts w:hint="eastAsia" w:asciiTheme="majorEastAsia" w:hAnsiTheme="majorEastAsia" w:eastAsiaTheme="majorEastAsia" w:cstheme="majorEastAsia"/>
                <w:sz w:val="28"/>
                <w:szCs w:val="28"/>
                <w:lang w:eastAsia="zh-CN"/>
              </w:rPr>
              <w:t>表彰等相关</w:t>
            </w:r>
            <w:r>
              <w:rPr>
                <w:rFonts w:hint="eastAsia" w:asciiTheme="majorEastAsia" w:hAnsiTheme="majorEastAsia" w:eastAsiaTheme="majorEastAsia" w:cstheme="majorEastAsia"/>
                <w:sz w:val="28"/>
                <w:szCs w:val="28"/>
              </w:rPr>
              <w:t>佐证材料得分（佐证材料加盖单位公章）。</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0"/>
              </w:tabs>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8</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响应文件规范性</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2</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kern w:val="2"/>
                <w:sz w:val="28"/>
                <w:szCs w:val="28"/>
              </w:rPr>
              <w:t>响应文件制作规范，没有细微偏差情形的得</w:t>
            </w:r>
            <w:r>
              <w:rPr>
                <w:rFonts w:hint="eastAsia" w:asciiTheme="majorEastAsia" w:hAnsiTheme="majorEastAsia" w:eastAsiaTheme="majorEastAsia" w:cstheme="majorEastAsia"/>
                <w:kern w:val="2"/>
                <w:sz w:val="28"/>
                <w:szCs w:val="28"/>
                <w:lang w:val="en-US" w:eastAsia="zh-CN"/>
              </w:rPr>
              <w:t>2</w:t>
            </w:r>
            <w:r>
              <w:rPr>
                <w:rFonts w:hint="eastAsia" w:asciiTheme="majorEastAsia" w:hAnsiTheme="majorEastAsia" w:eastAsiaTheme="majorEastAsia" w:cstheme="majorEastAsia"/>
                <w:kern w:val="2"/>
                <w:sz w:val="28"/>
                <w:szCs w:val="28"/>
              </w:rPr>
              <w:t>分；有一项细微偏差扣</w:t>
            </w:r>
            <w:r>
              <w:rPr>
                <w:rFonts w:hint="eastAsia" w:asciiTheme="majorEastAsia" w:hAnsiTheme="majorEastAsia" w:eastAsiaTheme="majorEastAsia" w:cstheme="majorEastAsia"/>
                <w:kern w:val="2"/>
                <w:sz w:val="28"/>
                <w:szCs w:val="28"/>
                <w:lang w:val="en-US" w:eastAsia="zh-CN"/>
              </w:rPr>
              <w:t>1</w:t>
            </w:r>
            <w:r>
              <w:rPr>
                <w:rFonts w:hint="eastAsia" w:asciiTheme="majorEastAsia" w:hAnsiTheme="majorEastAsia" w:eastAsiaTheme="majorEastAsia" w:cstheme="majorEastAsia"/>
                <w:kern w:val="2"/>
                <w:sz w:val="28"/>
                <w:szCs w:val="28"/>
              </w:rPr>
              <w:t>分，直至该项分值扣完为止。</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9</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208"/>
              <w:keepNext w:val="0"/>
              <w:keepLines w:val="0"/>
              <w:pageBreakBefore w:val="0"/>
              <w:kinsoku/>
              <w:wordWrap/>
              <w:overflowPunct/>
              <w:topLinePunct w:val="0"/>
              <w:bidi w:val="0"/>
              <w:snapToGrid/>
              <w:spacing w:line="500" w:lineRule="exact"/>
              <w:jc w:val="center"/>
              <w:textAlignment w:val="auto"/>
              <w:rPr>
                <w:rFonts w:hint="eastAsia" w:asciiTheme="majorEastAsia" w:hAnsiTheme="majorEastAsia" w:eastAsiaTheme="majorEastAsia" w:cstheme="majorEastAsia"/>
                <w:color w:val="auto"/>
                <w:kern w:val="2"/>
                <w:sz w:val="28"/>
                <w:szCs w:val="28"/>
                <w:lang w:eastAsia="zh-CN"/>
              </w:rPr>
            </w:pPr>
            <w:r>
              <w:rPr>
                <w:rFonts w:hint="eastAsia" w:asciiTheme="majorEastAsia" w:hAnsiTheme="majorEastAsia" w:eastAsiaTheme="majorEastAsia" w:cstheme="majorEastAsia"/>
                <w:color w:val="auto"/>
                <w:kern w:val="2"/>
                <w:sz w:val="28"/>
                <w:szCs w:val="28"/>
                <w:lang w:eastAsia="zh-CN"/>
              </w:rPr>
              <w:t>承诺书</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6</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kern w:val="2"/>
                <w:sz w:val="28"/>
                <w:szCs w:val="28"/>
                <w:lang w:eastAsia="zh-CN"/>
              </w:rPr>
              <w:t>根据投标人提供的针</w:t>
            </w:r>
            <w:r>
              <w:rPr>
                <w:rFonts w:hint="eastAsia" w:asciiTheme="majorEastAsia" w:hAnsiTheme="majorEastAsia" w:eastAsiaTheme="majorEastAsia" w:cstheme="majorEastAsia"/>
                <w:kern w:val="2"/>
                <w:sz w:val="28"/>
                <w:szCs w:val="28"/>
              </w:rPr>
              <w:t>对</w:t>
            </w:r>
            <w:r>
              <w:rPr>
                <w:rFonts w:hint="eastAsia" w:asciiTheme="majorEastAsia" w:hAnsiTheme="majorEastAsia" w:eastAsiaTheme="majorEastAsia" w:cstheme="majorEastAsia"/>
                <w:kern w:val="2"/>
                <w:sz w:val="28"/>
                <w:szCs w:val="28"/>
                <w:lang w:eastAsia="zh-CN"/>
              </w:rPr>
              <w:t>本</w:t>
            </w:r>
            <w:r>
              <w:rPr>
                <w:rFonts w:hint="eastAsia" w:asciiTheme="majorEastAsia" w:hAnsiTheme="majorEastAsia" w:eastAsiaTheme="majorEastAsia" w:cstheme="majorEastAsia"/>
                <w:kern w:val="2"/>
                <w:sz w:val="28"/>
                <w:szCs w:val="28"/>
              </w:rPr>
              <w:t>项目</w:t>
            </w:r>
            <w:r>
              <w:rPr>
                <w:rFonts w:hint="eastAsia" w:asciiTheme="majorEastAsia" w:hAnsiTheme="majorEastAsia" w:eastAsiaTheme="majorEastAsia" w:cstheme="majorEastAsia"/>
                <w:sz w:val="28"/>
                <w:szCs w:val="28"/>
                <w:lang w:eastAsia="zh-CN"/>
              </w:rPr>
              <w:t>承诺书进行评审：</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rPr>
            </w:pPr>
            <w:r>
              <w:rPr>
                <w:rFonts w:hint="eastAsia" w:asciiTheme="majorEastAsia" w:hAnsiTheme="majorEastAsia" w:eastAsiaTheme="majorEastAsia" w:cstheme="majorEastAsia"/>
                <w:kern w:val="2"/>
                <w:sz w:val="28"/>
                <w:szCs w:val="28"/>
                <w:lang w:val="en-US" w:eastAsia="zh-CN"/>
              </w:rPr>
              <w:t>1、提供小区化粪池清淘及维修承诺书，需承诺产生费用自理的</w:t>
            </w:r>
            <w:r>
              <w:rPr>
                <w:rFonts w:hint="eastAsia" w:asciiTheme="majorEastAsia" w:hAnsiTheme="majorEastAsia" w:eastAsiaTheme="majorEastAsia" w:cstheme="majorEastAsia"/>
                <w:kern w:val="2"/>
                <w:sz w:val="28"/>
                <w:szCs w:val="28"/>
                <w:lang w:eastAsia="zh-CN"/>
              </w:rPr>
              <w:t>得</w:t>
            </w:r>
            <w:r>
              <w:rPr>
                <w:rFonts w:hint="eastAsia" w:asciiTheme="majorEastAsia" w:hAnsiTheme="majorEastAsia" w:eastAsiaTheme="majorEastAsia" w:cstheme="majorEastAsia"/>
                <w:kern w:val="2"/>
                <w:sz w:val="28"/>
                <w:szCs w:val="28"/>
                <w:lang w:val="en-US" w:eastAsia="zh-CN"/>
              </w:rPr>
              <w:t>2分，未提供不得分；（承诺书加盖投标人法人公章）</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lang w:val="en-US" w:eastAsia="zh-CN"/>
              </w:rPr>
            </w:pPr>
            <w:r>
              <w:rPr>
                <w:rFonts w:hint="eastAsia" w:asciiTheme="majorEastAsia" w:hAnsiTheme="majorEastAsia" w:eastAsiaTheme="majorEastAsia" w:cstheme="majorEastAsia"/>
                <w:kern w:val="2"/>
                <w:sz w:val="28"/>
                <w:szCs w:val="28"/>
                <w:lang w:val="en-US" w:eastAsia="zh-CN"/>
              </w:rPr>
              <w:t>2、提供小区消防设施设备维护承诺书，需承诺保障设备设施正常运行且所产生费用自理的</w:t>
            </w:r>
            <w:r>
              <w:rPr>
                <w:rFonts w:hint="eastAsia" w:asciiTheme="majorEastAsia" w:hAnsiTheme="majorEastAsia" w:eastAsiaTheme="majorEastAsia" w:cstheme="majorEastAsia"/>
                <w:kern w:val="2"/>
                <w:sz w:val="28"/>
                <w:szCs w:val="28"/>
                <w:lang w:eastAsia="zh-CN"/>
              </w:rPr>
              <w:t>得</w:t>
            </w:r>
            <w:r>
              <w:rPr>
                <w:rFonts w:hint="eastAsia" w:asciiTheme="majorEastAsia" w:hAnsiTheme="majorEastAsia" w:eastAsiaTheme="majorEastAsia" w:cstheme="majorEastAsia"/>
                <w:kern w:val="2"/>
                <w:sz w:val="28"/>
                <w:szCs w:val="28"/>
                <w:lang w:val="en-US" w:eastAsia="zh-CN"/>
              </w:rPr>
              <w:t>2分；未提供不得分；（承诺书加盖投标人法人公章）</w:t>
            </w:r>
          </w:p>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rPr>
            </w:pPr>
            <w:r>
              <w:rPr>
                <w:rFonts w:hint="eastAsia" w:asciiTheme="majorEastAsia" w:hAnsiTheme="majorEastAsia" w:eastAsiaTheme="majorEastAsia" w:cstheme="majorEastAsia"/>
                <w:kern w:val="2"/>
                <w:sz w:val="28"/>
                <w:szCs w:val="28"/>
                <w:lang w:val="en-US" w:eastAsia="zh-CN"/>
              </w:rPr>
              <w:t>3、提供小区安全责任承诺书，需承诺本项目所有安全责任自理的</w:t>
            </w:r>
            <w:r>
              <w:rPr>
                <w:rFonts w:hint="eastAsia" w:asciiTheme="majorEastAsia" w:hAnsiTheme="majorEastAsia" w:eastAsiaTheme="majorEastAsia" w:cstheme="majorEastAsia"/>
                <w:kern w:val="2"/>
                <w:sz w:val="28"/>
                <w:szCs w:val="28"/>
                <w:lang w:eastAsia="zh-CN"/>
              </w:rPr>
              <w:t>得</w:t>
            </w:r>
            <w:r>
              <w:rPr>
                <w:rFonts w:hint="eastAsia" w:asciiTheme="majorEastAsia" w:hAnsiTheme="majorEastAsia" w:eastAsiaTheme="majorEastAsia" w:cstheme="majorEastAsia"/>
                <w:kern w:val="2"/>
                <w:sz w:val="28"/>
                <w:szCs w:val="28"/>
                <w:lang w:val="en-US" w:eastAsia="zh-CN"/>
              </w:rPr>
              <w:t>2分，未提供不得分。（承诺书加盖投标人法人公章）</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lang w:val="en-US" w:eastAsia="zh-CN"/>
              </w:rPr>
              <w:t>0</w:t>
            </w:r>
          </w:p>
        </w:tc>
        <w:tc>
          <w:tcPr>
            <w:tcW w:w="1117" w:type="dxa"/>
            <w:tcBorders>
              <w:top w:val="single" w:color="auto" w:sz="4" w:space="0"/>
              <w:left w:val="single" w:color="auto" w:sz="4" w:space="0"/>
              <w:bottom w:val="single" w:color="auto" w:sz="4" w:space="0"/>
              <w:right w:val="single" w:color="auto" w:sz="4" w:space="0"/>
            </w:tcBorders>
            <w:noWrap w:val="0"/>
            <w:vAlign w:val="center"/>
          </w:tcPr>
          <w:p>
            <w:pPr>
              <w:pStyle w:val="208"/>
              <w:keepNext w:val="0"/>
              <w:keepLines w:val="0"/>
              <w:pageBreakBefore w:val="0"/>
              <w:kinsoku/>
              <w:wordWrap/>
              <w:overflowPunct/>
              <w:topLinePunct w:val="0"/>
              <w:bidi w:val="0"/>
              <w:snapToGrid/>
              <w:spacing w:line="500" w:lineRule="exact"/>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color w:val="auto"/>
                <w:kern w:val="2"/>
                <w:sz w:val="28"/>
                <w:szCs w:val="28"/>
              </w:rPr>
              <w:t>扶持不发达地区和少数民族地区</w:t>
            </w:r>
          </w:p>
        </w:tc>
        <w:tc>
          <w:tcPr>
            <w:tcW w:w="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ind w:firstLine="28"/>
              <w:jc w:val="center"/>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w:t>
            </w:r>
          </w:p>
        </w:tc>
        <w:tc>
          <w:tcPr>
            <w:tcW w:w="62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kern w:val="2"/>
                <w:sz w:val="28"/>
                <w:szCs w:val="28"/>
              </w:rPr>
            </w:pPr>
            <w:r>
              <w:rPr>
                <w:rFonts w:hint="eastAsia" w:asciiTheme="majorEastAsia" w:hAnsiTheme="majorEastAsia" w:eastAsiaTheme="majorEastAsia" w:cstheme="majorEastAsia"/>
                <w:kern w:val="2"/>
                <w:sz w:val="28"/>
                <w:szCs w:val="28"/>
              </w:rPr>
              <w:t>供应商注册经营地在不发达地区和少数民族地区的得1分。（供应商提供相关证明材料加盖供应商公章佐证得分）</w:t>
            </w:r>
          </w:p>
        </w:tc>
        <w:tc>
          <w:tcPr>
            <w:tcW w:w="9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napToGrid/>
              <w:spacing w:line="500" w:lineRule="exact"/>
              <w:textAlignment w:val="auto"/>
              <w:rPr>
                <w:rFonts w:hint="eastAsia" w:asciiTheme="majorEastAsia" w:hAnsiTheme="majorEastAsia" w:eastAsiaTheme="majorEastAsia" w:cstheme="majorEastAsia"/>
                <w:sz w:val="28"/>
                <w:szCs w:val="28"/>
              </w:rPr>
            </w:pPr>
          </w:p>
        </w:tc>
      </w:tr>
    </w:tbl>
    <w:p/>
    <w:p>
      <w:pPr>
        <w:spacing w:line="560" w:lineRule="exact"/>
        <w:ind w:firstLine="560" w:firstLineChars="200"/>
        <w:rPr>
          <w:rFonts w:hint="eastAsia" w:ascii="宋体" w:hAnsi="宋体"/>
          <w:color w:val="000000" w:themeColor="text1"/>
          <w:sz w:val="28"/>
          <w14:textFill>
            <w14:solidFill>
              <w14:schemeClr w14:val="tx1"/>
            </w14:solidFill>
          </w14:textFill>
        </w:rPr>
      </w:pP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290" w:name="_Toc320624240"/>
      <w:bookmarkEnd w:id="290"/>
      <w:bookmarkStart w:id="291" w:name="_Toc315871657"/>
      <w:bookmarkEnd w:id="291"/>
      <w:bookmarkStart w:id="292" w:name="_Toc320624280"/>
      <w:bookmarkEnd w:id="292"/>
      <w:bookmarkStart w:id="293" w:name="_Toc320624290"/>
      <w:bookmarkEnd w:id="293"/>
      <w:bookmarkStart w:id="294" w:name="_Toc315871658"/>
      <w:bookmarkEnd w:id="294"/>
      <w:bookmarkStart w:id="295" w:name="_Toc320624255"/>
      <w:bookmarkEnd w:id="295"/>
      <w:bookmarkStart w:id="296" w:name="_Toc320624260"/>
      <w:bookmarkEnd w:id="296"/>
      <w:bookmarkStart w:id="297" w:name="_Toc315871656"/>
      <w:bookmarkEnd w:id="297"/>
      <w:bookmarkStart w:id="298" w:name="_Toc320624295"/>
      <w:bookmarkEnd w:id="298"/>
      <w:bookmarkStart w:id="299" w:name="_Toc320624275"/>
      <w:bookmarkEnd w:id="299"/>
      <w:bookmarkStart w:id="300" w:name="_Toc318206701"/>
      <w:bookmarkEnd w:id="300"/>
      <w:bookmarkStart w:id="301" w:name="_Toc315871725"/>
      <w:bookmarkEnd w:id="301"/>
      <w:bookmarkStart w:id="302" w:name="_Toc320624285"/>
      <w:bookmarkEnd w:id="302"/>
      <w:bookmarkStart w:id="303" w:name="_Toc320624265"/>
      <w:bookmarkEnd w:id="303"/>
      <w:bookmarkStart w:id="304" w:name="_Toc75336313"/>
      <w:bookmarkStart w:id="305" w:name="_Toc15076"/>
      <w:bookmarkStart w:id="306" w:name="_Toc315871726"/>
      <w:bookmarkStart w:id="307" w:name="_Toc23841"/>
      <w:bookmarkStart w:id="308" w:name="_Toc19565"/>
      <w:bookmarkStart w:id="309" w:name="_Toc316292258"/>
      <w:bookmarkStart w:id="310" w:name="_Toc18803"/>
      <w:bookmarkStart w:id="311" w:name="_Toc217446060"/>
      <w:r>
        <w:rPr>
          <w:rFonts w:hint="eastAsia"/>
          <w:color w:val="000000" w:themeColor="text1"/>
          <w14:textFill>
            <w14:solidFill>
              <w14:schemeClr w14:val="tx1"/>
            </w14:solidFill>
          </w14:textFill>
        </w:rPr>
        <w:t>废标</w:t>
      </w:r>
      <w:bookmarkEnd w:id="304"/>
      <w:bookmarkEnd w:id="305"/>
      <w:bookmarkEnd w:id="306"/>
      <w:bookmarkEnd w:id="307"/>
      <w:bookmarkEnd w:id="308"/>
      <w:bookmarkEnd w:id="309"/>
      <w:bookmarkEnd w:id="310"/>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废标后，市公资交易中心将在“四川政府采购网”和“成都市公共资源交易服务中心”网站上公告。</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312" w:name="_Toc75336314"/>
      <w:bookmarkStart w:id="313" w:name="_Toc3782"/>
      <w:bookmarkStart w:id="314" w:name="_Toc316292259"/>
      <w:bookmarkStart w:id="315" w:name="_Toc8992"/>
      <w:bookmarkStart w:id="316" w:name="_Toc27932"/>
      <w:bookmarkStart w:id="317" w:name="_Toc315871727"/>
      <w:bookmarkStart w:id="318" w:name="_Toc19880"/>
      <w:r>
        <w:rPr>
          <w:rFonts w:hint="eastAsia"/>
          <w:color w:val="000000" w:themeColor="text1"/>
          <w14:textFill>
            <w14:solidFill>
              <w14:schemeClr w14:val="tx1"/>
            </w14:solidFill>
          </w14:textFill>
        </w:rPr>
        <w:t>定标</w:t>
      </w:r>
      <w:bookmarkEnd w:id="311"/>
      <w:bookmarkEnd w:id="312"/>
      <w:bookmarkEnd w:id="313"/>
      <w:bookmarkEnd w:id="314"/>
      <w:bookmarkEnd w:id="315"/>
      <w:bookmarkEnd w:id="316"/>
      <w:bookmarkEnd w:id="317"/>
      <w:bookmarkEnd w:id="318"/>
      <w:bookmarkStart w:id="319" w:name="_Toc217446061"/>
    </w:p>
    <w:p>
      <w:pPr>
        <w:pStyle w:val="5"/>
        <w:numPr>
          <w:ilvl w:val="2"/>
          <w:numId w:val="3"/>
        </w:numPr>
        <w:spacing w:after="200" w:line="560" w:lineRule="exact"/>
        <w:ind w:left="0" w:firstLine="0"/>
        <w:rPr>
          <w:color w:val="000000" w:themeColor="text1"/>
          <w14:textFill>
            <w14:solidFill>
              <w14:schemeClr w14:val="tx1"/>
            </w14:solidFill>
          </w14:textFill>
        </w:rPr>
      </w:pPr>
      <w:bookmarkStart w:id="320" w:name="_Toc316292260"/>
      <w:bookmarkStart w:id="321" w:name="_Toc315871728"/>
      <w:r>
        <w:rPr>
          <w:rFonts w:hint="eastAsia"/>
          <w:color w:val="000000" w:themeColor="text1"/>
          <w14:textFill>
            <w14:solidFill>
              <w14:schemeClr w14:val="tx1"/>
            </w14:solidFill>
          </w14:textFill>
        </w:rPr>
        <w:t>定标原则</w:t>
      </w:r>
      <w:bookmarkEnd w:id="319"/>
      <w:bookmarkEnd w:id="320"/>
      <w:bookmarkEnd w:id="321"/>
    </w:p>
    <w:p>
      <w:pPr>
        <w:spacing w:line="560" w:lineRule="exact"/>
        <w:ind w:firstLine="560" w:firstLineChars="200"/>
        <w:rPr>
          <w:rFonts w:ascii="宋体" w:hAnsi="宋体"/>
          <w:color w:val="000000" w:themeColor="text1"/>
          <w:sz w:val="28"/>
          <w:szCs w:val="28"/>
          <w14:textFill>
            <w14:solidFill>
              <w14:schemeClr w14:val="tx1"/>
            </w14:solidFill>
          </w14:textFill>
        </w:rPr>
      </w:pPr>
      <w:bookmarkStart w:id="322" w:name="_Toc316292261"/>
      <w:bookmarkStart w:id="323" w:name="_Toc315871729"/>
      <w:bookmarkStart w:id="324" w:name="_Toc217446062"/>
      <w:r>
        <w:rPr>
          <w:rFonts w:hint="eastAsia" w:ascii="宋体" w:hAnsi="宋体"/>
          <w:color w:val="000000" w:themeColor="text1"/>
          <w:sz w:val="28"/>
          <w:szCs w:val="28"/>
          <w14:textFill>
            <w14:solidFill>
              <w14:schemeClr w14:val="tx1"/>
            </w14:solidFill>
          </w14:textFill>
        </w:rPr>
        <w:t>本项目根据评标委员会确定的中标候选人名单，采购人按顺序确定1名中标人。中标候选供应商并列的，</w:t>
      </w:r>
      <w:r>
        <w:rPr>
          <w:rFonts w:hint="eastAsia" w:ascii="宋体"/>
          <w:color w:val="000000" w:themeColor="text1"/>
          <w:sz w:val="28"/>
          <w:szCs w:val="28"/>
          <w14:textFill>
            <w14:solidFill>
              <w14:schemeClr w14:val="tx1"/>
            </w14:solidFill>
          </w14:textFill>
        </w:rPr>
        <w:t>由采购人采取随机抽取的方式确定中标人</w:t>
      </w:r>
      <w:r>
        <w:rPr>
          <w:rFonts w:hint="eastAsia" w:ascii="宋体" w:hAnsi="宋体"/>
          <w:color w:val="000000" w:themeColor="text1"/>
          <w:sz w:val="28"/>
          <w:szCs w:val="28"/>
          <w14:textFill>
            <w14:solidFill>
              <w14:schemeClr w14:val="tx1"/>
            </w14:solidFill>
          </w14:textFill>
        </w:rPr>
        <w:t>。</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采购人在收到评标报告</w:t>
      </w:r>
      <w:r>
        <w:rPr>
          <w:rFonts w:hint="eastAsia" w:cs="宋体" w:asciiTheme="minorEastAsia" w:hAnsiTheme="minorEastAsia" w:eastAsiaTheme="minorEastAsia"/>
          <w:color w:val="000000" w:themeColor="text1"/>
          <w:kern w:val="0"/>
          <w:sz w:val="28"/>
          <w:szCs w:val="28"/>
          <w:lang w:val="en-US" w:eastAsia="zh-CN"/>
          <w14:textFill>
            <w14:solidFill>
              <w14:schemeClr w14:val="tx1"/>
            </w14:solidFill>
          </w14:textFill>
        </w:rPr>
        <w:t>3</w:t>
      </w:r>
      <w:r>
        <w:rPr>
          <w:rFonts w:hint="eastAsia" w:cs="Helvetica" w:asciiTheme="minorEastAsia" w:hAnsiTheme="minorEastAsia" w:eastAsiaTheme="minorEastAsia"/>
          <w:color w:val="000000" w:themeColor="text1"/>
          <w:kern w:val="0"/>
          <w:sz w:val="28"/>
          <w:szCs w:val="28"/>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pStyle w:val="5"/>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定标程序</w:t>
      </w:r>
      <w:bookmarkEnd w:id="322"/>
      <w:bookmarkEnd w:id="323"/>
      <w:bookmarkEnd w:id="324"/>
    </w:p>
    <w:bookmarkEnd w:id="264"/>
    <w:p>
      <w:pPr>
        <w:spacing w:line="560" w:lineRule="exact"/>
        <w:ind w:firstLine="560" w:firstLineChars="200"/>
        <w:rPr>
          <w:rFonts w:ascii="宋体" w:hAnsi="宋体"/>
          <w:color w:val="000000" w:themeColor="text1"/>
          <w:kern w:val="0"/>
          <w:sz w:val="28"/>
          <w:szCs w:val="28"/>
          <w14:textFill>
            <w14:solidFill>
              <w14:schemeClr w14:val="tx1"/>
            </w14:solidFill>
          </w14:textFill>
        </w:rPr>
      </w:pPr>
      <w:bookmarkStart w:id="325" w:name="_Toc316292262"/>
      <w:bookmarkStart w:id="326" w:name="_Toc315871730"/>
      <w:r>
        <w:rPr>
          <w:rFonts w:hint="eastAsia" w:ascii="宋体" w:hAnsi="宋体"/>
          <w:color w:val="000000" w:themeColor="text1"/>
          <w:kern w:val="0"/>
          <w:sz w:val="28"/>
          <w:szCs w:val="28"/>
          <w14:textFill>
            <w14:solidFill>
              <w14:schemeClr w14:val="tx1"/>
            </w14:solidFill>
          </w14:textFill>
        </w:rPr>
        <w:t>一、评审委员会将评审情况写出书面报告。</w:t>
      </w:r>
    </w:p>
    <w:p>
      <w:pPr>
        <w:spacing w:line="56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二、市公资交易中心在评审结束之日起2个工作日内将评审报告送采购人。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三、采购人在收到评审报告后</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四、根据采购人确定的中标（成交）人，市公资交易中心在“四川政府采购网”和“成都市公共资源交易服务中心”网站上发布中标（成交）公告，同时向中标（成交）人发出中标（成交）通知书。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五、采购人、市公资交易中心不解释中标（成交）或未中标（成交）原因，不退回投标文件和其他投标资料。</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327" w:name="_Toc31963"/>
      <w:bookmarkStart w:id="328" w:name="_Toc75336315"/>
      <w:bookmarkStart w:id="329" w:name="_Toc24014"/>
      <w:bookmarkStart w:id="330" w:name="_Toc1482"/>
      <w:bookmarkStart w:id="331" w:name="_Toc20789"/>
      <w:r>
        <w:rPr>
          <w:rFonts w:hint="eastAsia"/>
          <w:color w:val="000000" w:themeColor="text1"/>
          <w14:textFill>
            <w14:solidFill>
              <w14:schemeClr w14:val="tx1"/>
            </w14:solidFill>
          </w14:textFill>
        </w:rPr>
        <w:t>评标专家在政府采购活动中承担以下义务</w:t>
      </w:r>
      <w:bookmarkEnd w:id="325"/>
      <w:bookmarkEnd w:id="326"/>
      <w:bookmarkEnd w:id="327"/>
      <w:bookmarkEnd w:id="328"/>
      <w:bookmarkEnd w:id="329"/>
      <w:bookmarkEnd w:id="330"/>
      <w:bookmarkEnd w:id="331"/>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发现采购人、市公资交易中心及其工作人员在政府采购活动中有干预评审、发表倾向性和歧视性言论、受贿或者接受投标人的其他好处及其他违法违规行为，及时向财政部门报告。</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解答有关方面对政府采购评审工作中有关问题的询问，配合采购人或者市公资交易中心答复投标人的询问、质疑，配合财政部门的投诉处理工作等事宜。</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4"/>
        <w:numPr>
          <w:ilvl w:val="1"/>
          <w:numId w:val="3"/>
        </w:numPr>
        <w:spacing w:before="0" w:after="0" w:line="560" w:lineRule="exact"/>
        <w:ind w:left="2269" w:hanging="2269"/>
        <w:rPr>
          <w:color w:val="000000" w:themeColor="text1"/>
          <w14:textFill>
            <w14:solidFill>
              <w14:schemeClr w14:val="tx1"/>
            </w14:solidFill>
          </w14:textFill>
        </w:rPr>
      </w:pPr>
      <w:bookmarkStart w:id="332" w:name="_Toc3861"/>
      <w:bookmarkStart w:id="333" w:name="_Toc7637"/>
      <w:bookmarkStart w:id="334" w:name="_Toc9396"/>
      <w:bookmarkStart w:id="335" w:name="_Toc31664"/>
      <w:bookmarkStart w:id="336" w:name="_Toc75336316"/>
      <w:r>
        <w:rPr>
          <w:rFonts w:hint="eastAsia"/>
          <w:color w:val="000000" w:themeColor="text1"/>
          <w14:textFill>
            <w14:solidFill>
              <w14:schemeClr w14:val="tx1"/>
            </w14:solidFill>
          </w14:textFill>
        </w:rPr>
        <w:t>评标委员会及其成员不得有下列行为：</w:t>
      </w:r>
      <w:bookmarkEnd w:id="332"/>
      <w:bookmarkEnd w:id="333"/>
      <w:bookmarkEnd w:id="334"/>
      <w:bookmarkEnd w:id="335"/>
      <w:bookmarkEnd w:id="336"/>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一、确定参与评标至评标结束前私自接触投标人；</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三、违反评标纪律发表倾向性意见或者征询采购人的倾向性意见；</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四、对需要专业判断的主观评审因素协商评分；</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七、其他不遵守评标纪律的行为。</w:t>
      </w:r>
    </w:p>
    <w:p>
      <w:pPr>
        <w:tabs>
          <w:tab w:val="left" w:pos="1155"/>
        </w:tabs>
        <w:spacing w:line="560" w:lineRule="exact"/>
        <w:ind w:left="142" w:firstLine="565" w:firstLineChars="20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pStyle w:val="4"/>
        <w:numPr>
          <w:ilvl w:val="1"/>
          <w:numId w:val="3"/>
        </w:numPr>
        <w:spacing w:before="0" w:after="0" w:line="560" w:lineRule="exact"/>
        <w:ind w:left="2269" w:hanging="2127"/>
        <w:rPr>
          <w:color w:val="000000" w:themeColor="text1"/>
          <w14:textFill>
            <w14:solidFill>
              <w14:schemeClr w14:val="tx1"/>
            </w14:solidFill>
          </w14:textFill>
        </w:rPr>
      </w:pPr>
      <w:bookmarkStart w:id="337" w:name="_Toc75336317"/>
      <w:bookmarkStart w:id="338" w:name="_Toc22920"/>
      <w:bookmarkStart w:id="339" w:name="_Toc6837"/>
      <w:bookmarkStart w:id="340" w:name="_Toc16147"/>
      <w:bookmarkStart w:id="341" w:name="_Toc494464930"/>
      <w:bookmarkStart w:id="342" w:name="_Toc15267"/>
      <w:r>
        <w:rPr>
          <w:rFonts w:hint="eastAsia"/>
          <w:color w:val="000000" w:themeColor="text1"/>
          <w14:textFill>
            <w14:solidFill>
              <w14:schemeClr w14:val="tx1"/>
            </w14:solidFill>
          </w14:textFill>
        </w:rPr>
        <w:t>评审专家在政府采购活动中应当遵守以下工作纪律</w:t>
      </w:r>
      <w:bookmarkEnd w:id="337"/>
      <w:bookmarkEnd w:id="338"/>
      <w:bookmarkEnd w:id="339"/>
      <w:bookmarkEnd w:id="340"/>
      <w:bookmarkEnd w:id="341"/>
      <w:bookmarkEnd w:id="342"/>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遵行《政府采购法》第十二条和《政府采购法实施条例》第九条及政府采购相关法律法规关于回避的规定。</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进入评标区之前应将所有的通信设备存入公资交易中心指定的存放处。</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w:t>
      </w:r>
      <w:r>
        <w:rPr>
          <w:rFonts w:hint="eastAsia" w:ascii="宋体" w:hAnsi="宋体"/>
          <w:color w:val="000000" w:themeColor="text1"/>
          <w:sz w:val="28"/>
          <w:szCs w:val="28"/>
          <w:lang w:val="en-US" w:eastAsia="zh-CN"/>
          <w14:textFill>
            <w14:solidFill>
              <w14:schemeClr w14:val="tx1"/>
            </w14:solidFill>
          </w14:textFill>
        </w:rPr>
        <w:t>处理</w:t>
      </w:r>
      <w:r>
        <w:rPr>
          <w:rFonts w:hint="eastAsia" w:ascii="宋体" w:hAnsi="宋体"/>
          <w:color w:val="000000" w:themeColor="text1"/>
          <w:sz w:val="28"/>
          <w:szCs w:val="28"/>
          <w14:textFill>
            <w14:solidFill>
              <w14:schemeClr w14:val="tx1"/>
            </w14:solidFill>
          </w14:textFill>
        </w:rPr>
        <w:t>。</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bookmarkEnd w:id="0"/>
      <w:bookmarkEnd w:id="1"/>
      <w:bookmarkEnd w:id="2"/>
      <w:bookmarkEnd w:id="3"/>
      <w:bookmarkStart w:id="343" w:name="_Toc19415"/>
      <w:r>
        <w:rPr>
          <w:color w:val="000000" w:themeColor="text1"/>
          <w14:textFill>
            <w14:solidFill>
              <w14:schemeClr w14:val="tx1"/>
            </w14:solidFill>
          </w14:textFill>
        </w:rPr>
        <w:br w:type="page"/>
      </w:r>
    </w:p>
    <w:p>
      <w:pPr>
        <w:pStyle w:val="3"/>
        <w:numPr>
          <w:ilvl w:val="0"/>
          <w:numId w:val="3"/>
        </w:numPr>
        <w:spacing w:before="0" w:after="0" w:line="360" w:lineRule="auto"/>
        <w:rPr>
          <w:color w:val="000000" w:themeColor="text1"/>
          <w:sz w:val="24"/>
          <w14:textFill>
            <w14:solidFill>
              <w14:schemeClr w14:val="tx1"/>
            </w14:solidFill>
          </w14:textFill>
        </w:rPr>
      </w:pPr>
      <w:bookmarkStart w:id="344" w:name="_Toc20535"/>
      <w:bookmarkStart w:id="345" w:name="_Toc27722"/>
      <w:bookmarkStart w:id="346" w:name="_Toc1640"/>
      <w:bookmarkStart w:id="347" w:name="_Toc75336318"/>
      <w:r>
        <w:rPr>
          <w:rFonts w:hint="eastAsia"/>
          <w:color w:val="000000" w:themeColor="text1"/>
          <w14:textFill>
            <w14:solidFill>
              <w14:schemeClr w14:val="tx1"/>
            </w14:solidFill>
          </w14:textFill>
        </w:rPr>
        <w:t>拟签订合同文本</w:t>
      </w:r>
      <w:bookmarkEnd w:id="343"/>
      <w:bookmarkEnd w:id="344"/>
      <w:bookmarkEnd w:id="345"/>
      <w:bookmarkEnd w:id="346"/>
      <w:bookmarkEnd w:id="347"/>
    </w:p>
    <w:p>
      <w:pPr>
        <w:spacing w:line="400" w:lineRule="exact"/>
        <w:jc w:val="center"/>
        <w:rPr>
          <w:rFonts w:asciiTheme="minorEastAsia" w:hAnsiTheme="minorEastAsia" w:eastAsiaTheme="minorEastAsia"/>
          <w:b/>
          <w:color w:val="000000" w:themeColor="text1"/>
          <w:sz w:val="28"/>
          <w:szCs w:val="28"/>
          <w14:textFill>
            <w14:solidFill>
              <w14:schemeClr w14:val="tx1"/>
            </w14:solidFill>
          </w14:textFill>
        </w:rPr>
      </w:pPr>
      <w:bookmarkStart w:id="348" w:name="_Toc316475764"/>
      <w:bookmarkEnd w:id="348"/>
      <w:bookmarkStart w:id="349" w:name="_Toc316475672"/>
      <w:bookmarkEnd w:id="349"/>
      <w:bookmarkStart w:id="350" w:name="_Toc316475763"/>
      <w:bookmarkEnd w:id="350"/>
      <w:bookmarkStart w:id="351" w:name="_Toc316475756"/>
      <w:bookmarkEnd w:id="351"/>
      <w:bookmarkStart w:id="352" w:name="_Toc316475676"/>
      <w:bookmarkEnd w:id="352"/>
      <w:bookmarkStart w:id="353" w:name="_Toc316475759"/>
      <w:bookmarkEnd w:id="353"/>
      <w:bookmarkStart w:id="354" w:name="_Toc316475665"/>
      <w:bookmarkEnd w:id="354"/>
      <w:bookmarkStart w:id="355" w:name="_Toc316475664"/>
      <w:bookmarkEnd w:id="355"/>
      <w:bookmarkStart w:id="356" w:name="_Toc316475755"/>
      <w:bookmarkEnd w:id="356"/>
      <w:bookmarkStart w:id="357" w:name="_Toc316475751"/>
      <w:bookmarkEnd w:id="357"/>
      <w:bookmarkStart w:id="358" w:name="_Toc316475758"/>
      <w:bookmarkEnd w:id="358"/>
      <w:bookmarkStart w:id="359" w:name="_Toc316475677"/>
      <w:bookmarkEnd w:id="359"/>
      <w:bookmarkStart w:id="360" w:name="_Toc316475761"/>
      <w:bookmarkEnd w:id="360"/>
      <w:bookmarkStart w:id="361" w:name="_Toc316475671"/>
      <w:bookmarkEnd w:id="361"/>
      <w:bookmarkStart w:id="362" w:name="_Toc316475754"/>
      <w:bookmarkEnd w:id="362"/>
      <w:bookmarkStart w:id="363" w:name="_Toc316475675"/>
      <w:bookmarkEnd w:id="363"/>
      <w:bookmarkStart w:id="364" w:name="_Toc316475669"/>
      <w:bookmarkEnd w:id="364"/>
      <w:bookmarkStart w:id="365" w:name="_Toc316475762"/>
      <w:bookmarkEnd w:id="365"/>
      <w:bookmarkStart w:id="366" w:name="_Toc316475673"/>
      <w:bookmarkEnd w:id="366"/>
      <w:bookmarkStart w:id="367" w:name="_Toc316475667"/>
      <w:bookmarkEnd w:id="367"/>
      <w:bookmarkStart w:id="368" w:name="_Toc316475666"/>
      <w:bookmarkEnd w:id="368"/>
      <w:bookmarkStart w:id="369" w:name="_Toc316475670"/>
      <w:bookmarkEnd w:id="369"/>
      <w:bookmarkStart w:id="370" w:name="_Toc316475760"/>
      <w:bookmarkEnd w:id="370"/>
      <w:bookmarkStart w:id="371" w:name="_Toc316475752"/>
      <w:bookmarkEnd w:id="371"/>
      <w:bookmarkStart w:id="372" w:name="_Toc316475668"/>
      <w:bookmarkEnd w:id="372"/>
      <w:bookmarkStart w:id="373" w:name="_Toc316475753"/>
      <w:bookmarkEnd w:id="373"/>
      <w:bookmarkStart w:id="374" w:name="_Toc316475674"/>
      <w:bookmarkEnd w:id="374"/>
      <w:bookmarkStart w:id="375" w:name="_Toc316475757"/>
      <w:bookmarkEnd w:id="375"/>
      <w:bookmarkStart w:id="376" w:name="_Toc3546"/>
      <w:bookmarkStart w:id="377" w:name="_Toc11710"/>
    </w:p>
    <w:p>
      <w:pPr>
        <w:spacing w:line="360" w:lineRule="auto"/>
        <w:ind w:left="1" w:firstLine="557" w:firstLineChars="199"/>
        <w:contextualSpacing/>
        <w:rPr>
          <w:rFonts w:hint="eastAsia" w:ascii="宋体" w:hAnsi="宋体" w:cs="宋体"/>
          <w:sz w:val="28"/>
          <w:szCs w:val="28"/>
          <w:shd w:val="clear" w:color="auto" w:fill="FFFFFF"/>
        </w:rPr>
      </w:pPr>
      <w:r>
        <w:rPr>
          <w:rFonts w:hint="eastAsia" w:ascii="宋体" w:hAnsi="宋体" w:cs="宋体"/>
          <w:sz w:val="28"/>
          <w:szCs w:val="28"/>
          <w:shd w:val="clear" w:color="auto" w:fill="FFFFFF"/>
        </w:rPr>
        <w:t>合同编号：</w:t>
      </w:r>
      <w:r>
        <w:rPr>
          <w:rFonts w:hint="eastAsia" w:ascii="宋体" w:hAnsi="宋体" w:cs="宋体"/>
          <w:sz w:val="28"/>
          <w:szCs w:val="28"/>
          <w:u w:val="single"/>
          <w:shd w:val="clear" w:color="auto" w:fill="FFFFFF"/>
        </w:rPr>
        <w:t xml:space="preserve">                  </w:t>
      </w:r>
    </w:p>
    <w:p>
      <w:pPr>
        <w:spacing w:line="360" w:lineRule="auto"/>
        <w:ind w:left="1" w:firstLine="557" w:firstLineChars="199"/>
        <w:contextualSpacing/>
        <w:rPr>
          <w:rFonts w:hint="eastAsia" w:ascii="宋体" w:hAnsi="宋体" w:cs="宋体"/>
          <w:sz w:val="28"/>
          <w:szCs w:val="28"/>
          <w:shd w:val="clear" w:color="auto" w:fill="FFFFFF"/>
        </w:rPr>
      </w:pPr>
      <w:r>
        <w:rPr>
          <w:rFonts w:hint="eastAsia" w:ascii="宋体" w:hAnsi="宋体" w:cs="宋体"/>
          <w:sz w:val="28"/>
          <w:szCs w:val="28"/>
          <w:shd w:val="clear" w:color="auto" w:fill="FFFFFF"/>
        </w:rPr>
        <w:t>签订地点：</w:t>
      </w:r>
      <w:r>
        <w:rPr>
          <w:rFonts w:hint="eastAsia" w:ascii="宋体" w:hAnsi="宋体" w:cs="宋体"/>
          <w:sz w:val="28"/>
          <w:szCs w:val="28"/>
          <w:u w:val="single"/>
          <w:shd w:val="clear" w:color="auto" w:fill="FFFFFF"/>
        </w:rPr>
        <w:t xml:space="preserve">                  </w:t>
      </w:r>
    </w:p>
    <w:p>
      <w:pPr>
        <w:spacing w:line="360" w:lineRule="auto"/>
        <w:ind w:left="1" w:firstLine="557" w:firstLineChars="199"/>
        <w:contextualSpacing/>
        <w:rPr>
          <w:rFonts w:hint="eastAsia" w:ascii="宋体" w:hAnsi="宋体" w:cs="宋体"/>
          <w:sz w:val="28"/>
          <w:szCs w:val="28"/>
          <w:shd w:val="clear" w:color="auto" w:fill="FFFFFF"/>
        </w:rPr>
      </w:pPr>
      <w:r>
        <w:rPr>
          <w:rFonts w:hint="eastAsia" w:ascii="宋体" w:hAnsi="宋体" w:cs="宋体"/>
          <w:sz w:val="28"/>
          <w:szCs w:val="28"/>
          <w:shd w:val="clear" w:color="auto" w:fill="FFFFFF"/>
        </w:rPr>
        <w:t>签订时间：</w:t>
      </w:r>
      <w:r>
        <w:rPr>
          <w:rFonts w:hint="eastAsia" w:ascii="宋体" w:hAnsi="宋体" w:cs="宋体"/>
          <w:sz w:val="28"/>
          <w:szCs w:val="28"/>
          <w:u w:val="single"/>
          <w:shd w:val="clear" w:color="auto" w:fill="FFFFFF"/>
        </w:rPr>
        <w:t xml:space="preserve">    年    月    日</w:t>
      </w:r>
    </w:p>
    <w:p>
      <w:pPr>
        <w:spacing w:line="360" w:lineRule="auto"/>
        <w:ind w:left="1" w:firstLine="557" w:firstLineChars="199"/>
        <w:contextualSpacing/>
        <w:rPr>
          <w:rFonts w:hint="eastAsia" w:ascii="宋体" w:hAnsi="宋体" w:cs="宋体"/>
          <w:sz w:val="28"/>
          <w:szCs w:val="28"/>
          <w:shd w:val="clear" w:color="auto" w:fill="FFFFFF"/>
        </w:rPr>
      </w:pPr>
      <w:r>
        <w:rPr>
          <w:rFonts w:hint="eastAsia" w:ascii="宋体" w:hAnsi="宋体" w:cs="宋体"/>
          <w:sz w:val="28"/>
          <w:szCs w:val="28"/>
          <w:shd w:val="clear" w:color="auto" w:fill="FFFFFF"/>
        </w:rPr>
        <w:t>采购人（甲方）：</w:t>
      </w:r>
      <w:r>
        <w:rPr>
          <w:rFonts w:hint="eastAsia" w:ascii="宋体" w:hAnsi="宋体" w:cs="宋体"/>
          <w:sz w:val="28"/>
          <w:szCs w:val="28"/>
          <w:u w:val="single"/>
          <w:shd w:val="clear" w:color="auto" w:fill="FFFFFF"/>
        </w:rPr>
        <w:t xml:space="preserve">                      </w:t>
      </w:r>
    </w:p>
    <w:p>
      <w:pPr>
        <w:spacing w:line="360" w:lineRule="auto"/>
        <w:ind w:left="1" w:firstLine="557" w:firstLineChars="199"/>
        <w:contextualSpacing/>
        <w:rPr>
          <w:rFonts w:hint="eastAsia" w:ascii="宋体" w:hAnsi="宋体" w:cs="宋体"/>
          <w:sz w:val="28"/>
          <w:szCs w:val="28"/>
          <w:shd w:val="clear" w:color="auto" w:fill="FFFFFF"/>
        </w:rPr>
      </w:pPr>
      <w:r>
        <w:rPr>
          <w:rFonts w:hint="eastAsia" w:ascii="宋体" w:hAnsi="宋体" w:cs="宋体"/>
          <w:sz w:val="28"/>
          <w:szCs w:val="28"/>
          <w:shd w:val="clear" w:color="auto" w:fill="FFFFFF"/>
        </w:rPr>
        <w:t>供应商（乙方）：</w:t>
      </w:r>
      <w:r>
        <w:rPr>
          <w:rFonts w:hint="eastAsia" w:ascii="宋体" w:hAnsi="宋体" w:cs="宋体"/>
          <w:sz w:val="28"/>
          <w:szCs w:val="28"/>
          <w:u w:val="single"/>
          <w:shd w:val="clear" w:color="auto" w:fill="FFFFFF"/>
        </w:rPr>
        <w:t xml:space="preserve">                     </w:t>
      </w:r>
      <w:r>
        <w:rPr>
          <w:rFonts w:hint="eastAsia" w:ascii="宋体" w:hAnsi="宋体" w:cs="宋体"/>
          <w:sz w:val="28"/>
          <w:szCs w:val="28"/>
          <w:shd w:val="clear" w:color="auto" w:fill="FFFFFF"/>
        </w:rPr>
        <w:t xml:space="preserve"> </w:t>
      </w:r>
    </w:p>
    <w:p>
      <w:pPr>
        <w:spacing w:line="360" w:lineRule="auto"/>
        <w:ind w:left="1" w:firstLine="557" w:firstLineChars="199"/>
        <w:contextualSpacing/>
        <w:rPr>
          <w:rFonts w:hint="eastAsia" w:ascii="宋体" w:hAnsi="宋体" w:cs="宋体"/>
          <w:sz w:val="28"/>
          <w:szCs w:val="28"/>
          <w:shd w:val="clear" w:color="auto" w:fill="FFFFFF"/>
        </w:rPr>
      </w:pPr>
    </w:p>
    <w:p>
      <w:pPr>
        <w:spacing w:line="360" w:lineRule="auto"/>
        <w:ind w:left="1" w:firstLine="557" w:firstLineChars="199"/>
        <w:contextualSpacing/>
        <w:rPr>
          <w:rFonts w:hint="eastAsia" w:ascii="宋体" w:hAnsi="宋体" w:cs="宋体"/>
          <w:sz w:val="28"/>
          <w:szCs w:val="28"/>
          <w:shd w:val="clear" w:color="auto" w:fill="FFFFFF"/>
        </w:rPr>
      </w:pPr>
      <w:r>
        <w:rPr>
          <w:rFonts w:hint="eastAsia" w:ascii="宋体" w:hAnsi="宋体" w:cs="宋体"/>
          <w:sz w:val="28"/>
          <w:szCs w:val="28"/>
          <w:shd w:val="clear" w:color="auto" w:fill="FFFFFF"/>
        </w:rPr>
        <w:t>根据《中华人民共和国政府采购法》、《中华人民共和国合同法》及</w:t>
      </w:r>
      <w:r>
        <w:rPr>
          <w:rFonts w:hint="eastAsia" w:ascii="宋体" w:hAnsi="宋体" w:cs="宋体"/>
          <w:b/>
          <w:bCs/>
          <w:sz w:val="28"/>
          <w:szCs w:val="28"/>
          <w:u w:val="single"/>
          <w:shd w:val="clear" w:color="auto" w:fill="FFFFFF"/>
        </w:rPr>
        <w:t xml:space="preserve">            （</w:t>
      </w:r>
      <w:r>
        <w:rPr>
          <w:rFonts w:hint="eastAsia" w:ascii="宋体" w:hAnsi="宋体" w:cs="宋体"/>
          <w:bCs/>
          <w:sz w:val="28"/>
          <w:szCs w:val="28"/>
          <w:u w:val="single"/>
          <w:shd w:val="clear" w:color="auto" w:fill="FFFFFF"/>
        </w:rPr>
        <w:t>采购名称）</w:t>
      </w:r>
      <w:r>
        <w:rPr>
          <w:rFonts w:hint="eastAsia" w:ascii="宋体" w:hAnsi="宋体" w:cs="宋体"/>
          <w:sz w:val="28"/>
          <w:szCs w:val="28"/>
          <w:shd w:val="clear" w:color="auto" w:fill="FFFFFF"/>
        </w:rPr>
        <w:t>（采购编号：</w:t>
      </w:r>
      <w:r>
        <w:rPr>
          <w:rFonts w:hint="eastAsia" w:ascii="宋体" w:hAnsi="宋体" w:cs="宋体"/>
          <w:sz w:val="28"/>
          <w:szCs w:val="28"/>
          <w:u w:val="single"/>
          <w:shd w:val="clear" w:color="auto" w:fill="FFFFFF"/>
        </w:rPr>
        <w:t xml:space="preserve">        </w:t>
      </w:r>
      <w:r>
        <w:rPr>
          <w:rFonts w:hint="eastAsia" w:ascii="宋体" w:hAnsi="宋体" w:cs="宋体"/>
          <w:sz w:val="28"/>
          <w:szCs w:val="28"/>
          <w:shd w:val="clear" w:color="auto" w:fill="FFFFFF"/>
        </w:rPr>
        <w:t>）的《招标文件》、乙方的《投标文件》及《成交通知书》，甲、乙双方同意签订本合同。详细技术说明及其他有关合同项目的特定信息由合同附件予以说明，合同附件及本项目的招标文件、投标文件、《成交通知书》等均为本合同不可分割的部分。双方同意共同遵守如下条款：</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 xml:space="preserve">依据《中华人民共和国合同法》、《中华人民共和国政府采购法》与项目行业有关的法律法规，以及XXXX项目（项目编号：XXXX）的《招标文件》，乙方的《投标文件》及《成交通知书》，甲、乙双方同意签订本合同。详细技术说明及其他有关合同项目的特定信息由合同附件予以说明，合同附件及本项目的《招标文件》、《投标文件》、《成交通知书》等均为本合同的组成部分。 </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项目基本情况</w:t>
      </w:r>
    </w:p>
    <w:p>
      <w:pPr>
        <w:spacing w:line="360" w:lineRule="auto"/>
        <w:ind w:firstLine="630"/>
        <w:rPr>
          <w:rFonts w:hint="eastAsia" w:ascii="宋体" w:hAnsi="宋体" w:cs="宋体"/>
          <w:b/>
          <w:sz w:val="28"/>
          <w:szCs w:val="28"/>
        </w:rPr>
      </w:pP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合同期限</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 xml:space="preserve">      </w:t>
      </w:r>
    </w:p>
    <w:p>
      <w:pPr>
        <w:widowControl w:val="0"/>
        <w:numPr>
          <w:ilvl w:val="0"/>
          <w:numId w:val="46"/>
        </w:numPr>
        <w:spacing w:line="360" w:lineRule="auto"/>
        <w:jc w:val="both"/>
        <w:rPr>
          <w:rFonts w:hint="eastAsia" w:ascii="宋体" w:hAnsi="宋体" w:cs="宋体"/>
          <w:b/>
          <w:sz w:val="28"/>
          <w:szCs w:val="28"/>
        </w:rPr>
      </w:pPr>
      <w:bookmarkStart w:id="378" w:name="_Toc241833903"/>
      <w:bookmarkStart w:id="379" w:name="_Toc282696226"/>
      <w:bookmarkStart w:id="380" w:name="_Toc283019214"/>
      <w:bookmarkStart w:id="381" w:name="_Toc251768862"/>
      <w:bookmarkStart w:id="382" w:name="_Toc286993786"/>
      <w:bookmarkStart w:id="383" w:name="_Toc247334841"/>
      <w:bookmarkStart w:id="384" w:name="_Toc211854449"/>
      <w:bookmarkStart w:id="385" w:name="_Toc212019594"/>
      <w:bookmarkStart w:id="386" w:name="_Toc225244852"/>
      <w:bookmarkStart w:id="387" w:name="_Toc211911348"/>
      <w:bookmarkStart w:id="388" w:name="_Toc185395249"/>
      <w:bookmarkStart w:id="389" w:name="_Toc232492928"/>
      <w:bookmarkStart w:id="390" w:name="_Toc225654644"/>
      <w:bookmarkStart w:id="391" w:name="_Toc225670751"/>
      <w:bookmarkStart w:id="392" w:name="_Toc239233914"/>
      <w:bookmarkStart w:id="393" w:name="_Toc237145406"/>
      <w:bookmarkStart w:id="394" w:name="_Toc238984975"/>
      <w:bookmarkStart w:id="395" w:name="_Toc239568418"/>
      <w:r>
        <w:rPr>
          <w:rFonts w:hint="eastAsia" w:ascii="宋体" w:hAnsi="宋体" w:cs="宋体"/>
          <w:b/>
          <w:sz w:val="28"/>
          <w:szCs w:val="28"/>
        </w:rPr>
        <w:t>服务内容与质量标准</w:t>
      </w:r>
    </w:p>
    <w:p>
      <w:pPr>
        <w:spacing w:line="360" w:lineRule="auto"/>
        <w:ind w:left="567"/>
        <w:rPr>
          <w:rFonts w:hint="eastAsia" w:ascii="宋体" w:hAnsi="宋体" w:cs="宋体"/>
          <w:sz w:val="28"/>
          <w:szCs w:val="28"/>
        </w:rPr>
      </w:pPr>
      <w:r>
        <w:rPr>
          <w:rFonts w:hint="eastAsia" w:ascii="宋体" w:hAnsi="宋体" w:cs="宋体"/>
          <w:sz w:val="28"/>
          <w:szCs w:val="28"/>
        </w:rPr>
        <w:t>1、XXXX；</w:t>
      </w:r>
    </w:p>
    <w:p>
      <w:pPr>
        <w:spacing w:line="360" w:lineRule="auto"/>
        <w:ind w:left="567"/>
        <w:rPr>
          <w:rFonts w:hint="eastAsia" w:ascii="宋体" w:hAnsi="宋体" w:cs="宋体"/>
          <w:sz w:val="28"/>
          <w:szCs w:val="28"/>
        </w:rPr>
      </w:pPr>
      <w:r>
        <w:rPr>
          <w:rFonts w:hint="eastAsia" w:ascii="宋体" w:hAnsi="宋体" w:cs="宋体"/>
          <w:sz w:val="28"/>
          <w:szCs w:val="28"/>
        </w:rPr>
        <w:t>2、XXXX；</w:t>
      </w:r>
    </w:p>
    <w:p>
      <w:pPr>
        <w:spacing w:line="360" w:lineRule="auto"/>
        <w:ind w:left="567"/>
        <w:rPr>
          <w:rFonts w:hint="eastAsia" w:ascii="宋体" w:hAnsi="宋体" w:cs="宋体"/>
          <w:sz w:val="28"/>
          <w:szCs w:val="28"/>
        </w:rPr>
      </w:pPr>
      <w:r>
        <w:rPr>
          <w:rFonts w:hint="eastAsia" w:ascii="宋体" w:hAnsi="宋体" w:cs="宋体"/>
          <w:sz w:val="28"/>
          <w:szCs w:val="28"/>
        </w:rPr>
        <w:t>3、XXXX．</w:t>
      </w:r>
    </w:p>
    <w:p>
      <w:pPr>
        <w:spacing w:line="360" w:lineRule="auto"/>
        <w:ind w:firstLine="630"/>
        <w:rPr>
          <w:rFonts w:hint="eastAsia" w:ascii="宋体" w:hAnsi="宋体" w:cs="宋体"/>
          <w:sz w:val="28"/>
          <w:szCs w:val="28"/>
        </w:rPr>
      </w:pPr>
      <w:r>
        <w:rPr>
          <w:rFonts w:hint="eastAsia" w:ascii="宋体" w:hAnsi="宋体" w:cs="宋体"/>
          <w:sz w:val="28"/>
          <w:szCs w:val="28"/>
        </w:rPr>
        <w:t>…</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服务费用及支付方式</w:t>
      </w:r>
    </w:p>
    <w:p>
      <w:pPr>
        <w:widowControl w:val="0"/>
        <w:numPr>
          <w:ilvl w:val="0"/>
          <w:numId w:val="47"/>
        </w:numPr>
        <w:spacing w:line="360" w:lineRule="auto"/>
        <w:ind w:left="0" w:firstLine="567"/>
        <w:jc w:val="both"/>
        <w:rPr>
          <w:rFonts w:hint="eastAsia" w:ascii="宋体" w:hAnsi="宋体" w:cs="宋体"/>
          <w:b/>
          <w:sz w:val="28"/>
          <w:szCs w:val="28"/>
        </w:rPr>
      </w:pPr>
      <w:r>
        <w:rPr>
          <w:rFonts w:hint="eastAsia" w:ascii="宋体" w:hAnsi="宋体" w:cs="宋体"/>
          <w:b/>
          <w:sz w:val="28"/>
          <w:szCs w:val="28"/>
        </w:rPr>
        <w:t>本项目服务费用由以下组成：</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1、XX万元；</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w:t>
      </w:r>
    </w:p>
    <w:p>
      <w:pPr>
        <w:widowControl w:val="0"/>
        <w:numPr>
          <w:ilvl w:val="0"/>
          <w:numId w:val="47"/>
        </w:numPr>
        <w:tabs>
          <w:tab w:val="left" w:pos="780"/>
        </w:tabs>
        <w:spacing w:line="360" w:lineRule="auto"/>
        <w:ind w:left="0" w:firstLine="567"/>
        <w:jc w:val="both"/>
        <w:rPr>
          <w:rFonts w:hint="eastAsia" w:ascii="宋体" w:hAnsi="宋体" w:cs="宋体"/>
          <w:b/>
          <w:sz w:val="28"/>
          <w:szCs w:val="28"/>
        </w:rPr>
      </w:pPr>
      <w:r>
        <w:rPr>
          <w:rFonts w:hint="eastAsia" w:ascii="宋体" w:hAnsi="宋体" w:cs="宋体"/>
          <w:b/>
          <w:sz w:val="28"/>
          <w:szCs w:val="28"/>
        </w:rPr>
        <w:t xml:space="preserve">服务费支付方式： </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成交人出具符合采购人要求的增值税普通发票，采购人审核合格后按月支付。合同签订初验通过后，采购人在次月的月初（10日内）向成交人支付上月服务费用。</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验收方式</w:t>
      </w:r>
    </w:p>
    <w:p>
      <w:pPr>
        <w:spacing w:line="360" w:lineRule="auto"/>
        <w:ind w:firstLine="560" w:firstLineChars="200"/>
        <w:contextualSpacing/>
        <w:rPr>
          <w:rFonts w:hint="eastAsia" w:ascii="宋体" w:hAnsi="宋体" w:cs="宋体"/>
          <w:sz w:val="28"/>
          <w:szCs w:val="28"/>
        </w:rPr>
      </w:pPr>
      <w:r>
        <w:rPr>
          <w:rFonts w:hint="eastAsia" w:ascii="宋体" w:hAnsi="宋体" w:cs="宋体"/>
          <w:sz w:val="28"/>
          <w:szCs w:val="28"/>
        </w:rPr>
        <w:t>由采购人组织，验收分为3次，按照初验、复验、终验三个环节进行验收。成交人与采购人应严格按照《财政部关于进一步加强政府采购需求和履约验收管理的指导意见》（财库〔2016〕205号）、四川省财政厅《四川省政府采购项目需求论证和履约验收管理办法》(川财采〔2015〕32号)的要求进行验收。</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初验：成交人应在双方签订合同后7个工作日内，将所投入服务人员经采购人确认进行定岗、定责及上岗培训作为初验，初验合格后才能按合同内容履行服务。</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复验：采购人根据本项目考核办法及标准对成交人进行每月服务达标考核，考核合格后采购人在成交人提供的考核合格表上签字盖章作为年度考核的佐证材料。</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终验：每年年度结束前15日内成交人向采购人提出终验申请，采购人根据成交人每月的考核合格表及年度考核所需材料组织验收。</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知识产权</w:t>
      </w:r>
    </w:p>
    <w:p>
      <w:pPr>
        <w:tabs>
          <w:tab w:val="left" w:pos="1440"/>
        </w:tabs>
        <w:spacing w:line="360" w:lineRule="auto"/>
        <w:ind w:firstLine="560" w:firstLineChars="200"/>
        <w:rPr>
          <w:rFonts w:hint="eastAsia" w:ascii="宋体" w:hAnsi="宋体" w:cs="宋体"/>
          <w:sz w:val="28"/>
          <w:szCs w:val="28"/>
        </w:rPr>
      </w:pPr>
      <w:r>
        <w:rPr>
          <w:rFonts w:hint="eastAsia" w:ascii="宋体" w:hAnsi="宋体" w:cs="宋体"/>
          <w:sz w:val="28"/>
          <w:szCs w:val="28"/>
        </w:rPr>
        <w:t>乙方应保证所提供的服务或其任何一部分均不会侵犯任何第三方的专利权、商标权或著作权。</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无产权瑕疵条款</w:t>
      </w:r>
    </w:p>
    <w:p>
      <w:pPr>
        <w:tabs>
          <w:tab w:val="left" w:pos="1440"/>
        </w:tabs>
        <w:spacing w:line="360" w:lineRule="auto"/>
        <w:ind w:firstLine="560" w:firstLineChars="200"/>
        <w:rPr>
          <w:rFonts w:hint="eastAsia" w:ascii="宋体" w:hAnsi="宋体" w:cs="宋体"/>
          <w:sz w:val="28"/>
          <w:szCs w:val="28"/>
        </w:rPr>
      </w:pPr>
      <w:r>
        <w:rPr>
          <w:rFonts w:hint="eastAsia" w:ascii="宋体" w:hAnsi="宋体" w:cs="宋体"/>
          <w:sz w:val="28"/>
          <w:szCs w:val="28"/>
        </w:rPr>
        <w:t>乙方保证所提供的服务的所有权完全属于乙方且无任何抵押、查封等产权瑕疵。如有产权瑕疵的，视为乙方违约。乙方应负担由此而产生的一切损失。</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甲方的权利和义务</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1、甲方有权对合同规定范围内乙方的服务行为进行监督和检查，拥有监管权。有权定期核对乙方提供服务所配备的人员数量。对甲方认为不合理的部分有权下达整改通知书，并要求乙方限期整改。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2、甲方有权依据双方签订的考评办法对乙方提供的服务进行定期考评。当考评结果未达到标准时，有权依据考评办法约定的数额扣除履约保证金。</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3、负责检查监督乙方管理工作的实施及制度的执行情况。</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4、根据本合同规定，按时向乙方支付应付服务费用。</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5、国家法律、法规所规定由甲方承担的其它责任。</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乙方的权利和义务</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1、对本合同规定的委托服务范围内的项目享有管理权及服务义务。</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2、根据本合同的规定向甲方收取相关服务费用，并有权在本项目管理范围内管理及合理使用。</w:t>
      </w:r>
    </w:p>
    <w:p>
      <w:pPr>
        <w:adjustRightInd w:val="0"/>
        <w:spacing w:line="360" w:lineRule="auto"/>
        <w:ind w:firstLine="560" w:firstLineChars="200"/>
        <w:textAlignment w:val="baseline"/>
        <w:rPr>
          <w:rFonts w:hint="eastAsia" w:ascii="宋体" w:hAnsi="宋体" w:cs="宋体"/>
          <w:sz w:val="28"/>
          <w:szCs w:val="28"/>
        </w:rPr>
      </w:pPr>
      <w:r>
        <w:rPr>
          <w:rFonts w:hint="eastAsia" w:ascii="宋体" w:hAnsi="宋体" w:cs="宋体"/>
          <w:sz w:val="28"/>
          <w:szCs w:val="28"/>
        </w:rPr>
        <w:t>3、及时向甲方通告本项目服务范围内有关服务的重大事项，及时配合处理投诉。</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sz w:val="28"/>
          <w:szCs w:val="28"/>
        </w:rPr>
        <w:t>4、</w:t>
      </w:r>
      <w:r>
        <w:rPr>
          <w:rFonts w:hint="eastAsia" w:ascii="宋体" w:hAnsi="宋体" w:cs="宋体"/>
          <w:bCs/>
          <w:sz w:val="28"/>
          <w:szCs w:val="28"/>
        </w:rPr>
        <w:t>接受项目行业管理部门及政府有关部门的指导，接受甲方的监督。</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5、国家法律、法规所规定由乙方承担的其它责任。</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违约责任</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1、甲乙双方必须遵守本合同并执行合同中的各项规定，保证本合同的正常履行。</w:t>
      </w:r>
    </w:p>
    <w:p>
      <w:pPr>
        <w:adjustRightInd w:val="0"/>
        <w:spacing w:line="360" w:lineRule="auto"/>
        <w:ind w:firstLine="560" w:firstLineChars="200"/>
        <w:textAlignment w:val="baseline"/>
        <w:rPr>
          <w:rFonts w:hint="eastAsia" w:ascii="宋体" w:hAnsi="宋体" w:cs="宋体"/>
          <w:bCs/>
          <w:sz w:val="28"/>
          <w:szCs w:val="28"/>
        </w:rPr>
      </w:pPr>
      <w:r>
        <w:rPr>
          <w:rFonts w:hint="eastAsia" w:ascii="宋体" w:hAnsi="宋体" w:cs="宋体"/>
          <w:bCs/>
          <w:sz w:val="28"/>
          <w:szCs w:val="28"/>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不可抗力事件处理</w:t>
      </w:r>
    </w:p>
    <w:p>
      <w:pPr>
        <w:tabs>
          <w:tab w:val="left" w:pos="0"/>
        </w:tabs>
        <w:spacing w:line="360" w:lineRule="auto"/>
        <w:ind w:firstLine="560" w:firstLineChars="200"/>
        <w:rPr>
          <w:rFonts w:hint="eastAsia" w:ascii="宋体" w:hAnsi="宋体" w:cs="宋体"/>
          <w:sz w:val="28"/>
          <w:szCs w:val="28"/>
        </w:rPr>
      </w:pPr>
      <w:r>
        <w:rPr>
          <w:rFonts w:hint="eastAsia" w:ascii="宋体" w:hAnsi="宋体" w:cs="宋体"/>
          <w:sz w:val="28"/>
          <w:szCs w:val="28"/>
        </w:rPr>
        <w:t>1、在合同有效期内，任何一方因不可抗力事件导致不能履行合同，则合同履行期可延长，其延长期与不可抗力影响期相同。</w:t>
      </w:r>
    </w:p>
    <w:p>
      <w:pPr>
        <w:tabs>
          <w:tab w:val="left" w:pos="0"/>
        </w:tabs>
        <w:spacing w:line="360" w:lineRule="auto"/>
        <w:ind w:firstLine="560" w:firstLineChars="200"/>
        <w:rPr>
          <w:rFonts w:hint="eastAsia" w:ascii="宋体" w:hAnsi="宋体" w:cs="宋体"/>
          <w:sz w:val="28"/>
          <w:szCs w:val="28"/>
        </w:rPr>
      </w:pPr>
      <w:r>
        <w:rPr>
          <w:rFonts w:hint="eastAsia" w:ascii="宋体" w:hAnsi="宋体" w:cs="宋体"/>
          <w:sz w:val="28"/>
          <w:szCs w:val="28"/>
        </w:rPr>
        <w:t>2、不可抗力事件发生后，应立即通知对方，并寄送有关权威机构出具的证明。</w:t>
      </w:r>
    </w:p>
    <w:p>
      <w:pPr>
        <w:tabs>
          <w:tab w:val="left" w:pos="0"/>
        </w:tabs>
        <w:spacing w:line="360" w:lineRule="auto"/>
        <w:ind w:firstLine="560" w:firstLineChars="200"/>
        <w:rPr>
          <w:rFonts w:hint="eastAsia" w:ascii="宋体" w:hAnsi="宋体" w:cs="宋体"/>
          <w:sz w:val="28"/>
          <w:szCs w:val="28"/>
        </w:rPr>
      </w:pPr>
      <w:r>
        <w:rPr>
          <w:rFonts w:hint="eastAsia" w:ascii="宋体" w:hAnsi="宋体" w:cs="宋体"/>
          <w:sz w:val="28"/>
          <w:szCs w:val="28"/>
        </w:rPr>
        <w:t>3、不可抗力事件延续</w:t>
      </w:r>
      <w:r>
        <w:rPr>
          <w:rFonts w:hint="eastAsia" w:ascii="宋体" w:hAnsi="宋体" w:cs="宋体"/>
          <w:sz w:val="28"/>
          <w:szCs w:val="28"/>
          <w:u w:val="single"/>
        </w:rPr>
        <w:t>180</w:t>
      </w:r>
      <w:r>
        <w:rPr>
          <w:rFonts w:hint="eastAsia" w:ascii="宋体" w:hAnsi="宋体" w:cs="宋体"/>
          <w:sz w:val="28"/>
          <w:szCs w:val="28"/>
        </w:rPr>
        <w:t>天以上，双方应通过友好协商，确定是否继续履行合同。</w:t>
      </w:r>
    </w:p>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Pr>
        <w:widowControl w:val="0"/>
        <w:numPr>
          <w:ilvl w:val="0"/>
          <w:numId w:val="46"/>
        </w:numPr>
        <w:spacing w:line="360" w:lineRule="auto"/>
        <w:jc w:val="both"/>
        <w:rPr>
          <w:rFonts w:hint="eastAsia" w:ascii="宋体" w:hAnsi="宋体" w:cs="宋体"/>
          <w:b/>
          <w:sz w:val="28"/>
          <w:szCs w:val="28"/>
        </w:rPr>
      </w:pPr>
      <w:bookmarkStart w:id="396" w:name="_Toc211854454"/>
      <w:bookmarkStart w:id="397" w:name="_Toc211911353"/>
      <w:bookmarkStart w:id="398" w:name="_Toc185395254"/>
      <w:bookmarkStart w:id="399" w:name="_Toc225654649"/>
      <w:bookmarkStart w:id="400" w:name="_Toc225244857"/>
      <w:bookmarkStart w:id="401" w:name="_Toc225670756"/>
      <w:bookmarkStart w:id="402" w:name="_Toc237145411"/>
      <w:bookmarkStart w:id="403" w:name="_Toc232492933"/>
      <w:bookmarkStart w:id="404" w:name="_Toc238984980"/>
      <w:bookmarkStart w:id="405" w:name="_Toc247334846"/>
      <w:bookmarkStart w:id="406" w:name="_Toc239233919"/>
      <w:bookmarkStart w:id="407" w:name="_Toc212019599"/>
      <w:bookmarkStart w:id="408" w:name="_Toc241833908"/>
      <w:bookmarkStart w:id="409" w:name="_Toc239568423"/>
      <w:bookmarkStart w:id="410" w:name="_Toc286993792"/>
      <w:bookmarkStart w:id="411" w:name="_Toc251768867"/>
      <w:r>
        <w:rPr>
          <w:rFonts w:hint="eastAsia" w:ascii="宋体" w:hAnsi="宋体" w:cs="宋体"/>
          <w:b/>
          <w:sz w:val="28"/>
          <w:szCs w:val="28"/>
        </w:rPr>
        <w:t>解决合同纠纷的方式</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tabs>
          <w:tab w:val="left" w:pos="0"/>
        </w:tabs>
        <w:spacing w:line="360" w:lineRule="auto"/>
        <w:ind w:left="980" w:leftChars="200" w:hanging="560" w:hangingChars="200"/>
        <w:rPr>
          <w:rFonts w:hint="eastAsia" w:ascii="宋体" w:hAnsi="宋体" w:cs="宋体"/>
          <w:sz w:val="28"/>
          <w:szCs w:val="28"/>
        </w:rPr>
      </w:pPr>
      <w:r>
        <w:rPr>
          <w:rFonts w:hint="eastAsia" w:ascii="宋体" w:hAnsi="宋体" w:cs="宋体"/>
          <w:sz w:val="28"/>
          <w:szCs w:val="28"/>
        </w:rPr>
        <w:t>1、在执行本合同中发生的或与本合同有关的争端，双方应通过友好协商解决，经协商在</w:t>
      </w:r>
    </w:p>
    <w:p>
      <w:pPr>
        <w:tabs>
          <w:tab w:val="left" w:pos="0"/>
        </w:tabs>
        <w:spacing w:line="360" w:lineRule="auto"/>
        <w:ind w:left="980" w:leftChars="200" w:hanging="560" w:hangingChars="200"/>
        <w:rPr>
          <w:rFonts w:hint="eastAsia" w:ascii="宋体" w:hAnsi="宋体" w:cs="宋体"/>
          <w:sz w:val="28"/>
          <w:szCs w:val="28"/>
        </w:rPr>
      </w:pPr>
      <w:r>
        <w:rPr>
          <w:rFonts w:hint="eastAsia" w:ascii="宋体" w:hAnsi="宋体" w:cs="宋体"/>
          <w:sz w:val="28"/>
          <w:szCs w:val="28"/>
          <w:u w:val="single"/>
        </w:rPr>
        <w:t xml:space="preserve">   </w:t>
      </w:r>
      <w:r>
        <w:rPr>
          <w:rFonts w:hint="eastAsia" w:ascii="宋体" w:hAnsi="宋体" w:cs="宋体"/>
          <w:sz w:val="28"/>
          <w:szCs w:val="28"/>
        </w:rPr>
        <w:t>天内不能达成协议时，应提交成都仲裁委员会仲裁。</w:t>
      </w:r>
    </w:p>
    <w:p>
      <w:pPr>
        <w:tabs>
          <w:tab w:val="left" w:pos="0"/>
        </w:tabs>
        <w:spacing w:line="360" w:lineRule="auto"/>
        <w:ind w:firstLine="560" w:firstLineChars="200"/>
        <w:rPr>
          <w:rFonts w:hint="eastAsia" w:ascii="宋体" w:hAnsi="宋体" w:cs="宋体"/>
          <w:sz w:val="28"/>
          <w:szCs w:val="28"/>
        </w:rPr>
      </w:pPr>
      <w:r>
        <w:rPr>
          <w:rFonts w:hint="eastAsia" w:ascii="宋体" w:hAnsi="宋体" w:cs="宋体"/>
          <w:sz w:val="28"/>
          <w:szCs w:val="28"/>
        </w:rPr>
        <w:t>2、仲裁裁决应为最终决定，并对双方具有约束力。</w:t>
      </w:r>
    </w:p>
    <w:p>
      <w:pPr>
        <w:tabs>
          <w:tab w:val="left" w:pos="0"/>
        </w:tabs>
        <w:spacing w:line="360" w:lineRule="auto"/>
        <w:ind w:firstLine="560" w:firstLineChars="200"/>
        <w:rPr>
          <w:rFonts w:hint="eastAsia" w:ascii="宋体" w:hAnsi="宋体" w:cs="宋体"/>
          <w:sz w:val="28"/>
          <w:szCs w:val="28"/>
        </w:rPr>
      </w:pPr>
      <w:r>
        <w:rPr>
          <w:rFonts w:hint="eastAsia" w:ascii="宋体" w:hAnsi="宋体" w:cs="宋体"/>
          <w:sz w:val="28"/>
          <w:szCs w:val="28"/>
        </w:rPr>
        <w:t xml:space="preserve">3、除另有裁决外，仲裁费应由败诉方负担。 </w:t>
      </w:r>
    </w:p>
    <w:p>
      <w:pPr>
        <w:tabs>
          <w:tab w:val="left" w:pos="0"/>
        </w:tabs>
        <w:spacing w:line="360" w:lineRule="auto"/>
        <w:ind w:firstLine="560" w:firstLineChars="200"/>
        <w:rPr>
          <w:rFonts w:hint="eastAsia" w:ascii="宋体" w:hAnsi="宋体" w:cs="宋体"/>
          <w:sz w:val="28"/>
          <w:szCs w:val="28"/>
        </w:rPr>
      </w:pPr>
      <w:r>
        <w:rPr>
          <w:rFonts w:hint="eastAsia" w:ascii="宋体" w:hAnsi="宋体" w:cs="宋体"/>
          <w:sz w:val="28"/>
          <w:szCs w:val="28"/>
        </w:rPr>
        <w:t xml:space="preserve">4、在仲裁期间，除正在进行仲裁部分外，合同其他部分继续执行。  </w:t>
      </w:r>
    </w:p>
    <w:p>
      <w:pPr>
        <w:widowControl w:val="0"/>
        <w:numPr>
          <w:ilvl w:val="0"/>
          <w:numId w:val="46"/>
        </w:numPr>
        <w:spacing w:line="360" w:lineRule="auto"/>
        <w:jc w:val="both"/>
        <w:rPr>
          <w:rFonts w:hint="eastAsia" w:ascii="宋体" w:hAnsi="宋体" w:cs="宋体"/>
          <w:b/>
          <w:sz w:val="28"/>
          <w:szCs w:val="28"/>
        </w:rPr>
      </w:pPr>
      <w:bookmarkStart w:id="412" w:name="_Toc185395255"/>
      <w:bookmarkStart w:id="413" w:name="_Toc211911354"/>
      <w:bookmarkStart w:id="414" w:name="_Toc211854455"/>
      <w:bookmarkStart w:id="415" w:name="_Toc225244858"/>
      <w:bookmarkStart w:id="416" w:name="_Toc212019600"/>
      <w:bookmarkStart w:id="417" w:name="_Toc232492934"/>
      <w:bookmarkStart w:id="418" w:name="_Toc225654650"/>
      <w:bookmarkStart w:id="419" w:name="_Toc225670757"/>
      <w:bookmarkStart w:id="420" w:name="_Toc239233920"/>
      <w:bookmarkStart w:id="421" w:name="_Toc238984981"/>
      <w:bookmarkStart w:id="422" w:name="_Toc247334847"/>
      <w:bookmarkStart w:id="423" w:name="_Toc241833909"/>
      <w:bookmarkStart w:id="424" w:name="_Toc239568424"/>
      <w:bookmarkStart w:id="425" w:name="_Toc237145412"/>
      <w:bookmarkStart w:id="426" w:name="_Toc282696231"/>
      <w:bookmarkStart w:id="427" w:name="_Toc251768868"/>
      <w:bookmarkStart w:id="428" w:name="_Toc286993793"/>
      <w:bookmarkStart w:id="429" w:name="_Toc283019219"/>
      <w:r>
        <w:rPr>
          <w:rFonts w:hint="eastAsia" w:ascii="宋体" w:hAnsi="宋体" w:cs="宋体"/>
          <w:b/>
          <w:sz w:val="28"/>
          <w:szCs w:val="28"/>
        </w:rPr>
        <w:t>合同</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rFonts w:hint="eastAsia" w:ascii="宋体" w:hAnsi="宋体" w:cs="宋体"/>
          <w:b/>
          <w:sz w:val="28"/>
          <w:szCs w:val="28"/>
        </w:rPr>
        <w:t>生效及其他</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1、合同经双方法定代表人或授权委托代理人签字并加盖单位公章后生效。</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2、合同执行中涉及采购资金和采购内容修改或补充的，须经政府采购监管部门审批，并签书面补充协议报政府采购监督管理部门备案，方可作为主合同不可分割的一部分。</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3、本合同一式四份，自双方签章之日起起效。甲方一份，乙方一份，政府采购代理机构一份，同级财政部门备案一份，具有同等法律效力。</w:t>
      </w:r>
    </w:p>
    <w:p>
      <w:pPr>
        <w:widowControl w:val="0"/>
        <w:numPr>
          <w:ilvl w:val="0"/>
          <w:numId w:val="46"/>
        </w:numPr>
        <w:spacing w:line="360" w:lineRule="auto"/>
        <w:jc w:val="both"/>
        <w:rPr>
          <w:rFonts w:hint="eastAsia" w:ascii="宋体" w:hAnsi="宋体" w:cs="宋体"/>
          <w:b/>
          <w:sz w:val="28"/>
          <w:szCs w:val="28"/>
        </w:rPr>
      </w:pPr>
      <w:r>
        <w:rPr>
          <w:rFonts w:hint="eastAsia" w:ascii="宋体" w:hAnsi="宋体" w:cs="宋体"/>
          <w:b/>
          <w:sz w:val="28"/>
          <w:szCs w:val="28"/>
        </w:rPr>
        <w:t>附件</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1、项目招标文件</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2、项目修改澄清文件</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3、项目投标文件</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4、成交通知书</w:t>
      </w:r>
    </w:p>
    <w:p>
      <w:pPr>
        <w:spacing w:line="360" w:lineRule="auto"/>
        <w:ind w:firstLine="560" w:firstLineChars="200"/>
        <w:rPr>
          <w:rFonts w:hint="eastAsia" w:ascii="宋体" w:hAnsi="宋体" w:cs="宋体"/>
          <w:sz w:val="28"/>
          <w:szCs w:val="28"/>
        </w:rPr>
      </w:pPr>
      <w:r>
        <w:rPr>
          <w:rFonts w:hint="eastAsia" w:ascii="宋体" w:hAnsi="宋体" w:cs="宋体"/>
          <w:sz w:val="28"/>
          <w:szCs w:val="28"/>
        </w:rPr>
        <w:t>5、其他</w:t>
      </w:r>
    </w:p>
    <w:p>
      <w:pPr>
        <w:spacing w:line="360" w:lineRule="auto"/>
        <w:ind w:firstLine="560" w:firstLineChars="200"/>
        <w:rPr>
          <w:rFonts w:hint="eastAsia" w:ascii="宋体" w:hAnsi="宋体" w:cs="宋体"/>
          <w:sz w:val="28"/>
          <w:szCs w:val="28"/>
        </w:rPr>
      </w:pPr>
    </w:p>
    <w:p>
      <w:pPr>
        <w:spacing w:line="400" w:lineRule="exact"/>
        <w:ind w:firstLine="560" w:firstLineChars="200"/>
        <w:rPr>
          <w:rFonts w:hint="eastAsia" w:ascii="宋体" w:hAnsi="宋体" w:cs="宋体"/>
          <w:sz w:val="28"/>
          <w:szCs w:val="28"/>
        </w:rPr>
      </w:pPr>
      <w:r>
        <w:rPr>
          <w:rFonts w:hint="eastAsia" w:ascii="宋体" w:hAnsi="宋体" w:cs="宋体"/>
          <w:sz w:val="28"/>
          <w:szCs w:val="28"/>
        </w:rPr>
        <w:t xml:space="preserve">甲方：   （盖章）   </w:t>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 xml:space="preserve">       乙方：   （盖章）</w:t>
      </w:r>
    </w:p>
    <w:p>
      <w:pPr>
        <w:spacing w:line="400" w:lineRule="exact"/>
        <w:ind w:firstLine="560" w:firstLineChars="200"/>
        <w:rPr>
          <w:rFonts w:hint="eastAsia" w:ascii="宋体" w:hAnsi="宋体" w:cs="宋体"/>
          <w:sz w:val="28"/>
          <w:szCs w:val="28"/>
        </w:rPr>
      </w:pPr>
      <w:r>
        <w:rPr>
          <w:rFonts w:hint="eastAsia" w:ascii="宋体" w:hAnsi="宋体" w:cs="宋体"/>
          <w:sz w:val="28"/>
          <w:szCs w:val="28"/>
        </w:rPr>
        <w:t>法定代表人（授权代表）：            法定代表人（授权代表）：</w:t>
      </w:r>
    </w:p>
    <w:p>
      <w:pPr>
        <w:spacing w:line="400" w:lineRule="exact"/>
        <w:ind w:firstLine="560" w:firstLineChars="200"/>
        <w:rPr>
          <w:rFonts w:hint="eastAsia" w:ascii="宋体" w:hAnsi="宋体" w:cs="宋体"/>
          <w:sz w:val="28"/>
          <w:szCs w:val="28"/>
        </w:rPr>
      </w:pPr>
      <w:r>
        <w:rPr>
          <w:rFonts w:hint="eastAsia" w:ascii="宋体" w:hAnsi="宋体" w:cs="宋体"/>
          <w:sz w:val="28"/>
          <w:szCs w:val="28"/>
        </w:rPr>
        <w:t>地    址：                         地    址：</w:t>
      </w:r>
    </w:p>
    <w:p>
      <w:pPr>
        <w:spacing w:line="400" w:lineRule="exact"/>
        <w:ind w:firstLine="560" w:firstLineChars="200"/>
        <w:rPr>
          <w:rFonts w:hint="eastAsia" w:ascii="宋体" w:hAnsi="宋体" w:cs="宋体"/>
          <w:sz w:val="28"/>
          <w:szCs w:val="28"/>
        </w:rPr>
      </w:pPr>
      <w:r>
        <w:rPr>
          <w:rFonts w:hint="eastAsia" w:ascii="宋体" w:hAnsi="宋体" w:cs="宋体"/>
          <w:sz w:val="28"/>
          <w:szCs w:val="28"/>
        </w:rPr>
        <w:t>开户银行：                         开户银行：</w:t>
      </w:r>
    </w:p>
    <w:p>
      <w:pPr>
        <w:spacing w:line="400" w:lineRule="exact"/>
        <w:ind w:firstLine="560" w:firstLineChars="200"/>
        <w:rPr>
          <w:rFonts w:hint="eastAsia" w:ascii="宋体" w:hAnsi="宋体" w:cs="宋体"/>
          <w:sz w:val="28"/>
          <w:szCs w:val="28"/>
        </w:rPr>
      </w:pPr>
      <w:r>
        <w:rPr>
          <w:rFonts w:hint="eastAsia" w:ascii="宋体" w:hAnsi="宋体" w:cs="宋体"/>
          <w:sz w:val="28"/>
          <w:szCs w:val="28"/>
        </w:rPr>
        <w:t>账号：                             账号：</w:t>
      </w:r>
    </w:p>
    <w:p>
      <w:pPr>
        <w:spacing w:line="400" w:lineRule="exact"/>
        <w:ind w:firstLine="560" w:firstLineChars="200"/>
        <w:rPr>
          <w:rFonts w:hint="eastAsia" w:ascii="宋体" w:hAnsi="宋体" w:cs="宋体"/>
          <w:sz w:val="28"/>
          <w:szCs w:val="28"/>
        </w:rPr>
      </w:pPr>
      <w:r>
        <w:rPr>
          <w:rFonts w:hint="eastAsia" w:ascii="宋体" w:hAnsi="宋体" w:cs="宋体"/>
          <w:sz w:val="28"/>
          <w:szCs w:val="28"/>
        </w:rPr>
        <w:t>电    话：                         电    话：</w:t>
      </w:r>
    </w:p>
    <w:p>
      <w:pPr>
        <w:spacing w:line="400" w:lineRule="exact"/>
        <w:ind w:firstLine="560" w:firstLineChars="200"/>
        <w:rPr>
          <w:rFonts w:hint="eastAsia" w:ascii="宋体" w:hAnsi="宋体" w:cs="宋体"/>
          <w:sz w:val="28"/>
          <w:szCs w:val="28"/>
        </w:rPr>
      </w:pPr>
      <w:r>
        <w:rPr>
          <w:rFonts w:hint="eastAsia" w:ascii="宋体" w:hAnsi="宋体" w:cs="宋体"/>
          <w:sz w:val="28"/>
          <w:szCs w:val="28"/>
        </w:rPr>
        <w:t>传    真：                         传    真：</w:t>
      </w:r>
    </w:p>
    <w:p>
      <w:pPr>
        <w:spacing w:line="400" w:lineRule="exact"/>
        <w:rPr>
          <w:rFonts w:hint="eastAsia" w:ascii="宋体" w:hAnsi="宋体" w:cs="宋体"/>
          <w:sz w:val="28"/>
          <w:szCs w:val="28"/>
        </w:rPr>
      </w:pPr>
      <w:r>
        <w:rPr>
          <w:rFonts w:hint="eastAsia" w:ascii="宋体" w:hAnsi="宋体" w:cs="宋体"/>
          <w:sz w:val="28"/>
          <w:szCs w:val="28"/>
        </w:rPr>
        <w:t xml:space="preserve">签约日期：XX年XX月XX日 </w:t>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rPr>
        <w:tab/>
      </w:r>
      <w:r>
        <w:rPr>
          <w:rFonts w:hint="eastAsia" w:ascii="宋体" w:hAnsi="宋体" w:cs="宋体"/>
          <w:sz w:val="28"/>
          <w:szCs w:val="28"/>
          <w:lang w:val="en-US" w:eastAsia="zh-CN"/>
        </w:rPr>
        <w:t xml:space="preserve"> </w:t>
      </w:r>
      <w:r>
        <w:rPr>
          <w:rFonts w:hint="eastAsia" w:ascii="宋体" w:hAnsi="宋体" w:cs="宋体"/>
          <w:sz w:val="28"/>
          <w:szCs w:val="28"/>
        </w:rPr>
        <w:t>签约日期：XX年XX月XX日</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rFonts w:hint="eastAsia" w:ascii="宋体" w:hAnsi="宋体" w:cs="Tahoma"/>
          <w:b/>
          <w:color w:val="000000" w:themeColor="text1"/>
          <w:sz w:val="30"/>
          <w:szCs w:val="30"/>
          <w14:textFill>
            <w14:solidFill>
              <w14:schemeClr w14:val="tx1"/>
            </w14:solidFill>
          </w14:textFill>
        </w:rPr>
      </w:pPr>
    </w:p>
    <w:bookmarkEnd w:id="376"/>
    <w:bookmarkEnd w:id="377"/>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6"/>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7"/>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2"/>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3"/>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4"/>
                    <a:stretch>
                      <a:fillRect/>
                    </a:stretch>
                  </pic:blipFill>
                  <pic:spPr>
                    <a:xfrm>
                      <a:off x="0" y="0"/>
                      <a:ext cx="5971540" cy="3562985"/>
                    </a:xfrm>
                    <a:prstGeom prst="rect">
                      <a:avLst/>
                    </a:prstGeom>
                    <a:noFill/>
                    <a:ln w="9525">
                      <a:noFill/>
                    </a:ln>
                  </pic:spPr>
                </pic:pic>
              </a:graphicData>
            </a:graphic>
          </wp:inline>
        </w:drawing>
      </w:r>
    </w:p>
    <w:p>
      <w:pPr>
        <w:pStyle w:val="22"/>
        <w:rPr>
          <w:rFonts w:hint="default"/>
          <w:lang w:val="en-US" w:eastAsia="zh-CN"/>
        </w:rPr>
      </w:pPr>
    </w:p>
    <w:p>
      <w:pPr>
        <w:pStyle w:val="2"/>
        <w:rPr>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Helvetica">
    <w:altName w:val="Arial"/>
    <w:panose1 w:val="020B05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E5Q0RAgAACQQAAA4AAABkcnMvZTJvRG9jLnhtbK1TzY7TMBC+I/EO&#10;lu80aVe7qqqmq7KrIqSKXakgzq7jNJH8J9ttUh4A3oATF+48V5+Dz07TReyeEBdnMjP+Zuabz/Pb&#10;TklyEM43Rhd0PMopEZqbstG7gn76uHozpcQHpksmjRYFPQpPbxevX81bOxMTUxtZCkcAov2stQWt&#10;Q7CzLPO8For5kbFCI1gZp1jAr9tlpWMt0JXMJnl+k7XGldYZLryH974P0kXCryrBw0NVeRGILCh6&#10;C+l06dzGM1vM2WznmK0bfm6D/UMXijUaRS9Q9ywwsnfNMyjVcGe8qcKIG5WZqmq4SDNgmnH+1zSb&#10;mlmRZgE53l5o8v8Pln84PDrSlAW9uqZEM4Udnb5/O/34dfr5lcAHglrrZ8jbWGSG7q3psOjB7+GM&#10;c3eVU/GLiQjioPp4oVd0gfB4aTqZTnOEOGLDD/Czp+vW+fBOGEWiUVCH/SVa2WHtQ586pMRq2qwa&#10;KdMOpSZtQW+urvN04RIBuNSoEYfom41W6LbdebKtKY8YzJleG97yVYPia+bDI3MQAxqGwMMDjkoa&#10;FDFni5LauC8v+WM+doQoJS3EVVAN9VMi32vsLupwMNxgbAdD79WdgVrHeDiWJxMXXJCDWTmjPkP1&#10;y1gDIaY5KhU0DOZd6AWOV8PFcpmSoDbLwlpvLI/QkTxvl/sAAhOvkZSeiTNX0FvazPltREH/+Z+y&#10;nl7w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lETlDRECAAAJBAAADgAAAAAAAAABACAA&#10;AAAfAQAAZHJzL2Uyb0RvYy54bWxQSwUGAAAAAAYABgBZAQAAogU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6">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44C623B"/>
    <w:multiLevelType w:val="multilevel"/>
    <w:tmpl w:val="144C623B"/>
    <w:lvl w:ilvl="0" w:tentative="0">
      <w:start w:val="1"/>
      <w:numFmt w:val="chineseCountingThousand"/>
      <w:lvlText w:val="%1、"/>
      <w:lvlJc w:val="left"/>
      <w:pPr>
        <w:ind w:left="966" w:hanging="420"/>
      </w:pPr>
      <w:rPr>
        <w:b w:val="0"/>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4">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6">
    <w:nsid w:val="27D1DC9D"/>
    <w:multiLevelType w:val="singleLevel"/>
    <w:tmpl w:val="27D1DC9D"/>
    <w:lvl w:ilvl="0" w:tentative="0">
      <w:start w:val="6"/>
      <w:numFmt w:val="chineseCounting"/>
      <w:suff w:val="nothing"/>
      <w:lvlText w:val="%1、"/>
      <w:lvlJc w:val="left"/>
      <w:rPr>
        <w:rFonts w:hint="eastAsia"/>
      </w:rPr>
    </w:lvl>
  </w:abstractNum>
  <w:abstractNum w:abstractNumId="2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2C2C4B8D"/>
    <w:multiLevelType w:val="singleLevel"/>
    <w:tmpl w:val="2C2C4B8D"/>
    <w:lvl w:ilvl="0" w:tentative="0">
      <w:start w:val="1"/>
      <w:numFmt w:val="japaneseCounting"/>
      <w:lvlText w:val="第%1条"/>
      <w:lvlJc w:val="left"/>
      <w:pPr>
        <w:tabs>
          <w:tab w:val="left" w:pos="1521"/>
        </w:tabs>
        <w:ind w:left="1521" w:hanging="1095"/>
      </w:pPr>
      <w:rPr>
        <w:rFonts w:hint="eastAsia"/>
      </w:rPr>
    </w:lvl>
  </w:abstractNum>
  <w:abstractNum w:abstractNumId="29">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3">
    <w:nsid w:val="41145F7F"/>
    <w:multiLevelType w:val="multilevel"/>
    <w:tmpl w:val="41145F7F"/>
    <w:lvl w:ilvl="0" w:tentative="0">
      <w:start w:val="1"/>
      <w:numFmt w:val="japaneseCounting"/>
      <w:lvlText w:val="（%1）"/>
      <w:lvlJc w:val="left"/>
      <w:pPr>
        <w:ind w:left="1406" w:hanging="84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4">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3">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4">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6">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num>
  <w:num w:numId="2">
    <w:abstractNumId w:val="4"/>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32"/>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11E2C"/>
    <w:rsid w:val="00017C65"/>
    <w:rsid w:val="00046547"/>
    <w:rsid w:val="00070D3F"/>
    <w:rsid w:val="00071BA9"/>
    <w:rsid w:val="00074CCC"/>
    <w:rsid w:val="0008193D"/>
    <w:rsid w:val="00086C1B"/>
    <w:rsid w:val="000E01D4"/>
    <w:rsid w:val="000F0BF5"/>
    <w:rsid w:val="000F5214"/>
    <w:rsid w:val="00123F07"/>
    <w:rsid w:val="001278CD"/>
    <w:rsid w:val="00130037"/>
    <w:rsid w:val="00141865"/>
    <w:rsid w:val="00142C44"/>
    <w:rsid w:val="00147768"/>
    <w:rsid w:val="0015151D"/>
    <w:rsid w:val="00154397"/>
    <w:rsid w:val="00160B4D"/>
    <w:rsid w:val="001651AC"/>
    <w:rsid w:val="00171582"/>
    <w:rsid w:val="00171DDA"/>
    <w:rsid w:val="00175DA2"/>
    <w:rsid w:val="001922D3"/>
    <w:rsid w:val="001A7DBE"/>
    <w:rsid w:val="001B34A4"/>
    <w:rsid w:val="001C2698"/>
    <w:rsid w:val="001C49E9"/>
    <w:rsid w:val="001C4FFA"/>
    <w:rsid w:val="001D392C"/>
    <w:rsid w:val="001D53CF"/>
    <w:rsid w:val="001E13EE"/>
    <w:rsid w:val="00214F93"/>
    <w:rsid w:val="002169A9"/>
    <w:rsid w:val="002303BC"/>
    <w:rsid w:val="002304CC"/>
    <w:rsid w:val="00236C36"/>
    <w:rsid w:val="002441B7"/>
    <w:rsid w:val="00245AD2"/>
    <w:rsid w:val="00257EE4"/>
    <w:rsid w:val="0026015E"/>
    <w:rsid w:val="00266EFB"/>
    <w:rsid w:val="00276EDB"/>
    <w:rsid w:val="00285456"/>
    <w:rsid w:val="002865CD"/>
    <w:rsid w:val="002933F7"/>
    <w:rsid w:val="002A5802"/>
    <w:rsid w:val="002D67AE"/>
    <w:rsid w:val="00302FC9"/>
    <w:rsid w:val="003074A8"/>
    <w:rsid w:val="00320ABF"/>
    <w:rsid w:val="00325C78"/>
    <w:rsid w:val="00354C2E"/>
    <w:rsid w:val="00394287"/>
    <w:rsid w:val="003A0F3D"/>
    <w:rsid w:val="003A29C7"/>
    <w:rsid w:val="003E2251"/>
    <w:rsid w:val="003F007F"/>
    <w:rsid w:val="003F2950"/>
    <w:rsid w:val="003F3F72"/>
    <w:rsid w:val="004105BD"/>
    <w:rsid w:val="00410F3C"/>
    <w:rsid w:val="00416C31"/>
    <w:rsid w:val="0042015A"/>
    <w:rsid w:val="004215D4"/>
    <w:rsid w:val="0045547F"/>
    <w:rsid w:val="004870EE"/>
    <w:rsid w:val="004A2ABE"/>
    <w:rsid w:val="004A610A"/>
    <w:rsid w:val="004B036B"/>
    <w:rsid w:val="004B365B"/>
    <w:rsid w:val="004C1B1A"/>
    <w:rsid w:val="004C3093"/>
    <w:rsid w:val="004D49CB"/>
    <w:rsid w:val="004E1C00"/>
    <w:rsid w:val="004E28BE"/>
    <w:rsid w:val="004E603E"/>
    <w:rsid w:val="00500F25"/>
    <w:rsid w:val="0050248B"/>
    <w:rsid w:val="00506303"/>
    <w:rsid w:val="00520253"/>
    <w:rsid w:val="00545144"/>
    <w:rsid w:val="00563198"/>
    <w:rsid w:val="0057488F"/>
    <w:rsid w:val="005816DE"/>
    <w:rsid w:val="00592A25"/>
    <w:rsid w:val="005B2D1F"/>
    <w:rsid w:val="005E4485"/>
    <w:rsid w:val="00606AFB"/>
    <w:rsid w:val="00610A61"/>
    <w:rsid w:val="006202D9"/>
    <w:rsid w:val="006216DE"/>
    <w:rsid w:val="00634D91"/>
    <w:rsid w:val="00652875"/>
    <w:rsid w:val="00652F59"/>
    <w:rsid w:val="006623DB"/>
    <w:rsid w:val="006B1930"/>
    <w:rsid w:val="006C0684"/>
    <w:rsid w:val="006D0D2A"/>
    <w:rsid w:val="006F0629"/>
    <w:rsid w:val="006F7ACA"/>
    <w:rsid w:val="0070048F"/>
    <w:rsid w:val="00702324"/>
    <w:rsid w:val="00727684"/>
    <w:rsid w:val="0073282C"/>
    <w:rsid w:val="007429D6"/>
    <w:rsid w:val="00752731"/>
    <w:rsid w:val="00764541"/>
    <w:rsid w:val="007672B0"/>
    <w:rsid w:val="00786E88"/>
    <w:rsid w:val="00794228"/>
    <w:rsid w:val="007B71E6"/>
    <w:rsid w:val="007C3748"/>
    <w:rsid w:val="007C4260"/>
    <w:rsid w:val="007D62B3"/>
    <w:rsid w:val="007E1B96"/>
    <w:rsid w:val="007E3575"/>
    <w:rsid w:val="007F2C12"/>
    <w:rsid w:val="007F6DFD"/>
    <w:rsid w:val="00804CED"/>
    <w:rsid w:val="0081056F"/>
    <w:rsid w:val="00824DA8"/>
    <w:rsid w:val="008253BA"/>
    <w:rsid w:val="00826151"/>
    <w:rsid w:val="008410FC"/>
    <w:rsid w:val="0086125A"/>
    <w:rsid w:val="00862CEA"/>
    <w:rsid w:val="00862D3A"/>
    <w:rsid w:val="00866D2A"/>
    <w:rsid w:val="00873952"/>
    <w:rsid w:val="00876051"/>
    <w:rsid w:val="008907C8"/>
    <w:rsid w:val="00891F19"/>
    <w:rsid w:val="008B55CA"/>
    <w:rsid w:val="008B6817"/>
    <w:rsid w:val="008E5E8F"/>
    <w:rsid w:val="0091297F"/>
    <w:rsid w:val="0092431B"/>
    <w:rsid w:val="00941F87"/>
    <w:rsid w:val="00950315"/>
    <w:rsid w:val="00955F71"/>
    <w:rsid w:val="00963021"/>
    <w:rsid w:val="00970330"/>
    <w:rsid w:val="00976A7C"/>
    <w:rsid w:val="00981912"/>
    <w:rsid w:val="009A253C"/>
    <w:rsid w:val="009E237A"/>
    <w:rsid w:val="00A00871"/>
    <w:rsid w:val="00A03833"/>
    <w:rsid w:val="00A068BA"/>
    <w:rsid w:val="00A30ECF"/>
    <w:rsid w:val="00A36BBE"/>
    <w:rsid w:val="00A41BDF"/>
    <w:rsid w:val="00A5235E"/>
    <w:rsid w:val="00A531AE"/>
    <w:rsid w:val="00A57F15"/>
    <w:rsid w:val="00A7160C"/>
    <w:rsid w:val="00A739BA"/>
    <w:rsid w:val="00A7544D"/>
    <w:rsid w:val="00A93C9B"/>
    <w:rsid w:val="00AA3745"/>
    <w:rsid w:val="00AB7617"/>
    <w:rsid w:val="00AD025E"/>
    <w:rsid w:val="00AD5E60"/>
    <w:rsid w:val="00AF35A3"/>
    <w:rsid w:val="00AF3933"/>
    <w:rsid w:val="00B11843"/>
    <w:rsid w:val="00B2194B"/>
    <w:rsid w:val="00B50CEA"/>
    <w:rsid w:val="00B547D5"/>
    <w:rsid w:val="00B74664"/>
    <w:rsid w:val="00BC59BF"/>
    <w:rsid w:val="00BD6746"/>
    <w:rsid w:val="00BD729B"/>
    <w:rsid w:val="00BE1211"/>
    <w:rsid w:val="00BF1E2E"/>
    <w:rsid w:val="00BF24C0"/>
    <w:rsid w:val="00BF6991"/>
    <w:rsid w:val="00C16572"/>
    <w:rsid w:val="00C1668D"/>
    <w:rsid w:val="00C3572D"/>
    <w:rsid w:val="00C5371B"/>
    <w:rsid w:val="00C54D07"/>
    <w:rsid w:val="00C56E01"/>
    <w:rsid w:val="00C62AD4"/>
    <w:rsid w:val="00C675B8"/>
    <w:rsid w:val="00C832DD"/>
    <w:rsid w:val="00CA1273"/>
    <w:rsid w:val="00CD0154"/>
    <w:rsid w:val="00CD0E71"/>
    <w:rsid w:val="00CF56C7"/>
    <w:rsid w:val="00D12885"/>
    <w:rsid w:val="00D46841"/>
    <w:rsid w:val="00D50B2B"/>
    <w:rsid w:val="00D51C67"/>
    <w:rsid w:val="00D623BF"/>
    <w:rsid w:val="00D8071E"/>
    <w:rsid w:val="00DA547E"/>
    <w:rsid w:val="00DB22F1"/>
    <w:rsid w:val="00DD16AF"/>
    <w:rsid w:val="00DD19A0"/>
    <w:rsid w:val="00DE7F5C"/>
    <w:rsid w:val="00DF697E"/>
    <w:rsid w:val="00E029F6"/>
    <w:rsid w:val="00E11CC4"/>
    <w:rsid w:val="00E17E77"/>
    <w:rsid w:val="00E23EC4"/>
    <w:rsid w:val="00E37CF0"/>
    <w:rsid w:val="00E42AA9"/>
    <w:rsid w:val="00E473C0"/>
    <w:rsid w:val="00E547E7"/>
    <w:rsid w:val="00E5519E"/>
    <w:rsid w:val="00E64EF7"/>
    <w:rsid w:val="00E73B22"/>
    <w:rsid w:val="00E87C88"/>
    <w:rsid w:val="00E922B6"/>
    <w:rsid w:val="00E93BF2"/>
    <w:rsid w:val="00EA45D0"/>
    <w:rsid w:val="00EB41D4"/>
    <w:rsid w:val="00EB47BF"/>
    <w:rsid w:val="00EB5AAC"/>
    <w:rsid w:val="00EE763D"/>
    <w:rsid w:val="00F00D97"/>
    <w:rsid w:val="00F24CB6"/>
    <w:rsid w:val="00F26EBF"/>
    <w:rsid w:val="00F304E0"/>
    <w:rsid w:val="00F525FC"/>
    <w:rsid w:val="00F677CE"/>
    <w:rsid w:val="00F67D54"/>
    <w:rsid w:val="00F72EEB"/>
    <w:rsid w:val="00F769E9"/>
    <w:rsid w:val="00F8165B"/>
    <w:rsid w:val="00F92D6A"/>
    <w:rsid w:val="00F939A1"/>
    <w:rsid w:val="00F94DA1"/>
    <w:rsid w:val="00F97CCF"/>
    <w:rsid w:val="00FD0C41"/>
    <w:rsid w:val="00FD590A"/>
    <w:rsid w:val="00FE04E4"/>
    <w:rsid w:val="00FE39D8"/>
    <w:rsid w:val="016A461E"/>
    <w:rsid w:val="026671A5"/>
    <w:rsid w:val="02AB4AAB"/>
    <w:rsid w:val="052A3193"/>
    <w:rsid w:val="07076AEB"/>
    <w:rsid w:val="082F7CD5"/>
    <w:rsid w:val="08AD2E7A"/>
    <w:rsid w:val="09282B3F"/>
    <w:rsid w:val="0B6201A3"/>
    <w:rsid w:val="0C780383"/>
    <w:rsid w:val="0CA91046"/>
    <w:rsid w:val="0CEF2F34"/>
    <w:rsid w:val="0E280066"/>
    <w:rsid w:val="0EBF61BD"/>
    <w:rsid w:val="0EEE797D"/>
    <w:rsid w:val="0F4E3A9A"/>
    <w:rsid w:val="0FA51101"/>
    <w:rsid w:val="10944659"/>
    <w:rsid w:val="10C5260F"/>
    <w:rsid w:val="114E2417"/>
    <w:rsid w:val="11B83243"/>
    <w:rsid w:val="12207B56"/>
    <w:rsid w:val="125408AC"/>
    <w:rsid w:val="129B40EA"/>
    <w:rsid w:val="12C60DF1"/>
    <w:rsid w:val="12F87718"/>
    <w:rsid w:val="14203D8D"/>
    <w:rsid w:val="15C0666D"/>
    <w:rsid w:val="18660E02"/>
    <w:rsid w:val="191566F4"/>
    <w:rsid w:val="1E2B0931"/>
    <w:rsid w:val="20AA391D"/>
    <w:rsid w:val="20BE00E6"/>
    <w:rsid w:val="21922771"/>
    <w:rsid w:val="21FF44AE"/>
    <w:rsid w:val="23175285"/>
    <w:rsid w:val="23614C8B"/>
    <w:rsid w:val="23BA4ECC"/>
    <w:rsid w:val="24505604"/>
    <w:rsid w:val="24D6583A"/>
    <w:rsid w:val="269A66E1"/>
    <w:rsid w:val="271253BE"/>
    <w:rsid w:val="27CE0200"/>
    <w:rsid w:val="29494864"/>
    <w:rsid w:val="2954154E"/>
    <w:rsid w:val="2A6D011C"/>
    <w:rsid w:val="2BCA74F4"/>
    <w:rsid w:val="2C313FEF"/>
    <w:rsid w:val="2C7668E5"/>
    <w:rsid w:val="2DCF210C"/>
    <w:rsid w:val="30401593"/>
    <w:rsid w:val="30A63394"/>
    <w:rsid w:val="31421BC5"/>
    <w:rsid w:val="340D5A89"/>
    <w:rsid w:val="34D92ABF"/>
    <w:rsid w:val="34EB3887"/>
    <w:rsid w:val="35044605"/>
    <w:rsid w:val="35DB509E"/>
    <w:rsid w:val="36791819"/>
    <w:rsid w:val="38257622"/>
    <w:rsid w:val="3B333228"/>
    <w:rsid w:val="3BD224BE"/>
    <w:rsid w:val="3CF3062F"/>
    <w:rsid w:val="3EAB6B52"/>
    <w:rsid w:val="3EE91F86"/>
    <w:rsid w:val="3F0E61B1"/>
    <w:rsid w:val="40651297"/>
    <w:rsid w:val="4163038A"/>
    <w:rsid w:val="41731435"/>
    <w:rsid w:val="42882C2B"/>
    <w:rsid w:val="43167DDE"/>
    <w:rsid w:val="431A1A4B"/>
    <w:rsid w:val="433C692E"/>
    <w:rsid w:val="43442F88"/>
    <w:rsid w:val="43CE0B9E"/>
    <w:rsid w:val="44AC5E4B"/>
    <w:rsid w:val="45067232"/>
    <w:rsid w:val="460175F9"/>
    <w:rsid w:val="47B866E0"/>
    <w:rsid w:val="48DC0A0C"/>
    <w:rsid w:val="498A393F"/>
    <w:rsid w:val="4B731711"/>
    <w:rsid w:val="4BC9421F"/>
    <w:rsid w:val="4F332287"/>
    <w:rsid w:val="4FD7611F"/>
    <w:rsid w:val="501F6C4B"/>
    <w:rsid w:val="5069219F"/>
    <w:rsid w:val="50C80656"/>
    <w:rsid w:val="510140F0"/>
    <w:rsid w:val="539C7B62"/>
    <w:rsid w:val="548E5534"/>
    <w:rsid w:val="54E028F5"/>
    <w:rsid w:val="570C591B"/>
    <w:rsid w:val="575403A8"/>
    <w:rsid w:val="57EC1461"/>
    <w:rsid w:val="59BB5D1A"/>
    <w:rsid w:val="5A053E44"/>
    <w:rsid w:val="5BBD2AD4"/>
    <w:rsid w:val="5BCE7FBB"/>
    <w:rsid w:val="5CDC0C89"/>
    <w:rsid w:val="5CE07AD3"/>
    <w:rsid w:val="5D430826"/>
    <w:rsid w:val="5E1B035C"/>
    <w:rsid w:val="5E9B5275"/>
    <w:rsid w:val="5EF34D49"/>
    <w:rsid w:val="5F0D7888"/>
    <w:rsid w:val="5F7D21C1"/>
    <w:rsid w:val="609876E9"/>
    <w:rsid w:val="61C378B1"/>
    <w:rsid w:val="623915A5"/>
    <w:rsid w:val="635B65F2"/>
    <w:rsid w:val="642165CD"/>
    <w:rsid w:val="64820BE0"/>
    <w:rsid w:val="648F6EA5"/>
    <w:rsid w:val="65CF29F8"/>
    <w:rsid w:val="66A6072D"/>
    <w:rsid w:val="66C300F5"/>
    <w:rsid w:val="66F841E6"/>
    <w:rsid w:val="67255BC3"/>
    <w:rsid w:val="679B1FE8"/>
    <w:rsid w:val="68C61606"/>
    <w:rsid w:val="69130239"/>
    <w:rsid w:val="694124D4"/>
    <w:rsid w:val="6AFC3D72"/>
    <w:rsid w:val="6B22365D"/>
    <w:rsid w:val="6ED52E25"/>
    <w:rsid w:val="6F421870"/>
    <w:rsid w:val="6FDC4E31"/>
    <w:rsid w:val="6FEE35CB"/>
    <w:rsid w:val="710014C3"/>
    <w:rsid w:val="722476F6"/>
    <w:rsid w:val="75382966"/>
    <w:rsid w:val="75774791"/>
    <w:rsid w:val="75EA5CA7"/>
    <w:rsid w:val="7627463E"/>
    <w:rsid w:val="766D40E1"/>
    <w:rsid w:val="770A4BD9"/>
    <w:rsid w:val="78BF5EE5"/>
    <w:rsid w:val="7A2B1797"/>
    <w:rsid w:val="7A6F15EF"/>
    <w:rsid w:val="7B1C3B6E"/>
    <w:rsid w:val="7DDA257A"/>
    <w:rsid w:val="7DEE74EC"/>
    <w:rsid w:val="7E4A646F"/>
    <w:rsid w:val="7EFD4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semiHidden="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0"/>
    <w:qFormat/>
    <w:uiPriority w:val="99"/>
    <w:pPr>
      <w:keepNext/>
      <w:keepLines/>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1"/>
    <w:unhideWhenUsed/>
    <w:qFormat/>
    <w:uiPriority w:val="99"/>
    <w:pPr>
      <w:keepNext/>
      <w:keepLines/>
      <w:spacing w:before="260" w:after="260" w:line="360" w:lineRule="auto"/>
      <w:jc w:val="left"/>
      <w:outlineLvl w:val="1"/>
    </w:pPr>
    <w:rPr>
      <w:rFonts w:ascii="宋体" w:hAnsi="宋体" w:cs="宋体"/>
      <w:b/>
      <w:bCs/>
      <w:sz w:val="28"/>
      <w:szCs w:val="28"/>
    </w:rPr>
  </w:style>
  <w:style w:type="paragraph" w:styleId="5">
    <w:name w:val="heading 3"/>
    <w:basedOn w:val="1"/>
    <w:next w:val="1"/>
    <w:link w:val="52"/>
    <w:unhideWhenUsed/>
    <w:qFormat/>
    <w:uiPriority w:val="99"/>
    <w:pPr>
      <w:keepNext/>
      <w:keepLines/>
      <w:spacing w:line="360" w:lineRule="auto"/>
      <w:outlineLvl w:val="2"/>
    </w:pPr>
    <w:rPr>
      <w:rFonts w:ascii="宋体" w:hAnsi="宋体" w:cs="宋体"/>
      <w:b/>
      <w:bCs/>
      <w:color w:val="000000"/>
      <w:kern w:val="0"/>
      <w:sz w:val="28"/>
      <w:szCs w:val="28"/>
    </w:rPr>
  </w:style>
  <w:style w:type="paragraph" w:styleId="6">
    <w:name w:val="heading 4"/>
    <w:basedOn w:val="1"/>
    <w:next w:val="1"/>
    <w:link w:val="53"/>
    <w:unhideWhenUsed/>
    <w:qFormat/>
    <w:uiPriority w:val="9"/>
    <w:pPr>
      <w:keepNext/>
      <w:keepLines/>
      <w:spacing w:before="120" w:after="120" w:line="360" w:lineRule="auto"/>
      <w:jc w:val="left"/>
      <w:outlineLvl w:val="3"/>
    </w:pPr>
    <w:rPr>
      <w:rFonts w:ascii="Arial" w:hAnsi="Arial"/>
      <w:b/>
      <w:bCs/>
      <w:kern w:val="0"/>
      <w:sz w:val="28"/>
      <w:szCs w:val="28"/>
    </w:rPr>
  </w:style>
  <w:style w:type="paragraph" w:styleId="7">
    <w:name w:val="heading 5"/>
    <w:basedOn w:val="1"/>
    <w:next w:val="1"/>
    <w:link w:val="54"/>
    <w:unhideWhenUsed/>
    <w:qFormat/>
    <w:uiPriority w:val="0"/>
    <w:pPr>
      <w:numPr>
        <w:ilvl w:val="4"/>
        <w:numId w:val="1"/>
      </w:numPr>
      <w:tabs>
        <w:tab w:val="left" w:pos="1134"/>
      </w:tabs>
      <w:spacing w:before="280" w:after="290" w:line="360" w:lineRule="auto"/>
      <w:outlineLvl w:val="4"/>
    </w:pPr>
    <w:rPr>
      <w:b/>
      <w:bCs/>
      <w:kern w:val="0"/>
      <w:sz w:val="28"/>
      <w:szCs w:val="28"/>
    </w:rPr>
  </w:style>
  <w:style w:type="paragraph" w:styleId="8">
    <w:name w:val="heading 6"/>
    <w:basedOn w:val="1"/>
    <w:next w:val="1"/>
    <w:link w:val="55"/>
    <w:unhideWhenUsed/>
    <w:qFormat/>
    <w:uiPriority w:val="0"/>
    <w:pPr>
      <w:keepNext/>
      <w:keepLines/>
      <w:numPr>
        <w:ilvl w:val="5"/>
        <w:numId w:val="1"/>
      </w:numPr>
      <w:spacing w:before="240" w:after="64" w:line="314" w:lineRule="auto"/>
      <w:outlineLvl w:val="5"/>
    </w:pPr>
    <w:rPr>
      <w:rFonts w:ascii="Arial" w:hAnsi="Arial"/>
      <w:b/>
      <w:bCs/>
      <w:kern w:val="0"/>
      <w:sz w:val="28"/>
      <w:szCs w:val="18"/>
    </w:rPr>
  </w:style>
  <w:style w:type="paragraph" w:styleId="9">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7"/>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8"/>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83"/>
    <w:unhideWhenUsed/>
    <w:qFormat/>
    <w:uiPriority w:val="0"/>
    <w:pPr>
      <w:spacing w:after="120"/>
    </w:pPr>
    <w:rPr>
      <w:rFonts w:ascii="Times New Roman" w:hAnsi="Times New Roman"/>
      <w:kern w:val="0"/>
      <w:sz w:val="20"/>
      <w:szCs w:val="20"/>
    </w:rPr>
  </w:style>
  <w:style w:type="paragraph" w:styleId="12">
    <w:name w:val="toc 7"/>
    <w:basedOn w:val="1"/>
    <w:next w:val="1"/>
    <w:semiHidden/>
    <w:unhideWhenUsed/>
    <w:qFormat/>
    <w:uiPriority w:val="0"/>
    <w:pPr>
      <w:ind w:left="2520" w:leftChars="1200"/>
    </w:pPr>
    <w:rPr>
      <w:rFonts w:ascii="Times New Roman" w:hAnsi="Times New Roman"/>
      <w:szCs w:val="24"/>
    </w:rPr>
  </w:style>
  <w:style w:type="paragraph" w:styleId="13">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196"/>
    <w:unhideWhenUsed/>
    <w:qFormat/>
    <w:uiPriority w:val="99"/>
    <w:pPr>
      <w:jc w:val="left"/>
    </w:pPr>
  </w:style>
  <w:style w:type="paragraph" w:styleId="17">
    <w:name w:val="Body Text 3"/>
    <w:basedOn w:val="1"/>
    <w:link w:val="74"/>
    <w:semiHidden/>
    <w:unhideWhenUsed/>
    <w:qFormat/>
    <w:uiPriority w:val="0"/>
    <w:pPr>
      <w:jc w:val="center"/>
    </w:pPr>
    <w:rPr>
      <w:rFonts w:ascii="Times New Roman" w:hAnsi="Times New Roman" w:eastAsia="黑体"/>
      <w:sz w:val="44"/>
      <w:szCs w:val="24"/>
    </w:rPr>
  </w:style>
  <w:style w:type="paragraph" w:styleId="18">
    <w:name w:val="Body Text Indent"/>
    <w:basedOn w:val="1"/>
    <w:link w:val="69"/>
    <w:semiHidden/>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0"/>
    <w:pPr>
      <w:ind w:left="1680" w:leftChars="800"/>
    </w:pPr>
    <w:rPr>
      <w:rFonts w:ascii="Times New Roman" w:hAnsi="Times New Roman"/>
      <w:sz w:val="18"/>
      <w:szCs w:val="18"/>
    </w:rPr>
  </w:style>
  <w:style w:type="paragraph" w:styleId="21">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87"/>
    <w:unhideWhenUsed/>
    <w:qFormat/>
    <w:uiPriority w:val="99"/>
    <w:rPr>
      <w:rFonts w:ascii="宋体" w:hAnsi="Courier New"/>
      <w:kern w:val="0"/>
      <w:sz w:val="20"/>
      <w:szCs w:val="18"/>
    </w:rPr>
  </w:style>
  <w:style w:type="paragraph" w:styleId="23">
    <w:name w:val="toc 8"/>
    <w:basedOn w:val="1"/>
    <w:next w:val="1"/>
    <w:semiHidden/>
    <w:unhideWhenUsed/>
    <w:qFormat/>
    <w:uiPriority w:val="0"/>
    <w:pPr>
      <w:ind w:left="2940" w:leftChars="1400"/>
    </w:pPr>
    <w:rPr>
      <w:rFonts w:ascii="Times New Roman" w:hAnsi="Times New Roman"/>
      <w:szCs w:val="24"/>
    </w:rPr>
  </w:style>
  <w:style w:type="paragraph" w:styleId="24">
    <w:name w:val="Date"/>
    <w:basedOn w:val="1"/>
    <w:next w:val="1"/>
    <w:link w:val="71"/>
    <w:unhideWhenUsed/>
    <w:qFormat/>
    <w:uiPriority w:val="99"/>
    <w:pPr>
      <w:ind w:left="100" w:leftChars="2500"/>
    </w:pPr>
    <w:rPr>
      <w:rFonts w:ascii="Times New Roman" w:hAnsi="Times New Roman"/>
      <w:kern w:val="0"/>
      <w:sz w:val="24"/>
      <w:szCs w:val="24"/>
    </w:rPr>
  </w:style>
  <w:style w:type="paragraph" w:styleId="25">
    <w:name w:val="Body Text Indent 2"/>
    <w:basedOn w:val="1"/>
    <w:link w:val="75"/>
    <w:semiHidden/>
    <w:unhideWhenUsed/>
    <w:qFormat/>
    <w:uiPriority w:val="0"/>
    <w:pPr>
      <w:spacing w:after="120" w:line="480" w:lineRule="auto"/>
      <w:ind w:left="420" w:leftChars="200"/>
    </w:pPr>
    <w:rPr>
      <w:rFonts w:ascii="Times New Roman" w:hAnsi="Times New Roman"/>
      <w:kern w:val="0"/>
      <w:sz w:val="20"/>
      <w:szCs w:val="20"/>
    </w:rPr>
  </w:style>
  <w:style w:type="paragraph" w:styleId="26">
    <w:name w:val="Balloon Text"/>
    <w:basedOn w:val="1"/>
    <w:link w:val="80"/>
    <w:unhideWhenUsed/>
    <w:qFormat/>
    <w:uiPriority w:val="99"/>
    <w:rPr>
      <w:rFonts w:ascii="Times New Roman" w:hAnsi="Times New Roman"/>
      <w:kern w:val="0"/>
      <w:sz w:val="18"/>
      <w:szCs w:val="18"/>
    </w:rPr>
  </w:style>
  <w:style w:type="paragraph" w:styleId="27">
    <w:name w:val="footer"/>
    <w:basedOn w:val="1"/>
    <w:link w:val="67"/>
    <w:unhideWhenUsed/>
    <w:qFormat/>
    <w:uiPriority w:val="99"/>
    <w:pPr>
      <w:tabs>
        <w:tab w:val="center" w:pos="4153"/>
        <w:tab w:val="right" w:pos="8306"/>
      </w:tabs>
      <w:snapToGrid w:val="0"/>
      <w:jc w:val="left"/>
    </w:pPr>
    <w:rPr>
      <w:kern w:val="0"/>
      <w:sz w:val="18"/>
      <w:szCs w:val="18"/>
    </w:rPr>
  </w:style>
  <w:style w:type="paragraph" w:styleId="28">
    <w:name w:val="header"/>
    <w:basedOn w:val="1"/>
    <w:link w:val="6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0"/>
    <w:pPr>
      <w:ind w:left="1260" w:leftChars="600"/>
    </w:pPr>
    <w:rPr>
      <w:rFonts w:ascii="Times New Roman" w:hAnsi="Times New Roman"/>
      <w:sz w:val="18"/>
      <w:szCs w:val="18"/>
    </w:rPr>
  </w:style>
  <w:style w:type="paragraph" w:styleId="31">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4"/>
    <w:semiHidden/>
    <w:unhideWhenUsed/>
    <w:qFormat/>
    <w:uiPriority w:val="0"/>
    <w:pPr>
      <w:snapToGrid w:val="0"/>
      <w:jc w:val="left"/>
    </w:pPr>
    <w:rPr>
      <w:sz w:val="18"/>
      <w:szCs w:val="18"/>
    </w:rPr>
  </w:style>
  <w:style w:type="paragraph" w:styleId="33">
    <w:name w:val="toc 6"/>
    <w:basedOn w:val="1"/>
    <w:next w:val="1"/>
    <w:semiHidden/>
    <w:unhideWhenUsed/>
    <w:qFormat/>
    <w:uiPriority w:val="0"/>
    <w:pPr>
      <w:ind w:left="2100" w:leftChars="1000"/>
    </w:pPr>
    <w:rPr>
      <w:rFonts w:ascii="Times New Roman" w:hAnsi="Times New Roman"/>
      <w:szCs w:val="24"/>
    </w:rPr>
  </w:style>
  <w:style w:type="paragraph" w:styleId="34">
    <w:name w:val="Body Text Indent 3"/>
    <w:basedOn w:val="1"/>
    <w:link w:val="76"/>
    <w:semiHidden/>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0"/>
    <w:pPr>
      <w:ind w:left="3360" w:leftChars="1600"/>
    </w:pPr>
    <w:rPr>
      <w:rFonts w:ascii="Times New Roman" w:hAnsi="Times New Roman"/>
      <w:szCs w:val="24"/>
    </w:rPr>
  </w:style>
  <w:style w:type="paragraph" w:styleId="37">
    <w:name w:val="Body Text 2"/>
    <w:basedOn w:val="1"/>
    <w:link w:val="73"/>
    <w:semiHidden/>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semiHidden/>
    <w:unhideWhenUsed/>
    <w:qFormat/>
    <w:uiPriority w:val="0"/>
    <w:pPr>
      <w:ind w:firstLine="560" w:firstLineChars="200"/>
    </w:pPr>
    <w:rPr>
      <w:rFonts w:ascii="宋体" w:hAnsi="宋体" w:cs="宋体"/>
      <w:sz w:val="28"/>
      <w:szCs w:val="28"/>
    </w:rPr>
  </w:style>
  <w:style w:type="paragraph" w:styleId="41">
    <w:name w:val="annotation subject"/>
    <w:basedOn w:val="16"/>
    <w:next w:val="16"/>
    <w:link w:val="79"/>
    <w:unhideWhenUsed/>
    <w:qFormat/>
    <w:uiPriority w:val="99"/>
    <w:rPr>
      <w:b/>
      <w:bCs/>
    </w:rPr>
  </w:style>
  <w:style w:type="paragraph" w:styleId="42">
    <w:name w:val="Body Text First Indent"/>
    <w:basedOn w:val="2"/>
    <w:link w:val="72"/>
    <w:semiHidden/>
    <w:unhideWhenUsed/>
    <w:qFormat/>
    <w:uiPriority w:val="0"/>
    <w:pPr>
      <w:ind w:firstLine="420" w:firstLineChars="100"/>
    </w:pPr>
    <w:rPr>
      <w:sz w:val="18"/>
      <w:szCs w:val="18"/>
    </w:rPr>
  </w:style>
  <w:style w:type="table" w:styleId="44">
    <w:name w:val="Table Grid"/>
    <w:basedOn w:val="4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6">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字符"/>
    <w:basedOn w:val="45"/>
    <w:link w:val="3"/>
    <w:qFormat/>
    <w:uiPriority w:val="99"/>
    <w:rPr>
      <w:rFonts w:ascii="宋体" w:hAnsi="宋体" w:eastAsia="宋体" w:cs="宋体"/>
      <w:b/>
      <w:bCs/>
      <w:spacing w:val="-20"/>
      <w:kern w:val="44"/>
      <w:sz w:val="32"/>
      <w:szCs w:val="32"/>
    </w:rPr>
  </w:style>
  <w:style w:type="character" w:customStyle="1" w:styleId="51">
    <w:name w:val="标题 2 字符"/>
    <w:basedOn w:val="45"/>
    <w:link w:val="4"/>
    <w:qFormat/>
    <w:uiPriority w:val="99"/>
    <w:rPr>
      <w:rFonts w:ascii="宋体" w:hAnsi="宋体" w:eastAsia="宋体" w:cs="宋体"/>
      <w:b/>
      <w:bCs/>
      <w:sz w:val="28"/>
      <w:szCs w:val="28"/>
    </w:rPr>
  </w:style>
  <w:style w:type="character" w:customStyle="1" w:styleId="52">
    <w:name w:val="标题 3 字符"/>
    <w:basedOn w:val="45"/>
    <w:link w:val="5"/>
    <w:qFormat/>
    <w:uiPriority w:val="99"/>
    <w:rPr>
      <w:rFonts w:ascii="宋体" w:hAnsi="宋体" w:eastAsia="宋体" w:cs="宋体"/>
      <w:b/>
      <w:bCs/>
      <w:color w:val="000000"/>
      <w:kern w:val="0"/>
      <w:sz w:val="28"/>
      <w:szCs w:val="28"/>
    </w:rPr>
  </w:style>
  <w:style w:type="character" w:customStyle="1" w:styleId="53">
    <w:name w:val="标题 4 字符"/>
    <w:basedOn w:val="45"/>
    <w:link w:val="6"/>
    <w:qFormat/>
    <w:uiPriority w:val="9"/>
    <w:rPr>
      <w:rFonts w:ascii="Arial" w:hAnsi="Arial" w:eastAsia="宋体" w:cs="Times New Roman"/>
      <w:b/>
      <w:bCs/>
      <w:kern w:val="0"/>
      <w:sz w:val="28"/>
      <w:szCs w:val="28"/>
    </w:rPr>
  </w:style>
  <w:style w:type="character" w:customStyle="1" w:styleId="54">
    <w:name w:val="标题 5 字符"/>
    <w:basedOn w:val="45"/>
    <w:link w:val="7"/>
    <w:qFormat/>
    <w:uiPriority w:val="0"/>
    <w:rPr>
      <w:rFonts w:ascii="Calibri" w:hAnsi="Calibri" w:eastAsia="宋体" w:cs="Times New Roman"/>
      <w:b/>
      <w:bCs/>
      <w:kern w:val="0"/>
      <w:sz w:val="28"/>
      <w:szCs w:val="28"/>
    </w:rPr>
  </w:style>
  <w:style w:type="character" w:customStyle="1" w:styleId="55">
    <w:name w:val="标题 6 字符"/>
    <w:basedOn w:val="45"/>
    <w:link w:val="8"/>
    <w:qFormat/>
    <w:uiPriority w:val="0"/>
    <w:rPr>
      <w:rFonts w:ascii="Arial" w:hAnsi="Arial" w:eastAsia="宋体" w:cs="Times New Roman"/>
      <w:b/>
      <w:bCs/>
      <w:kern w:val="0"/>
      <w:sz w:val="28"/>
      <w:szCs w:val="18"/>
    </w:rPr>
  </w:style>
  <w:style w:type="character" w:customStyle="1" w:styleId="56">
    <w:name w:val="标题 7 字符"/>
    <w:basedOn w:val="45"/>
    <w:link w:val="9"/>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10"/>
    <w:semiHidden/>
    <w:qFormat/>
    <w:uiPriority w:val="0"/>
    <w:rPr>
      <w:rFonts w:ascii="Arial" w:hAnsi="Arial" w:eastAsia="黑体" w:cs="Times New Roman"/>
      <w:kern w:val="0"/>
      <w:sz w:val="24"/>
      <w:szCs w:val="24"/>
    </w:rPr>
  </w:style>
  <w:style w:type="character" w:customStyle="1" w:styleId="58">
    <w:name w:val="标题 9 字符"/>
    <w:basedOn w:val="45"/>
    <w:link w:val="11"/>
    <w:semiHidden/>
    <w:qFormat/>
    <w:uiPriority w:val="0"/>
    <w:rPr>
      <w:rFonts w:ascii="Arial" w:hAnsi="Arial" w:eastAsia="黑体" w:cs="Times New Roman"/>
      <w:kern w:val="0"/>
      <w:sz w:val="20"/>
      <w:szCs w:val="21"/>
    </w:rPr>
  </w:style>
  <w:style w:type="character" w:customStyle="1" w:styleId="59">
    <w:name w:val="标题 1 Char1"/>
    <w:qFormat/>
    <w:uiPriority w:val="0"/>
    <w:rPr>
      <w:b/>
      <w:bCs/>
      <w:kern w:val="44"/>
      <w:sz w:val="44"/>
      <w:szCs w:val="44"/>
    </w:rPr>
  </w:style>
  <w:style w:type="character" w:customStyle="1" w:styleId="60">
    <w:name w:val="标题 2 Char1"/>
    <w:basedOn w:val="45"/>
    <w:semiHidden/>
    <w:qFormat/>
    <w:uiPriority w:val="99"/>
    <w:rPr>
      <w:rFonts w:asciiTheme="majorHAnsi" w:hAnsiTheme="majorHAnsi" w:eastAsiaTheme="majorEastAsia" w:cstheme="majorBidi"/>
      <w:b/>
      <w:bCs/>
      <w:kern w:val="2"/>
      <w:sz w:val="32"/>
      <w:szCs w:val="32"/>
    </w:rPr>
  </w:style>
  <w:style w:type="character" w:customStyle="1" w:styleId="61">
    <w:name w:val="标题 3 Char1"/>
    <w:basedOn w:val="45"/>
    <w:semiHidden/>
    <w:qFormat/>
    <w:uiPriority w:val="99"/>
    <w:rPr>
      <w:rFonts w:ascii="Calibri" w:hAnsi="Calibri"/>
      <w:b/>
      <w:bCs/>
      <w:kern w:val="2"/>
      <w:sz w:val="32"/>
      <w:szCs w:val="32"/>
    </w:rPr>
  </w:style>
  <w:style w:type="character" w:customStyle="1" w:styleId="62">
    <w:name w:val="标题 4 Char1"/>
    <w:basedOn w:val="45"/>
    <w:semiHidden/>
    <w:qFormat/>
    <w:uiPriority w:val="9"/>
    <w:rPr>
      <w:rFonts w:asciiTheme="majorHAnsi" w:hAnsiTheme="majorHAnsi" w:eastAsiaTheme="majorEastAsia" w:cstheme="majorBidi"/>
      <w:b/>
      <w:bCs/>
      <w:kern w:val="2"/>
      <w:sz w:val="28"/>
      <w:szCs w:val="28"/>
    </w:rPr>
  </w:style>
  <w:style w:type="character" w:customStyle="1" w:styleId="63">
    <w:name w:val="正文缩进 字符"/>
    <w:link w:val="13"/>
    <w:qFormat/>
    <w:locked/>
    <w:uiPriority w:val="0"/>
  </w:style>
  <w:style w:type="character" w:customStyle="1" w:styleId="64">
    <w:name w:val="脚注文本 字符"/>
    <w:basedOn w:val="45"/>
    <w:link w:val="32"/>
    <w:semiHidden/>
    <w:qFormat/>
    <w:uiPriority w:val="0"/>
    <w:rPr>
      <w:rFonts w:ascii="Calibri" w:hAnsi="Calibri" w:eastAsia="宋体" w:cs="Times New Roman"/>
      <w:sz w:val="18"/>
      <w:szCs w:val="18"/>
    </w:rPr>
  </w:style>
  <w:style w:type="character" w:customStyle="1" w:styleId="65">
    <w:name w:val="批注文字 Char"/>
    <w:basedOn w:val="45"/>
    <w:semiHidden/>
    <w:qFormat/>
    <w:uiPriority w:val="99"/>
    <w:rPr>
      <w:rFonts w:ascii="Calibri" w:hAnsi="Calibri" w:eastAsia="宋体" w:cs="Times New Roman"/>
    </w:rPr>
  </w:style>
  <w:style w:type="character" w:customStyle="1" w:styleId="66">
    <w:name w:val="页眉 字符"/>
    <w:basedOn w:val="45"/>
    <w:link w:val="28"/>
    <w:qFormat/>
    <w:uiPriority w:val="99"/>
    <w:rPr>
      <w:rFonts w:ascii="Calibri" w:hAnsi="Calibri" w:eastAsia="宋体" w:cs="Times New Roman"/>
      <w:kern w:val="0"/>
      <w:sz w:val="18"/>
      <w:szCs w:val="18"/>
    </w:rPr>
  </w:style>
  <w:style w:type="character" w:customStyle="1" w:styleId="67">
    <w:name w:val="页脚 字符"/>
    <w:basedOn w:val="45"/>
    <w:link w:val="27"/>
    <w:qFormat/>
    <w:uiPriority w:val="99"/>
    <w:rPr>
      <w:rFonts w:ascii="Calibri" w:hAnsi="Calibri" w:eastAsia="宋体" w:cs="Times New Roman"/>
      <w:kern w:val="0"/>
      <w:sz w:val="18"/>
      <w:szCs w:val="18"/>
    </w:rPr>
  </w:style>
  <w:style w:type="character" w:customStyle="1" w:styleId="68">
    <w:name w:val="正文文本 Char"/>
    <w:basedOn w:val="45"/>
    <w:qFormat/>
    <w:uiPriority w:val="99"/>
    <w:rPr>
      <w:rFonts w:ascii="Calibri" w:hAnsi="Calibri" w:eastAsia="宋体" w:cs="Times New Roman"/>
    </w:rPr>
  </w:style>
  <w:style w:type="character" w:customStyle="1" w:styleId="69">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70">
    <w:name w:val="副标题 字符"/>
    <w:basedOn w:val="45"/>
    <w:link w:val="31"/>
    <w:qFormat/>
    <w:uiPriority w:val="0"/>
    <w:rPr>
      <w:rFonts w:ascii="Cambria" w:hAnsi="Cambria" w:eastAsia="宋体" w:cs="Times New Roman"/>
      <w:b/>
      <w:bCs/>
      <w:kern w:val="28"/>
      <w:sz w:val="32"/>
      <w:szCs w:val="32"/>
    </w:rPr>
  </w:style>
  <w:style w:type="character" w:customStyle="1" w:styleId="71">
    <w:name w:val="日期 字符"/>
    <w:basedOn w:val="45"/>
    <w:link w:val="24"/>
    <w:qFormat/>
    <w:uiPriority w:val="99"/>
    <w:rPr>
      <w:rFonts w:ascii="Times New Roman" w:hAnsi="Times New Roman" w:eastAsia="宋体" w:cs="Times New Roman"/>
      <w:kern w:val="0"/>
      <w:sz w:val="24"/>
      <w:szCs w:val="24"/>
    </w:rPr>
  </w:style>
  <w:style w:type="character" w:customStyle="1" w:styleId="72">
    <w:name w:val="正文首行缩进 字符"/>
    <w:basedOn w:val="68"/>
    <w:link w:val="42"/>
    <w:semiHidden/>
    <w:qFormat/>
    <w:uiPriority w:val="0"/>
    <w:rPr>
      <w:rFonts w:ascii="Times New Roman" w:hAnsi="Times New Roman" w:eastAsia="宋体" w:cs="Times New Roman"/>
      <w:kern w:val="0"/>
      <w:sz w:val="18"/>
      <w:szCs w:val="18"/>
    </w:rPr>
  </w:style>
  <w:style w:type="character" w:customStyle="1" w:styleId="73">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4">
    <w:name w:val="正文文本 3 字符"/>
    <w:basedOn w:val="45"/>
    <w:link w:val="17"/>
    <w:semiHidden/>
    <w:qFormat/>
    <w:uiPriority w:val="0"/>
    <w:rPr>
      <w:rFonts w:ascii="Times New Roman" w:hAnsi="Times New Roman" w:eastAsia="黑体" w:cs="Times New Roman"/>
      <w:sz w:val="44"/>
      <w:szCs w:val="24"/>
    </w:rPr>
  </w:style>
  <w:style w:type="character" w:customStyle="1" w:styleId="75">
    <w:name w:val="正文文本缩进 2 字符"/>
    <w:basedOn w:val="45"/>
    <w:link w:val="25"/>
    <w:semiHidden/>
    <w:qFormat/>
    <w:uiPriority w:val="0"/>
    <w:rPr>
      <w:rFonts w:ascii="Times New Roman" w:hAnsi="Times New Roman" w:eastAsia="宋体" w:cs="Times New Roman"/>
      <w:kern w:val="0"/>
      <w:sz w:val="20"/>
      <w:szCs w:val="20"/>
    </w:rPr>
  </w:style>
  <w:style w:type="character" w:customStyle="1" w:styleId="76">
    <w:name w:val="正文文本缩进 3 字符"/>
    <w:basedOn w:val="45"/>
    <w:link w:val="34"/>
    <w:semiHidden/>
    <w:qFormat/>
    <w:uiPriority w:val="0"/>
    <w:rPr>
      <w:rFonts w:ascii="宋体" w:hAnsi="宋体" w:eastAsia="宋体" w:cs="Times New Roman"/>
      <w:kern w:val="0"/>
      <w:sz w:val="28"/>
      <w:szCs w:val="28"/>
    </w:rPr>
  </w:style>
  <w:style w:type="character" w:customStyle="1" w:styleId="77">
    <w:name w:val="文档结构图 字符"/>
    <w:basedOn w:val="45"/>
    <w:link w:val="15"/>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5"/>
    <w:semiHidden/>
    <w:qFormat/>
    <w:uiPriority w:val="99"/>
    <w:rPr>
      <w:rFonts w:ascii="宋体" w:hAnsi="Courier New" w:eastAsia="宋体" w:cs="Courier New"/>
      <w:szCs w:val="21"/>
    </w:rPr>
  </w:style>
  <w:style w:type="character" w:customStyle="1" w:styleId="79">
    <w:name w:val="批注主题 字符"/>
    <w:basedOn w:val="65"/>
    <w:link w:val="41"/>
    <w:qFormat/>
    <w:uiPriority w:val="99"/>
    <w:rPr>
      <w:rFonts w:ascii="Calibri" w:hAnsi="Calibri" w:eastAsia="宋体" w:cs="Times New Roman"/>
      <w:b/>
      <w:bCs/>
    </w:rPr>
  </w:style>
  <w:style w:type="character" w:customStyle="1" w:styleId="80">
    <w:name w:val="批注框文本 字符"/>
    <w:basedOn w:val="45"/>
    <w:link w:val="26"/>
    <w:qFormat/>
    <w:uiPriority w:val="99"/>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Revision"/>
    <w:semiHidden/>
    <w:qFormat/>
    <w:uiPriority w:val="99"/>
    <w:rPr>
      <w:rFonts w:ascii="Calibri" w:hAnsi="Calibri" w:eastAsia="宋体" w:cs="Times New Roman"/>
      <w:kern w:val="2"/>
      <w:sz w:val="21"/>
      <w:szCs w:val="22"/>
      <w:lang w:val="en-US" w:eastAsia="zh-CN" w:bidi="ar-SA"/>
    </w:rPr>
  </w:style>
  <w:style w:type="character" w:customStyle="1" w:styleId="83">
    <w:name w:val="列出段落 字符"/>
    <w:link w:val="84"/>
    <w:qFormat/>
    <w:locked/>
    <w:uiPriority w:val="0"/>
    <w:rPr>
      <w:rFonts w:ascii="Calibri" w:hAnsi="Calibri" w:cs="Calibri"/>
    </w:rPr>
  </w:style>
  <w:style w:type="paragraph" w:styleId="84">
    <w:name w:val="List Paragraph"/>
    <w:basedOn w:val="1"/>
    <w:link w:val="83"/>
    <w:qFormat/>
    <w:uiPriority w:val="0"/>
    <w:pPr>
      <w:ind w:firstLine="420" w:firstLineChars="200"/>
    </w:pPr>
    <w:rPr>
      <w:rFonts w:cs="Calibri" w:eastAsiaTheme="minorEastAsia"/>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8"/>
    <w:qFormat/>
    <w:uiPriority w:val="0"/>
    <w:pPr>
      <w:tabs>
        <w:tab w:val="left" w:pos="3260"/>
        <w:tab w:val="clear" w:pos="1702"/>
      </w:tabs>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4"/>
    <w:qFormat/>
    <w:uiPriority w:val="0"/>
    <w:p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0"/>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文章正文"/>
    <w:basedOn w:val="1"/>
    <w:qFormat/>
    <w:uiPriority w:val="0"/>
    <w:pPr>
      <w:spacing w:line="360" w:lineRule="auto"/>
      <w:ind w:firstLine="420"/>
    </w:pPr>
    <w:rPr>
      <w:rFonts w:ascii="Times New Roman" w:hAnsi="Times New Roman"/>
      <w:sz w:val="24"/>
      <w:szCs w:val="24"/>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28"/>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7">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28">
    <w:name w:val="彩色列表 - 强调文字颜色 1 Char"/>
    <w:link w:val="129"/>
    <w:qFormat/>
    <w:locked/>
    <w:uiPriority w:val="0"/>
    <w:rPr>
      <w:rFonts w:ascii="Calibri" w:hAnsi="Calibri" w:cs="Calibri"/>
    </w:rPr>
  </w:style>
  <w:style w:type="paragraph" w:customStyle="1" w:styleId="129">
    <w:name w:val="彩色列表 - 强调文字颜色 11"/>
    <w:basedOn w:val="1"/>
    <w:link w:val="128"/>
    <w:qFormat/>
    <w:uiPriority w:val="0"/>
    <w:pPr>
      <w:ind w:firstLine="420" w:firstLineChars="200"/>
    </w:pPr>
    <w:rPr>
      <w:rFonts w:cs="Calibri" w:eastAsiaTheme="minorEastAsia"/>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5"/>
    <w:qFormat/>
    <w:uiPriority w:val="0"/>
    <w:p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5"/>
    <w:qFormat/>
    <w:uiPriority w:val="0"/>
    <w:rPr>
      <w:rFonts w:ascii="Tahoma" w:hAnsi="Tahoma"/>
      <w:sz w:val="24"/>
      <w:szCs w:val="24"/>
    </w:rPr>
  </w:style>
  <w:style w:type="paragraph" w:customStyle="1" w:styleId="140">
    <w:name w:val="MM Topic 3"/>
    <w:basedOn w:val="5"/>
    <w:qFormat/>
    <w:uiPriority w:val="0"/>
    <w:p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1"/>
    <w:qFormat/>
    <w:uiPriority w:val="0"/>
    <w:pPr>
      <w:tabs>
        <w:tab w:val="left" w:pos="5102"/>
      </w:tabs>
    </w:pPr>
  </w:style>
  <w:style w:type="paragraph" w:customStyle="1" w:styleId="146">
    <w:name w:val="MM Topic 5"/>
    <w:basedOn w:val="7"/>
    <w:qFormat/>
    <w:uiPriority w:val="0"/>
    <w:pPr>
      <w:tabs>
        <w:tab w:val="left" w:pos="2551"/>
        <w:tab w:val="clear" w:pos="1134"/>
        <w:tab w:val="clear" w:pos="1560"/>
      </w:tabs>
      <w:ind w:left="0" w:firstLine="0"/>
    </w:p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6"/>
    <w:qFormat/>
    <w:uiPriority w:val="0"/>
    <w:pPr>
      <w:tabs>
        <w:tab w:val="left" w:pos="1984"/>
      </w:tabs>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4"/>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0"/>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彩色列表 - 强调文字颜色 12"/>
    <w:basedOn w:val="1"/>
    <w:qFormat/>
    <w:uiPriority w:val="0"/>
    <w:pPr>
      <w:ind w:firstLine="420" w:firstLineChars="200"/>
    </w:pPr>
  </w:style>
  <w:style w:type="character" w:customStyle="1" w:styleId="157">
    <w:name w:val="Char Char8"/>
    <w:qFormat/>
    <w:uiPriority w:val="0"/>
    <w:rPr>
      <w:rFonts w:hint="eastAsia" w:ascii="宋体" w:hAnsi="宋体" w:eastAsia="宋体"/>
      <w:kern w:val="2"/>
      <w:sz w:val="28"/>
      <w:szCs w:val="28"/>
    </w:rPr>
  </w:style>
  <w:style w:type="character" w:customStyle="1" w:styleId="158">
    <w:name w:val="Char Char5"/>
    <w:qFormat/>
    <w:uiPriority w:val="0"/>
    <w:rPr>
      <w:kern w:val="2"/>
      <w:sz w:val="21"/>
      <w:szCs w:val="24"/>
    </w:rPr>
  </w:style>
  <w:style w:type="character" w:customStyle="1" w:styleId="159">
    <w:name w:val="列出段落 Char Char"/>
    <w:qFormat/>
    <w:uiPriority w:val="0"/>
    <w:rPr>
      <w:rFonts w:hint="default" w:ascii="Calibri" w:hAnsi="Calibri" w:cs="Calibri"/>
      <w:kern w:val="2"/>
      <w:sz w:val="21"/>
      <w:szCs w:val="22"/>
    </w:rPr>
  </w:style>
  <w:style w:type="character" w:customStyle="1" w:styleId="160">
    <w:name w:val="正文文本 Char Char"/>
    <w:qFormat/>
    <w:uiPriority w:val="0"/>
    <w:rPr>
      <w:kern w:val="2"/>
      <w:sz w:val="21"/>
      <w:szCs w:val="24"/>
    </w:rPr>
  </w:style>
  <w:style w:type="character" w:customStyle="1" w:styleId="161">
    <w:name w:val="Char Char11"/>
    <w:qFormat/>
    <w:uiPriority w:val="0"/>
    <w:rPr>
      <w:rFonts w:hint="default" w:ascii="Arial Narrow" w:hAnsi="Arial Narrow"/>
      <w:b/>
      <w:bCs/>
      <w:iCs/>
      <w:szCs w:val="24"/>
      <w:lang w:eastAsia="en-US"/>
    </w:rPr>
  </w:style>
  <w:style w:type="character" w:customStyle="1" w:styleId="162">
    <w:name w:val="标书（正文） Char Char"/>
    <w:qFormat/>
    <w:uiPriority w:val="0"/>
    <w:rPr>
      <w:rFonts w:hint="eastAsia" w:ascii="宋体" w:hAnsi="宋体" w:eastAsia="宋体"/>
      <w:b/>
      <w:kern w:val="10"/>
      <w:sz w:val="21"/>
      <w:szCs w:val="21"/>
      <w:lang w:val="en-US" w:eastAsia="zh-CN" w:bidi="ar-SA"/>
    </w:rPr>
  </w:style>
  <w:style w:type="character" w:customStyle="1" w:styleId="163">
    <w:name w:val="line2"/>
    <w:basedOn w:val="45"/>
    <w:qFormat/>
    <w:uiPriority w:val="0"/>
  </w:style>
  <w:style w:type="character" w:customStyle="1" w:styleId="164">
    <w:name w:val="Char Char10"/>
    <w:qFormat/>
    <w:uiPriority w:val="0"/>
    <w:rPr>
      <w:kern w:val="2"/>
      <w:sz w:val="24"/>
      <w:szCs w:val="24"/>
    </w:rPr>
  </w:style>
  <w:style w:type="character" w:customStyle="1" w:styleId="165">
    <w:name w:val="MM Topic 4 Char Char"/>
    <w:qFormat/>
    <w:uiPriority w:val="0"/>
    <w:rPr>
      <w:rFonts w:hint="default" w:ascii="Arial" w:hAnsi="Arial" w:cs="Arial"/>
      <w:b/>
      <w:bCs/>
      <w:kern w:val="2"/>
      <w:sz w:val="28"/>
      <w:szCs w:val="28"/>
    </w:rPr>
  </w:style>
  <w:style w:type="character" w:customStyle="1" w:styleId="166">
    <w:name w:val="标书正文:  0.74 厘米 Char Char"/>
    <w:qFormat/>
    <w:uiPriority w:val="0"/>
    <w:rPr>
      <w:kern w:val="2"/>
      <w:sz w:val="24"/>
    </w:rPr>
  </w:style>
  <w:style w:type="character" w:customStyle="1" w:styleId="167">
    <w:name w:val="访问过的超链接1"/>
    <w:qFormat/>
    <w:uiPriority w:val="99"/>
    <w:rPr>
      <w:color w:val="800080"/>
      <w:u w:val="single"/>
    </w:rPr>
  </w:style>
  <w:style w:type="character" w:customStyle="1" w:styleId="168">
    <w:name w:val="标题 3 Char Char Char"/>
    <w:qFormat/>
    <w:uiPriority w:val="0"/>
    <w:rPr>
      <w:rFonts w:hint="eastAsia" w:ascii="宋体" w:hAnsi="宋体" w:eastAsia="宋体"/>
      <w:b/>
      <w:kern w:val="2"/>
      <w:sz w:val="32"/>
      <w:lang w:val="en-US" w:eastAsia="zh-CN" w:bidi="ar-SA"/>
    </w:rPr>
  </w:style>
  <w:style w:type="character" w:customStyle="1" w:styleId="169">
    <w:name w:val="（符号）邀请函中一、"/>
    <w:qFormat/>
    <w:uiPriority w:val="0"/>
    <w:rPr>
      <w:rFonts w:hint="eastAsia" w:ascii="黑体" w:hAnsi="黑体" w:eastAsia="黑体"/>
      <w:b/>
      <w:bCs/>
      <w:sz w:val="24"/>
    </w:rPr>
  </w:style>
  <w:style w:type="character" w:customStyle="1" w:styleId="170">
    <w:name w:val="tt Char"/>
    <w:qFormat/>
    <w:uiPriority w:val="0"/>
    <w:rPr>
      <w:rFonts w:hint="default" w:ascii="Arial" w:hAnsi="Arial" w:eastAsia="黑体" w:cs="Arial"/>
      <w:kern w:val="2"/>
      <w:sz w:val="21"/>
      <w:szCs w:val="21"/>
    </w:rPr>
  </w:style>
  <w:style w:type="character" w:customStyle="1" w:styleId="171">
    <w:name w:val="Char Char9"/>
    <w:qFormat/>
    <w:uiPriority w:val="0"/>
    <w:rPr>
      <w:kern w:val="2"/>
      <w:sz w:val="18"/>
      <w:szCs w:val="18"/>
    </w:rPr>
  </w:style>
  <w:style w:type="character" w:customStyle="1" w:styleId="172">
    <w:name w:val="MM Topic 3 Char Char"/>
    <w:qFormat/>
    <w:uiPriority w:val="0"/>
    <w:rPr>
      <w:rFonts w:hint="eastAsia" w:ascii="宋体" w:hAnsi="宋体" w:eastAsia="宋体"/>
      <w:b/>
      <w:bCs/>
      <w:color w:val="000000"/>
      <w:kern w:val="2"/>
      <w:sz w:val="28"/>
      <w:szCs w:val="28"/>
    </w:rPr>
  </w:style>
  <w:style w:type="character" w:customStyle="1" w:styleId="173">
    <w:name w:val="样式 小四2 Char Char"/>
    <w:qFormat/>
    <w:uiPriority w:val="0"/>
    <w:rPr>
      <w:rFonts w:hint="eastAsia" w:ascii="宋体" w:hAnsi="宋体" w:eastAsia="宋体"/>
      <w:kern w:val="2"/>
      <w:sz w:val="24"/>
      <w:szCs w:val="24"/>
    </w:rPr>
  </w:style>
  <w:style w:type="character" w:customStyle="1" w:styleId="174">
    <w:name w:val="Char Char7"/>
    <w:qFormat/>
    <w:uiPriority w:val="0"/>
    <w:rPr>
      <w:kern w:val="2"/>
      <w:sz w:val="18"/>
      <w:szCs w:val="18"/>
    </w:rPr>
  </w:style>
  <w:style w:type="character" w:customStyle="1" w:styleId="175">
    <w:name w:val="Char Char3"/>
    <w:qFormat/>
    <w:uiPriority w:val="0"/>
    <w:rPr>
      <w:b/>
      <w:bCs/>
      <w:kern w:val="2"/>
      <w:sz w:val="18"/>
      <w:szCs w:val="18"/>
    </w:rPr>
  </w:style>
  <w:style w:type="character" w:customStyle="1" w:styleId="176">
    <w:name w:val="apple-style-span"/>
    <w:basedOn w:val="45"/>
    <w:qFormat/>
    <w:uiPriority w:val="0"/>
  </w:style>
  <w:style w:type="character" w:customStyle="1" w:styleId="177">
    <w:name w:val="Char Char4"/>
    <w:qFormat/>
    <w:uiPriority w:val="0"/>
    <w:rPr>
      <w:kern w:val="2"/>
      <w:sz w:val="18"/>
      <w:szCs w:val="18"/>
    </w:rPr>
  </w:style>
  <w:style w:type="character" w:customStyle="1" w:styleId="178">
    <w:name w:val="副标题 Char1"/>
    <w:qFormat/>
    <w:uiPriority w:val="11"/>
    <w:rPr>
      <w:rFonts w:hint="default" w:ascii="Cambria" w:hAnsi="Cambria" w:cs="Times New Roman"/>
      <w:b/>
      <w:bCs/>
      <w:kern w:val="28"/>
      <w:sz w:val="32"/>
      <w:szCs w:val="32"/>
    </w:rPr>
  </w:style>
  <w:style w:type="character" w:customStyle="1" w:styleId="179">
    <w:name w:val="small"/>
    <w:basedOn w:val="45"/>
    <w:qFormat/>
    <w:uiPriority w:val="0"/>
  </w:style>
  <w:style w:type="character" w:customStyle="1" w:styleId="180">
    <w:name w:val="Legal Level 1.1.1. Char"/>
    <w:qFormat/>
    <w:uiPriority w:val="0"/>
    <w:rPr>
      <w:rFonts w:hint="default" w:ascii="Arial" w:hAnsi="Arial" w:eastAsia="黑体" w:cs="Arial"/>
      <w:kern w:val="2"/>
      <w:sz w:val="24"/>
      <w:szCs w:val="24"/>
    </w:rPr>
  </w:style>
  <w:style w:type="character" w:customStyle="1" w:styleId="181">
    <w:name w:val="文章正文 Char Char"/>
    <w:qFormat/>
    <w:uiPriority w:val="0"/>
    <w:rPr>
      <w:rFonts w:hint="eastAsia" w:ascii="宋体" w:hAnsi="宋体" w:eastAsia="宋体"/>
      <w:kern w:val="2"/>
      <w:sz w:val="24"/>
      <w:szCs w:val="24"/>
      <w:lang w:val="en-US" w:eastAsia="zh-CN" w:bidi="ar-SA"/>
    </w:rPr>
  </w:style>
  <w:style w:type="character" w:customStyle="1" w:styleId="182">
    <w:name w:val="正文文本 Char1"/>
    <w:qFormat/>
    <w:uiPriority w:val="0"/>
    <w:rPr>
      <w:rFonts w:hint="default" w:ascii="Times New Roman" w:hAnsi="Times New Roman" w:eastAsia="宋体" w:cs="Times New Roman"/>
      <w:kern w:val="0"/>
      <w:sz w:val="18"/>
      <w:szCs w:val="18"/>
    </w:rPr>
  </w:style>
  <w:style w:type="character" w:customStyle="1" w:styleId="183">
    <w:name w:val="正文文本 字符"/>
    <w:basedOn w:val="45"/>
    <w:link w:val="2"/>
    <w:qFormat/>
    <w:locked/>
    <w:uiPriority w:val="0"/>
    <w:rPr>
      <w:rFonts w:ascii="Times New Roman" w:hAnsi="Times New Roman" w:eastAsia="宋体" w:cs="Times New Roman"/>
      <w:kern w:val="0"/>
      <w:sz w:val="20"/>
      <w:szCs w:val="20"/>
    </w:rPr>
  </w:style>
  <w:style w:type="character" w:customStyle="1" w:styleId="184">
    <w:name w:val="CD正文 Char Char"/>
    <w:qFormat/>
    <w:uiPriority w:val="0"/>
    <w:rPr>
      <w:rFonts w:hint="eastAsia" w:ascii="宋体" w:hAnsi="宋体" w:eastAsia="宋体"/>
      <w:kern w:val="2"/>
      <w:sz w:val="30"/>
      <w:szCs w:val="28"/>
      <w:lang w:val="en-US" w:eastAsia="zh-CN" w:bidi="ar-SA"/>
    </w:rPr>
  </w:style>
  <w:style w:type="character" w:customStyle="1" w:styleId="185">
    <w:name w:val="Char Char2"/>
    <w:qFormat/>
    <w:uiPriority w:val="0"/>
    <w:rPr>
      <w:kern w:val="2"/>
      <w:sz w:val="18"/>
      <w:szCs w:val="18"/>
    </w:rPr>
  </w:style>
  <w:style w:type="character" w:customStyle="1" w:styleId="186">
    <w:name w:val="表正文 Char1"/>
    <w:qFormat/>
    <w:uiPriority w:val="0"/>
    <w:rPr>
      <w:rFonts w:hint="eastAsia" w:ascii="宋体" w:hAnsi="宋体" w:eastAsia="宋体"/>
      <w:kern w:val="2"/>
      <w:sz w:val="21"/>
      <w:lang w:val="en-US" w:eastAsia="zh-CN" w:bidi="ar-SA"/>
    </w:rPr>
  </w:style>
  <w:style w:type="character" w:customStyle="1" w:styleId="187">
    <w:name w:val="纯文本 字符"/>
    <w:link w:val="22"/>
    <w:qFormat/>
    <w:locked/>
    <w:uiPriority w:val="99"/>
    <w:rPr>
      <w:rFonts w:ascii="宋体" w:hAnsi="Courier New" w:eastAsia="宋体" w:cs="Times New Roman"/>
      <w:kern w:val="0"/>
      <w:sz w:val="20"/>
      <w:szCs w:val="18"/>
    </w:rPr>
  </w:style>
  <w:style w:type="character" w:customStyle="1" w:styleId="188">
    <w:name w:val="Char Char Char"/>
    <w:qFormat/>
    <w:uiPriority w:val="0"/>
    <w:rPr>
      <w:rFonts w:hint="eastAsia" w:ascii="宋体" w:hAnsi="宋体" w:eastAsia="宋体"/>
      <w:kern w:val="2"/>
      <w:sz w:val="18"/>
      <w:szCs w:val="18"/>
      <w:lang w:val="en-US" w:eastAsia="zh-CN" w:bidi="ar-SA"/>
    </w:rPr>
  </w:style>
  <w:style w:type="character" w:customStyle="1" w:styleId="189">
    <w:name w:val="Char Char6"/>
    <w:qFormat/>
    <w:uiPriority w:val="0"/>
    <w:rPr>
      <w:kern w:val="2"/>
      <w:sz w:val="21"/>
      <w:szCs w:val="24"/>
    </w:rPr>
  </w:style>
  <w:style w:type="character" w:customStyle="1" w:styleId="190">
    <w:name w:val="正文文本缩进 2 Char1"/>
    <w:basedOn w:val="45"/>
    <w:semiHidden/>
    <w:qFormat/>
    <w:uiPriority w:val="99"/>
    <w:rPr>
      <w:rFonts w:hint="default" w:ascii="Calibri" w:hAnsi="Calibri" w:cs="Calibri"/>
      <w:kern w:val="2"/>
      <w:sz w:val="21"/>
      <w:szCs w:val="22"/>
    </w:rPr>
  </w:style>
  <w:style w:type="character" w:customStyle="1" w:styleId="191">
    <w:name w:val="正文文本缩进 Char1"/>
    <w:basedOn w:val="45"/>
    <w:semiHidden/>
    <w:qFormat/>
    <w:uiPriority w:val="99"/>
    <w:rPr>
      <w:rFonts w:hint="default" w:ascii="Calibri" w:hAnsi="Calibri" w:cs="Calibri"/>
      <w:kern w:val="2"/>
      <w:sz w:val="21"/>
      <w:szCs w:val="22"/>
    </w:rPr>
  </w:style>
  <w:style w:type="character" w:customStyle="1" w:styleId="192">
    <w:name w:val="页脚 Char1"/>
    <w:basedOn w:val="45"/>
    <w:semiHidden/>
    <w:qFormat/>
    <w:uiPriority w:val="99"/>
    <w:rPr>
      <w:rFonts w:hint="default" w:ascii="Calibri" w:hAnsi="Calibri" w:cs="Calibri"/>
      <w:kern w:val="2"/>
      <w:sz w:val="18"/>
      <w:szCs w:val="18"/>
    </w:rPr>
  </w:style>
  <w:style w:type="character" w:customStyle="1" w:styleId="193">
    <w:name w:val="正文文本 3 Char1"/>
    <w:basedOn w:val="45"/>
    <w:semiHidden/>
    <w:qFormat/>
    <w:uiPriority w:val="99"/>
    <w:rPr>
      <w:rFonts w:hint="default" w:ascii="Calibri" w:hAnsi="Calibri" w:cs="Calibri"/>
      <w:kern w:val="2"/>
      <w:sz w:val="16"/>
      <w:szCs w:val="16"/>
    </w:rPr>
  </w:style>
  <w:style w:type="character" w:customStyle="1" w:styleId="194">
    <w:name w:val="正文文本缩进 3 Char1"/>
    <w:basedOn w:val="45"/>
    <w:semiHidden/>
    <w:qFormat/>
    <w:uiPriority w:val="99"/>
    <w:rPr>
      <w:rFonts w:hint="default" w:ascii="Calibri" w:hAnsi="Calibri" w:cs="Calibri"/>
      <w:kern w:val="2"/>
      <w:sz w:val="16"/>
      <w:szCs w:val="16"/>
    </w:rPr>
  </w:style>
  <w:style w:type="character" w:customStyle="1" w:styleId="195">
    <w:name w:val="批注框文本 Char1"/>
    <w:basedOn w:val="45"/>
    <w:semiHidden/>
    <w:qFormat/>
    <w:uiPriority w:val="99"/>
    <w:rPr>
      <w:rFonts w:hint="default" w:ascii="Calibri" w:hAnsi="Calibri" w:cs="Calibri"/>
      <w:kern w:val="2"/>
      <w:sz w:val="18"/>
      <w:szCs w:val="18"/>
    </w:rPr>
  </w:style>
  <w:style w:type="character" w:customStyle="1" w:styleId="196">
    <w:name w:val="批注文字 字符"/>
    <w:basedOn w:val="45"/>
    <w:link w:val="16"/>
    <w:qFormat/>
    <w:locked/>
    <w:uiPriority w:val="99"/>
    <w:rPr>
      <w:rFonts w:ascii="Calibri" w:hAnsi="Calibri" w:eastAsia="宋体" w:cs="Times New Roman"/>
    </w:rPr>
  </w:style>
  <w:style w:type="character" w:customStyle="1" w:styleId="197">
    <w:name w:val="文档结构图 Char1"/>
    <w:basedOn w:val="45"/>
    <w:semiHidden/>
    <w:qFormat/>
    <w:uiPriority w:val="99"/>
    <w:rPr>
      <w:rFonts w:hint="eastAsia" w:ascii="宋体" w:hAnsi="Calibri" w:eastAsia="宋体"/>
      <w:kern w:val="2"/>
      <w:sz w:val="18"/>
      <w:szCs w:val="18"/>
    </w:rPr>
  </w:style>
  <w:style w:type="character" w:customStyle="1" w:styleId="198">
    <w:name w:val="页眉 Char1"/>
    <w:basedOn w:val="45"/>
    <w:semiHidden/>
    <w:qFormat/>
    <w:uiPriority w:val="99"/>
    <w:rPr>
      <w:rFonts w:hint="default" w:ascii="Calibri" w:hAnsi="Calibri" w:cs="Calibri"/>
      <w:kern w:val="2"/>
      <w:sz w:val="18"/>
      <w:szCs w:val="18"/>
    </w:rPr>
  </w:style>
  <w:style w:type="character" w:customStyle="1" w:styleId="199">
    <w:name w:val="日期 Char1"/>
    <w:basedOn w:val="45"/>
    <w:semiHidden/>
    <w:qFormat/>
    <w:uiPriority w:val="99"/>
    <w:rPr>
      <w:rFonts w:hint="default" w:ascii="Calibri" w:hAnsi="Calibri" w:cs="Calibri"/>
      <w:kern w:val="2"/>
      <w:sz w:val="21"/>
      <w:szCs w:val="22"/>
    </w:rPr>
  </w:style>
  <w:style w:type="character" w:customStyle="1" w:styleId="200">
    <w:name w:val="正文文本 Char3"/>
    <w:basedOn w:val="45"/>
    <w:semiHidden/>
    <w:qFormat/>
    <w:uiPriority w:val="99"/>
    <w:rPr>
      <w:rFonts w:hint="default" w:ascii="Calibri" w:hAnsi="Calibri" w:cs="Calibri"/>
      <w:kern w:val="2"/>
      <w:sz w:val="21"/>
      <w:szCs w:val="22"/>
    </w:rPr>
  </w:style>
  <w:style w:type="character" w:customStyle="1" w:styleId="201">
    <w:name w:val="纯文本 Char2"/>
    <w:basedOn w:val="45"/>
    <w:semiHidden/>
    <w:qFormat/>
    <w:uiPriority w:val="99"/>
    <w:rPr>
      <w:rFonts w:hint="eastAsia" w:ascii="宋体" w:hAnsi="Courier New" w:eastAsia="宋体" w:cs="Courier New"/>
      <w:kern w:val="2"/>
      <w:sz w:val="21"/>
      <w:szCs w:val="21"/>
    </w:rPr>
  </w:style>
  <w:style w:type="character" w:customStyle="1" w:styleId="202">
    <w:name w:val="正文首行缩进 Char1"/>
    <w:basedOn w:val="200"/>
    <w:semiHidden/>
    <w:qFormat/>
    <w:uiPriority w:val="99"/>
    <w:rPr>
      <w:rFonts w:hint="default" w:ascii="Calibri" w:hAnsi="Calibri" w:cs="Calibri"/>
      <w:kern w:val="2"/>
      <w:sz w:val="21"/>
      <w:szCs w:val="22"/>
    </w:rPr>
  </w:style>
  <w:style w:type="character" w:customStyle="1" w:styleId="203">
    <w:name w:val="正文文本 2 Char1"/>
    <w:basedOn w:val="45"/>
    <w:semiHidden/>
    <w:qFormat/>
    <w:uiPriority w:val="99"/>
    <w:rPr>
      <w:rFonts w:hint="default" w:ascii="Calibri" w:hAnsi="Calibri" w:cs="Calibri"/>
      <w:kern w:val="2"/>
      <w:sz w:val="21"/>
      <w:szCs w:val="22"/>
    </w:rPr>
  </w:style>
  <w:style w:type="character" w:customStyle="1" w:styleId="204">
    <w:name w:val="副标题 Char2"/>
    <w:basedOn w:val="45"/>
    <w:qFormat/>
    <w:uiPriority w:val="11"/>
    <w:rPr>
      <w:rFonts w:hint="default" w:asciiTheme="majorHAnsi" w:hAnsiTheme="majorHAnsi" w:cstheme="majorBidi"/>
      <w:b/>
      <w:bCs/>
      <w:kern w:val="28"/>
      <w:sz w:val="32"/>
      <w:szCs w:val="32"/>
    </w:rPr>
  </w:style>
  <w:style w:type="character" w:customStyle="1" w:styleId="205">
    <w:name w:val="正文缩进 Char"/>
    <w:qFormat/>
    <w:uiPriority w:val="0"/>
    <w:rPr>
      <w:kern w:val="2"/>
      <w:sz w:val="21"/>
    </w:rPr>
  </w:style>
  <w:style w:type="paragraph" w:customStyle="1" w:styleId="206">
    <w:name w:val="CD正文"/>
    <w:basedOn w:val="117"/>
    <w:qFormat/>
    <w:uiPriority w:val="0"/>
  </w:style>
  <w:style w:type="paragraph" w:customStyle="1" w:styleId="207">
    <w:name w:val="项目符号：一级"/>
    <w:basedOn w:val="126"/>
    <w:next w:val="126"/>
    <w:qFormat/>
    <w:uiPriority w:val="0"/>
  </w:style>
  <w:style w:type="paragraph" w:customStyle="1" w:styleId="208">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209">
    <w:name w:val="HTML 预设格式 字符"/>
    <w:basedOn w:val="45"/>
    <w:link w:val="38"/>
    <w:qFormat/>
    <w:uiPriority w:val="0"/>
    <w:rPr>
      <w:rFonts w:ascii="Arial" w:hAnsi="Arial" w:eastAsia="宋体" w:cs="Arial"/>
      <w:kern w:val="0"/>
      <w:sz w:val="24"/>
      <w:szCs w:val="28"/>
    </w:rPr>
  </w:style>
  <w:style w:type="paragraph" w:customStyle="1" w:styleId="210">
    <w:name w:val="修订1"/>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1">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2">
    <w:name w:val="Normal_59"/>
    <w:qFormat/>
    <w:uiPriority w:val="0"/>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13">
    <w:name w:val="Char1 Char Char Char Char Char Char_0"/>
    <w:basedOn w:val="1"/>
    <w:qFormat/>
    <w:uiPriority w:val="0"/>
    <w:rPr>
      <w:rFonts w:ascii="Tahoma" w:hAnsi="Tahoma"/>
      <w:sz w:val="24"/>
      <w:szCs w:val="20"/>
    </w:rPr>
  </w:style>
  <w:style w:type="paragraph" w:customStyle="1" w:styleId="214">
    <w:name w:val="列出段落11"/>
    <w:basedOn w:val="1"/>
    <w:qFormat/>
    <w:uiPriority w:val="99"/>
    <w:pPr>
      <w:ind w:firstLine="420" w:firstLineChars="200"/>
    </w:pPr>
    <w:rPr>
      <w:rFonts w:ascii="Times New Roman" w:hAnsi="Times New Roman"/>
    </w:rPr>
  </w:style>
  <w:style w:type="paragraph" w:customStyle="1" w:styleId="215">
    <w:name w:val="样式 标题 2 + Times New Roman 四号 非加粗 段前: 5 磅 段后: 0 磅 行距: 固定值 20..."/>
    <w:basedOn w:val="4"/>
    <w:semiHidden/>
    <w:qFormat/>
    <w:uiPriority w:val="0"/>
    <w:pPr>
      <w:spacing w:before="100" w:line="400" w:lineRule="exact"/>
      <w:jc w:val="both"/>
    </w:pPr>
    <w:rPr>
      <w:rFonts w:ascii="Times New Roman" w:hAnsi="Times New Roman" w:eastAsia="黑体"/>
      <w:b w:val="0"/>
      <w:szCs w:val="32"/>
    </w:rPr>
  </w:style>
  <w:style w:type="paragraph" w:customStyle="1" w:styleId="216">
    <w:name w:val="列出段落111"/>
    <w:basedOn w:val="1"/>
    <w:semiHidden/>
    <w:qFormat/>
    <w:uiPriority w:val="99"/>
    <w:pPr>
      <w:ind w:firstLine="420" w:firstLineChars="200"/>
    </w:pPr>
    <w:rPr>
      <w:rFonts w:ascii="Times New Roman" w:hAnsi="Times New Roman"/>
    </w:rPr>
  </w:style>
  <w:style w:type="character" w:customStyle="1" w:styleId="21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18">
    <w:name w:val="p121"/>
    <w:qFormat/>
    <w:uiPriority w:val="0"/>
    <w:rPr>
      <w:sz w:val="24"/>
    </w:rPr>
  </w:style>
  <w:style w:type="character" w:customStyle="1" w:styleId="219">
    <w:name w:val="列出段落 Char1"/>
    <w:qFormat/>
    <w:locked/>
    <w:uiPriority w:val="0"/>
    <w:rPr>
      <w:rFonts w:hint="default" w:ascii="Calibri" w:hAnsi="Calibri" w:cs="Calibri"/>
    </w:rPr>
  </w:style>
  <w:style w:type="paragraph" w:customStyle="1" w:styleId="220">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1">
    <w:name w:val="列表段落1"/>
    <w:basedOn w:val="1"/>
    <w:qFormat/>
    <w:uiPriority w:val="99"/>
    <w:pPr>
      <w:ind w:firstLine="420" w:firstLineChars="200"/>
    </w:pPr>
    <w:rPr>
      <w:rFonts w:ascii="宋体" w:hAnsi="宋体" w:cs="宋体"/>
      <w:sz w:val="28"/>
      <w:szCs w:val="28"/>
    </w:rPr>
  </w:style>
  <w:style w:type="character" w:customStyle="1" w:styleId="222">
    <w:name w:val="NormalCharacter"/>
    <w:qFormat/>
    <w:uiPriority w:val="0"/>
  </w:style>
  <w:style w:type="paragraph" w:customStyle="1" w:styleId="223">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4">
    <w:name w:val="AnnotationReference"/>
    <w:qFormat/>
    <w:uiPriority w:val="0"/>
    <w:rPr>
      <w:sz w:val="21"/>
      <w:szCs w:val="21"/>
    </w:rPr>
  </w:style>
  <w:style w:type="paragraph" w:customStyle="1" w:styleId="225">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6">
    <w:name w:val="Heading3"/>
    <w:basedOn w:val="1"/>
    <w:next w:val="1"/>
    <w:link w:val="227"/>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7">
    <w:name w:val="UserStyle_4"/>
    <w:link w:val="226"/>
    <w:qFormat/>
    <w:uiPriority w:val="0"/>
    <w:rPr>
      <w:rFonts w:ascii="宋体" w:hAnsi="宋体" w:eastAsia="宋体" w:cs="宋体"/>
      <w:b/>
      <w:bCs/>
      <w:kern w:val="0"/>
      <w:sz w:val="27"/>
      <w:szCs w:val="27"/>
    </w:rPr>
  </w:style>
  <w:style w:type="character" w:customStyle="1" w:styleId="228">
    <w:name w:val="样式 Char Char"/>
    <w:link w:val="121"/>
    <w:qFormat/>
    <w:locked/>
    <w:uiPriority w:val="0"/>
    <w:rPr>
      <w:rFonts w:ascii="宋体" w:hAnsi="宋体" w:eastAsia="宋体" w:cs="宋体"/>
      <w:kern w:val="0"/>
      <w:sz w:val="24"/>
      <w:szCs w:val="24"/>
    </w:rPr>
  </w:style>
  <w:style w:type="paragraph" w:customStyle="1" w:styleId="229">
    <w:name w:val="_Style 48"/>
    <w:basedOn w:val="1"/>
    <w:qFormat/>
    <w:uiPriority w:val="0"/>
    <w:pPr>
      <w:ind w:firstLine="420" w:firstLineChars="200"/>
    </w:pPr>
    <w:rPr>
      <w:rFonts w:ascii="宋体" w:hAnsi="宋体" w:cs="宋体"/>
      <w:sz w:val="28"/>
      <w:szCs w:val="28"/>
    </w:rPr>
  </w:style>
  <w:style w:type="character" w:customStyle="1" w:styleId="230">
    <w:name w:val="font61"/>
    <w:basedOn w:val="45"/>
    <w:qFormat/>
    <w:uiPriority w:val="0"/>
    <w:rPr>
      <w:rFonts w:hint="eastAsia" w:ascii="宋体" w:hAnsi="宋体" w:eastAsia="宋体" w:cs="宋体"/>
      <w:color w:val="000000"/>
      <w:sz w:val="18"/>
      <w:szCs w:val="18"/>
      <w:u w:val="none"/>
    </w:rPr>
  </w:style>
  <w:style w:type="character" w:customStyle="1" w:styleId="231">
    <w:name w:val="font91"/>
    <w:basedOn w:val="45"/>
    <w:qFormat/>
    <w:uiPriority w:val="0"/>
    <w:rPr>
      <w:rFonts w:hint="eastAsia" w:ascii="宋体" w:hAnsi="宋体" w:eastAsia="宋体" w:cs="宋体"/>
      <w:color w:val="000000"/>
      <w:sz w:val="18"/>
      <w:szCs w:val="18"/>
      <w:u w:val="none"/>
    </w:rPr>
  </w:style>
  <w:style w:type="character" w:customStyle="1" w:styleId="232">
    <w:name w:val="font41"/>
    <w:basedOn w:val="45"/>
    <w:qFormat/>
    <w:uiPriority w:val="0"/>
    <w:rPr>
      <w:rFonts w:hint="eastAsia" w:ascii="宋体" w:hAnsi="宋体" w:eastAsia="宋体" w:cs="宋体"/>
      <w:color w:val="000000"/>
      <w:sz w:val="21"/>
      <w:szCs w:val="21"/>
      <w:u w:val="none"/>
    </w:rPr>
  </w:style>
  <w:style w:type="character" w:customStyle="1" w:styleId="233">
    <w:name w:val="font31"/>
    <w:basedOn w:val="45"/>
    <w:qFormat/>
    <w:uiPriority w:val="0"/>
    <w:rPr>
      <w:rFonts w:hint="eastAsia" w:ascii="宋体" w:hAnsi="宋体" w:eastAsia="宋体" w:cs="宋体"/>
      <w:b/>
      <w:color w:val="000000"/>
      <w:sz w:val="18"/>
      <w:szCs w:val="18"/>
      <w:u w:val="none"/>
    </w:rPr>
  </w:style>
  <w:style w:type="character" w:customStyle="1" w:styleId="234">
    <w:name w:val="font101"/>
    <w:basedOn w:val="45"/>
    <w:qFormat/>
    <w:uiPriority w:val="0"/>
    <w:rPr>
      <w:rFonts w:hint="eastAsia" w:ascii="宋体" w:hAnsi="宋体" w:eastAsia="宋体" w:cs="宋体"/>
      <w:color w:val="FF0000"/>
      <w:sz w:val="18"/>
      <w:szCs w:val="18"/>
      <w:u w:val="none"/>
    </w:rPr>
  </w:style>
  <w:style w:type="character" w:customStyle="1" w:styleId="235">
    <w:name w:val="font51"/>
    <w:basedOn w:val="45"/>
    <w:qFormat/>
    <w:uiPriority w:val="0"/>
    <w:rPr>
      <w:rFonts w:ascii="Calibri" w:hAnsi="Calibri" w:cs="Calibri"/>
      <w:color w:val="000000"/>
      <w:sz w:val="21"/>
      <w:szCs w:val="21"/>
      <w:u w:val="none"/>
    </w:rPr>
  </w:style>
  <w:style w:type="paragraph" w:customStyle="1" w:styleId="236">
    <w:name w:val="Table Paragraph"/>
    <w:basedOn w:val="1"/>
    <w:qFormat/>
    <w:uiPriority w:val="1"/>
    <w:pPr>
      <w:ind w:firstLine="560" w:firstLineChars="200"/>
    </w:pPr>
    <w:rPr>
      <w:rFonts w:ascii="宋体" w:hAnsi="宋体" w:cs="宋体"/>
      <w:sz w:val="28"/>
      <w:szCs w:val="2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AFD546-4EAE-4183-BBB2-0A4AB21A8CF2}">
  <ds:schemaRefs/>
</ds:datastoreItem>
</file>

<file path=docProps/app.xml><?xml version="1.0" encoding="utf-8"?>
<Properties xmlns="http://schemas.openxmlformats.org/officeDocument/2006/extended-properties" xmlns:vt="http://schemas.openxmlformats.org/officeDocument/2006/docPropsVTypes">
  <Template>Normal</Template>
  <Pages>1</Pages>
  <Words>8404</Words>
  <Characters>47903</Characters>
  <Lines>399</Lines>
  <Paragraphs>112</Paragraphs>
  <TotalTime>2</TotalTime>
  <ScaleCrop>false</ScaleCrop>
  <LinksUpToDate>false</LinksUpToDate>
  <CharactersWithSpaces>56195</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2021-06-29T06:31:00Z</dcterms:created>
  <dc:creator>罗川</dc:creator>
  <cp:lastModifiedBy>郑维波</cp:lastModifiedBy>
  <cp:lastPrinted>2021-06-29T06:32:00Z</cp:lastPrinted>
  <dcterms:modified xsi:type="dcterms:W3CDTF">2021-08-10T01:18:36Z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