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4" w:leftChars="336" w:hanging="1418" w:hangingChars="443"/>
        <w:rPr>
          <w:rFonts w:ascii="华文中宋" w:hAnsi="华文中宋" w:eastAsia="华文中宋"/>
          <w:sz w:val="32"/>
          <w:szCs w:val="32"/>
        </w:rPr>
      </w:pPr>
      <w:r>
        <w:rPr>
          <w:rFonts w:hint="eastAsia" w:ascii="华文中宋" w:hAnsi="华文中宋" w:eastAsia="华文中宋"/>
          <w:sz w:val="32"/>
          <w:szCs w:val="32"/>
        </w:rPr>
        <w:t>项目名称：都江堰市中医医院2021年第一批医疗设备采购项目</w:t>
      </w:r>
    </w:p>
    <w:p>
      <w:pPr>
        <w:spacing w:line="360" w:lineRule="auto"/>
        <w:ind w:left="2409" w:leftChars="338" w:hanging="1699" w:hangingChars="531"/>
        <w:rPr>
          <w:rFonts w:ascii="华文中宋" w:hAnsi="华文中宋" w:eastAsia="华文中宋"/>
          <w:sz w:val="32"/>
          <w:szCs w:val="32"/>
        </w:rPr>
      </w:pPr>
      <w:r>
        <w:rPr>
          <w:rFonts w:hint="eastAsia" w:ascii="华文中宋" w:hAnsi="华文中宋" w:eastAsia="华文中宋"/>
          <w:sz w:val="32"/>
          <w:szCs w:val="32"/>
        </w:rPr>
        <w:t>项目编号：JY3202</w:t>
      </w:r>
      <w:r>
        <w:rPr>
          <w:rFonts w:hint="eastAsia" w:ascii="华文中宋" w:hAnsi="华文中宋" w:eastAsia="华文中宋"/>
          <w:sz w:val="32"/>
          <w:szCs w:val="32"/>
          <w:u w:val="single"/>
        </w:rPr>
        <w:t>10099</w:t>
      </w:r>
      <w:r>
        <w:rPr>
          <w:rFonts w:hint="eastAsia" w:ascii="华文中宋" w:hAnsi="华文中宋" w:eastAsia="华文中宋"/>
          <w:sz w:val="32"/>
          <w:szCs w:val="32"/>
        </w:rPr>
        <w:t>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都江堰市中医医院</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都江堰市公共资源交易服务中心共同编制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二〇二一年十一月</w:t>
      </w:r>
    </w:p>
    <w:p>
      <w:pPr>
        <w:spacing w:line="360" w:lineRule="auto"/>
        <w:jc w:val="center"/>
        <w:rPr>
          <w:rFonts w:ascii="华文中宋" w:hAnsi="华文中宋" w:eastAsia="华文中宋"/>
          <w:sz w:val="32"/>
          <w:szCs w:val="32"/>
        </w:rPr>
      </w:pPr>
    </w:p>
    <w:p>
      <w:pPr>
        <w:pStyle w:val="2"/>
        <w:rPr>
          <w:rFonts w:ascii="华文中宋" w:hAnsi="华文中宋" w:eastAsia="华文中宋"/>
          <w:sz w:val="32"/>
          <w:szCs w:val="32"/>
        </w:rPr>
      </w:pPr>
    </w:p>
    <w:p/>
    <w:p>
      <w:pPr>
        <w:pStyle w:val="2"/>
      </w:pPr>
    </w:p>
    <w:p>
      <w:pPr>
        <w:spacing w:line="360" w:lineRule="auto"/>
        <w:jc w:val="center"/>
        <w:rPr>
          <w:rFonts w:ascii="宋体" w:hAnsi="宋体"/>
          <w:b/>
          <w:sz w:val="36"/>
        </w:rPr>
      </w:pPr>
      <w:bookmarkStart w:id="0" w:name="_Toc148505181"/>
      <w:bookmarkStart w:id="1" w:name="_Toc101328520"/>
      <w:bookmarkStart w:id="2" w:name="_Toc101247312"/>
      <w:bookmarkStart w:id="3" w:name="_Toc101234248"/>
      <w:r>
        <w:rPr>
          <w:rFonts w:hint="eastAsia" w:ascii="宋体" w:hAnsi="宋体"/>
          <w:b/>
          <w:sz w:val="32"/>
          <w:szCs w:val="32"/>
        </w:rPr>
        <w:t>目 录</w:t>
      </w:r>
    </w:p>
    <w:p>
      <w:pPr>
        <w:pStyle w:val="32"/>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"_Toc78191606" </w:instrText>
      </w:r>
      <w:r>
        <w:fldChar w:fldCharType="separate"/>
      </w:r>
      <w:r>
        <w:rPr>
          <w:rStyle w:val="44"/>
          <w:rFonts w:ascii="Times New Roman" w:hAnsi="Times New Roman"/>
          <w:b/>
          <w:color w:val="auto"/>
          <w:spacing w:val="-20"/>
          <w:kern w:val="44"/>
        </w:rPr>
        <w:t>第1章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投标邀请</w:t>
      </w:r>
      <w:r>
        <w:tab/>
      </w:r>
      <w:r>
        <w:fldChar w:fldCharType="begin"/>
      </w:r>
      <w:r>
        <w:instrText xml:space="preserve"> PAGEREF _Toc78191606 \h </w:instrText>
      </w:r>
      <w:r>
        <w:fldChar w:fldCharType="separate"/>
      </w:r>
      <w:r>
        <w:t>3</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"_Toc78191607" </w:instrText>
      </w:r>
      <w:r>
        <w:fldChar w:fldCharType="separate"/>
      </w:r>
      <w:r>
        <w:rPr>
          <w:rStyle w:val="44"/>
          <w:rFonts w:ascii="Times New Roman" w:hAnsi="Times New Roman"/>
          <w:b/>
          <w:color w:val="auto"/>
          <w:spacing w:val="-20"/>
          <w:kern w:val="44"/>
        </w:rPr>
        <w:t>第2章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投标人须知</w:t>
      </w:r>
      <w:r>
        <w:tab/>
      </w:r>
      <w:r>
        <w:fldChar w:fldCharType="begin"/>
      </w:r>
      <w:r>
        <w:instrText xml:space="preserve"> PAGEREF _Toc78191607 \h </w:instrText>
      </w:r>
      <w:r>
        <w:fldChar w:fldCharType="separate"/>
      </w:r>
      <w:r>
        <w:t>10</w:t>
      </w:r>
      <w:r>
        <w:fldChar w:fldCharType="end"/>
      </w:r>
      <w:r>
        <w:fldChar w:fldCharType="end"/>
      </w:r>
    </w:p>
    <w:p>
      <w:pPr>
        <w:pStyle w:val="32"/>
        <w:rPr>
          <w:rFonts w:asciiTheme="minorHAnsi" w:hAnsiTheme="minorHAnsi" w:eastAsiaTheme="minorEastAsia" w:cstheme="minorBidi"/>
          <w:sz w:val="21"/>
          <w:szCs w:val="22"/>
        </w:rPr>
      </w:pPr>
      <w:r>
        <w:fldChar w:fldCharType="begin"/>
      </w:r>
      <w:r>
        <w:instrText xml:space="preserve"> HYPERLINK \l "_Toc78191617" </w:instrText>
      </w:r>
      <w:r>
        <w:fldChar w:fldCharType="separate"/>
      </w:r>
      <w:r>
        <w:rPr>
          <w:rStyle w:val="44"/>
          <w:rFonts w:ascii="Times New Roman" w:hAnsi="Times New Roman"/>
          <w:b/>
          <w:color w:val="auto"/>
          <w:spacing w:val="-20"/>
          <w:kern w:val="44"/>
        </w:rPr>
        <w:t>第3章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投标文件格式</w:t>
      </w:r>
      <w:r>
        <w:tab/>
      </w:r>
      <w:r>
        <w:fldChar w:fldCharType="begin"/>
      </w:r>
      <w:r>
        <w:instrText xml:space="preserve"> PAGEREF _Toc78191617 \h </w:instrText>
      </w:r>
      <w:r>
        <w:fldChar w:fldCharType="separate"/>
      </w:r>
      <w:r>
        <w:t>32</w:t>
      </w:r>
      <w:r>
        <w:fldChar w:fldCharType="end"/>
      </w:r>
      <w:r>
        <w:fldChar w:fldCharType="end"/>
      </w:r>
    </w:p>
    <w:p>
      <w:pPr>
        <w:pStyle w:val="32"/>
        <w:rPr>
          <w:rFonts w:asciiTheme="minorHAnsi" w:hAnsiTheme="minorHAnsi" w:eastAsiaTheme="minorEastAsia" w:cstheme="minorBidi"/>
          <w:sz w:val="21"/>
          <w:szCs w:val="22"/>
        </w:rPr>
      </w:pPr>
      <w:r>
        <w:fldChar w:fldCharType="begin"/>
      </w:r>
      <w:r>
        <w:instrText xml:space="preserve"> HYPERLINK \l "_Toc78191622" </w:instrText>
      </w:r>
      <w:r>
        <w:fldChar w:fldCharType="separate"/>
      </w:r>
      <w:r>
        <w:rPr>
          <w:rStyle w:val="44"/>
          <w:rFonts w:ascii="Times New Roman" w:hAnsi="Times New Roman"/>
          <w:b/>
          <w:color w:val="auto"/>
          <w:spacing w:val="-20"/>
          <w:kern w:val="44"/>
        </w:rPr>
        <w:t>第4章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招标项目技术、服务、商务及其他要求</w:t>
      </w:r>
      <w:r>
        <w:tab/>
      </w:r>
      <w:r>
        <w:fldChar w:fldCharType="begin"/>
      </w:r>
      <w:r>
        <w:instrText xml:space="preserve"> PAGEREF _Toc78191622 \h </w:instrText>
      </w:r>
      <w:r>
        <w:fldChar w:fldCharType="separate"/>
      </w:r>
      <w:r>
        <w:t>50</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"_Toc78191630" </w:instrText>
      </w:r>
      <w:r>
        <w:fldChar w:fldCharType="separate"/>
      </w:r>
      <w:r>
        <w:rPr>
          <w:rStyle w:val="44"/>
          <w:rFonts w:ascii="Times New Roman" w:hAnsi="Times New Roman"/>
          <w:b/>
          <w:color w:val="auto"/>
          <w:spacing w:val="-20"/>
          <w:kern w:val="44"/>
        </w:rPr>
        <w:t>第5章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资格性审查</w:t>
      </w:r>
      <w:r>
        <w:tab/>
      </w:r>
      <w:r>
        <w:fldChar w:fldCharType="begin"/>
      </w:r>
      <w:r>
        <w:instrText xml:space="preserve"> PAGEREF _Toc78191630 \h </w:instrText>
      </w:r>
      <w:r>
        <w:fldChar w:fldCharType="separate"/>
      </w:r>
      <w:r>
        <w:t>72</w:t>
      </w:r>
      <w:r>
        <w:fldChar w:fldCharType="end"/>
      </w:r>
      <w:r>
        <w:fldChar w:fldCharType="end"/>
      </w:r>
    </w:p>
    <w:p>
      <w:pPr>
        <w:pStyle w:val="32"/>
        <w:rPr>
          <w:rFonts w:asciiTheme="minorHAnsi" w:hAnsiTheme="minorHAnsi" w:eastAsiaTheme="minorEastAsia" w:cstheme="minorBidi"/>
          <w:sz w:val="21"/>
          <w:szCs w:val="22"/>
        </w:rPr>
      </w:pPr>
      <w:r>
        <w:fldChar w:fldCharType="begin"/>
      </w:r>
      <w:r>
        <w:instrText xml:space="preserve"> HYPERLINK \l "_Toc78191631" </w:instrText>
      </w:r>
      <w:r>
        <w:fldChar w:fldCharType="separate"/>
      </w:r>
      <w:r>
        <w:rPr>
          <w:rStyle w:val="44"/>
          <w:rFonts w:ascii="Times New Roman" w:hAnsi="Times New Roman"/>
          <w:b/>
          <w:color w:val="auto"/>
          <w:spacing w:val="-20"/>
          <w:kern w:val="44"/>
        </w:rPr>
        <w:t>第6章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评标办法</w:t>
      </w:r>
      <w:r>
        <w:tab/>
      </w:r>
      <w:r>
        <w:fldChar w:fldCharType="begin"/>
      </w:r>
      <w:r>
        <w:instrText xml:space="preserve"> PAGEREF _Toc78191631 \h </w:instrText>
      </w:r>
      <w:r>
        <w:fldChar w:fldCharType="separate"/>
      </w:r>
      <w:r>
        <w:t>76</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"_Toc78191642" </w:instrText>
      </w:r>
      <w:r>
        <w:fldChar w:fldCharType="separate"/>
      </w:r>
      <w:r>
        <w:rPr>
          <w:rStyle w:val="44"/>
          <w:rFonts w:ascii="Times New Roman" w:hAnsi="Times New Roman"/>
          <w:b/>
          <w:color w:val="auto"/>
          <w:spacing w:val="-20"/>
          <w:kern w:val="44"/>
        </w:rPr>
        <w:t>第7章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拟签订合同文本</w:t>
      </w:r>
      <w:r>
        <w:tab/>
      </w:r>
      <w:r>
        <w:fldChar w:fldCharType="begin"/>
      </w:r>
      <w:r>
        <w:instrText xml:space="preserve"> PAGEREF _Toc78191642 \h </w:instrText>
      </w:r>
      <w:r>
        <w:fldChar w:fldCharType="separate"/>
      </w:r>
      <w:r>
        <w:t>93</w:t>
      </w:r>
      <w:r>
        <w:fldChar w:fldCharType="end"/>
      </w:r>
      <w:r>
        <w:fldChar w:fldCharType="end"/>
      </w:r>
    </w:p>
    <w:p>
      <w:pPr>
        <w:tabs>
          <w:tab w:val="left" w:pos="620"/>
          <w:tab w:val="right" w:leader="dot" w:pos="8364"/>
        </w:tabs>
        <w:spacing w:line="360" w:lineRule="exact"/>
      </w:pPr>
      <w:r>
        <w:rPr>
          <w:rFonts w:hint="eastAsia"/>
        </w:rPr>
        <w:fldChar w:fldCharType="end"/>
      </w:r>
    </w:p>
    <w:p>
      <w:r>
        <w:rPr>
          <w:rFonts w:hint="eastAsia"/>
        </w:rPr>
        <w:br w:type="page"/>
      </w:r>
    </w:p>
    <w:p>
      <w:pPr>
        <w:pStyle w:val="2"/>
      </w:pPr>
    </w:p>
    <w:p>
      <w:pPr>
        <w:keepNext/>
        <w:keepLines/>
        <w:numPr>
          <w:ilvl w:val="0"/>
          <w:numId w:val="3"/>
        </w:numPr>
        <w:spacing w:before="340" w:after="330" w:line="400" w:lineRule="exact"/>
        <w:ind w:hanging="3260"/>
        <w:jc w:val="center"/>
        <w:outlineLvl w:val="0"/>
        <w:rPr>
          <w:rFonts w:ascii="宋体" w:hAnsi="宋体"/>
          <w:b/>
          <w:bCs/>
          <w:spacing w:val="-20"/>
          <w:kern w:val="44"/>
          <w:sz w:val="32"/>
          <w:szCs w:val="32"/>
        </w:rPr>
      </w:pPr>
      <w:bookmarkStart w:id="4" w:name="_Toc181610856"/>
      <w:bookmarkStart w:id="5" w:name="_Toc78191606"/>
      <w:bookmarkStart w:id="6" w:name="_Toc181591102"/>
      <w:bookmarkStart w:id="7" w:name="_Toc204575871"/>
      <w:r>
        <w:rPr>
          <w:rFonts w:hint="eastAsia" w:ascii="宋体" w:hAnsi="宋体"/>
          <w:b/>
          <w:bCs/>
          <w:spacing w:val="-20"/>
          <w:kern w:val="44"/>
          <w:sz w:val="32"/>
          <w:szCs w:val="32"/>
        </w:rPr>
        <w:t>投标邀请</w:t>
      </w:r>
      <w:bookmarkEnd w:id="4"/>
      <w:bookmarkEnd w:id="5"/>
      <w:bookmarkEnd w:id="6"/>
      <w:bookmarkEnd w:id="7"/>
    </w:p>
    <w:p>
      <w:pPr>
        <w:spacing w:line="360" w:lineRule="auto"/>
        <w:ind w:firstLine="566" w:firstLineChars="202"/>
        <w:rPr>
          <w:rFonts w:ascii="宋体" w:hAnsi="宋体"/>
          <w:sz w:val="28"/>
          <w:szCs w:val="28"/>
        </w:rPr>
      </w:pPr>
      <w:r>
        <w:rPr>
          <w:rFonts w:hint="eastAsia" w:ascii="宋体" w:hAnsi="宋体"/>
          <w:sz w:val="28"/>
          <w:szCs w:val="28"/>
        </w:rPr>
        <w:t>都江堰市公共资源交易服务中心(以下简称“市公资交易中心”)受</w:t>
      </w:r>
      <w:r>
        <w:rPr>
          <w:rFonts w:hint="eastAsia" w:ascii="宋体" w:hAnsi="宋体"/>
          <w:b/>
          <w:sz w:val="28"/>
          <w:szCs w:val="28"/>
          <w:u w:val="single"/>
        </w:rPr>
        <w:t>都江堰市中医医院</w:t>
      </w:r>
      <w:r>
        <w:rPr>
          <w:rFonts w:hint="eastAsia" w:ascii="宋体" w:hAnsi="宋体"/>
          <w:sz w:val="28"/>
          <w:szCs w:val="28"/>
        </w:rPr>
        <w:t>委托，拟对</w:t>
      </w:r>
      <w:r>
        <w:rPr>
          <w:rFonts w:hint="eastAsia" w:ascii="宋体" w:hAnsi="宋体"/>
          <w:b/>
          <w:sz w:val="28"/>
          <w:szCs w:val="28"/>
          <w:u w:val="single"/>
        </w:rPr>
        <w:t>都江堰市中医医院2021年第一批医疗设备采购项目</w:t>
      </w:r>
      <w:r>
        <w:rPr>
          <w:rFonts w:hint="eastAsia" w:ascii="宋体" w:hAnsi="宋体"/>
          <w:sz w:val="28"/>
          <w:szCs w:val="28"/>
        </w:rPr>
        <w:t>进行国内公开招标，兹邀请符合本次招标要求的供应商参加投标。</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项目编号：JY3202</w:t>
      </w:r>
      <w:r>
        <w:rPr>
          <w:rFonts w:hint="eastAsia" w:ascii="宋体" w:hAnsi="宋体"/>
          <w:b/>
          <w:sz w:val="28"/>
          <w:szCs w:val="28"/>
          <w:u w:val="single"/>
        </w:rPr>
        <w:t>10099</w:t>
      </w:r>
      <w:r>
        <w:rPr>
          <w:rFonts w:hint="eastAsia" w:ascii="宋体" w:hAnsi="宋体"/>
          <w:b/>
          <w:sz w:val="28"/>
          <w:szCs w:val="28"/>
        </w:rPr>
        <w:t>号</w:t>
      </w:r>
    </w:p>
    <w:p>
      <w:pPr>
        <w:numPr>
          <w:ilvl w:val="0"/>
          <w:numId w:val="4"/>
        </w:numPr>
        <w:spacing w:line="360" w:lineRule="auto"/>
        <w:ind w:left="988"/>
        <w:rPr>
          <w:rFonts w:ascii="宋体" w:hAnsi="宋体"/>
          <w:b/>
          <w:sz w:val="24"/>
          <w:szCs w:val="24"/>
        </w:rPr>
      </w:pPr>
      <w:r>
        <w:rPr>
          <w:rFonts w:hint="eastAsia" w:ascii="宋体" w:hAnsi="宋体"/>
          <w:b/>
          <w:sz w:val="28"/>
          <w:szCs w:val="28"/>
        </w:rPr>
        <w:t>项目名称：</w:t>
      </w:r>
      <w:r>
        <w:rPr>
          <w:rFonts w:hint="eastAsia" w:ascii="宋体" w:hAnsi="宋体"/>
          <w:b/>
          <w:sz w:val="24"/>
          <w:szCs w:val="24"/>
          <w:u w:val="single"/>
        </w:rPr>
        <w:t>都江堰市中医医院2021年第一批医疗设备</w:t>
      </w:r>
      <w:r>
        <w:rPr>
          <w:rFonts w:hint="eastAsia" w:ascii="宋体" w:hAnsi="宋体"/>
          <w:b/>
          <w:sz w:val="24"/>
          <w:szCs w:val="24"/>
        </w:rPr>
        <w:t>采购项目</w:t>
      </w:r>
    </w:p>
    <w:p>
      <w:pPr>
        <w:autoSpaceDE w:val="0"/>
        <w:autoSpaceDN w:val="0"/>
        <w:adjustRightInd w:val="0"/>
        <w:spacing w:line="360" w:lineRule="auto"/>
        <w:ind w:right="210" w:rightChars="100"/>
        <w:rPr>
          <w:rFonts w:ascii="宋体" w:hAnsi="宋体"/>
          <w:color w:val="FF0000"/>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w:t>
      </w:r>
      <w:r>
        <w:rPr>
          <w:rFonts w:hint="eastAsia" w:ascii="宋体" w:hAnsi="宋体"/>
          <w:color w:val="FF0000"/>
          <w:sz w:val="28"/>
          <w:szCs w:val="28"/>
          <w:u w:val="single"/>
        </w:rPr>
        <w:t>3692315</w:t>
      </w:r>
      <w:r>
        <w:rPr>
          <w:rFonts w:hint="eastAsia" w:ascii="宋体" w:hAnsi="宋体"/>
          <w:sz w:val="28"/>
          <w:szCs w:val="28"/>
        </w:rPr>
        <w:t>号；预算品目：医疗器械；</w:t>
      </w:r>
      <w:r>
        <w:rPr>
          <w:rFonts w:hint="eastAsia" w:ascii="宋体" w:hAnsi="宋体"/>
          <w:color w:val="FF0000"/>
          <w:sz w:val="28"/>
          <w:szCs w:val="28"/>
        </w:rPr>
        <w:t>预算金额：</w:t>
      </w:r>
      <w:r>
        <w:rPr>
          <w:rFonts w:hint="eastAsia" w:ascii="宋体" w:hAnsi="宋体"/>
          <w:color w:val="FF0000"/>
          <w:sz w:val="28"/>
          <w:szCs w:val="28"/>
          <w:u w:val="single"/>
        </w:rPr>
        <w:t>4344000</w:t>
      </w:r>
      <w:r>
        <w:rPr>
          <w:rFonts w:hint="eastAsia" w:ascii="宋体" w:hAnsi="宋体"/>
          <w:color w:val="FF0000"/>
          <w:sz w:val="28"/>
          <w:szCs w:val="28"/>
        </w:rPr>
        <w:t>元</w:t>
      </w:r>
      <w:r>
        <w:rPr>
          <w:rFonts w:hint="eastAsia" w:ascii="宋体" w:hAnsi="宋体"/>
          <w:color w:val="FF0000"/>
          <w:sz w:val="28"/>
        </w:rPr>
        <w:t>；</w:t>
      </w:r>
      <w:r>
        <w:rPr>
          <w:rFonts w:hint="eastAsia" w:ascii="Times New Roman" w:hAnsi="Times New Roman"/>
          <w:bCs/>
          <w:color w:val="FF0000"/>
          <w:sz w:val="28"/>
          <w:szCs w:val="28"/>
        </w:rPr>
        <w:t>本项目分为3个包</w:t>
      </w:r>
      <w:r>
        <w:rPr>
          <w:rFonts w:hint="eastAsia" w:ascii="Times New Roman" w:hAnsi="Times New Roman"/>
          <w:color w:val="FF0000"/>
          <w:sz w:val="28"/>
          <w:szCs w:val="28"/>
        </w:rPr>
        <w:t>：</w:t>
      </w:r>
      <w:r>
        <w:rPr>
          <w:rFonts w:hint="eastAsia" w:ascii="Times New Roman" w:hAnsi="Times New Roman"/>
          <w:bCs/>
          <w:color w:val="FF0000"/>
          <w:sz w:val="28"/>
          <w:szCs w:val="28"/>
        </w:rPr>
        <w:t>包1最高限价</w:t>
      </w:r>
      <w:r>
        <w:rPr>
          <w:rFonts w:hint="eastAsia" w:ascii="Times New Roman" w:hAnsi="Times New Roman"/>
          <w:bCs/>
          <w:color w:val="FF0000"/>
          <w:sz w:val="28"/>
          <w:szCs w:val="28"/>
          <w:u w:val="single"/>
        </w:rPr>
        <w:t>259</w:t>
      </w:r>
      <w:r>
        <w:rPr>
          <w:rFonts w:hint="eastAsia" w:ascii="Times New Roman" w:hAnsi="Times New Roman"/>
          <w:color w:val="FF0000"/>
          <w:sz w:val="28"/>
          <w:szCs w:val="28"/>
          <w:u w:val="single"/>
        </w:rPr>
        <w:t>0000</w:t>
      </w:r>
      <w:r>
        <w:rPr>
          <w:rFonts w:hint="eastAsia" w:ascii="Times New Roman" w:hAnsi="Times New Roman"/>
          <w:color w:val="FF0000"/>
          <w:sz w:val="28"/>
          <w:szCs w:val="28"/>
        </w:rPr>
        <w:t xml:space="preserve">元； </w:t>
      </w:r>
      <w:r>
        <w:rPr>
          <w:rFonts w:hint="eastAsia" w:ascii="Times New Roman" w:hAnsi="Times New Roman"/>
          <w:bCs/>
          <w:color w:val="FF0000"/>
          <w:sz w:val="28"/>
          <w:szCs w:val="28"/>
        </w:rPr>
        <w:t>包2最高限价</w:t>
      </w:r>
      <w:r>
        <w:rPr>
          <w:rFonts w:hint="eastAsia" w:ascii="Times New Roman" w:hAnsi="Times New Roman"/>
          <w:bCs/>
          <w:color w:val="FF0000"/>
          <w:sz w:val="28"/>
          <w:szCs w:val="28"/>
          <w:u w:val="single"/>
        </w:rPr>
        <w:t>935</w:t>
      </w:r>
      <w:r>
        <w:rPr>
          <w:rFonts w:hint="eastAsia" w:ascii="Times New Roman" w:hAnsi="Times New Roman"/>
          <w:color w:val="FF0000"/>
          <w:sz w:val="28"/>
          <w:szCs w:val="28"/>
          <w:u w:val="single"/>
        </w:rPr>
        <w:t>000</w:t>
      </w:r>
      <w:r>
        <w:rPr>
          <w:rFonts w:hint="eastAsia" w:ascii="Times New Roman" w:hAnsi="Times New Roman"/>
          <w:color w:val="FF0000"/>
          <w:sz w:val="28"/>
          <w:szCs w:val="28"/>
        </w:rPr>
        <w:t>元；</w:t>
      </w:r>
      <w:r>
        <w:rPr>
          <w:rFonts w:hint="eastAsia" w:ascii="Times New Roman" w:hAnsi="Times New Roman"/>
          <w:bCs/>
          <w:color w:val="FF0000"/>
          <w:sz w:val="28"/>
          <w:szCs w:val="28"/>
        </w:rPr>
        <w:t xml:space="preserve"> 包3最高限价</w:t>
      </w:r>
      <w:r>
        <w:rPr>
          <w:rFonts w:hint="eastAsia" w:ascii="Times New Roman" w:hAnsi="Times New Roman"/>
          <w:color w:val="FF0000"/>
          <w:sz w:val="28"/>
          <w:szCs w:val="28"/>
          <w:u w:val="single"/>
        </w:rPr>
        <w:t>819000</w:t>
      </w:r>
      <w:r>
        <w:rPr>
          <w:rFonts w:hint="eastAsia" w:ascii="Times New Roman" w:hAnsi="Times New Roman"/>
          <w:color w:val="FF0000"/>
          <w:sz w:val="28"/>
          <w:szCs w:val="28"/>
        </w:rPr>
        <w:t>元；</w:t>
      </w:r>
      <w:r>
        <w:rPr>
          <w:rFonts w:hint="eastAsia"/>
          <w:color w:val="FF0000"/>
          <w:sz w:val="28"/>
          <w:szCs w:val="28"/>
          <w:lang w:val="zh-CN"/>
        </w:rPr>
        <w:t>如投标人投标报价高于最高限价则其投标文件将按无效投标文件处理。</w:t>
      </w:r>
    </w:p>
    <w:p>
      <w:pPr>
        <w:spacing w:line="360" w:lineRule="auto"/>
        <w:ind w:left="420" w:leftChars="200"/>
      </w:pPr>
      <w:r>
        <w:rPr>
          <w:rFonts w:hint="eastAsia" w:ascii="宋体" w:hAnsi="宋体"/>
          <w:b/>
          <w:sz w:val="28"/>
          <w:szCs w:val="28"/>
        </w:rPr>
        <w:t>三、招标项目简介</w:t>
      </w:r>
    </w:p>
    <w:p>
      <w:pPr>
        <w:pStyle w:val="2"/>
      </w:pPr>
      <w:r>
        <w:rPr>
          <w:rFonts w:hint="eastAsia" w:ascii="宋体" w:hAnsi="宋体"/>
          <w:b/>
          <w:sz w:val="28"/>
          <w:szCs w:val="28"/>
        </w:rPr>
        <w:t>包1</w:t>
      </w:r>
    </w:p>
    <w:tbl>
      <w:tblPr>
        <w:tblStyle w:val="47"/>
        <w:tblpPr w:leftFromText="180" w:rightFromText="180" w:vertAnchor="text" w:tblpY="1"/>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80"/>
              <w:ind w:firstLine="0" w:firstLineChars="0"/>
              <w:jc w:val="center"/>
              <w:rPr>
                <w:b/>
                <w:sz w:val="24"/>
                <w:szCs w:val="24"/>
              </w:rPr>
            </w:pPr>
            <w:r>
              <w:rPr>
                <w:rFonts w:hint="eastAsia"/>
                <w:b/>
                <w:sz w:val="24"/>
                <w:szCs w:val="24"/>
              </w:rPr>
              <w:t>序号</w:t>
            </w:r>
          </w:p>
        </w:tc>
        <w:tc>
          <w:tcPr>
            <w:tcW w:w="2767" w:type="dxa"/>
            <w:vAlign w:val="center"/>
          </w:tcPr>
          <w:p>
            <w:pPr>
              <w:pStyle w:val="80"/>
              <w:ind w:firstLine="0" w:firstLineChars="0"/>
              <w:jc w:val="center"/>
              <w:rPr>
                <w:b/>
                <w:sz w:val="24"/>
                <w:szCs w:val="24"/>
              </w:rPr>
            </w:pPr>
            <w:r>
              <w:rPr>
                <w:rFonts w:hint="eastAsia"/>
                <w:b/>
                <w:sz w:val="24"/>
                <w:szCs w:val="24"/>
              </w:rPr>
              <w:t>货物名称（标的名称）</w:t>
            </w:r>
          </w:p>
        </w:tc>
        <w:tc>
          <w:tcPr>
            <w:tcW w:w="1245" w:type="dxa"/>
            <w:vAlign w:val="center"/>
          </w:tcPr>
          <w:p>
            <w:pPr>
              <w:pStyle w:val="80"/>
              <w:ind w:firstLine="0" w:firstLineChars="0"/>
              <w:jc w:val="center"/>
              <w:rPr>
                <w:b/>
                <w:sz w:val="24"/>
                <w:szCs w:val="24"/>
              </w:rPr>
            </w:pPr>
            <w:r>
              <w:rPr>
                <w:rFonts w:hint="eastAsia"/>
                <w:b/>
                <w:sz w:val="24"/>
                <w:szCs w:val="24"/>
              </w:rPr>
              <w:t>数量</w:t>
            </w:r>
          </w:p>
        </w:tc>
        <w:tc>
          <w:tcPr>
            <w:tcW w:w="1418" w:type="dxa"/>
            <w:vAlign w:val="center"/>
          </w:tcPr>
          <w:p>
            <w:pPr>
              <w:pStyle w:val="80"/>
              <w:ind w:firstLine="0" w:firstLineChars="0"/>
              <w:jc w:val="center"/>
              <w:rPr>
                <w:b/>
                <w:sz w:val="24"/>
                <w:szCs w:val="24"/>
              </w:rPr>
            </w:pPr>
            <w:r>
              <w:rPr>
                <w:rFonts w:hint="eastAsia"/>
                <w:b/>
                <w:sz w:val="24"/>
                <w:szCs w:val="24"/>
              </w:rPr>
              <w:t>数量单位</w:t>
            </w:r>
          </w:p>
        </w:tc>
        <w:tc>
          <w:tcPr>
            <w:tcW w:w="1984" w:type="dxa"/>
            <w:vAlign w:val="center"/>
          </w:tcPr>
          <w:p>
            <w:pPr>
              <w:pStyle w:val="8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宋体" w:hAnsi="宋体"/>
                <w:bCs/>
                <w:sz w:val="24"/>
                <w:szCs w:val="24"/>
              </w:rPr>
            </w:pPr>
            <w:r>
              <w:rPr>
                <w:rFonts w:hint="eastAsia" w:ascii="仿宋_GB2312" w:eastAsia="仿宋_GB2312"/>
                <w:b/>
                <w:bCs/>
                <w:sz w:val="24"/>
                <w:szCs w:val="24"/>
              </w:rPr>
              <w:t>床旁连续性血液净化机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全自动电控心肺复苏机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可视喉镜</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无创呼吸机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有创呼吸机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移动式抢救床</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1418" w:type="dxa"/>
            <w:vAlign w:val="center"/>
          </w:tcPr>
          <w:p>
            <w:pPr>
              <w:jc w:val="center"/>
            </w:pPr>
            <w:r>
              <w:rPr>
                <w:rFonts w:hint="eastAsia"/>
              </w:rPr>
              <w:t>张</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吊塔</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除颤仪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开颅动力系统（颅骨钻、铣刀等）</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麻醉机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麻醉监护仪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bl>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pStyle w:val="2"/>
        <w:rPr>
          <w:rFonts w:ascii="宋体" w:hAnsi="宋体"/>
          <w:b/>
          <w:sz w:val="28"/>
          <w:szCs w:val="28"/>
        </w:rPr>
      </w:pPr>
    </w:p>
    <w:p>
      <w:pPr>
        <w:rPr>
          <w:rFonts w:ascii="宋体" w:hAnsi="宋体"/>
          <w:sz w:val="28"/>
          <w:szCs w:val="28"/>
        </w:rPr>
      </w:pPr>
    </w:p>
    <w:tbl>
      <w:tblPr>
        <w:tblStyle w:val="47"/>
        <w:tblpPr w:leftFromText="180" w:rightFromText="180" w:vertAnchor="text" w:tblpY="1712"/>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80"/>
              <w:ind w:firstLine="0" w:firstLineChars="0"/>
              <w:jc w:val="center"/>
              <w:rPr>
                <w:b/>
                <w:sz w:val="24"/>
                <w:szCs w:val="24"/>
              </w:rPr>
            </w:pPr>
            <w:r>
              <w:rPr>
                <w:rFonts w:hint="eastAsia"/>
                <w:b/>
                <w:sz w:val="24"/>
                <w:szCs w:val="24"/>
              </w:rPr>
              <w:t>序号</w:t>
            </w:r>
          </w:p>
        </w:tc>
        <w:tc>
          <w:tcPr>
            <w:tcW w:w="2767" w:type="dxa"/>
            <w:vAlign w:val="center"/>
          </w:tcPr>
          <w:p>
            <w:pPr>
              <w:pStyle w:val="80"/>
              <w:ind w:firstLine="0" w:firstLineChars="0"/>
              <w:jc w:val="center"/>
              <w:rPr>
                <w:b/>
                <w:sz w:val="24"/>
                <w:szCs w:val="24"/>
              </w:rPr>
            </w:pPr>
            <w:r>
              <w:rPr>
                <w:rFonts w:hint="eastAsia"/>
                <w:b/>
                <w:sz w:val="24"/>
                <w:szCs w:val="24"/>
              </w:rPr>
              <w:t>货物名称（标的名称）</w:t>
            </w:r>
          </w:p>
        </w:tc>
        <w:tc>
          <w:tcPr>
            <w:tcW w:w="1245" w:type="dxa"/>
            <w:vAlign w:val="center"/>
          </w:tcPr>
          <w:p>
            <w:pPr>
              <w:pStyle w:val="80"/>
              <w:ind w:firstLine="0" w:firstLineChars="0"/>
              <w:jc w:val="center"/>
              <w:rPr>
                <w:b/>
                <w:sz w:val="24"/>
                <w:szCs w:val="24"/>
              </w:rPr>
            </w:pPr>
            <w:r>
              <w:rPr>
                <w:rFonts w:hint="eastAsia"/>
                <w:b/>
                <w:sz w:val="24"/>
                <w:szCs w:val="24"/>
              </w:rPr>
              <w:t>数量</w:t>
            </w:r>
          </w:p>
        </w:tc>
        <w:tc>
          <w:tcPr>
            <w:tcW w:w="1418" w:type="dxa"/>
            <w:vAlign w:val="center"/>
          </w:tcPr>
          <w:p>
            <w:pPr>
              <w:pStyle w:val="80"/>
              <w:ind w:firstLine="0" w:firstLineChars="0"/>
              <w:jc w:val="center"/>
              <w:rPr>
                <w:b/>
                <w:sz w:val="24"/>
                <w:szCs w:val="24"/>
              </w:rPr>
            </w:pPr>
            <w:r>
              <w:rPr>
                <w:rFonts w:hint="eastAsia"/>
                <w:b/>
                <w:sz w:val="24"/>
                <w:szCs w:val="24"/>
              </w:rPr>
              <w:t>数量单位</w:t>
            </w:r>
          </w:p>
        </w:tc>
        <w:tc>
          <w:tcPr>
            <w:tcW w:w="1984" w:type="dxa"/>
            <w:vAlign w:val="center"/>
          </w:tcPr>
          <w:p>
            <w:pPr>
              <w:pStyle w:val="8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经颅多普勒超声诊断仪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2</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输液泵</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3</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治疗台</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6</w:t>
            </w:r>
          </w:p>
        </w:tc>
        <w:tc>
          <w:tcPr>
            <w:tcW w:w="1418" w:type="dxa"/>
            <w:vAlign w:val="center"/>
          </w:tcPr>
          <w:p>
            <w:pPr>
              <w:jc w:val="center"/>
            </w:pPr>
            <w:r>
              <w:rPr>
                <w:rFonts w:hint="eastAsia"/>
              </w:rPr>
              <w:t>组</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4</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动态多参数遥测监护仪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8</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5</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母婴监护仪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6</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移动式空气消毒机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7</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心电监护仪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8</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心电监护仪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9</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24小时动态心电监测仪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10</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24小时动态血压监测仪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心电图机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bl>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r>
        <w:rPr>
          <w:rFonts w:hint="eastAsia" w:ascii="宋体" w:hAnsi="宋体"/>
          <w:b/>
          <w:sz w:val="28"/>
          <w:szCs w:val="28"/>
        </w:rPr>
        <w:t>包2</w:t>
      </w: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pStyle w:val="2"/>
        <w:rPr>
          <w:rFonts w:ascii="宋体" w:hAnsi="宋体"/>
          <w:b/>
          <w:sz w:val="28"/>
          <w:szCs w:val="28"/>
        </w:rPr>
      </w:pPr>
    </w:p>
    <w:p>
      <w:pPr>
        <w:pStyle w:val="2"/>
        <w:rPr>
          <w:rFonts w:ascii="宋体" w:hAnsi="宋体"/>
          <w:b/>
          <w:sz w:val="28"/>
          <w:szCs w:val="28"/>
        </w:rPr>
      </w:pPr>
    </w:p>
    <w:p>
      <w:pPr>
        <w:pStyle w:val="2"/>
        <w:rPr>
          <w:rFonts w:ascii="宋体" w:hAnsi="宋体"/>
          <w:sz w:val="28"/>
          <w:szCs w:val="28"/>
        </w:rPr>
      </w:pPr>
      <w:r>
        <w:rPr>
          <w:rFonts w:hint="eastAsia" w:ascii="宋体" w:hAnsi="宋体"/>
          <w:b/>
          <w:sz w:val="28"/>
          <w:szCs w:val="28"/>
        </w:rPr>
        <w:t>包3</w:t>
      </w:r>
    </w:p>
    <w:tbl>
      <w:tblPr>
        <w:tblStyle w:val="47"/>
        <w:tblpPr w:leftFromText="180" w:rightFromText="180" w:vertAnchor="text" w:tblpY="1"/>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80"/>
              <w:ind w:firstLine="0" w:firstLineChars="0"/>
              <w:jc w:val="center"/>
              <w:rPr>
                <w:b/>
                <w:sz w:val="24"/>
                <w:szCs w:val="24"/>
              </w:rPr>
            </w:pPr>
            <w:r>
              <w:rPr>
                <w:rFonts w:hint="eastAsia"/>
                <w:b/>
                <w:sz w:val="24"/>
                <w:szCs w:val="24"/>
              </w:rPr>
              <w:t>序号</w:t>
            </w:r>
          </w:p>
        </w:tc>
        <w:tc>
          <w:tcPr>
            <w:tcW w:w="2767" w:type="dxa"/>
            <w:vAlign w:val="center"/>
          </w:tcPr>
          <w:p>
            <w:pPr>
              <w:pStyle w:val="80"/>
              <w:ind w:firstLine="0" w:firstLineChars="0"/>
              <w:jc w:val="center"/>
              <w:rPr>
                <w:b/>
                <w:sz w:val="24"/>
                <w:szCs w:val="24"/>
              </w:rPr>
            </w:pPr>
            <w:r>
              <w:rPr>
                <w:rFonts w:hint="eastAsia"/>
                <w:b/>
                <w:sz w:val="24"/>
                <w:szCs w:val="24"/>
              </w:rPr>
              <w:t>货物名称（标的名称）</w:t>
            </w:r>
          </w:p>
        </w:tc>
        <w:tc>
          <w:tcPr>
            <w:tcW w:w="1245" w:type="dxa"/>
            <w:vAlign w:val="center"/>
          </w:tcPr>
          <w:p>
            <w:pPr>
              <w:pStyle w:val="80"/>
              <w:ind w:firstLine="0" w:firstLineChars="0"/>
              <w:jc w:val="center"/>
              <w:rPr>
                <w:b/>
                <w:sz w:val="24"/>
                <w:szCs w:val="24"/>
              </w:rPr>
            </w:pPr>
            <w:r>
              <w:rPr>
                <w:rFonts w:hint="eastAsia"/>
                <w:b/>
                <w:sz w:val="24"/>
                <w:szCs w:val="24"/>
              </w:rPr>
              <w:t>数量</w:t>
            </w:r>
          </w:p>
        </w:tc>
        <w:tc>
          <w:tcPr>
            <w:tcW w:w="1418" w:type="dxa"/>
            <w:vAlign w:val="center"/>
          </w:tcPr>
          <w:p>
            <w:pPr>
              <w:pStyle w:val="80"/>
              <w:ind w:firstLine="0" w:firstLineChars="0"/>
              <w:jc w:val="center"/>
              <w:rPr>
                <w:b/>
                <w:sz w:val="24"/>
                <w:szCs w:val="24"/>
              </w:rPr>
            </w:pPr>
            <w:r>
              <w:rPr>
                <w:rFonts w:hint="eastAsia"/>
                <w:b/>
                <w:sz w:val="24"/>
                <w:szCs w:val="24"/>
              </w:rPr>
              <w:t>数量单位</w:t>
            </w:r>
          </w:p>
        </w:tc>
        <w:tc>
          <w:tcPr>
            <w:tcW w:w="1984" w:type="dxa"/>
            <w:vAlign w:val="center"/>
          </w:tcPr>
          <w:p>
            <w:pPr>
              <w:pStyle w:val="8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电子阴道镜</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2</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空气波治疗仪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3</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气囊压力表</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个</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4</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高级分娩综合技能训练模型</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5</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新生儿心肺复苏插管模型</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6</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内镜送水泵</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7</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内镜用二氧化碳送气装置</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6</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8</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食道扩张探条</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8</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9</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红蓝黄光治疗仪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10</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308纳米紫外线光疗仪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皮肤镜</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12</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半导体激光生发仪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13</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智能熏蒸机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14</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电脑视野检查仪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rFonts w:hint="eastAsia"/>
                <w:sz w:val="24"/>
                <w:szCs w:val="24"/>
              </w:rPr>
            </w:pPr>
            <w:r>
              <w:rPr>
                <w:rFonts w:hint="eastAsia"/>
                <w:sz w:val="24"/>
                <w:szCs w:val="24"/>
              </w:rPr>
              <w:t>15</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视频耳镜</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rFonts w:hint="eastAsia"/>
                <w:sz w:val="24"/>
                <w:szCs w:val="24"/>
              </w:rPr>
            </w:pPr>
            <w:r>
              <w:rPr>
                <w:rFonts w:hint="eastAsia"/>
                <w:sz w:val="24"/>
                <w:szCs w:val="24"/>
              </w:rPr>
              <w:t>16</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鼻镜、喉镜镜头</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rFonts w:hint="eastAsia"/>
                <w:sz w:val="24"/>
                <w:szCs w:val="24"/>
              </w:rPr>
            </w:pPr>
            <w:r>
              <w:rPr>
                <w:rFonts w:hint="eastAsia"/>
                <w:sz w:val="24"/>
                <w:szCs w:val="24"/>
              </w:rPr>
              <w:t>17</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中药熏蒸机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bl>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b/>
          <w:sz w:val="28"/>
          <w:szCs w:val="28"/>
        </w:rPr>
      </w:pPr>
    </w:p>
    <w:p>
      <w:pPr>
        <w:pStyle w:val="2"/>
        <w:rPr>
          <w:rFonts w:ascii="宋体" w:hAnsi="宋体"/>
          <w:sz w:val="28"/>
          <w:szCs w:val="28"/>
        </w:rPr>
      </w:pPr>
    </w:p>
    <w:p>
      <w:pPr>
        <w:rPr>
          <w:rFonts w:ascii="宋体" w:hAnsi="宋体"/>
          <w:sz w:val="28"/>
          <w:szCs w:val="28"/>
        </w:rPr>
      </w:pPr>
    </w:p>
    <w:p>
      <w:pPr>
        <w:spacing w:after="120" w:afterLines="50" w:line="440" w:lineRule="exact"/>
        <w:ind w:firstLine="480" w:firstLineChars="200"/>
        <w:rPr>
          <w:rFonts w:ascii="宋体" w:hAnsi="宋体"/>
          <w:bCs/>
          <w:sz w:val="24"/>
        </w:rPr>
      </w:pPr>
    </w:p>
    <w:p>
      <w:pPr>
        <w:spacing w:after="120" w:afterLines="50" w:line="440" w:lineRule="exact"/>
        <w:ind w:firstLine="482" w:firstLineChars="200"/>
        <w:rPr>
          <w:b/>
          <w:color w:val="FF0000"/>
        </w:rPr>
      </w:pPr>
      <w:r>
        <w:rPr>
          <w:rFonts w:hint="eastAsia" w:ascii="宋体" w:hAnsi="宋体"/>
          <w:b/>
          <w:color w:val="FF0000"/>
          <w:sz w:val="24"/>
        </w:rPr>
        <w:t>本项目分为3个包段，投标人可对包段进行选择投标，但投标人必须对所投包段中的所有内容进行投标，并响应招标文件的要求和分包段分别编制投标文件。</w:t>
      </w:r>
    </w:p>
    <w:p>
      <w:pPr>
        <w:spacing w:after="120" w:afterLines="50" w:line="440" w:lineRule="exact"/>
        <w:ind w:firstLine="562" w:firstLineChars="200"/>
        <w:rPr>
          <w:b/>
          <w:color w:val="FF0000"/>
        </w:rPr>
      </w:pPr>
      <w:r>
        <w:rPr>
          <w:rFonts w:hint="eastAsia" w:ascii="宋体" w:hAnsi="宋体"/>
          <w:b/>
          <w:color w:val="FF0000"/>
          <w:sz w:val="28"/>
          <w:szCs w:val="28"/>
        </w:rPr>
        <w:t>详细的技术、服务、商务及其他要求见招标文件第4章。</w:t>
      </w:r>
    </w:p>
    <w:p>
      <w:pPr>
        <w:spacing w:line="360" w:lineRule="auto"/>
        <w:ind w:firstLine="560" w:firstLineChars="200"/>
        <w:rPr>
          <w:rFonts w:ascii="宋体" w:hAnsi="宋体"/>
          <w:sz w:val="28"/>
          <w:szCs w:val="28"/>
        </w:rPr>
      </w:pPr>
    </w:p>
    <w:p>
      <w:pPr>
        <w:numPr>
          <w:ilvl w:val="0"/>
          <w:numId w:val="4"/>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6"/>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6"/>
        </w:numPr>
        <w:tabs>
          <w:tab w:val="left" w:pos="1260"/>
        </w:tabs>
        <w:spacing w:line="360" w:lineRule="auto"/>
        <w:ind w:left="0" w:firstLine="630"/>
        <w:rPr>
          <w:rFonts w:ascii="宋体" w:hAnsi="宋体"/>
          <w:b/>
          <w:sz w:val="28"/>
          <w:szCs w:val="28"/>
        </w:rPr>
      </w:pPr>
      <w:r>
        <w:rPr>
          <w:rFonts w:hint="eastAsia" w:ascii="宋体" w:hAnsi="宋体"/>
          <w:b/>
          <w:sz w:val="28"/>
          <w:szCs w:val="28"/>
        </w:rPr>
        <w:t>本项目为</w:t>
      </w:r>
      <w:r>
        <w:rPr>
          <w:rFonts w:ascii="宋体" w:hAnsi="宋体"/>
          <w:b/>
          <w:sz w:val="28"/>
          <w:szCs w:val="28"/>
        </w:rPr>
        <w:t>专门面向中小企业采购项目，</w:t>
      </w:r>
      <w:r>
        <w:rPr>
          <w:rFonts w:hint="eastAsia" w:ascii="宋体" w:hAnsi="宋体"/>
          <w:b/>
          <w:sz w:val="28"/>
          <w:szCs w:val="28"/>
        </w:rPr>
        <w:t>投标人</w:t>
      </w:r>
      <w:r>
        <w:rPr>
          <w:rFonts w:ascii="宋体" w:hAnsi="宋体"/>
          <w:b/>
          <w:sz w:val="28"/>
          <w:szCs w:val="28"/>
        </w:rPr>
        <w:t>提供的货物全部由符合政策要求的中小企业制造</w:t>
      </w:r>
      <w:r>
        <w:rPr>
          <w:rFonts w:hint="eastAsia" w:ascii="宋体" w:hAnsi="宋体"/>
          <w:b/>
          <w:sz w:val="28"/>
          <w:szCs w:val="28"/>
        </w:rPr>
        <w:t>；</w:t>
      </w:r>
      <w:r>
        <w:rPr>
          <w:rFonts w:ascii="宋体" w:hAnsi="宋体"/>
          <w:b/>
          <w:sz w:val="28"/>
          <w:szCs w:val="28"/>
        </w:rPr>
        <w:t>（</w:t>
      </w:r>
      <w:r>
        <w:rPr>
          <w:rFonts w:hint="eastAsia" w:ascii="宋体" w:hAnsi="宋体"/>
          <w:b/>
          <w:sz w:val="28"/>
          <w:szCs w:val="28"/>
        </w:rPr>
        <w:t>说明</w:t>
      </w:r>
      <w:r>
        <w:rPr>
          <w:rFonts w:ascii="宋体" w:hAnsi="宋体"/>
          <w:b/>
          <w:sz w:val="28"/>
          <w:szCs w:val="28"/>
        </w:rPr>
        <w:t>：监狱企业、残疾人福利性单位视同小型、微型企业）</w:t>
      </w:r>
    </w:p>
    <w:p>
      <w:pPr>
        <w:numPr>
          <w:ilvl w:val="1"/>
          <w:numId w:val="6"/>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6"/>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6"/>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6"/>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6"/>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color w:val="FF0000"/>
          <w:sz w:val="28"/>
          <w:szCs w:val="28"/>
        </w:rPr>
        <w:t>不接受</w:t>
      </w:r>
      <w:r>
        <w:rPr>
          <w:rFonts w:hint="eastAsia" w:ascii="宋体" w:hAnsi="宋体"/>
          <w:sz w:val="28"/>
          <w:szCs w:val="28"/>
        </w:rPr>
        <w:t>联合体投标。</w:t>
      </w:r>
    </w:p>
    <w:p>
      <w:pPr>
        <w:pStyle w:val="150"/>
        <w:tabs>
          <w:tab w:val="left" w:pos="0"/>
          <w:tab w:val="left" w:pos="993"/>
          <w:tab w:val="left" w:pos="1418"/>
          <w:tab w:val="left" w:pos="1560"/>
        </w:tabs>
        <w:spacing w:line="560" w:lineRule="exact"/>
        <w:ind w:left="7" w:firstLine="560"/>
        <w:rPr>
          <w:rFonts w:ascii="宋体" w:hAnsi="宋体"/>
          <w:color w:val="000000" w:themeColor="text1"/>
          <w:sz w:val="28"/>
          <w:szCs w:val="28"/>
          <w14:textFill>
            <w14:solidFill>
              <w14:schemeClr w14:val="tx1"/>
            </w14:solidFill>
          </w14:textFill>
        </w:rPr>
      </w:pPr>
      <w:r>
        <w:rPr>
          <w:rFonts w:hint="eastAsia" w:ascii="宋体" w:hAnsi="宋体"/>
          <w:sz w:val="28"/>
          <w:szCs w:val="28"/>
        </w:rPr>
        <w:t>（八）</w:t>
      </w:r>
      <w:r>
        <w:rPr>
          <w:rFonts w:hint="eastAsia" w:ascii="宋体" w:hAnsi="宋体"/>
          <w:color w:val="000000" w:themeColor="text1"/>
          <w:sz w:val="28"/>
          <w:szCs w:val="28"/>
          <w14:textFill>
            <w14:solidFill>
              <w14:schemeClr w14:val="tx1"/>
            </w14:solidFill>
          </w14:textFill>
        </w:rPr>
        <w:t>根据采购项目提出的特殊资格条件：</w:t>
      </w:r>
    </w:p>
    <w:p>
      <w:pPr>
        <w:spacing w:after="120" w:afterLines="50" w:line="440" w:lineRule="exact"/>
        <w:ind w:firstLine="480" w:firstLineChars="200"/>
        <w:rPr>
          <w:rFonts w:ascii="宋体"/>
          <w:bCs/>
          <w:color w:val="FF0000"/>
          <w:sz w:val="24"/>
        </w:rPr>
      </w:pPr>
      <w:r>
        <w:rPr>
          <w:rFonts w:hint="eastAsia" w:ascii="宋体"/>
          <w:bCs/>
          <w:color w:val="FF0000"/>
          <w:sz w:val="24"/>
        </w:rPr>
        <w:t xml:space="preserve">  (1) 投标人须具有《医疗器械经营企业许可证》；</w:t>
      </w:r>
    </w:p>
    <w:p>
      <w:pPr>
        <w:spacing w:after="120" w:afterLines="50" w:line="440" w:lineRule="exact"/>
        <w:ind w:firstLine="480" w:firstLineChars="200"/>
        <w:rPr>
          <w:rFonts w:ascii="宋体"/>
          <w:bCs/>
          <w:color w:val="FF0000"/>
          <w:sz w:val="24"/>
        </w:rPr>
      </w:pPr>
      <w:r>
        <w:rPr>
          <w:rFonts w:hint="eastAsia" w:ascii="宋体"/>
          <w:bCs/>
          <w:color w:val="FF0000"/>
          <w:sz w:val="24"/>
        </w:rPr>
        <w:t xml:space="preserve"> （2）提供投标产品的《医疗器械注册证》；</w:t>
      </w:r>
    </w:p>
    <w:p>
      <w:pPr>
        <w:spacing w:after="120" w:afterLines="50" w:line="440" w:lineRule="exact"/>
        <w:ind w:firstLine="480" w:firstLineChars="200"/>
        <w:rPr>
          <w:rFonts w:ascii="宋体"/>
          <w:bCs/>
          <w:color w:val="FF0000"/>
          <w:sz w:val="24"/>
        </w:rPr>
      </w:pPr>
      <w:r>
        <w:rPr>
          <w:rFonts w:hint="eastAsia" w:ascii="宋体"/>
          <w:bCs/>
          <w:color w:val="FF0000"/>
          <w:sz w:val="24"/>
        </w:rPr>
        <w:t xml:space="preserve"> （3）投标产品制造商须具有《医疗器械生产企业许可证》。</w:t>
      </w:r>
    </w:p>
    <w:p>
      <w:pPr>
        <w:pStyle w:val="2"/>
      </w:pPr>
    </w:p>
    <w:p>
      <w:pPr>
        <w:numPr>
          <w:ilvl w:val="0"/>
          <w:numId w:val="4"/>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7"/>
        </w:numPr>
        <w:spacing w:line="360" w:lineRule="auto"/>
        <w:ind w:left="0" w:firstLine="567"/>
        <w:rPr>
          <w:rFonts w:ascii="宋体" w:hAnsi="宋体"/>
          <w:sz w:val="28"/>
        </w:rPr>
      </w:pPr>
      <w:r>
        <w:rPr>
          <w:rFonts w:hint="eastAsia" w:ascii="宋体" w:hAnsi="宋体"/>
          <w:sz w:val="28"/>
          <w:szCs w:val="28"/>
        </w:rPr>
        <w:t>招标文件获取时间：202X年XX月XX日至XX月XX日。</w:t>
      </w:r>
    </w:p>
    <w:p>
      <w:pPr>
        <w:numPr>
          <w:ilvl w:val="0"/>
          <w:numId w:val="7"/>
        </w:numPr>
        <w:spacing w:line="360" w:lineRule="auto"/>
        <w:ind w:left="0" w:firstLine="567"/>
        <w:rPr>
          <w:rFonts w:ascii="宋体" w:hAnsi="宋体"/>
          <w:sz w:val="28"/>
          <w:szCs w:val="28"/>
        </w:rPr>
      </w:pPr>
      <w:r>
        <w:rPr>
          <w:rFonts w:hint="eastAsia" w:ascii="宋体" w:hAnsi="宋体"/>
          <w:sz w:val="28"/>
          <w:szCs w:val="28"/>
        </w:rPr>
        <w:t>公告期限：202X年XX月XX日至XX月XX日。</w:t>
      </w:r>
    </w:p>
    <w:p>
      <w:pPr>
        <w:spacing w:line="360" w:lineRule="auto"/>
        <w:ind w:firstLine="560" w:firstLineChars="200"/>
      </w:pPr>
      <w:r>
        <w:rPr>
          <w:rFonts w:hint="eastAsia" w:ascii="宋体" w:hAnsi="宋体"/>
          <w:sz w:val="28"/>
          <w:szCs w:val="28"/>
        </w:rPr>
        <w:t>（三）供应商如对招标文件有质疑的，应于公告期限届满之日起七个工作日内以书面形式提出。</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86274101"/>
      <w:bookmarkStart w:id="9" w:name="_Toc174185149"/>
      <w:bookmarkStart w:id="10" w:name="_Toc184023104"/>
      <w:bookmarkStart w:id="11" w:name="_Toc180051012"/>
      <w:bookmarkStart w:id="12" w:name="_Toc184013605"/>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6"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202X年XX月XX日上午09:30。</w:t>
      </w:r>
    </w:p>
    <w:p>
      <w:pPr>
        <w:spacing w:line="560" w:lineRule="exact"/>
        <w:ind w:firstLine="566"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政采中小企业政府采购信用融资</w:t>
      </w:r>
    </w:p>
    <w:p>
      <w:pPr>
        <w:spacing w:line="360" w:lineRule="auto"/>
        <w:ind w:firstLine="420" w:firstLineChars="150"/>
        <w:jc w:val="left"/>
        <w:rPr>
          <w:rFonts w:ascii="宋体" w:hAnsi="宋体"/>
          <w:sz w:val="28"/>
          <w:szCs w:val="28"/>
        </w:rPr>
      </w:pPr>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宋体" w:hAnsi="宋体"/>
          <w:color w:val="FF0000"/>
          <w:sz w:val="28"/>
          <w:szCs w:val="28"/>
        </w:rPr>
        <w:t>都江堰市中医医院</w:t>
      </w:r>
    </w:p>
    <w:p>
      <w:pPr>
        <w:pStyle w:val="150"/>
        <w:ind w:firstLine="560"/>
        <w:rPr>
          <w:rFonts w:ascii="宋体" w:hAnsi="宋体"/>
          <w:kern w:val="0"/>
          <w:sz w:val="28"/>
          <w:szCs w:val="22"/>
        </w:rPr>
      </w:pPr>
      <w:r>
        <w:rPr>
          <w:rFonts w:hint="eastAsia" w:ascii="宋体" w:hAnsi="宋体"/>
          <w:sz w:val="28"/>
          <w:szCs w:val="28"/>
        </w:rPr>
        <w:t>地  址：</w:t>
      </w:r>
      <w:r>
        <w:rPr>
          <w:rFonts w:hint="eastAsia" w:ascii="宋体" w:hAnsi="宋体"/>
          <w:color w:val="FF0000"/>
          <w:sz w:val="28"/>
          <w:szCs w:val="28"/>
        </w:rPr>
        <w:t>都江堰市金江社区中医院北路16号</w:t>
      </w:r>
    </w:p>
    <w:p>
      <w:pPr>
        <w:spacing w:line="360" w:lineRule="auto"/>
        <w:ind w:firstLine="566" w:firstLineChars="202"/>
        <w:rPr>
          <w:rFonts w:ascii="宋体" w:hAnsi="宋体"/>
          <w:sz w:val="28"/>
          <w:szCs w:val="28"/>
        </w:rPr>
      </w:pPr>
      <w:r>
        <w:rPr>
          <w:rFonts w:hint="eastAsia" w:ascii="宋体" w:hAnsi="宋体"/>
          <w:sz w:val="28"/>
          <w:szCs w:val="28"/>
        </w:rPr>
        <w:t xml:space="preserve">邮  编： </w:t>
      </w:r>
      <w:r>
        <w:rPr>
          <w:rFonts w:ascii="宋体" w:hAnsi="宋体"/>
          <w:sz w:val="28"/>
          <w:szCs w:val="28"/>
        </w:rPr>
        <w:t>61</w:t>
      </w:r>
      <w:r>
        <w:rPr>
          <w:rFonts w:hint="eastAsia" w:ascii="宋体" w:hAnsi="宋体"/>
          <w:sz w:val="28"/>
          <w:szCs w:val="28"/>
        </w:rPr>
        <w:t>1830</w:t>
      </w:r>
    </w:p>
    <w:p>
      <w:pPr>
        <w:spacing w:line="360" w:lineRule="auto"/>
        <w:ind w:firstLine="566" w:firstLineChars="202"/>
        <w:rPr>
          <w:rFonts w:ascii="宋体" w:hAnsi="宋体"/>
          <w:sz w:val="28"/>
          <w:szCs w:val="28"/>
        </w:rPr>
      </w:pPr>
      <w:r>
        <w:rPr>
          <w:rFonts w:hint="eastAsia" w:ascii="宋体" w:hAnsi="宋体"/>
          <w:sz w:val="28"/>
          <w:szCs w:val="28"/>
        </w:rPr>
        <w:t>联系人：</w:t>
      </w:r>
      <w:r>
        <w:rPr>
          <w:rFonts w:hint="eastAsia" w:ascii="宋体" w:hAnsi="宋体"/>
          <w:color w:val="FF0000"/>
          <w:sz w:val="28"/>
          <w:szCs w:val="28"/>
        </w:rPr>
        <w:t xml:space="preserve">杨明波 </w:t>
      </w:r>
    </w:p>
    <w:p>
      <w:pPr>
        <w:spacing w:line="360" w:lineRule="auto"/>
        <w:ind w:firstLine="566" w:firstLineChars="202"/>
        <w:rPr>
          <w:rFonts w:ascii="宋体" w:hAnsi="宋体"/>
          <w:sz w:val="28"/>
          <w:szCs w:val="28"/>
        </w:rPr>
      </w:pPr>
      <w:r>
        <w:rPr>
          <w:rFonts w:hint="eastAsia" w:ascii="宋体" w:hAnsi="宋体"/>
          <w:sz w:val="28"/>
          <w:szCs w:val="28"/>
        </w:rPr>
        <w:t>联系电话：</w:t>
      </w:r>
      <w:r>
        <w:rPr>
          <w:rFonts w:hint="eastAsia" w:ascii="宋体" w:hAnsi="宋体"/>
          <w:color w:val="FF0000"/>
          <w:sz w:val="28"/>
          <w:szCs w:val="28"/>
        </w:rPr>
        <w:t>18908198770</w:t>
      </w:r>
    </w:p>
    <w:p>
      <w:pPr>
        <w:pStyle w:val="2"/>
      </w:pPr>
    </w:p>
    <w:p>
      <w:pPr>
        <w:pStyle w:val="150"/>
        <w:spacing w:line="560" w:lineRule="exact"/>
        <w:ind w:firstLine="562"/>
        <w:rPr>
          <w:rFonts w:ascii="宋体" w:hAnsi="宋体"/>
          <w:b/>
          <w:color w:val="000000" w:themeColor="text1"/>
          <w:kern w:val="0"/>
          <w:sz w:val="28"/>
          <w:szCs w:val="22"/>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都江堰市公共资源交易服务中心</w:t>
      </w:r>
    </w:p>
    <w:p>
      <w:pPr>
        <w:spacing w:line="520" w:lineRule="exact"/>
        <w:ind w:left="567" w:leftChars="270"/>
        <w:rPr>
          <w:rFonts w:ascii="宋体" w:hAnsi="宋体"/>
          <w:sz w:val="28"/>
          <w:szCs w:val="28"/>
        </w:rPr>
      </w:pPr>
      <w:r>
        <w:rPr>
          <w:rFonts w:hint="eastAsia" w:ascii="宋体" w:hAnsi="宋体"/>
          <w:sz w:val="28"/>
          <w:szCs w:val="28"/>
        </w:rPr>
        <w:t>地址：</w:t>
      </w:r>
      <w:r>
        <w:rPr>
          <w:rFonts w:hint="eastAsia"/>
          <w:sz w:val="28"/>
          <w:szCs w:val="28"/>
        </w:rPr>
        <w:t>都江堰市江安河东路下段25号2楼</w:t>
      </w:r>
    </w:p>
    <w:p>
      <w:pPr>
        <w:tabs>
          <w:tab w:val="left" w:pos="3885"/>
        </w:tabs>
        <w:spacing w:line="520" w:lineRule="exact"/>
        <w:ind w:left="567" w:leftChars="270"/>
        <w:rPr>
          <w:rFonts w:ascii="宋体" w:hAnsi="宋体"/>
          <w:sz w:val="28"/>
          <w:szCs w:val="28"/>
        </w:rPr>
      </w:pPr>
      <w:r>
        <w:rPr>
          <w:rFonts w:hint="eastAsia" w:ascii="宋体" w:hAnsi="宋体"/>
          <w:sz w:val="28"/>
          <w:szCs w:val="28"/>
        </w:rPr>
        <w:t>联系人：</w:t>
      </w:r>
      <w:r>
        <w:rPr>
          <w:rFonts w:hint="eastAsia" w:ascii="宋体" w:hAnsi="宋体"/>
          <w:color w:val="FF0000"/>
          <w:sz w:val="28"/>
          <w:szCs w:val="28"/>
          <w:u w:val="single"/>
        </w:rPr>
        <w:t>叶先生</w:t>
      </w:r>
      <w:r>
        <w:rPr>
          <w:rFonts w:ascii="宋体" w:hAnsi="宋体"/>
          <w:sz w:val="28"/>
          <w:szCs w:val="28"/>
        </w:rPr>
        <w:tab/>
      </w:r>
    </w:p>
    <w:p>
      <w:pPr>
        <w:spacing w:line="520" w:lineRule="exact"/>
        <w:ind w:firstLine="560" w:firstLineChars="200"/>
        <w:rPr>
          <w:rFonts w:ascii="宋体" w:hAnsi="宋体"/>
          <w:sz w:val="28"/>
          <w:szCs w:val="28"/>
        </w:rPr>
      </w:pPr>
      <w:r>
        <w:rPr>
          <w:rFonts w:hint="eastAsia" w:ascii="宋体" w:hAnsi="宋体"/>
          <w:sz w:val="28"/>
          <w:szCs w:val="28"/>
        </w:rPr>
        <w:t>联系电话（传真）：028－89742696</w:t>
      </w:r>
    </w:p>
    <w:p>
      <w:pPr>
        <w:pStyle w:val="150"/>
        <w:spacing w:line="560" w:lineRule="exact"/>
        <w:ind w:firstLine="56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邮编：611830</w:t>
      </w:r>
    </w:p>
    <w:p>
      <w:pPr>
        <w:pStyle w:val="150"/>
        <w:spacing w:line="560" w:lineRule="exact"/>
        <w:ind w:firstLine="562"/>
        <w:rPr>
          <w:rFonts w:ascii="宋体" w:hAnsi="宋体"/>
          <w:color w:val="000000" w:themeColor="text1"/>
          <w:kern w:val="0"/>
          <w:sz w:val="28"/>
          <w14:textFill>
            <w14:solidFill>
              <w14:schemeClr w14:val="tx1"/>
            </w14:solidFill>
          </w14:textFill>
        </w:rPr>
      </w:pPr>
      <w:r>
        <w:rPr>
          <w:rFonts w:hint="eastAsia" w:ascii="宋体" w:hAnsi="宋体"/>
          <w:b/>
          <w:bCs/>
          <w:color w:val="000000" w:themeColor="text1"/>
          <w:kern w:val="0"/>
          <w:sz w:val="28"/>
          <w14:textFill>
            <w14:solidFill>
              <w14:schemeClr w14:val="tx1"/>
            </w14:solidFill>
          </w14:textFill>
        </w:rPr>
        <w:t>技术支持</w:t>
      </w:r>
      <w:r>
        <w:rPr>
          <w:rFonts w:ascii="宋体" w:hAnsi="宋体"/>
          <w:b/>
          <w:bCs/>
          <w:color w:val="000000" w:themeColor="text1"/>
          <w:kern w:val="0"/>
          <w:sz w:val="28"/>
          <w14:textFill>
            <w14:solidFill>
              <w14:schemeClr w14:val="tx1"/>
            </w14:solidFill>
          </w14:textFill>
        </w:rPr>
        <w:t>联系电话</w:t>
      </w:r>
      <w:r>
        <w:rPr>
          <w:rFonts w:ascii="宋体" w:hAnsi="宋体"/>
          <w:color w:val="000000" w:themeColor="text1"/>
          <w:kern w:val="0"/>
          <w:sz w:val="28"/>
          <w14:textFill>
            <w14:solidFill>
              <w14:schemeClr w14:val="tx1"/>
            </w14:solidFill>
          </w14:textFill>
        </w:rPr>
        <w:t>：</w:t>
      </w:r>
      <w:r>
        <w:rPr>
          <w:rFonts w:hint="eastAsia" w:ascii="宋体" w:hAnsi="宋体"/>
          <w:sz w:val="28"/>
          <w:szCs w:val="28"/>
        </w:rPr>
        <w:t>400-881-7190</w:t>
      </w:r>
    </w:p>
    <w:p>
      <w:pPr>
        <w:pStyle w:val="82"/>
        <w:tabs>
          <w:tab w:val="left" w:pos="900"/>
        </w:tabs>
        <w:spacing w:line="560" w:lineRule="exact"/>
        <w:ind w:firstLine="562"/>
        <w:jc w:val="left"/>
        <w:rPr>
          <w:rFonts w:ascii="宋体" w:hAnsi="宋体" w:cs="Times New Roman"/>
          <w:b/>
          <w:color w:val="000000" w:themeColor="text1"/>
          <w:kern w:val="0"/>
          <w:sz w:val="28"/>
          <w14:textFill>
            <w14:solidFill>
              <w14:schemeClr w14:val="tx1"/>
            </w14:solidFill>
          </w14:textFill>
        </w:rPr>
      </w:pPr>
      <w:r>
        <w:rPr>
          <w:rFonts w:hint="eastAsia" w:ascii="宋体" w:hAnsi="宋体" w:cs="Times New Roman"/>
          <w:b/>
          <w:color w:val="000000" w:themeColor="text1"/>
          <w:sz w:val="28"/>
          <w14:textFill>
            <w14:solidFill>
              <w14:schemeClr w14:val="tx1"/>
            </w14:solidFill>
          </w14:textFill>
        </w:rPr>
        <w:t>集中采购监督机构：都江堰市财政局</w:t>
      </w:r>
    </w:p>
    <w:p>
      <w:pPr>
        <w:pStyle w:val="82"/>
        <w:tabs>
          <w:tab w:val="left" w:pos="900"/>
        </w:tabs>
        <w:spacing w:line="560" w:lineRule="exact"/>
        <w:ind w:firstLine="560"/>
        <w:jc w:val="left"/>
        <w:rPr>
          <w:rFonts w:ascii="宋体" w:hAnsi="宋体" w:cs="Times New Roman"/>
          <w:color w:val="000000" w:themeColor="text1"/>
          <w:sz w:val="28"/>
          <w14:textFill>
            <w14:solidFill>
              <w14:schemeClr w14:val="tx1"/>
            </w14:solidFill>
          </w14:textFill>
        </w:rPr>
      </w:pPr>
      <w:r>
        <w:rPr>
          <w:rFonts w:hint="eastAsia" w:ascii="宋体" w:hAnsi="宋体" w:cs="Times New Roman"/>
          <w:color w:val="000000" w:themeColor="text1"/>
          <w:sz w:val="28"/>
          <w14:textFill>
            <w14:solidFill>
              <w14:schemeClr w14:val="tx1"/>
            </w14:solidFill>
          </w14:textFill>
        </w:rPr>
        <w:t>地 址：</w:t>
      </w:r>
      <w:r>
        <w:rPr>
          <w:rFonts w:hint="eastAsia" w:ascii="宋体" w:hAnsi="宋体" w:cs="Times New Roman"/>
          <w:color w:val="000000" w:themeColor="text1"/>
          <w:sz w:val="28"/>
          <w:lang w:val="zh-CN"/>
          <w14:textFill>
            <w14:solidFill>
              <w14:schemeClr w14:val="tx1"/>
            </w14:solidFill>
          </w14:textFill>
        </w:rPr>
        <w:t>都江堰市善政路607号</w:t>
      </w:r>
    </w:p>
    <w:p>
      <w:pPr>
        <w:pStyle w:val="82"/>
        <w:tabs>
          <w:tab w:val="left" w:pos="900"/>
        </w:tabs>
        <w:spacing w:line="560" w:lineRule="exact"/>
        <w:ind w:firstLine="560"/>
        <w:jc w:val="left"/>
        <w:rPr>
          <w:rFonts w:ascii="宋体" w:hAnsi="宋体" w:cs="Times New Roman"/>
          <w:color w:val="000000" w:themeColor="text1"/>
          <w:sz w:val="28"/>
          <w14:textFill>
            <w14:solidFill>
              <w14:schemeClr w14:val="tx1"/>
            </w14:solidFill>
          </w14:textFill>
        </w:rPr>
      </w:pPr>
      <w:r>
        <w:rPr>
          <w:rFonts w:hint="eastAsia" w:ascii="宋体" w:hAnsi="宋体" w:cs="Times New Roman"/>
          <w:color w:val="000000" w:themeColor="text1"/>
          <w:sz w:val="28"/>
          <w14:textFill>
            <w14:solidFill>
              <w14:schemeClr w14:val="tx1"/>
            </w14:solidFill>
          </w14:textFill>
        </w:rPr>
        <w:t>联系电话：</w:t>
      </w:r>
      <w:r>
        <w:rPr>
          <w:rFonts w:hint="eastAsia" w:ascii="宋体" w:hAnsi="宋体" w:cs="Times New Roman"/>
          <w:color w:val="000000" w:themeColor="text1"/>
          <w:sz w:val="28"/>
          <w:lang w:val="zh-CN"/>
          <w14:textFill>
            <w14:solidFill>
              <w14:schemeClr w14:val="tx1"/>
            </w14:solidFill>
          </w14:textFill>
        </w:rPr>
        <w:t>028-89747932</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pStyle w:val="2"/>
      </w:pPr>
    </w:p>
    <w:p>
      <w:pPr>
        <w:tabs>
          <w:tab w:val="left" w:pos="900"/>
        </w:tabs>
        <w:spacing w:line="360" w:lineRule="auto"/>
        <w:ind w:firstLine="562" w:firstLineChars="200"/>
        <w:rPr>
          <w:rFonts w:hint="eastAsia" w:ascii="宋体" w:hAnsi="宋体" w:cstheme="minorBidi"/>
          <w:b/>
          <w:sz w:val="28"/>
          <w:szCs w:val="28"/>
        </w:rPr>
      </w:pPr>
    </w:p>
    <w:p>
      <w:pPr>
        <w:pStyle w:val="2"/>
        <w:rPr>
          <w:rFonts w:hint="eastAsia"/>
        </w:rPr>
      </w:pPr>
    </w:p>
    <w:p>
      <w:pPr>
        <w:rPr>
          <w:rFonts w:hint="eastAsia"/>
        </w:rPr>
      </w:pPr>
    </w:p>
    <w:p>
      <w:pPr>
        <w:pStyle w:val="2"/>
        <w:rPr>
          <w:rFonts w:hint="eastAsia"/>
        </w:rPr>
      </w:pPr>
    </w:p>
    <w:p>
      <w:pPr>
        <w:rPr>
          <w:rFonts w:hint="eastAsia"/>
        </w:rPr>
      </w:pPr>
    </w:p>
    <w:p>
      <w:pPr>
        <w:pStyle w:val="2"/>
      </w:pPr>
    </w:p>
    <w:p>
      <w:pPr>
        <w:tabs>
          <w:tab w:val="left" w:pos="900"/>
        </w:tabs>
        <w:spacing w:line="360" w:lineRule="auto"/>
        <w:ind w:firstLine="562" w:firstLineChars="200"/>
        <w:rPr>
          <w:rFonts w:ascii="宋体" w:hAnsi="宋体" w:cstheme="minorBidi"/>
          <w:b/>
          <w:sz w:val="28"/>
          <w:szCs w:val="28"/>
        </w:rPr>
      </w:pPr>
    </w:p>
    <w:p>
      <w:pPr>
        <w:keepNext/>
        <w:keepLines/>
        <w:numPr>
          <w:ilvl w:val="0"/>
          <w:numId w:val="3"/>
        </w:numPr>
        <w:spacing w:before="340" w:after="330" w:line="400" w:lineRule="exact"/>
        <w:ind w:left="0" w:firstLine="0"/>
        <w:jc w:val="center"/>
        <w:outlineLvl w:val="0"/>
        <w:rPr>
          <w:rFonts w:ascii="宋体" w:hAnsi="宋体"/>
          <w:b/>
          <w:bCs/>
          <w:spacing w:val="-20"/>
          <w:kern w:val="44"/>
          <w:sz w:val="32"/>
          <w:szCs w:val="32"/>
        </w:rPr>
      </w:pPr>
      <w:bookmarkStart w:id="13" w:name="_Toc78191607"/>
      <w:r>
        <w:rPr>
          <w:rFonts w:hint="eastAsia" w:ascii="宋体" w:hAnsi="宋体"/>
          <w:b/>
          <w:bCs/>
          <w:spacing w:val="-20"/>
          <w:kern w:val="44"/>
          <w:sz w:val="32"/>
          <w:szCs w:val="32"/>
        </w:rPr>
        <w:t>投标人须知</w:t>
      </w:r>
      <w:bookmarkEnd w:id="13"/>
    </w:p>
    <w:p>
      <w:pPr>
        <w:keepNext/>
        <w:keepLines/>
        <w:numPr>
          <w:ilvl w:val="1"/>
          <w:numId w:val="3"/>
        </w:numPr>
        <w:spacing w:before="260" w:after="260" w:line="360" w:lineRule="auto"/>
        <w:jc w:val="left"/>
        <w:outlineLvl w:val="1"/>
        <w:rPr>
          <w:rFonts w:ascii="宋体" w:hAnsi="宋体"/>
          <w:b/>
          <w:bCs/>
          <w:sz w:val="28"/>
          <w:szCs w:val="28"/>
        </w:rPr>
      </w:pPr>
      <w:bookmarkStart w:id="14" w:name="_Toc213397010"/>
      <w:bookmarkStart w:id="15" w:name="_Toc189727030"/>
      <w:bookmarkStart w:id="16" w:name="_Toc217446032"/>
      <w:bookmarkStart w:id="17" w:name="_Toc213496268"/>
      <w:bookmarkStart w:id="18" w:name="_Toc213396946"/>
      <w:bookmarkStart w:id="19" w:name="_Toc213396760"/>
      <w:bookmarkStart w:id="20" w:name="_Toc316462344"/>
      <w:bookmarkStart w:id="21" w:name="_Toc78191608"/>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7"/>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sz w:val="28"/>
                <w:szCs w:val="28"/>
                <w:lang w:val="zh-CN"/>
              </w:rPr>
            </w:pPr>
            <w:r>
              <w:rPr>
                <w:rFonts w:hint="eastAsia"/>
              </w:rPr>
              <w:t xml:space="preserve">         </w:t>
            </w:r>
            <w:r>
              <w:rPr>
                <w:rFonts w:hint="eastAsia"/>
                <w:sz w:val="28"/>
                <w:szCs w:val="28"/>
              </w:rPr>
              <w:t>人民币</w:t>
            </w:r>
            <w:r>
              <w:rPr>
                <w:rFonts w:hint="eastAsia"/>
                <w:color w:val="FF0000"/>
                <w:sz w:val="28"/>
                <w:szCs w:val="28"/>
                <w:u w:val="single"/>
              </w:rPr>
              <w:t>4344000</w:t>
            </w:r>
            <w:r>
              <w:rPr>
                <w:rFonts w:hint="eastAsia"/>
                <w:sz w:val="28"/>
                <w:szCs w:val="28"/>
              </w:rPr>
              <w:t>元</w:t>
            </w:r>
            <w:r>
              <w:rPr>
                <w:rFonts w:hint="eastAsia"/>
                <w:sz w:val="28"/>
                <w:szCs w:val="28"/>
                <w:lang w:val="zh-CN"/>
              </w:rPr>
              <w:t>。</w:t>
            </w:r>
          </w:p>
          <w:p>
            <w:pPr>
              <w:pStyle w:val="30"/>
              <w:ind w:firstLine="562"/>
              <w:rPr>
                <w:lang w:val="zh-CN"/>
              </w:rPr>
            </w:pPr>
            <w:r>
              <w:rPr>
                <w:rFonts w:hint="eastAsia"/>
                <w:b/>
                <w:bCs/>
                <w:sz w:val="28"/>
                <w:szCs w:val="28"/>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984"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Times New Roman" w:hAnsi="Times New Roman"/>
                <w:sz w:val="28"/>
                <w:szCs w:val="28"/>
              </w:rPr>
            </w:pPr>
            <w:r>
              <w:rPr>
                <w:rFonts w:hint="eastAsia" w:ascii="Times New Roman" w:hAnsi="Times New Roman"/>
                <w:b/>
                <w:bCs/>
                <w:sz w:val="28"/>
                <w:szCs w:val="28"/>
              </w:rPr>
              <w:t>本项目分为3个包</w:t>
            </w:r>
            <w:r>
              <w:rPr>
                <w:rFonts w:hint="eastAsia" w:ascii="Times New Roman" w:hAnsi="Times New Roman"/>
                <w:sz w:val="28"/>
                <w:szCs w:val="28"/>
              </w:rPr>
              <w:t>：</w:t>
            </w:r>
            <w:r>
              <w:rPr>
                <w:rFonts w:hint="eastAsia" w:ascii="Times New Roman" w:hAnsi="Times New Roman"/>
                <w:b/>
                <w:bCs/>
                <w:sz w:val="28"/>
                <w:szCs w:val="28"/>
              </w:rPr>
              <w:t>包1最高限价</w:t>
            </w:r>
            <w:r>
              <w:rPr>
                <w:rFonts w:hint="eastAsia" w:ascii="Times New Roman" w:hAnsi="Times New Roman"/>
                <w:color w:val="FF0000"/>
                <w:sz w:val="28"/>
                <w:szCs w:val="28"/>
                <w:u w:val="single"/>
              </w:rPr>
              <w:t>2590000</w:t>
            </w:r>
            <w:r>
              <w:rPr>
                <w:rFonts w:hint="eastAsia" w:ascii="Times New Roman" w:hAnsi="Times New Roman"/>
                <w:sz w:val="28"/>
                <w:szCs w:val="28"/>
              </w:rPr>
              <w:t>元；</w:t>
            </w:r>
          </w:p>
          <w:p>
            <w:pPr>
              <w:autoSpaceDE w:val="0"/>
              <w:autoSpaceDN w:val="0"/>
              <w:adjustRightInd w:val="0"/>
              <w:spacing w:line="360" w:lineRule="auto"/>
              <w:ind w:right="210" w:rightChars="100"/>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b/>
                <w:bCs/>
                <w:sz w:val="28"/>
                <w:szCs w:val="28"/>
              </w:rPr>
              <w:t>包2最高限价</w:t>
            </w:r>
            <w:r>
              <w:rPr>
                <w:rFonts w:hint="eastAsia" w:ascii="Times New Roman" w:hAnsi="Times New Roman"/>
                <w:color w:val="FF0000"/>
                <w:sz w:val="28"/>
                <w:szCs w:val="28"/>
                <w:u w:val="single"/>
              </w:rPr>
              <w:t>935000</w:t>
            </w:r>
            <w:r>
              <w:rPr>
                <w:rFonts w:hint="eastAsia" w:ascii="Times New Roman" w:hAnsi="Times New Roman"/>
                <w:sz w:val="28"/>
                <w:szCs w:val="28"/>
              </w:rPr>
              <w:t>元；</w:t>
            </w:r>
          </w:p>
          <w:p>
            <w:pPr>
              <w:autoSpaceDE w:val="0"/>
              <w:autoSpaceDN w:val="0"/>
              <w:adjustRightInd w:val="0"/>
              <w:spacing w:line="360" w:lineRule="auto"/>
              <w:ind w:right="210" w:rightChars="100"/>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b/>
                <w:bCs/>
                <w:sz w:val="28"/>
                <w:szCs w:val="28"/>
              </w:rPr>
              <w:t xml:space="preserve"> 包3最高限价</w:t>
            </w:r>
            <w:r>
              <w:rPr>
                <w:rFonts w:hint="eastAsia" w:ascii="Times New Roman" w:hAnsi="Times New Roman"/>
                <w:color w:val="FF0000"/>
                <w:sz w:val="28"/>
                <w:szCs w:val="28"/>
                <w:u w:val="single"/>
              </w:rPr>
              <w:t>819000</w:t>
            </w:r>
            <w:r>
              <w:rPr>
                <w:rFonts w:hint="eastAsia" w:ascii="Times New Roman" w:hAnsi="Times New Roman"/>
                <w:sz w:val="28"/>
                <w:szCs w:val="28"/>
              </w:rPr>
              <w:t xml:space="preserve">元；                </w:t>
            </w:r>
          </w:p>
          <w:p>
            <w:pPr>
              <w:autoSpaceDE w:val="0"/>
              <w:autoSpaceDN w:val="0"/>
              <w:adjustRightInd w:val="0"/>
              <w:spacing w:line="360" w:lineRule="auto"/>
              <w:ind w:right="210" w:rightChars="100"/>
              <w:rPr>
                <w:rFonts w:ascii="宋体" w:hAnsi="宋体" w:cs="宋体"/>
                <w:b/>
                <w:lang w:val="zh-CN"/>
              </w:rPr>
            </w:pPr>
            <w:r>
              <w:rPr>
                <w:rFonts w:hint="eastAsia"/>
                <w:b/>
                <w:sz w:val="28"/>
                <w:szCs w:val="28"/>
                <w:lang w:val="zh-CN"/>
              </w:rPr>
              <w:t>如投标人投标报价高于最高限价则其投标文件将按无效投标文件处理。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对招标文件中供应商参加本次政府采购活动应当具备的条件，招标项目服务、商务及其他要求，</w:t>
            </w:r>
            <w:r>
              <w:rPr>
                <w:rFonts w:hint="eastAsia" w:ascii="宋体" w:hAnsi="宋体"/>
                <w:lang w:val="zh-CN"/>
              </w:rPr>
              <w:t>投标资料造假或虚假承诺，</w:t>
            </w:r>
            <w:r>
              <w:rPr>
                <w:rFonts w:hint="eastAsia" w:ascii="宋体" w:hAnsi="宋体"/>
              </w:rPr>
              <w:t>以及关于资格审查的询问、质疑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向市公资交易中心提出，并由市公资交易中心按相关规定作出答复（详见投标人须知2.8）。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投诉受理单位：本项目同级财政部门，即都江堰市财政局。</w:t>
            </w:r>
          </w:p>
          <w:p>
            <w:pPr>
              <w:tabs>
                <w:tab w:val="left" w:pos="7665"/>
              </w:tabs>
              <w:spacing w:line="360" w:lineRule="auto"/>
              <w:rPr>
                <w:rFonts w:ascii="宋体" w:hAnsi="宋体" w:cs="宋体"/>
                <w:lang w:val="zh-CN"/>
              </w:rPr>
            </w:pPr>
            <w:r>
              <w:rPr>
                <w:rFonts w:hint="eastAsia" w:ascii="宋体" w:hAnsi="宋体" w:cs="宋体"/>
                <w:lang w:val="zh-CN"/>
              </w:rPr>
              <w:t>联系电话：028-89747932。</w:t>
            </w:r>
          </w:p>
          <w:p>
            <w:pPr>
              <w:tabs>
                <w:tab w:val="left" w:pos="7665"/>
              </w:tabs>
              <w:spacing w:line="360" w:lineRule="auto"/>
              <w:rPr>
                <w:rFonts w:ascii="宋体" w:hAnsi="宋体" w:cs="宋体"/>
                <w:lang w:val="zh-CN"/>
              </w:rPr>
            </w:pPr>
            <w:r>
              <w:rPr>
                <w:rFonts w:hint="eastAsia" w:ascii="宋体" w:hAnsi="宋体" w:cs="宋体"/>
                <w:lang w:val="zh-CN"/>
              </w:rPr>
              <w:t>地址：都江堰市善政路607号。</w:t>
            </w:r>
          </w:p>
          <w:p>
            <w:pPr>
              <w:tabs>
                <w:tab w:val="left" w:pos="7665"/>
              </w:tabs>
              <w:spacing w:line="360" w:lineRule="auto"/>
              <w:rPr>
                <w:rFonts w:ascii="宋体" w:hAnsi="宋体"/>
              </w:rPr>
            </w:pPr>
            <w:r>
              <w:rPr>
                <w:rFonts w:hint="eastAsia" w:ascii="宋体" w:hAnsi="宋体" w:cs="宋体"/>
                <w:lang w:val="zh-CN"/>
              </w:rPr>
              <w:t>邮编：</w:t>
            </w:r>
            <w:r>
              <w:rPr>
                <w:rFonts w:hint="eastAsia" w:ascii="宋体" w:hAnsi="宋体" w:cs="宋体"/>
              </w:rPr>
              <w:t>611830</w:t>
            </w:r>
            <w:r>
              <w:rPr>
                <w:rFonts w:hint="eastAsia" w:ascii="宋体" w:hAnsi="宋体" w:cs="宋体"/>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四川省都江堰市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3"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都江堰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049"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w:t>
            </w:r>
          </w:p>
        </w:tc>
        <w:tc>
          <w:tcPr>
            <w:tcW w:w="6910" w:type="dxa"/>
            <w:tcBorders>
              <w:top w:val="single" w:color="auto" w:sz="4" w:space="0"/>
              <w:left w:val="single" w:color="auto" w:sz="8" w:space="0"/>
              <w:bottom w:val="single" w:color="auto" w:sz="4" w:space="0"/>
              <w:right w:val="single" w:color="auto" w:sz="18" w:space="0"/>
            </w:tcBorders>
            <w:vAlign w:val="center"/>
          </w:tcPr>
          <w:p>
            <w:pPr>
              <w:snapToGrid w:val="0"/>
              <w:spacing w:line="360" w:lineRule="auto"/>
              <w:rPr>
                <w:rFonts w:ascii="宋体" w:hAnsi="宋体"/>
              </w:rPr>
            </w:pPr>
            <w:r>
              <w:rPr>
                <w:rFonts w:hint="eastAsia" w:ascii="宋体" w:hAnsi="宋体"/>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ind w:firstLine="240" w:firstLineChars="100"/>
              <w:rPr>
                <w:sz w:val="24"/>
              </w:rPr>
            </w:pPr>
            <w:r>
              <w:rPr>
                <w:rFonts w:hint="eastAsia"/>
                <w:sz w:val="24"/>
              </w:rPr>
              <w:t>采购单位将按照都江堰市的相关规定对本单位的政府采购项目中标（成交）供应商诚信情况进行核查。</w:t>
            </w:r>
          </w:p>
          <w:p>
            <w:pPr>
              <w:ind w:firstLine="240" w:firstLineChars="100"/>
              <w:rPr>
                <w:sz w:val="24"/>
              </w:rPr>
            </w:pPr>
            <w:r>
              <w:rPr>
                <w:sz w:val="24"/>
              </w:rPr>
              <w:t>1</w:t>
            </w:r>
            <w:r>
              <w:rPr>
                <w:rFonts w:hint="eastAsia"/>
                <w:sz w:val="24"/>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pPr>
              <w:ind w:firstLine="240" w:firstLineChars="100"/>
              <w:rPr>
                <w:sz w:val="24"/>
              </w:rPr>
            </w:pPr>
            <w:r>
              <w:rPr>
                <w:sz w:val="24"/>
              </w:rPr>
              <w:t>2</w:t>
            </w:r>
            <w:r>
              <w:rPr>
                <w:rFonts w:hint="eastAsia"/>
                <w:sz w:val="24"/>
              </w:rPr>
              <w:t>、核查范围。（</w:t>
            </w:r>
            <w:r>
              <w:rPr>
                <w:sz w:val="24"/>
              </w:rPr>
              <w:t>1</w:t>
            </w:r>
            <w:r>
              <w:rPr>
                <w:rFonts w:hint="eastAsia"/>
                <w:sz w:val="24"/>
              </w:rPr>
              <w:t>）采购预算金额在</w:t>
            </w:r>
            <w:r>
              <w:rPr>
                <w:sz w:val="24"/>
              </w:rPr>
              <w:t>50</w:t>
            </w:r>
            <w:r>
              <w:rPr>
                <w:rFonts w:hint="eastAsia"/>
                <w:sz w:val="24"/>
              </w:rPr>
              <w:t>万元（含）以上项目，对中标（成交）供应商上述规定资料的核查须达到</w:t>
            </w:r>
            <w:r>
              <w:rPr>
                <w:sz w:val="24"/>
              </w:rPr>
              <w:t>100%</w:t>
            </w:r>
            <w:r>
              <w:rPr>
                <w:rFonts w:hint="eastAsia"/>
                <w:sz w:val="24"/>
              </w:rPr>
              <w:t>。（</w:t>
            </w:r>
            <w:r>
              <w:rPr>
                <w:sz w:val="24"/>
              </w:rPr>
              <w:t>2</w:t>
            </w:r>
            <w:r>
              <w:rPr>
                <w:rFonts w:hint="eastAsia"/>
                <w:sz w:val="24"/>
              </w:rPr>
              <w:t>）采购预算金额在</w:t>
            </w:r>
            <w:r>
              <w:rPr>
                <w:sz w:val="24"/>
              </w:rPr>
              <w:t>50</w:t>
            </w:r>
            <w:r>
              <w:rPr>
                <w:rFonts w:hint="eastAsia"/>
                <w:sz w:val="24"/>
              </w:rPr>
              <w:t>万元以下的项目，对中标（成交）供应商上述规定资料的核查不低于</w:t>
            </w:r>
            <w:r>
              <w:rPr>
                <w:sz w:val="24"/>
              </w:rPr>
              <w:t>50%</w:t>
            </w:r>
            <w:r>
              <w:rPr>
                <w:rFonts w:hint="eastAsia"/>
                <w:sz w:val="24"/>
              </w:rPr>
              <w:t>（网上竞价项目除外）。（</w:t>
            </w:r>
            <w:r>
              <w:rPr>
                <w:sz w:val="24"/>
              </w:rPr>
              <w:t>3</w:t>
            </w:r>
            <w:r>
              <w:rPr>
                <w:rFonts w:hint="eastAsia"/>
                <w:sz w:val="24"/>
              </w:rPr>
              <w:t>）与人们群众切身利益或公共安全相关的项目，对中标（成交）供应商上述规定资料的核查须达到</w:t>
            </w:r>
            <w:r>
              <w:rPr>
                <w:sz w:val="24"/>
              </w:rPr>
              <w:t>100%</w:t>
            </w:r>
            <w:r>
              <w:rPr>
                <w:rFonts w:hint="eastAsia"/>
                <w:sz w:val="24"/>
              </w:rPr>
              <w:t>。（</w:t>
            </w:r>
            <w:r>
              <w:rPr>
                <w:sz w:val="24"/>
              </w:rPr>
              <w:t>4</w:t>
            </w:r>
            <w:r>
              <w:rPr>
                <w:rFonts w:hint="eastAsia"/>
                <w:sz w:val="24"/>
              </w:rPr>
              <w:t>）采购单位认为需要核查的其他情况。</w:t>
            </w:r>
          </w:p>
          <w:p>
            <w:pPr>
              <w:tabs>
                <w:tab w:val="left" w:pos="7665"/>
              </w:tabs>
              <w:snapToGrid w:val="0"/>
              <w:spacing w:line="360" w:lineRule="auto"/>
              <w:rPr>
                <w:rFonts w:ascii="宋体" w:hAnsi="宋体"/>
              </w:rPr>
            </w:pPr>
            <w:r>
              <w:rPr>
                <w:sz w:val="24"/>
              </w:rPr>
              <w:t>3</w:t>
            </w:r>
            <w:r>
              <w:rPr>
                <w:rFonts w:hint="eastAsia"/>
                <w:sz w:val="24"/>
              </w:rPr>
              <w:t>、核查结果运用。采购单位形成的供应商诚信情况核查报告做为签订合同的依据之一。对核查发现虚假材料的中标（成交）供应商，由市财政局按相关法律法规进行处罚。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Style w:val="13"/>
              <w:ind w:firstLine="480" w:firstLineChars="200"/>
              <w:rPr>
                <w:rFonts w:ascii="Calibri" w:hAnsi="Calibri"/>
                <w:color w:val="FF0000"/>
                <w:kern w:val="2"/>
                <w:sz w:val="24"/>
                <w:szCs w:val="22"/>
              </w:rPr>
            </w:pPr>
            <w:r>
              <w:rPr>
                <w:rFonts w:hint="eastAsia" w:ascii="Calibri" w:hAnsi="Calibri"/>
                <w:color w:val="FF0000"/>
                <w:kern w:val="2"/>
                <w:sz w:val="24"/>
                <w:szCs w:val="22"/>
              </w:rPr>
              <w:t>采购单位将在中标（成交）通知书发出后，要求中标（成交）供应商在5个工作日内提供招标文件“3.2.2申明”中申明的以下资料复印件：1、营业执照副本或事业单位法人证书副本或法人登记证书副本或自然人的身份证明；2、中标前一年度资产负债表或银行出具的资信证明（投标人成立时间至投标截止时间止不足一年的，提供成立后任意时段的资产负债表）。</w:t>
            </w:r>
          </w:p>
          <w:p>
            <w:pPr>
              <w:tabs>
                <w:tab w:val="left" w:pos="7665"/>
              </w:tabs>
              <w:snapToGrid w:val="0"/>
              <w:spacing w:line="360" w:lineRule="auto"/>
              <w:rPr>
                <w:sz w:val="24"/>
              </w:rPr>
            </w:pPr>
            <w:r>
              <w:rPr>
                <w:rFonts w:hint="eastAsia"/>
                <w:color w:val="FF0000"/>
                <w:sz w:val="24"/>
              </w:rPr>
              <w:t>注：如中标（成交）供应商未按照规定时间和要求提供资料的，将以提供虚假材料谋取中标追究中标（成交）供应商的法律责任（因采购人原因未按规定时间和要求提供资料的除外）。</w:t>
            </w:r>
          </w:p>
        </w:tc>
      </w:tr>
    </w:tbl>
    <w:p>
      <w:pPr>
        <w:keepNext/>
        <w:keepLines/>
        <w:numPr>
          <w:ilvl w:val="1"/>
          <w:numId w:val="3"/>
        </w:numPr>
        <w:spacing w:before="260" w:after="260" w:line="360" w:lineRule="auto"/>
        <w:jc w:val="left"/>
        <w:outlineLvl w:val="1"/>
        <w:rPr>
          <w:rFonts w:ascii="宋体" w:hAnsi="宋体"/>
          <w:b/>
          <w:bCs/>
          <w:sz w:val="28"/>
          <w:szCs w:val="28"/>
        </w:rPr>
      </w:pPr>
      <w:bookmarkStart w:id="22" w:name="_Toc78191609"/>
      <w:r>
        <w:rPr>
          <w:rFonts w:hint="eastAsia" w:ascii="宋体" w:hAnsi="宋体"/>
          <w:b/>
          <w:bCs/>
          <w:sz w:val="28"/>
          <w:szCs w:val="28"/>
        </w:rPr>
        <w:t>总则</w:t>
      </w:r>
      <w:bookmarkEnd w:id="22"/>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9"/>
        </w:numPr>
        <w:tabs>
          <w:tab w:val="left" w:pos="1134"/>
        </w:tabs>
        <w:spacing w:line="360" w:lineRule="auto"/>
        <w:ind w:left="0" w:firstLine="566"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9"/>
        </w:numPr>
        <w:tabs>
          <w:tab w:val="left" w:pos="1134"/>
        </w:tabs>
        <w:spacing w:line="360" w:lineRule="auto"/>
        <w:ind w:left="0" w:firstLine="566" w:firstLineChars="202"/>
        <w:rPr>
          <w:rFonts w:ascii="宋体" w:hAnsi="宋体"/>
          <w:sz w:val="28"/>
          <w:szCs w:val="28"/>
        </w:rPr>
      </w:pPr>
      <w:r>
        <w:rPr>
          <w:rFonts w:hint="eastAsia" w:ascii="宋体" w:hAnsi="宋体"/>
          <w:sz w:val="28"/>
          <w:szCs w:val="28"/>
        </w:rPr>
        <w:t>本招标文件的最终解释权由采购人或市公资交易中心享有。对招标文件中供应商参加本次政府采购活动应当具备的条件，招标项目技术、服务、商务及其他要求，评标细则及标准由采购人负责解释。除上述招标文件内容，其他内容由市公资交易中心负责解释。</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0"/>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“采购人”和“甲方”系指依法进行政府采购的都江堰市级机关、事业单位、团体组织。本次招标的采购人是</w:t>
      </w:r>
      <w:r>
        <w:rPr>
          <w:rFonts w:hint="eastAsia" w:ascii="宋体" w:hAnsi="宋体"/>
          <w:b/>
          <w:color w:val="FF0000"/>
          <w:sz w:val="28"/>
          <w:szCs w:val="28"/>
          <w:u w:val="single"/>
        </w:rPr>
        <w:t>都江堰市中医医院</w:t>
      </w:r>
      <w:r>
        <w:rPr>
          <w:rFonts w:hint="eastAsia" w:ascii="宋体" w:hAnsi="宋体"/>
          <w:sz w:val="28"/>
          <w:szCs w:val="28"/>
        </w:rPr>
        <w:t>。</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0"/>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。本</w:t>
      </w:r>
      <w:r>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numPr>
          <w:ilvl w:val="0"/>
          <w:numId w:val="10"/>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不见面开标是指，市公资交易中心依托政府采购云平台组织开标活动，供应商在线参与开标的一种组织形式。</w:t>
      </w:r>
    </w:p>
    <w:p>
      <w:pPr>
        <w:numPr>
          <w:ilvl w:val="0"/>
          <w:numId w:val="10"/>
        </w:numPr>
        <w:tabs>
          <w:tab w:val="left" w:pos="1134"/>
        </w:tabs>
        <w:spacing w:line="360" w:lineRule="auto"/>
        <w:ind w:left="0" w:firstLine="568"/>
        <w:rPr>
          <w:rFonts w:ascii="宋体" w:hAnsi="宋体"/>
          <w:sz w:val="28"/>
          <w:szCs w:val="28"/>
        </w:rPr>
      </w:pPr>
      <w:r>
        <w:rPr>
          <w:rFonts w:hint="eastAsia" w:ascii="宋体" w:hAnsi="宋体"/>
          <w:color w:val="FF0000"/>
          <w:sz w:val="28"/>
          <w:szCs w:val="28"/>
        </w:rPr>
        <w:t>本招标文件“招标编号”、四川省政府采购网上该项目自动生成的“采购项目编号”以及成都市公共资源交易服务中心网上该项目自动生成的“项目编号”均有效。</w:t>
      </w:r>
    </w:p>
    <w:p>
      <w:pPr>
        <w:keepNext/>
        <w:keepLines/>
        <w:numPr>
          <w:ilvl w:val="2"/>
          <w:numId w:val="3"/>
        </w:numPr>
        <w:spacing w:line="360" w:lineRule="auto"/>
        <w:ind w:left="3119" w:hanging="3119"/>
        <w:outlineLvl w:val="2"/>
        <w:rPr>
          <w:rFonts w:ascii="宋体" w:hAnsi="宋体"/>
          <w:b/>
          <w:bCs/>
          <w:sz w:val="28"/>
          <w:szCs w:val="28"/>
        </w:rPr>
      </w:pPr>
      <w:bookmarkStart w:id="23" w:name="_Toc183682344"/>
      <w:bookmarkStart w:id="24" w:name="_Toc217446036"/>
      <w:bookmarkStart w:id="25" w:name="_Toc183582207"/>
      <w:bookmarkStart w:id="26" w:name="_Toc217390843"/>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6" w:firstLineChars="202"/>
        <w:rPr>
          <w:rFonts w:ascii="宋体" w:hAnsi="宋体"/>
          <w:sz w:val="28"/>
          <w:szCs w:val="28"/>
        </w:rPr>
      </w:pPr>
      <w:r>
        <w:rPr>
          <w:rFonts w:hint="eastAsia" w:ascii="宋体" w:hAnsi="宋体"/>
          <w:sz w:val="28"/>
          <w:szCs w:val="28"/>
        </w:rPr>
        <w:t>合格的投标人应具备以下条件：</w:t>
      </w:r>
    </w:p>
    <w:p>
      <w:pPr>
        <w:numPr>
          <w:ilvl w:val="0"/>
          <w:numId w:val="11"/>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1"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2"/>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2"/>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numPr>
          <w:ilvl w:val="0"/>
          <w:numId w:val="12"/>
        </w:numPr>
        <w:tabs>
          <w:tab w:val="left" w:pos="1134"/>
        </w:tabs>
        <w:adjustRightInd w:val="0"/>
        <w:spacing w:line="360" w:lineRule="auto"/>
        <w:ind w:left="0" w:firstLine="567"/>
        <w:rPr>
          <w:rFonts w:ascii="宋体" w:hAnsi="宋体"/>
          <w:b/>
          <w:sz w:val="28"/>
          <w:szCs w:val="28"/>
        </w:rPr>
      </w:pPr>
      <w:r>
        <w:rPr>
          <w:rFonts w:hint="eastAsia" w:asciiTheme="minorEastAsia" w:hAnsiTheme="minorEastAsia"/>
          <w:sz w:val="28"/>
          <w:szCs w:val="28"/>
          <w:lang w:val="zh-CN"/>
        </w:rPr>
        <w:t>本项目</w:t>
      </w:r>
      <w:r>
        <w:rPr>
          <w:rFonts w:hint="eastAsia" w:asciiTheme="minorEastAsia" w:hAnsiTheme="minorEastAsia"/>
          <w:color w:val="FF0000"/>
          <w:sz w:val="28"/>
          <w:szCs w:val="28"/>
          <w:lang w:val="zh-CN"/>
        </w:rPr>
        <w:t>核心产品，包1为床旁连续性血液净化机，包2为经颅多普勒超声诊断仪，包3为电子阴道镜</w:t>
      </w:r>
      <w:r>
        <w:rPr>
          <w:rFonts w:hint="eastAsia" w:asciiTheme="minorEastAsia" w:hAnsiTheme="minorEastAsia"/>
          <w:b/>
          <w:sz w:val="28"/>
          <w:szCs w:val="28"/>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w:t>
      </w:r>
      <w:r>
        <w:rPr>
          <w:rFonts w:hAnsi="宋体"/>
          <w:sz w:val="28"/>
          <w:szCs w:val="28"/>
          <w:lang w:val="zh-CN"/>
        </w:rPr>
        <w:t>（</w:t>
      </w:r>
      <w:r>
        <w:rPr>
          <w:rFonts w:hint="eastAsia" w:hAnsi="宋体"/>
          <w:sz w:val="28"/>
          <w:szCs w:val="28"/>
          <w:lang w:val="zh-CN"/>
        </w:rPr>
        <w:t>包件</w:t>
      </w:r>
      <w:r>
        <w:rPr>
          <w:rFonts w:hAnsi="宋体"/>
          <w:sz w:val="28"/>
          <w:szCs w:val="28"/>
          <w:lang w:val="zh-CN"/>
        </w:rPr>
        <w:t>）</w:t>
      </w:r>
      <w:r>
        <w:rPr>
          <w:rFonts w:hint="eastAsia" w:hAnsi="宋体"/>
          <w:sz w:val="28"/>
          <w:szCs w:val="28"/>
          <w:lang w:val="zh-CN"/>
        </w:rPr>
        <w:t>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3"/>
        </w:numPr>
        <w:spacing w:line="360" w:lineRule="auto"/>
        <w:jc w:val="left"/>
        <w:outlineLvl w:val="1"/>
        <w:rPr>
          <w:rFonts w:ascii="宋体" w:hAnsi="宋体"/>
          <w:b/>
          <w:bCs/>
          <w:sz w:val="28"/>
          <w:szCs w:val="28"/>
        </w:rPr>
      </w:pPr>
      <w:bookmarkStart w:id="27" w:name="_Toc183582210"/>
      <w:bookmarkStart w:id="28" w:name="_Toc183682347"/>
      <w:bookmarkStart w:id="29" w:name="_Toc78191610"/>
      <w:bookmarkStart w:id="30" w:name="_Toc217446039"/>
      <w:r>
        <w:rPr>
          <w:rFonts w:hint="eastAsia" w:ascii="宋体" w:hAnsi="宋体"/>
          <w:b/>
          <w:bCs/>
          <w:sz w:val="28"/>
          <w:szCs w:val="28"/>
        </w:rPr>
        <w:t>招标文件</w:t>
      </w:r>
      <w:bookmarkEnd w:id="27"/>
      <w:bookmarkEnd w:id="28"/>
      <w:bookmarkEnd w:id="29"/>
      <w:bookmarkEnd w:id="30"/>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3"/>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3"/>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3"/>
        </w:numPr>
        <w:spacing w:line="360" w:lineRule="auto"/>
        <w:ind w:left="0" w:firstLine="0"/>
        <w:outlineLvl w:val="2"/>
        <w:rPr>
          <w:rFonts w:ascii="宋体" w:hAnsi="宋体"/>
          <w:b/>
          <w:bCs/>
          <w:sz w:val="28"/>
          <w:szCs w:val="28"/>
        </w:rPr>
      </w:pPr>
      <w:bookmarkStart w:id="31" w:name="_Toc183682348"/>
      <w:bookmarkStart w:id="32" w:name="_Toc183582211"/>
      <w:bookmarkStart w:id="33" w:name="_Toc217446040"/>
      <w:r>
        <w:rPr>
          <w:rFonts w:hint="eastAsia" w:ascii="宋体" w:hAnsi="宋体"/>
          <w:b/>
          <w:bCs/>
          <w:sz w:val="28"/>
          <w:szCs w:val="28"/>
        </w:rPr>
        <w:t>招标文件的澄清</w:t>
      </w:r>
      <w:bookmarkEnd w:id="31"/>
      <w:bookmarkEnd w:id="32"/>
      <w:r>
        <w:rPr>
          <w:rFonts w:hint="eastAsia" w:ascii="宋体" w:hAnsi="宋体"/>
          <w:b/>
          <w:bCs/>
          <w:sz w:val="28"/>
          <w:szCs w:val="28"/>
        </w:rPr>
        <w:t>和修改</w:t>
      </w:r>
      <w:bookmarkEnd w:id="33"/>
      <w:bookmarkStart w:id="34" w:name="_Toc183582214"/>
      <w:bookmarkStart w:id="35" w:name="_Toc183682351"/>
      <w:bookmarkStart w:id="36" w:name="_Toc77400780"/>
      <w:bookmarkStart w:id="37" w:name="_Toc89075876"/>
      <w:bookmarkStart w:id="38" w:name="_Toc217446042"/>
    </w:p>
    <w:p>
      <w:pPr>
        <w:numPr>
          <w:ilvl w:val="0"/>
          <w:numId w:val="15"/>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市公资交易中心</w:t>
      </w:r>
      <w:r>
        <w:rPr>
          <w:rFonts w:hint="eastAsia" w:ascii="宋体" w:hAnsi="宋体"/>
          <w:sz w:val="28"/>
          <w:szCs w:val="28"/>
        </w:rPr>
        <w:t>可以对已发出的招标文件进行必要的澄清或者修改。</w:t>
      </w:r>
    </w:p>
    <w:p>
      <w:pPr>
        <w:numPr>
          <w:ilvl w:val="0"/>
          <w:numId w:val="15"/>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市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15"/>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市公资交易中心应当在投标截止时间至少15日前，通过政府采购云平台通知所有获取招标文件的潜在投标人；不足15日的，采购人或市公资交易中心应当顺延提交投标文件的截止时间。</w:t>
      </w:r>
    </w:p>
    <w:p>
      <w:pPr>
        <w:keepNext/>
        <w:keepLines/>
        <w:numPr>
          <w:ilvl w:val="1"/>
          <w:numId w:val="3"/>
        </w:numPr>
        <w:spacing w:line="360" w:lineRule="auto"/>
        <w:jc w:val="left"/>
        <w:outlineLvl w:val="1"/>
        <w:rPr>
          <w:rFonts w:ascii="宋体" w:hAnsi="宋体"/>
          <w:b/>
          <w:bCs/>
          <w:sz w:val="28"/>
          <w:szCs w:val="28"/>
        </w:rPr>
      </w:pPr>
      <w:bookmarkStart w:id="39" w:name="_Toc78191611"/>
      <w:r>
        <w:rPr>
          <w:rFonts w:hint="eastAsia" w:ascii="宋体" w:hAnsi="宋体"/>
          <w:b/>
          <w:bCs/>
          <w:sz w:val="28"/>
          <w:szCs w:val="28"/>
        </w:rPr>
        <w:t>投标文件</w:t>
      </w:r>
      <w:bookmarkEnd w:id="34"/>
      <w:bookmarkEnd w:id="35"/>
      <w:bookmarkEnd w:id="36"/>
      <w:bookmarkEnd w:id="37"/>
      <w:bookmarkEnd w:id="38"/>
      <w:bookmarkEnd w:id="39"/>
    </w:p>
    <w:p>
      <w:pPr>
        <w:keepNext/>
        <w:keepLines/>
        <w:numPr>
          <w:ilvl w:val="2"/>
          <w:numId w:val="3"/>
        </w:numPr>
        <w:spacing w:line="360" w:lineRule="auto"/>
        <w:ind w:left="0" w:firstLine="0"/>
        <w:outlineLvl w:val="2"/>
        <w:rPr>
          <w:rFonts w:ascii="宋体" w:hAnsi="宋体"/>
          <w:b/>
          <w:bCs/>
          <w:sz w:val="28"/>
          <w:szCs w:val="28"/>
        </w:rPr>
      </w:pPr>
      <w:bookmarkStart w:id="40" w:name="_Toc217446043"/>
      <w:bookmarkStart w:id="41" w:name="_Toc183582215"/>
      <w:bookmarkStart w:id="42" w:name="_Toc183682352"/>
      <w:r>
        <w:rPr>
          <w:rFonts w:hint="eastAsia" w:ascii="宋体" w:hAnsi="宋体"/>
          <w:b/>
          <w:bCs/>
          <w:sz w:val="28"/>
          <w:szCs w:val="28"/>
        </w:rPr>
        <w:t>投标文件的语言</w:t>
      </w:r>
      <w:bookmarkEnd w:id="40"/>
      <w:bookmarkEnd w:id="41"/>
      <w:bookmarkEnd w:id="42"/>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市公资交易中心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3"/>
        </w:numPr>
        <w:spacing w:line="360" w:lineRule="auto"/>
        <w:ind w:left="0" w:firstLine="0"/>
        <w:outlineLvl w:val="2"/>
        <w:rPr>
          <w:rFonts w:ascii="宋体" w:hAnsi="宋体"/>
          <w:b/>
          <w:bCs/>
          <w:sz w:val="28"/>
          <w:szCs w:val="28"/>
        </w:rPr>
      </w:pPr>
      <w:bookmarkStart w:id="43" w:name="_Toc217446044"/>
      <w:bookmarkStart w:id="44" w:name="_Toc183682353"/>
      <w:bookmarkStart w:id="45" w:name="_Toc183582216"/>
      <w:r>
        <w:rPr>
          <w:rFonts w:hint="eastAsia" w:ascii="宋体" w:hAnsi="宋体"/>
          <w:b/>
          <w:bCs/>
          <w:sz w:val="28"/>
          <w:szCs w:val="28"/>
        </w:rPr>
        <w:t>计量单位</w:t>
      </w:r>
      <w:bookmarkEnd w:id="43"/>
      <w:bookmarkEnd w:id="44"/>
      <w:bookmarkEnd w:id="45"/>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3"/>
        </w:numPr>
        <w:spacing w:line="360" w:lineRule="auto"/>
        <w:ind w:left="0" w:firstLine="0"/>
        <w:outlineLvl w:val="2"/>
        <w:rPr>
          <w:rFonts w:ascii="宋体" w:hAnsi="宋体"/>
          <w:b/>
          <w:bCs/>
          <w:sz w:val="28"/>
          <w:szCs w:val="28"/>
        </w:rPr>
      </w:pPr>
      <w:bookmarkStart w:id="46" w:name="_Toc217446045"/>
      <w:r>
        <w:rPr>
          <w:rFonts w:hint="eastAsia" w:ascii="宋体" w:hAnsi="宋体"/>
          <w:b/>
          <w:bCs/>
          <w:sz w:val="28"/>
          <w:szCs w:val="28"/>
        </w:rPr>
        <w:t>投标货币</w:t>
      </w:r>
      <w:bookmarkEnd w:id="46"/>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3"/>
        </w:numPr>
        <w:spacing w:line="360" w:lineRule="auto"/>
        <w:ind w:left="0" w:firstLine="0"/>
        <w:outlineLvl w:val="2"/>
        <w:rPr>
          <w:rFonts w:ascii="宋体" w:hAnsi="宋体"/>
          <w:b/>
          <w:bCs/>
          <w:sz w:val="28"/>
          <w:szCs w:val="28"/>
        </w:rPr>
      </w:pPr>
      <w:bookmarkStart w:id="47" w:name="_Toc217446046"/>
      <w:r>
        <w:rPr>
          <w:rFonts w:hint="eastAsia" w:ascii="宋体" w:hAnsi="宋体"/>
          <w:b/>
          <w:bCs/>
          <w:sz w:val="28"/>
          <w:szCs w:val="28"/>
        </w:rPr>
        <w:t>联合体投标</w:t>
      </w:r>
      <w:bookmarkEnd w:id="47"/>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3"/>
        </w:numPr>
        <w:spacing w:line="360" w:lineRule="auto"/>
        <w:ind w:left="0" w:firstLine="0"/>
        <w:outlineLvl w:val="2"/>
        <w:rPr>
          <w:rFonts w:ascii="宋体" w:hAnsi="宋体"/>
          <w:b/>
          <w:bCs/>
          <w:sz w:val="28"/>
          <w:szCs w:val="28"/>
        </w:rPr>
      </w:pPr>
      <w:bookmarkStart w:id="48" w:name="_Toc217446047"/>
      <w:r>
        <w:rPr>
          <w:rFonts w:hint="eastAsia" w:ascii="宋体" w:hAnsi="宋体"/>
          <w:b/>
          <w:bCs/>
          <w:sz w:val="28"/>
          <w:szCs w:val="28"/>
        </w:rPr>
        <w:t>知识产权</w:t>
      </w:r>
      <w:bookmarkEnd w:id="48"/>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3"/>
        </w:numPr>
        <w:spacing w:line="360" w:lineRule="auto"/>
        <w:ind w:left="0" w:firstLine="0"/>
        <w:outlineLvl w:val="2"/>
        <w:rPr>
          <w:rFonts w:ascii="宋体" w:hAnsi="宋体"/>
          <w:b/>
          <w:bCs/>
          <w:sz w:val="28"/>
          <w:szCs w:val="28"/>
        </w:rPr>
      </w:pPr>
      <w:bookmarkStart w:id="49" w:name="_Toc183582217"/>
      <w:bookmarkStart w:id="50" w:name="_Toc217446048"/>
      <w:bookmarkStart w:id="51" w:name="_Toc183682354"/>
      <w:r>
        <w:rPr>
          <w:rFonts w:hint="eastAsia" w:ascii="宋体" w:hAnsi="宋体"/>
          <w:b/>
          <w:bCs/>
          <w:sz w:val="28"/>
          <w:szCs w:val="28"/>
        </w:rPr>
        <w:t>投标文件的组成</w:t>
      </w:r>
      <w:bookmarkEnd w:id="49"/>
      <w:bookmarkEnd w:id="50"/>
      <w:bookmarkEnd w:id="51"/>
    </w:p>
    <w:p>
      <w:pPr>
        <w:spacing w:line="360" w:lineRule="auto"/>
        <w:ind w:firstLine="549"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3"/>
        </w:numPr>
        <w:rPr>
          <w:rFonts w:ascii="宋体" w:hAnsi="宋体"/>
        </w:rPr>
      </w:pPr>
      <w:r>
        <w:rPr>
          <w:rFonts w:hint="eastAsia" w:ascii="宋体" w:hAnsi="宋体"/>
        </w:rPr>
        <w:t>资格响应文件：</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8"/>
        </w:numPr>
        <w:tabs>
          <w:tab w:val="left" w:pos="1134"/>
        </w:tabs>
        <w:spacing w:line="360" w:lineRule="auto"/>
        <w:ind w:left="0" w:firstLine="565" w:firstLineChars="201"/>
        <w:rPr>
          <w:rFonts w:ascii="宋体" w:hAnsi="宋体"/>
          <w:b/>
          <w:sz w:val="28"/>
          <w:szCs w:val="28"/>
        </w:rPr>
      </w:pPr>
      <w:r>
        <w:rPr>
          <w:rFonts w:hint="eastAsia" w:ascii="宋体" w:hAnsi="宋体"/>
          <w:b/>
          <w:sz w:val="28"/>
          <w:szCs w:val="28"/>
        </w:rPr>
        <w:t>中小企业声明函（说明：提供了残疾人福利性单位声明函或监狱企业证明文件复印件的不需提供）；</w:t>
      </w:r>
    </w:p>
    <w:p>
      <w:pPr>
        <w:numPr>
          <w:ilvl w:val="0"/>
          <w:numId w:val="18"/>
        </w:numPr>
        <w:tabs>
          <w:tab w:val="left" w:pos="1134"/>
        </w:tabs>
        <w:spacing w:line="360" w:lineRule="auto"/>
        <w:ind w:left="0" w:firstLine="565" w:firstLineChars="201"/>
        <w:rPr>
          <w:rFonts w:ascii="宋体" w:hAnsi="宋体"/>
          <w:b/>
          <w:sz w:val="28"/>
          <w:szCs w:val="28"/>
        </w:rPr>
      </w:pPr>
      <w:r>
        <w:rPr>
          <w:rFonts w:hint="eastAsia" w:ascii="宋体" w:hAnsi="宋体"/>
          <w:b/>
          <w:sz w:val="28"/>
          <w:szCs w:val="28"/>
        </w:rPr>
        <w:t>残疾人福利性单位声明函（说明：提供了中小企业声明函或监狱企业证明文件复印件的不需提供）；</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投标人应提交的其他相关资格证明材料：</w:t>
      </w:r>
    </w:p>
    <w:p>
      <w:pPr>
        <w:pStyle w:val="2"/>
        <w:ind w:firstLine="1124" w:firstLineChars="400"/>
      </w:pPr>
      <w:r>
        <w:rPr>
          <w:rFonts w:hint="eastAsia" w:ascii="宋体" w:hAnsi="宋体"/>
          <w:b/>
          <w:sz w:val="28"/>
          <w:szCs w:val="28"/>
        </w:rPr>
        <w:t>按第5章资格性审查标准提供的其他资格证明材料</w:t>
      </w:r>
    </w:p>
    <w:p>
      <w:pPr>
        <w:pStyle w:val="6"/>
        <w:numPr>
          <w:ilvl w:val="3"/>
          <w:numId w:val="3"/>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19"/>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pStyle w:val="2"/>
        <w:ind w:firstLine="562" w:firstLineChars="200"/>
      </w:pPr>
      <w:r>
        <w:rPr>
          <w:rFonts w:hint="eastAsia" w:ascii="宋体" w:hAnsi="宋体"/>
          <w:b/>
          <w:sz w:val="28"/>
          <w:szCs w:val="28"/>
        </w:rPr>
        <w:t>七、项目实施方案</w:t>
      </w:r>
    </w:p>
    <w:p>
      <w:pPr>
        <w:pStyle w:val="6"/>
        <w:numPr>
          <w:ilvl w:val="3"/>
          <w:numId w:val="3"/>
        </w:numPr>
        <w:ind w:left="0" w:hanging="8"/>
        <w:rPr>
          <w:rFonts w:ascii="宋体" w:hAnsi="宋体"/>
        </w:rPr>
      </w:pPr>
      <w:r>
        <w:rPr>
          <w:rFonts w:hint="eastAsia" w:ascii="宋体" w:hAnsi="宋体"/>
        </w:rPr>
        <w:t>报价</w:t>
      </w:r>
      <w:r>
        <w:rPr>
          <w:rFonts w:ascii="宋体" w:hAnsi="宋体"/>
        </w:rPr>
        <w:t>要求响应文件</w:t>
      </w:r>
    </w:p>
    <w:p>
      <w:pPr>
        <w:pStyle w:val="78"/>
        <w:tabs>
          <w:tab w:val="left" w:pos="1134"/>
        </w:tabs>
        <w:spacing w:line="360" w:lineRule="auto"/>
        <w:ind w:left="-8" w:firstLine="562" w:firstLineChars="200"/>
        <w:rPr>
          <w:rFonts w:ascii="宋体" w:hAnsi="宋体"/>
          <w:b/>
          <w:sz w:val="28"/>
          <w:szCs w:val="28"/>
        </w:rPr>
      </w:pPr>
      <w:r>
        <w:rPr>
          <w:rFonts w:hint="eastAsia" w:ascii="宋体" w:hAnsi="宋体"/>
          <w:b/>
          <w:sz w:val="28"/>
          <w:szCs w:val="28"/>
        </w:rPr>
        <w:t>一、开标一览表（投标报价以投标人在政府采购云平台开标一览表中填写的报价为准）；</w:t>
      </w:r>
    </w:p>
    <w:p>
      <w:pPr>
        <w:tabs>
          <w:tab w:val="left" w:pos="1134"/>
        </w:tabs>
        <w:spacing w:line="360" w:lineRule="auto"/>
        <w:ind w:firstLine="562" w:firstLineChars="200"/>
        <w:rPr>
          <w:rFonts w:ascii="宋体" w:hAnsi="宋体"/>
          <w:b/>
          <w:sz w:val="28"/>
          <w:szCs w:val="28"/>
        </w:rPr>
      </w:pPr>
      <w:r>
        <w:rPr>
          <w:rFonts w:hint="eastAsia" w:ascii="宋体" w:hAnsi="宋体"/>
          <w:b/>
          <w:sz w:val="28"/>
          <w:szCs w:val="28"/>
        </w:rPr>
        <w:t>二、报价明细表(报价明细表中要求填写品牌、规格型号、制造商、进口或国产的，投标人必须载明其投标产品的品牌、规格型号、制造商、进口或国产)。</w:t>
      </w:r>
    </w:p>
    <w:p>
      <w:pPr>
        <w:keepNext/>
        <w:keepLines/>
        <w:numPr>
          <w:ilvl w:val="2"/>
          <w:numId w:val="3"/>
        </w:numPr>
        <w:spacing w:line="360" w:lineRule="auto"/>
        <w:ind w:left="0" w:firstLine="0"/>
        <w:outlineLvl w:val="2"/>
        <w:rPr>
          <w:rFonts w:ascii="宋体" w:hAnsi="宋体"/>
          <w:b/>
          <w:bCs/>
          <w:sz w:val="28"/>
          <w:szCs w:val="28"/>
        </w:rPr>
      </w:pPr>
      <w:bookmarkStart w:id="52" w:name="_Toc316291396"/>
      <w:bookmarkEnd w:id="52"/>
      <w:bookmarkStart w:id="53" w:name="_Toc316292020"/>
      <w:bookmarkEnd w:id="53"/>
      <w:bookmarkStart w:id="54" w:name="_Toc316291395"/>
      <w:bookmarkEnd w:id="54"/>
      <w:bookmarkStart w:id="55" w:name="_Toc316292019"/>
      <w:bookmarkEnd w:id="55"/>
      <w:bookmarkStart w:id="56" w:name="_Toc183682355"/>
      <w:bookmarkStart w:id="57" w:name="_Toc183582218"/>
      <w:bookmarkStart w:id="58" w:name="_Toc217446049"/>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1"/>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1"/>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6" w:firstLineChars="202"/>
        <w:rPr>
          <w:rFonts w:ascii="宋体" w:hAnsi="宋体"/>
          <w:sz w:val="28"/>
          <w:szCs w:val="28"/>
        </w:rPr>
      </w:pPr>
      <w:bookmarkStart w:id="59" w:name="_Toc183682360"/>
      <w:bookmarkStart w:id="60" w:name="_Toc183582223"/>
      <w:bookmarkStart w:id="61" w:name="_Toc21744605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6"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3"/>
        </w:numPr>
        <w:tabs>
          <w:tab w:val="left" w:pos="851"/>
        </w:tabs>
        <w:spacing w:line="360" w:lineRule="auto"/>
        <w:ind w:left="0" w:firstLine="0"/>
        <w:outlineLvl w:val="2"/>
        <w:rPr>
          <w:rFonts w:ascii="宋体" w:hAnsi="宋体"/>
          <w:b/>
          <w:bCs/>
          <w:sz w:val="28"/>
          <w:szCs w:val="28"/>
        </w:rPr>
      </w:pPr>
      <w:bookmarkStart w:id="62" w:name="_Toc316292024"/>
      <w:bookmarkEnd w:id="62"/>
      <w:bookmarkStart w:id="63" w:name="_Toc316291400"/>
      <w:bookmarkEnd w:id="63"/>
      <w:bookmarkStart w:id="64" w:name="_Toc183682361"/>
      <w:bookmarkStart w:id="65" w:name="_Toc183582224"/>
      <w:bookmarkStart w:id="66" w:name="_Toc217446051"/>
      <w:r>
        <w:rPr>
          <w:rFonts w:hint="eastAsia" w:ascii="宋体" w:hAnsi="宋体"/>
          <w:b/>
          <w:bCs/>
          <w:sz w:val="28"/>
          <w:szCs w:val="28"/>
        </w:rPr>
        <w:t>投标有效期</w:t>
      </w:r>
      <w:bookmarkEnd w:id="64"/>
      <w:bookmarkEnd w:id="65"/>
      <w:bookmarkEnd w:id="66"/>
    </w:p>
    <w:p>
      <w:pPr>
        <w:numPr>
          <w:ilvl w:val="0"/>
          <w:numId w:val="22"/>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2"/>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3"/>
        </w:numPr>
        <w:tabs>
          <w:tab w:val="left" w:pos="851"/>
        </w:tabs>
        <w:spacing w:after="200"/>
        <w:ind w:left="0" w:firstLine="0"/>
        <w:rPr>
          <w:color w:val="auto"/>
        </w:rPr>
      </w:pPr>
      <w:bookmarkStart w:id="67" w:name="_Toc183682364"/>
      <w:bookmarkStart w:id="68" w:name="_Toc183582227"/>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3"/>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市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3"/>
        </w:numPr>
        <w:spacing w:after="200"/>
        <w:ind w:left="0" w:firstLine="0"/>
        <w:rPr>
          <w:color w:val="auto"/>
        </w:rPr>
      </w:pPr>
      <w:r>
        <w:rPr>
          <w:rFonts w:hint="eastAsia"/>
          <w:color w:val="auto"/>
        </w:rPr>
        <w:t>投标文件的补充、修改</w:t>
      </w:r>
    </w:p>
    <w:p>
      <w:pPr>
        <w:numPr>
          <w:ilvl w:val="0"/>
          <w:numId w:val="23"/>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3"/>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3"/>
        </w:numPr>
        <w:spacing w:after="200"/>
        <w:ind w:left="0" w:firstLine="0"/>
        <w:rPr>
          <w:color w:val="auto"/>
        </w:rPr>
      </w:pPr>
      <w:bookmarkStart w:id="70" w:name="_Toc316475586"/>
      <w:bookmarkEnd w:id="70"/>
      <w:bookmarkStart w:id="71" w:name="_Toc316475587"/>
      <w:bookmarkEnd w:id="71"/>
      <w:bookmarkStart w:id="72" w:name="_Toc217446055"/>
      <w:bookmarkStart w:id="73" w:name="_Toc183682365"/>
      <w:bookmarkStart w:id="74" w:name="_Toc183582228"/>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3"/>
        </w:numPr>
        <w:spacing w:after="200" w:line="240" w:lineRule="auto"/>
        <w:rPr>
          <w:color w:val="auto"/>
        </w:rPr>
      </w:pPr>
      <w:r>
        <w:rPr>
          <w:rFonts w:hint="eastAsia"/>
          <w:color w:val="auto"/>
        </w:rPr>
        <w:t>投标文件的解密</w:t>
      </w:r>
    </w:p>
    <w:p>
      <w:pPr>
        <w:tabs>
          <w:tab w:val="left" w:pos="1134"/>
        </w:tabs>
        <w:spacing w:before="120" w:line="360" w:lineRule="auto"/>
        <w:ind w:firstLine="566"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登录政府采购云平台，点击“项目采购—开标评标”模块，找到对应项目，进入“开标大厅”，等待市公资交易中心开启解密后，进行线上解密。</w:t>
      </w:r>
      <w:r>
        <w:rPr>
          <w:rFonts w:hint="eastAsia" w:ascii="宋体" w:hAnsi="宋体"/>
          <w:bCs/>
          <w:sz w:val="28"/>
          <w:szCs w:val="28"/>
        </w:rPr>
        <w:t>除因</w:t>
      </w:r>
      <w:r>
        <w:rPr>
          <w:rFonts w:hint="eastAsia" w:ascii="宋体" w:hAnsi="宋体"/>
          <w:sz w:val="28"/>
          <w:szCs w:val="28"/>
        </w:rPr>
        <w:t>市公资交易中心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3"/>
        </w:numPr>
        <w:spacing w:line="360" w:lineRule="auto"/>
        <w:jc w:val="left"/>
        <w:outlineLvl w:val="1"/>
        <w:rPr>
          <w:rFonts w:ascii="宋体" w:hAnsi="宋体"/>
          <w:b/>
          <w:bCs/>
          <w:sz w:val="28"/>
          <w:szCs w:val="28"/>
        </w:rPr>
      </w:pPr>
      <w:bookmarkStart w:id="75" w:name="_Toc217446056"/>
      <w:bookmarkStart w:id="76" w:name="_Toc183582231"/>
      <w:bookmarkStart w:id="77" w:name="_Toc89075878"/>
      <w:bookmarkStart w:id="78" w:name="_Toc183682368"/>
      <w:bookmarkStart w:id="79" w:name="_Toc78191612"/>
      <w:bookmarkStart w:id="80" w:name="_Toc77400782"/>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80"/>
        <w:numPr>
          <w:ilvl w:val="0"/>
          <w:numId w:val="24"/>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市公资交易中心开启解密后，投标人进行线上解密。开启解密后，投标人应在60分钟内，使用加密该投标文件的CA数字证书在线完成投标文件的解密。除因市公资交易中心断电、断网、系统故障或其他不可抗力等因素，导致系统无法使用外，投标人在规定的解密时间内，未成功解密的投标文件将视为无效投标文件。</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因市公资交易中心断电、断网、系统故障或其他不可抗力等因素导致不见面开标系统无法正常运行的，开标活动中止或延迟，待系统恢复正常后继续进行开标活动。</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3"/>
        </w:numPr>
        <w:spacing w:line="360" w:lineRule="auto"/>
        <w:ind w:left="0" w:firstLine="0"/>
        <w:outlineLvl w:val="2"/>
        <w:rPr>
          <w:rFonts w:ascii="宋体" w:hAnsi="宋体"/>
          <w:b/>
          <w:bCs/>
          <w:sz w:val="28"/>
          <w:szCs w:val="28"/>
        </w:rPr>
      </w:pPr>
      <w:bookmarkStart w:id="81" w:name="_Toc183582238"/>
      <w:bookmarkStart w:id="82" w:name="_Toc183682375"/>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682377"/>
      <w:bookmarkStart w:id="86"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3"/>
        </w:numPr>
        <w:spacing w:before="240" w:line="360" w:lineRule="auto"/>
        <w:jc w:val="left"/>
        <w:outlineLvl w:val="1"/>
        <w:rPr>
          <w:rFonts w:ascii="宋体" w:hAnsi="宋体"/>
          <w:b/>
          <w:bCs/>
          <w:sz w:val="28"/>
          <w:szCs w:val="28"/>
        </w:rPr>
      </w:pPr>
      <w:bookmarkStart w:id="87" w:name="_Toc78191613"/>
      <w:r>
        <w:rPr>
          <w:rFonts w:hint="eastAsia" w:ascii="宋体" w:hAnsi="宋体"/>
          <w:b/>
          <w:bCs/>
          <w:sz w:val="28"/>
          <w:szCs w:val="28"/>
        </w:rPr>
        <w:t>签订及履行合同和验收</w:t>
      </w:r>
      <w:bookmarkEnd w:id="84"/>
      <w:bookmarkEnd w:id="87"/>
    </w:p>
    <w:p>
      <w:pPr>
        <w:keepNext/>
        <w:keepLines/>
        <w:numPr>
          <w:ilvl w:val="2"/>
          <w:numId w:val="3"/>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3"/>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3"/>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20"/>
        <w:spacing w:line="360" w:lineRule="auto"/>
        <w:ind w:firstLine="560" w:firstLineChars="200"/>
        <w:rPr>
          <w:rFonts w:cs="Times New Roman"/>
          <w:color w:val="000000" w:themeColor="text1"/>
          <w:sz w:val="28"/>
          <w:szCs w:val="28"/>
          <w:lang w:val="zh-CN"/>
          <w14:textFill>
            <w14:solidFill>
              <w14:schemeClr w14:val="tx1"/>
            </w14:solidFill>
          </w14:textFill>
        </w:rPr>
      </w:pPr>
      <w:r>
        <w:rPr>
          <w:rFonts w:hint="eastAsia" w:cs="Times New Roman"/>
          <w:color w:val="000000" w:themeColor="text1"/>
          <w:sz w:val="28"/>
          <w:szCs w:val="28"/>
          <w:lang w:val="zh-CN"/>
          <w14:textFill>
            <w14:solidFill>
              <w14:schemeClr w14:val="tx1"/>
            </w14:solidFill>
          </w14:textFill>
        </w:rPr>
        <w:t>本</w:t>
      </w:r>
      <w:r>
        <w:rPr>
          <w:rFonts w:cs="Times New Roman"/>
          <w:color w:val="000000" w:themeColor="text1"/>
          <w:sz w:val="28"/>
          <w:szCs w:val="28"/>
          <w:lang w:val="zh-CN"/>
          <w14:textFill>
            <w14:solidFill>
              <w14:schemeClr w14:val="tx1"/>
            </w14:solidFill>
          </w14:textFill>
        </w:rPr>
        <w:t>项目不允许分包</w:t>
      </w:r>
      <w:r>
        <w:rPr>
          <w:rFonts w:hint="eastAsia" w:cs="Times New Roman"/>
          <w:color w:val="000000" w:themeColor="text1"/>
          <w:sz w:val="28"/>
          <w:szCs w:val="28"/>
          <w:lang w:val="zh-CN"/>
          <w14:textFill>
            <w14:solidFill>
              <w14:schemeClr w14:val="tx1"/>
            </w14:solidFill>
          </w14:textFill>
        </w:rPr>
        <w:t xml:space="preserve"> </w:t>
      </w:r>
    </w:p>
    <w:p>
      <w:pPr>
        <w:keepNext/>
        <w:keepLines/>
        <w:numPr>
          <w:ilvl w:val="3"/>
          <w:numId w:val="3"/>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3"/>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3"/>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2" w:firstLineChars="200"/>
        <w:rPr>
          <w:rFonts w:ascii="宋体" w:hAnsi="宋体"/>
          <w:color w:val="FF0000"/>
          <w:sz w:val="28"/>
          <w:szCs w:val="28"/>
        </w:rPr>
      </w:pPr>
      <w:bookmarkStart w:id="93" w:name="_Toc217446069"/>
      <w:r>
        <w:rPr>
          <w:rFonts w:hint="eastAsia" w:ascii="宋体" w:hAnsi="宋体"/>
          <w:b/>
          <w:bCs/>
          <w:color w:val="FF0000"/>
          <w:sz w:val="28"/>
          <w:szCs w:val="28"/>
        </w:rPr>
        <w:t>本项目不收取履约保证金。</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spacing w:after="180" w:line="360" w:lineRule="auto"/>
        <w:ind w:firstLine="560" w:firstLineChars="200"/>
        <w:rPr>
          <w:rFonts w:ascii="宋体" w:hAnsi="宋体"/>
          <w:sz w:val="28"/>
          <w:szCs w:val="28"/>
        </w:rPr>
      </w:pPr>
      <w:r>
        <w:rPr>
          <w:rFonts w:hint="eastAsia" w:ascii="宋体" w:hAnsi="宋体"/>
          <w:sz w:val="28"/>
          <w:szCs w:val="28"/>
        </w:rPr>
        <w:t>合同签订后5个工作日内将签订的合同原件或复印件（一份）送都江堰市公共资源交易服务中心评审科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3"/>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582243"/>
      <w:bookmarkStart w:id="97" w:name="_Toc183682380"/>
      <w:r>
        <w:rPr>
          <w:rFonts w:hint="eastAsia" w:ascii="宋体" w:hAnsi="宋体"/>
          <w:sz w:val="28"/>
          <w:szCs w:val="28"/>
        </w:rPr>
        <w:t>采购人严格按照国家相关法律法规的要求组织验收或考核。</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numPr>
          <w:ilvl w:val="0"/>
          <w:numId w:val="25"/>
        </w:num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pStyle w:val="2"/>
        <w:rPr>
          <w:rFonts w:ascii="宋体" w:hAnsi="宋体" w:cs="Helvetica"/>
          <w:color w:val="FF0000"/>
          <w:sz w:val="28"/>
          <w:szCs w:val="28"/>
        </w:rPr>
      </w:pPr>
      <w:r>
        <w:rPr>
          <w:rFonts w:hint="eastAsia"/>
        </w:rPr>
        <w:t xml:space="preserve">    </w:t>
      </w:r>
      <w:r>
        <w:rPr>
          <w:rFonts w:hint="eastAsia" w:ascii="宋体" w:hAnsi="宋体" w:cs="Helvetica"/>
          <w:sz w:val="28"/>
          <w:szCs w:val="28"/>
        </w:rPr>
        <w:t xml:space="preserve"> </w:t>
      </w:r>
      <w:r>
        <w:rPr>
          <w:rFonts w:hint="eastAsia" w:ascii="宋体" w:hAnsi="宋体" w:cs="Helvetica"/>
          <w:color w:val="FF0000"/>
          <w:sz w:val="28"/>
          <w:szCs w:val="28"/>
        </w:rPr>
        <w:t>二、本项目具体资金支付方式：设备安装调试完成并验收合格，收到正式票据60日内支付合同金额90%，质保期满后60日内支付合同金额10%。</w:t>
      </w:r>
    </w:p>
    <w:p>
      <w:pPr>
        <w:keepNext/>
        <w:keepLines/>
        <w:numPr>
          <w:ilvl w:val="1"/>
          <w:numId w:val="3"/>
        </w:numPr>
        <w:spacing w:line="360" w:lineRule="auto"/>
        <w:jc w:val="left"/>
        <w:outlineLvl w:val="1"/>
        <w:rPr>
          <w:rFonts w:ascii="宋体" w:hAnsi="宋体"/>
          <w:b/>
          <w:bCs/>
          <w:sz w:val="28"/>
          <w:szCs w:val="28"/>
        </w:rPr>
      </w:pPr>
      <w:bookmarkStart w:id="98" w:name="_Toc78191614"/>
      <w:r>
        <w:rPr>
          <w:rFonts w:hint="eastAsia" w:ascii="宋体" w:hAnsi="宋体"/>
          <w:b/>
          <w:bCs/>
          <w:sz w:val="28"/>
          <w:szCs w:val="28"/>
        </w:rPr>
        <w:t>投标纪律要求</w:t>
      </w:r>
      <w:bookmarkEnd w:id="95"/>
      <w:bookmarkEnd w:id="98"/>
    </w:p>
    <w:p>
      <w:pPr>
        <w:keepNext/>
        <w:keepLines/>
        <w:numPr>
          <w:ilvl w:val="2"/>
          <w:numId w:val="3"/>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市公资交易中心</w:t>
      </w:r>
      <w:r>
        <w:rPr>
          <w:rFonts w:hint="eastAsia" w:ascii="宋体" w:hAnsi="宋体"/>
          <w:sz w:val="28"/>
          <w:szCs w:val="28"/>
        </w:rPr>
        <w:t>、其他投标人恶意串通；</w:t>
      </w:r>
    </w:p>
    <w:p>
      <w:pPr>
        <w:numPr>
          <w:ilvl w:val="1"/>
          <w:numId w:val="26"/>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市公资交易中心</w:t>
      </w:r>
      <w:r>
        <w:rPr>
          <w:rFonts w:hint="eastAsia" w:ascii="宋体" w:hAnsi="宋体"/>
          <w:sz w:val="28"/>
          <w:szCs w:val="28"/>
        </w:rPr>
        <w:t>、评标委员会成员行贿或者提供其他不正当利益；</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市公资交易中心</w:t>
      </w:r>
      <w:r>
        <w:rPr>
          <w:rFonts w:hint="eastAsia" w:ascii="宋体" w:hAnsi="宋体"/>
          <w:sz w:val="28"/>
          <w:szCs w:val="28"/>
        </w:rPr>
        <w:t>进行协商谈判；</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6"/>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6"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3"/>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7"/>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7"/>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市公资交易中心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3"/>
        </w:numPr>
        <w:spacing w:line="360" w:lineRule="auto"/>
        <w:jc w:val="left"/>
        <w:outlineLvl w:val="1"/>
        <w:rPr>
          <w:rFonts w:ascii="宋体" w:hAnsi="宋体"/>
          <w:b/>
          <w:bCs/>
          <w:sz w:val="28"/>
          <w:szCs w:val="28"/>
        </w:rPr>
      </w:pPr>
      <w:bookmarkStart w:id="101" w:name="_Toc78191615"/>
      <w:bookmarkStart w:id="102" w:name="_Toc217446078"/>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28"/>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28"/>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29"/>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w:t>
      </w:r>
      <w:r>
        <w:rPr>
          <w:rFonts w:hint="eastAsia" w:ascii="宋体" w:hAnsi="宋体"/>
          <w:color w:val="000000" w:themeColor="text1"/>
          <w:sz w:val="28"/>
          <w:szCs w:val="28"/>
          <w:lang w:val="zh-CN"/>
          <w14:textFill>
            <w14:solidFill>
              <w14:schemeClr w14:val="tx1"/>
            </w14:solidFill>
          </w14:textFill>
        </w:rPr>
        <w:t>投标资料造假或虚假承诺</w:t>
      </w:r>
      <w:r>
        <w:rPr>
          <w:rFonts w:hint="eastAsia" w:ascii="宋体" w:hAnsi="宋体"/>
          <w:sz w:val="28"/>
          <w:szCs w:val="28"/>
        </w:rPr>
        <w:t>，和中标结果中关于资格审查提出询问或质疑的，应通过政府采购</w:t>
      </w:r>
      <w:r>
        <w:rPr>
          <w:rFonts w:ascii="宋体" w:hAnsi="宋体"/>
          <w:sz w:val="28"/>
          <w:szCs w:val="28"/>
        </w:rPr>
        <w:t>云平台</w:t>
      </w:r>
      <w:r>
        <w:rPr>
          <w:rFonts w:hint="eastAsia" w:ascii="宋体" w:hAnsi="宋体"/>
          <w:sz w:val="28"/>
          <w:szCs w:val="28"/>
        </w:rPr>
        <w:t>向采购人提出；</w:t>
      </w:r>
    </w:p>
    <w:p>
      <w:pPr>
        <w:numPr>
          <w:ilvl w:val="1"/>
          <w:numId w:val="29"/>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提出询问或质疑的，应通过政府采购</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市公资交易中心</w:t>
      </w:r>
      <w:r>
        <w:rPr>
          <w:rFonts w:hint="eastAsia" w:ascii="宋体" w:hAnsi="宋体"/>
          <w:sz w:val="28"/>
          <w:szCs w:val="28"/>
        </w:rPr>
        <w:t>提出。</w:t>
      </w:r>
    </w:p>
    <w:p>
      <w:pPr>
        <w:numPr>
          <w:ilvl w:val="0"/>
          <w:numId w:val="28"/>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28"/>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28"/>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28"/>
        </w:numPr>
        <w:tabs>
          <w:tab w:val="left" w:pos="1134"/>
        </w:tabs>
        <w:spacing w:line="360" w:lineRule="auto"/>
        <w:ind w:left="0" w:firstLine="567"/>
        <w:rPr>
          <w:rFonts w:ascii="宋体" w:hAnsi="宋体"/>
          <w:sz w:val="28"/>
          <w:szCs w:val="28"/>
        </w:rPr>
      </w:pPr>
      <w:r>
        <w:rPr>
          <w:rFonts w:hint="eastAsia" w:ascii="宋体" w:hAnsi="宋体"/>
          <w:sz w:val="28"/>
          <w:szCs w:val="28"/>
        </w:rPr>
        <w:t>供应商对采购人或市公资交易中心的质疑答复不满意，或者采购人或市公资交易中心未在规定期限内作出答复的，供应商可以在答复期满后15个工作日内向同级财政部门提起投诉。</w:t>
      </w:r>
    </w:p>
    <w:p>
      <w:pPr>
        <w:keepNext/>
        <w:keepLines/>
        <w:numPr>
          <w:ilvl w:val="1"/>
          <w:numId w:val="3"/>
        </w:numPr>
        <w:spacing w:before="260" w:line="360" w:lineRule="auto"/>
        <w:jc w:val="left"/>
        <w:outlineLvl w:val="1"/>
        <w:rPr>
          <w:rFonts w:ascii="宋体" w:hAnsi="宋体"/>
          <w:b/>
          <w:bCs/>
          <w:sz w:val="28"/>
          <w:szCs w:val="28"/>
        </w:rPr>
      </w:pPr>
      <w:bookmarkStart w:id="104" w:name="_Toc78191616"/>
      <w:r>
        <w:rPr>
          <w:rFonts w:hint="eastAsia" w:ascii="宋体" w:hAnsi="宋体"/>
          <w:b/>
          <w:bCs/>
          <w:sz w:val="28"/>
          <w:szCs w:val="28"/>
        </w:rPr>
        <w:t>中小企业政府采购信用融资</w:t>
      </w:r>
      <w:bookmarkEnd w:id="104"/>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color w:val="000000" w:themeColor="text1"/>
          <w:sz w:val="28"/>
          <w:szCs w:val="28"/>
          <w14:textFill>
            <w14:solidFill>
              <w14:schemeClr w14:val="tx1"/>
            </w14:solidFill>
          </w14:textFill>
        </w:rPr>
        <w:t>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r>
        <w:rPr>
          <w:rFonts w:hint="eastAsia" w:ascii="宋体" w:hAnsi="宋体"/>
          <w:sz w:val="28"/>
          <w:szCs w:val="28"/>
        </w:rPr>
        <w:t>。</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rPr>
          <w:rFonts w:ascii="宋体" w:hAnsi="宋体"/>
          <w:sz w:val="28"/>
          <w:szCs w:val="28"/>
        </w:rPr>
      </w:pPr>
      <w:r>
        <w:rPr>
          <w:rFonts w:ascii="宋体" w:hAnsi="宋体"/>
          <w:sz w:val="28"/>
          <w:szCs w:val="28"/>
        </w:rPr>
        <w:br w:type="page"/>
      </w:r>
    </w:p>
    <w:p>
      <w:pPr>
        <w:pStyle w:val="2"/>
      </w:pPr>
    </w:p>
    <w:p>
      <w:pPr>
        <w:tabs>
          <w:tab w:val="left" w:pos="1276"/>
        </w:tabs>
        <w:spacing w:line="360" w:lineRule="auto"/>
        <w:rPr>
          <w:rFonts w:ascii="宋体" w:hAnsi="宋体"/>
          <w:sz w:val="28"/>
          <w:szCs w:val="28"/>
        </w:rPr>
      </w:pPr>
    </w:p>
    <w:p>
      <w:pPr>
        <w:keepNext/>
        <w:keepLines/>
        <w:numPr>
          <w:ilvl w:val="0"/>
          <w:numId w:val="3"/>
        </w:numPr>
        <w:spacing w:before="340" w:after="330" w:line="400" w:lineRule="exact"/>
        <w:ind w:left="567"/>
        <w:jc w:val="center"/>
        <w:outlineLvl w:val="0"/>
        <w:rPr>
          <w:rFonts w:ascii="宋体" w:hAnsi="宋体"/>
          <w:b/>
          <w:bCs/>
          <w:spacing w:val="-20"/>
          <w:kern w:val="44"/>
          <w:sz w:val="32"/>
          <w:szCs w:val="32"/>
        </w:rPr>
      </w:pPr>
      <w:bookmarkStart w:id="105" w:name="_Toc315871049"/>
      <w:bookmarkEnd w:id="105"/>
      <w:bookmarkStart w:id="106" w:name="_Toc316292049"/>
      <w:bookmarkEnd w:id="106"/>
      <w:bookmarkStart w:id="107" w:name="_Toc315871046"/>
      <w:bookmarkEnd w:id="107"/>
      <w:bookmarkStart w:id="108" w:name="_Toc315871045"/>
      <w:bookmarkEnd w:id="108"/>
      <w:bookmarkStart w:id="109" w:name="_Toc316292052"/>
      <w:bookmarkEnd w:id="109"/>
      <w:bookmarkStart w:id="110" w:name="_Toc315871048"/>
      <w:bookmarkEnd w:id="110"/>
      <w:bookmarkStart w:id="111" w:name="_Toc315871047"/>
      <w:bookmarkEnd w:id="111"/>
      <w:bookmarkStart w:id="112" w:name="_Toc315871050"/>
      <w:bookmarkEnd w:id="112"/>
      <w:bookmarkStart w:id="113" w:name="_Toc316292048"/>
      <w:bookmarkEnd w:id="113"/>
      <w:bookmarkStart w:id="114" w:name="_Toc316292051"/>
      <w:bookmarkEnd w:id="114"/>
      <w:bookmarkStart w:id="115" w:name="_Toc316292050"/>
      <w:bookmarkEnd w:id="115"/>
      <w:bookmarkStart w:id="116" w:name="_Toc78191617"/>
      <w:r>
        <w:rPr>
          <w:rFonts w:hint="eastAsia" w:ascii="宋体" w:hAnsi="宋体"/>
          <w:b/>
          <w:bCs/>
          <w:spacing w:val="-20"/>
          <w:kern w:val="44"/>
          <w:sz w:val="32"/>
          <w:szCs w:val="32"/>
        </w:rPr>
        <w:t>投标文件格式</w:t>
      </w:r>
      <w:bookmarkEnd w:id="116"/>
    </w:p>
    <w:p>
      <w:pPr>
        <w:keepNext/>
        <w:keepLines/>
        <w:numPr>
          <w:ilvl w:val="1"/>
          <w:numId w:val="3"/>
        </w:numPr>
        <w:spacing w:before="260" w:after="260" w:line="360" w:lineRule="auto"/>
        <w:jc w:val="left"/>
        <w:outlineLvl w:val="1"/>
        <w:rPr>
          <w:rFonts w:ascii="宋体" w:hAnsi="宋体"/>
          <w:b/>
          <w:bCs/>
          <w:sz w:val="28"/>
          <w:szCs w:val="28"/>
        </w:rPr>
      </w:pPr>
      <w:bookmarkStart w:id="117" w:name="_Toc78191618"/>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项目名称：XXXXX采购项目</w:t>
      </w:r>
    </w:p>
    <w:p>
      <w:pPr>
        <w:spacing w:line="360" w:lineRule="auto"/>
        <w:rPr>
          <w:rFonts w:ascii="宋体" w:hAnsi="宋体"/>
          <w:b/>
          <w:sz w:val="32"/>
          <w:szCs w:val="32"/>
          <w:u w:val="single"/>
        </w:rPr>
      </w:pPr>
      <w:r>
        <w:rPr>
          <w:rFonts w:hint="eastAsia" w:ascii="宋体" w:hAnsi="宋体"/>
          <w:b/>
          <w:bCs/>
          <w:sz w:val="32"/>
          <w:szCs w:val="32"/>
        </w:rPr>
        <w:t>项目编号：JY3202</w:t>
      </w:r>
      <w:r>
        <w:rPr>
          <w:rFonts w:hint="eastAsia" w:ascii="宋体" w:hAnsi="宋体"/>
          <w:b/>
          <w:bCs/>
          <w:sz w:val="32"/>
          <w:szCs w:val="32"/>
          <w:u w:val="single"/>
        </w:rPr>
        <w:t xml:space="preserve">       </w:t>
      </w:r>
      <w:r>
        <w:rPr>
          <w:rFonts w:hint="eastAsia" w:ascii="宋体" w:hAnsi="宋体"/>
          <w:b/>
          <w:bCs/>
          <w:sz w:val="32"/>
          <w:szCs w:val="32"/>
        </w:rPr>
        <w:t>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keepNext/>
        <w:keepLines/>
        <w:numPr>
          <w:ilvl w:val="1"/>
          <w:numId w:val="3"/>
        </w:numPr>
        <w:spacing w:before="260" w:after="260" w:line="360" w:lineRule="auto"/>
        <w:jc w:val="left"/>
        <w:outlineLvl w:val="1"/>
        <w:rPr>
          <w:rFonts w:ascii="宋体" w:hAnsi="宋体"/>
          <w:b/>
          <w:bCs/>
          <w:sz w:val="28"/>
          <w:szCs w:val="28"/>
        </w:rPr>
      </w:pPr>
      <w:bookmarkStart w:id="118" w:name="_Toc78191619"/>
      <w:r>
        <w:rPr>
          <w:rFonts w:hint="eastAsia" w:ascii="宋体" w:hAnsi="宋体"/>
          <w:b/>
          <w:bCs/>
          <w:sz w:val="28"/>
          <w:szCs w:val="28"/>
        </w:rPr>
        <w:t>资格响应文件</w:t>
      </w:r>
      <w:bookmarkEnd w:id="118"/>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146903609"/>
      <w:bookmarkStart w:id="121" w:name="_Toc119203988"/>
      <w:bookmarkStart w:id="122" w:name="_Toc119296788"/>
      <w:bookmarkStart w:id="123" w:name="_Toc52184753"/>
      <w:bookmarkStart w:id="124" w:name="_Toc119295087"/>
      <w:r>
        <w:rPr>
          <w:rFonts w:hint="eastAsia" w:ascii="宋体" w:hAnsi="宋体"/>
          <w:sz w:val="28"/>
          <w:szCs w:val="28"/>
        </w:rPr>
        <w:t>致：</w:t>
      </w:r>
      <w:bookmarkEnd w:id="119"/>
      <w:r>
        <w:rPr>
          <w:rFonts w:hint="eastAsia" w:ascii="宋体" w:hAnsi="宋体"/>
          <w:sz w:val="28"/>
          <w:szCs w:val="28"/>
        </w:rPr>
        <w:t>都江堰市公共资源交易服务中心</w:t>
      </w:r>
    </w:p>
    <w:p>
      <w:pPr>
        <w:spacing w:line="360" w:lineRule="auto"/>
        <w:ind w:firstLine="566"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rPr>
        <w:t>XXXXXXX 采购项目（项目编号：JY3202     号）</w:t>
      </w:r>
      <w:r>
        <w:rPr>
          <w:rFonts w:hint="eastAsia" w:ascii="宋体" w:hAnsi="宋体"/>
          <w:sz w:val="28"/>
          <w:szCs w:val="28"/>
        </w:rPr>
        <w:t>的公开招标，提交的下列文件和说明是准确的和真实的。</w:t>
      </w:r>
      <w:bookmarkEnd w:id="125"/>
    </w:p>
    <w:p>
      <w:pPr>
        <w:widowControl/>
        <w:numPr>
          <w:ilvl w:val="2"/>
          <w:numId w:val="31"/>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2"/>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2"/>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2"/>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2"/>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1"/>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sz w:val="28"/>
          <w:szCs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致：都江堰市公共资源交易服务中心</w:t>
      </w:r>
    </w:p>
    <w:p>
      <w:pPr>
        <w:ind w:firstLine="560" w:firstLineChars="200"/>
        <w:rPr>
          <w:sz w:val="28"/>
          <w:szCs w:val="28"/>
        </w:rPr>
      </w:pPr>
      <w:r>
        <w:rPr>
          <w:rFonts w:hint="eastAsia" w:ascii="宋体" w:hAnsi="宋体"/>
          <w:color w:val="000000" w:themeColor="text1"/>
          <w:sz w:val="28"/>
          <w:szCs w:val="28"/>
          <w14:textFill>
            <w14:solidFill>
              <w14:schemeClr w14:val="tx1"/>
            </w14:solidFill>
          </w14:textFill>
        </w:rPr>
        <w:t>我单位作为</w:t>
      </w:r>
      <w:r>
        <w:rPr>
          <w:rFonts w:hint="eastAsia" w:ascii="宋体" w:hAnsi="宋体"/>
          <w:b/>
          <w:color w:val="000000" w:themeColor="text1"/>
          <w:sz w:val="28"/>
          <w:szCs w:val="28"/>
          <w:u w:val="single"/>
          <w14:textFill>
            <w14:solidFill>
              <w14:schemeClr w14:val="tx1"/>
            </w14:solidFill>
          </w14:textFill>
        </w:rPr>
        <w:t>XXXX采购项目（项目编号：JY3202        号）</w:t>
      </w:r>
      <w:r>
        <w:rPr>
          <w:rFonts w:hint="eastAsia" w:ascii="宋体" w:hAnsi="宋体"/>
          <w:color w:val="000000" w:themeColor="text1"/>
          <w:sz w:val="28"/>
          <w:szCs w:val="28"/>
          <w14:textFill>
            <w14:solidFill>
              <w14:schemeClr w14:val="tx1"/>
            </w14:solidFill>
          </w14:textFill>
        </w:rPr>
        <w:t>的投标人，在此郑重声明：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w:t>
      </w:r>
      <w:r>
        <w:rPr>
          <w:rFonts w:hint="eastAsia"/>
          <w:sz w:val="28"/>
          <w:szCs w:val="28"/>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独立承担民事责任的能力；</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sz w:val="28"/>
          <w:szCs w:val="28"/>
        </w:rPr>
        <w:t>二、</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color w:val="000000" w:themeColor="text1"/>
          <w:sz w:val="28"/>
          <w:szCs w:val="28"/>
          <w14:textFill>
            <w14:solidFill>
              <w14:schemeClr w14:val="tx1"/>
            </w14:solidFill>
          </w14:textFill>
        </w:rPr>
        <w:t>良好的商业信誉和健全的财务会计制度；</w:t>
      </w:r>
    </w:p>
    <w:p>
      <w:pPr>
        <w:pStyle w:val="13"/>
        <w:ind w:firstLine="560" w:firstLineChars="200"/>
        <w:rPr>
          <w:rFonts w:ascii="宋体" w:hAnsi="宋体"/>
          <w:sz w:val="28"/>
          <w:szCs w:val="28"/>
        </w:rPr>
      </w:pPr>
      <w:r>
        <w:rPr>
          <w:rFonts w:hint="eastAsia"/>
          <w:sz w:val="28"/>
          <w:szCs w:val="28"/>
        </w:rPr>
        <w:t>三、我单位（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履行合同所必需的设备和专业技术能力；</w:t>
      </w:r>
    </w:p>
    <w:p>
      <w:pPr>
        <w:pStyle w:val="2"/>
        <w:ind w:firstLine="560" w:firstLineChars="200"/>
        <w:rPr>
          <w:rFonts w:ascii="宋体" w:hAnsi="宋体"/>
          <w:color w:val="000000" w:themeColor="text1"/>
          <w:sz w:val="28"/>
          <w:szCs w:val="28"/>
          <w14:textFill>
            <w14:solidFill>
              <w14:schemeClr w14:val="tx1"/>
            </w14:solidFill>
          </w14:textFill>
        </w:rPr>
      </w:pPr>
      <w:r>
        <w:rPr>
          <w:rFonts w:hint="eastAsia" w:ascii="宋体" w:hAnsi="宋体"/>
          <w:sz w:val="28"/>
          <w:szCs w:val="28"/>
        </w:rPr>
        <w:t>四、我单位（</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sz w:val="28"/>
          <w:szCs w:val="28"/>
        </w:rPr>
        <w:t>依法缴纳税收和社会保障资金的良好记录；</w:t>
      </w:r>
    </w:p>
    <w:p>
      <w:pPr>
        <w:ind w:firstLine="560" w:firstLineChars="200"/>
        <w:rPr>
          <w:sz w:val="28"/>
          <w:szCs w:val="28"/>
        </w:rPr>
      </w:pPr>
      <w:r>
        <w:rPr>
          <w:rFonts w:hint="eastAsia" w:ascii="宋体" w:hAnsi="宋体"/>
          <w:color w:val="000000" w:themeColor="text1"/>
          <w:sz w:val="28"/>
          <w:szCs w:val="28"/>
          <w14:textFill>
            <w14:solidFill>
              <w14:schemeClr w14:val="tx1"/>
            </w14:solidFill>
          </w14:textFill>
        </w:rPr>
        <w:t>五、我单位参加政府采购活动前三年内，在经营活动中</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重大违法记录。</w:t>
      </w:r>
    </w:p>
    <w:p>
      <w:pPr>
        <w:pStyle w:val="2"/>
        <w:ind w:firstLine="560" w:firstLineChars="200"/>
        <w:rPr>
          <w:sz w:val="28"/>
          <w:szCs w:val="28"/>
        </w:rPr>
      </w:pPr>
      <w:r>
        <w:rPr>
          <w:rFonts w:hint="eastAsia"/>
          <w:sz w:val="28"/>
          <w:szCs w:val="28"/>
        </w:rPr>
        <w:t>六、我单位</w:t>
      </w:r>
      <w:r>
        <w:rPr>
          <w:rFonts w:hint="eastAsia" w:ascii="宋体" w:hAnsi="宋体"/>
          <w:b/>
          <w:color w:val="000000" w:themeColor="text1"/>
          <w:sz w:val="28"/>
          <w:szCs w:val="28"/>
          <w:u w:val="single"/>
          <w14:textFill>
            <w14:solidFill>
              <w14:schemeClr w14:val="tx1"/>
            </w14:solidFill>
          </w14:textFill>
        </w:rPr>
        <w:t>（说明：填写“满足”或“不满足”）</w:t>
      </w:r>
      <w:r>
        <w:rPr>
          <w:rFonts w:hint="eastAsia" w:ascii="宋体" w:hAnsi="宋体"/>
          <w:sz w:val="28"/>
          <w:szCs w:val="28"/>
        </w:rPr>
        <w:t>法律、行政法规规定的其他条件；</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七、与我单位负责人为同一人或者存在直接控股、管理关系的相关供应商：</w:t>
      </w:r>
      <w:r>
        <w:rPr>
          <w:rFonts w:hint="eastAsia" w:ascii="宋体" w:hAnsi="宋体"/>
          <w:b/>
          <w:color w:val="000000" w:themeColor="text1"/>
          <w:sz w:val="28"/>
          <w:szCs w:val="28"/>
          <w:u w:val="single"/>
          <w14:textFill>
            <w14:solidFill>
              <w14:schemeClr w14:val="tx1"/>
            </w14:solidFill>
          </w14:textFill>
        </w:rPr>
        <w:t>（说明：填写“无”或“（一）供应商名称１；（二）供应商名称２；（三）……”）</w:t>
      </w:r>
      <w:r>
        <w:rPr>
          <w:rFonts w:hint="eastAsia" w:ascii="宋体" w:hAnsi="宋体"/>
          <w:color w:val="000000" w:themeColor="text1"/>
          <w:sz w:val="28"/>
          <w:szCs w:val="28"/>
          <w14:textFill>
            <w14:solidFill>
              <w14:schemeClr w14:val="tx1"/>
            </w14:solidFill>
          </w14:textFill>
        </w:rPr>
        <w:t xml:space="preserve"> 。</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八、在行贿犯罪信息查询期限内，我单位及我单位现任法定代表人、主要负责人</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行贿犯罪记录。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九、我单位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失信被执行人、重大税收违法案件当事人名单。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政府采购严重违法失信行为记录名单。</w:t>
      </w:r>
    </w:p>
    <w:p>
      <w:pPr>
        <w:ind w:firstLine="560" w:firstLineChars="200"/>
        <w:rPr>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十一、我单位</w:t>
      </w:r>
      <w:r>
        <w:rPr>
          <w:rFonts w:hint="eastAsia" w:ascii="宋体" w:hAnsi="宋体"/>
          <w:b/>
          <w:color w:val="000000" w:themeColor="text1"/>
          <w:sz w:val="28"/>
          <w:szCs w:val="28"/>
          <w:u w:val="single"/>
          <w14:textFill>
            <w14:solidFill>
              <w14:schemeClr w14:val="tx1"/>
            </w14:solidFill>
          </w14:textFill>
        </w:rPr>
        <w:t>（说明：填写“未处于”或“处于”）</w:t>
      </w:r>
      <w:r>
        <w:rPr>
          <w:rFonts w:hint="eastAsia" w:ascii="宋体" w:hAnsi="宋体"/>
          <w:bCs/>
          <w:color w:val="000000" w:themeColor="text1"/>
          <w:sz w:val="28"/>
          <w:szCs w:val="28"/>
          <w14:textFill>
            <w14:solidFill>
              <w14:schemeClr w14:val="tx1"/>
            </w14:solidFill>
          </w14:textFill>
        </w:rPr>
        <w:t>被行政部门禁止参与政府采购活动的期限内。</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特此声明。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投标人名称：XXXX</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    期：20XX年XX月XX日</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 1.对声明中第五条的说明：如投标人在参加政府采购活动前三年内，在经营活动中有重大违法记录的，应填写“有”，投标人将被认定投标无效或被取消中标资格；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2.对声明中第七条的说明：单位负责人为同一人或者存在直接控股、管理关系的不同供应商，不得参加同一合同项下的政府采购活动；</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对声明中第九、十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5.对声明中第十一条的说明：如投标人处于被行政部门禁止参加政府采购活动期限内的，该声明填“处于”，投标人将被认定投标无效或被取消中标资格；</w:t>
      </w:r>
    </w:p>
    <w:p>
      <w:pPr>
        <w:ind w:firstLine="560" w:firstLineChars="200"/>
        <w:rPr>
          <w:rFonts w:ascii="宋体" w:hAnsi="宋体"/>
          <w:color w:val="FF0000"/>
          <w:sz w:val="28"/>
          <w:szCs w:val="28"/>
        </w:rPr>
      </w:pPr>
      <w:r>
        <w:rPr>
          <w:rFonts w:hint="eastAsia" w:ascii="宋体" w:hAnsi="宋体"/>
          <w:color w:val="FF0000"/>
          <w:sz w:val="28"/>
          <w:szCs w:val="28"/>
        </w:rPr>
        <w:t>6、我单位保证以上申明文件资料是真实、准确的，我单位保证按照招标文件“2.1投标人须知前附表24项”的要求向采购人提供资料。如经查实上述的内容事项存在虚假或未按照招标文件“2.1投标人须知前附表24项”的要求向采购人提供资料，我单位愿意接受以提供虚假材料谋取中标追究法律责任。</w:t>
      </w:r>
    </w:p>
    <w:p>
      <w:pPr>
        <w:ind w:firstLine="560" w:firstLineChars="200"/>
        <w:rPr>
          <w:rFonts w:ascii="宋体" w:hAnsi="宋体"/>
          <w:color w:val="FF0000"/>
          <w:sz w:val="28"/>
          <w:szCs w:val="28"/>
        </w:rPr>
      </w:pPr>
      <w:r>
        <w:rPr>
          <w:rFonts w:ascii="宋体" w:hAnsi="宋体"/>
          <w:color w:val="FF0000"/>
          <w:sz w:val="28"/>
          <w:szCs w:val="28"/>
        </w:rPr>
        <w:br w:type="page"/>
      </w:r>
    </w:p>
    <w:p>
      <w:pPr>
        <w:tabs>
          <w:tab w:val="left" w:pos="1260"/>
        </w:tabs>
        <w:spacing w:line="560" w:lineRule="exact"/>
        <w:ind w:firstLine="420" w:firstLineChars="200"/>
        <w:rPr>
          <w:rFonts w:ascii="宋体" w:hAnsi="宋体"/>
          <w:szCs w:val="28"/>
        </w:rPr>
      </w:pPr>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bCs/>
          <w:sz w:val="28"/>
          <w:szCs w:val="28"/>
          <w:u w:val="single"/>
        </w:rPr>
        <w:t>XXXXXX</w:t>
      </w:r>
      <w:r>
        <w:rPr>
          <w:rFonts w:hint="eastAsia" w:ascii="宋体" w:hAnsi="宋体"/>
          <w:sz w:val="28"/>
          <w:szCs w:val="28"/>
        </w:rPr>
        <w:t>（单位名称）的</w:t>
      </w:r>
      <w:r>
        <w:rPr>
          <w:rFonts w:hint="eastAsia" w:ascii="宋体" w:hAnsi="宋体"/>
          <w:b/>
          <w:bCs/>
          <w:sz w:val="28"/>
          <w:szCs w:val="28"/>
          <w:u w:val="single"/>
        </w:rPr>
        <w:t>XXXXX采购项目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left"/>
        <w:rPr>
          <w:rFonts w:ascii="宋体" w:hAnsi="宋体"/>
          <w:sz w:val="28"/>
          <w:szCs w:val="28"/>
        </w:rPr>
      </w:pPr>
    </w:p>
    <w:p>
      <w:pPr>
        <w:spacing w:line="480" w:lineRule="exact"/>
        <w:ind w:right="280" w:firstLine="561"/>
        <w:jc w:val="lef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jc w:val="left"/>
        <w:rPr>
          <w:rFonts w:ascii="宋体" w:hAnsi="宋体"/>
          <w:sz w:val="28"/>
          <w:szCs w:val="28"/>
        </w:rPr>
      </w:pPr>
      <w:r>
        <w:rPr>
          <w:rFonts w:hint="eastAsia" w:ascii="宋体" w:hAnsi="宋体"/>
          <w:sz w:val="28"/>
          <w:szCs w:val="28"/>
        </w:rPr>
        <w:t>日 期：202X年XX月XX日</w:t>
      </w:r>
    </w:p>
    <w:p>
      <w:pPr>
        <w:pStyle w:val="80"/>
        <w:tabs>
          <w:tab w:val="left" w:pos="567"/>
          <w:tab w:val="left" w:pos="709"/>
          <w:tab w:val="left" w:pos="851"/>
        </w:tabs>
        <w:spacing w:line="520" w:lineRule="exact"/>
        <w:ind w:firstLine="0" w:firstLineChars="0"/>
        <w:rPr>
          <w:rFonts w:ascii="宋体" w:hAnsi="宋体" w:eastAsia="宋体"/>
          <w:b/>
          <w:sz w:val="28"/>
          <w:szCs w:val="28"/>
        </w:rPr>
      </w:pPr>
    </w:p>
    <w:p>
      <w:pPr>
        <w:pStyle w:val="80"/>
        <w:tabs>
          <w:tab w:val="left" w:pos="567"/>
          <w:tab w:val="left" w:pos="709"/>
          <w:tab w:val="left" w:pos="851"/>
        </w:tabs>
        <w:spacing w:line="520" w:lineRule="exact"/>
        <w:ind w:firstLine="0" w:firstLineChars="0"/>
        <w:rPr>
          <w:rFonts w:ascii="宋体" w:hAnsi="宋体" w:eastAsia="宋体"/>
          <w:b/>
          <w:sz w:val="28"/>
          <w:szCs w:val="28"/>
        </w:rPr>
      </w:pPr>
    </w:p>
    <w:p>
      <w:pPr>
        <w:pStyle w:val="80"/>
        <w:tabs>
          <w:tab w:val="left" w:pos="567"/>
          <w:tab w:val="left" w:pos="709"/>
          <w:tab w:val="left" w:pos="851"/>
        </w:tabs>
        <w:spacing w:line="520" w:lineRule="exact"/>
        <w:ind w:firstLine="0" w:firstLineChars="0"/>
        <w:rPr>
          <w:rFonts w:ascii="宋体" w:hAnsi="宋体" w:eastAsia="宋体"/>
          <w:b/>
          <w:sz w:val="28"/>
          <w:szCs w:val="28"/>
          <w:vertAlign w:val="superscript"/>
        </w:rPr>
      </w:pPr>
      <w:r>
        <w:rPr>
          <w:rFonts w:hint="eastAsia" w:ascii="宋体" w:hAnsi="宋体" w:eastAsia="宋体"/>
          <w:b/>
          <w:sz w:val="28"/>
          <w:szCs w:val="28"/>
        </w:rPr>
        <w:t>说明：1、</w:t>
      </w:r>
      <w:r>
        <w:rPr>
          <w:rFonts w:hint="eastAsia" w:ascii="宋体" w:hAnsi="宋体"/>
          <w:b/>
          <w:sz w:val="28"/>
          <w:szCs w:val="28"/>
        </w:rPr>
        <w:t>提供了《残疾人福利性单位声明函》或监狱企业证明文件复印件的不需提供；</w:t>
      </w:r>
    </w:p>
    <w:p>
      <w:pPr>
        <w:pStyle w:val="80"/>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2、从业人员、营业收入、资产总额填报上一年度数据，无上一年度数据的新成立企业可不填报。</w:t>
      </w:r>
    </w:p>
    <w:p>
      <w:pPr>
        <w:pStyle w:val="80"/>
        <w:tabs>
          <w:tab w:val="left" w:pos="567"/>
          <w:tab w:val="left" w:pos="709"/>
          <w:tab w:val="left" w:pos="851"/>
        </w:tabs>
        <w:spacing w:line="520" w:lineRule="exact"/>
        <w:ind w:firstLine="0" w:firstLineChars="0"/>
        <w:rPr>
          <w:rFonts w:ascii="宋体" w:hAnsi="宋体" w:eastAsia="宋体"/>
          <w:b/>
          <w:sz w:val="28"/>
          <w:szCs w:val="28"/>
        </w:rPr>
      </w:pPr>
    </w:p>
    <w:p>
      <w:pPr>
        <w:pStyle w:val="80"/>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sz w:val="28"/>
          <w:szCs w:val="28"/>
          <w:u w:val="single"/>
        </w:rPr>
        <w:t>XXXXX</w:t>
      </w:r>
      <w:r>
        <w:rPr>
          <w:rFonts w:hint="eastAsia" w:ascii="宋体" w:hAnsi="宋体"/>
          <w:spacing w:val="6"/>
          <w:sz w:val="28"/>
          <w:szCs w:val="28"/>
          <w:u w:val="single"/>
        </w:rPr>
        <w:t>的</w:t>
      </w:r>
      <w:r>
        <w:rPr>
          <w:rFonts w:hint="eastAsia" w:ascii="宋体" w:hAnsi="宋体"/>
          <w:b/>
          <w:bCs/>
          <w:sz w:val="28"/>
          <w:szCs w:val="28"/>
          <w:u w:val="single"/>
        </w:rPr>
        <w:t>XXXXX采购项目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88"/>
        <w:jc w:val="left"/>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lef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588" w:lineRule="exact"/>
        <w:ind w:firstLine="586" w:firstLineChars="200"/>
        <w:rPr>
          <w:rFonts w:ascii="宋体" w:hAnsi="宋体"/>
          <w:b/>
          <w:spacing w:val="6"/>
          <w:sz w:val="28"/>
          <w:szCs w:val="28"/>
        </w:rPr>
      </w:pPr>
      <w:r>
        <w:rPr>
          <w:rFonts w:hint="eastAsia" w:ascii="宋体" w:hAnsi="宋体"/>
          <w:b/>
          <w:spacing w:val="6"/>
          <w:sz w:val="28"/>
          <w:szCs w:val="28"/>
        </w:rPr>
        <w:t>说明</w:t>
      </w:r>
      <w:r>
        <w:rPr>
          <w:rFonts w:ascii="宋体" w:hAnsi="宋体"/>
          <w:b/>
          <w:spacing w:val="6"/>
          <w:sz w:val="28"/>
          <w:szCs w:val="28"/>
        </w:rPr>
        <w:t>：</w:t>
      </w:r>
      <w:r>
        <w:rPr>
          <w:rFonts w:hint="eastAsia" w:ascii="宋体" w:hAnsi="宋体"/>
          <w:b/>
          <w:spacing w:val="6"/>
          <w:sz w:val="28"/>
          <w:szCs w:val="28"/>
        </w:rPr>
        <w:t>提供了《中小</w:t>
      </w:r>
      <w:r>
        <w:rPr>
          <w:rFonts w:ascii="宋体" w:hAnsi="宋体"/>
          <w:b/>
          <w:spacing w:val="6"/>
          <w:sz w:val="28"/>
          <w:szCs w:val="28"/>
        </w:rPr>
        <w:t>企业声明函</w:t>
      </w:r>
      <w:r>
        <w:rPr>
          <w:rFonts w:hint="eastAsia" w:ascii="宋体" w:hAnsi="宋体"/>
          <w:b/>
          <w:spacing w:val="6"/>
          <w:sz w:val="28"/>
          <w:szCs w:val="28"/>
        </w:rPr>
        <w:t>》或监狱企业证明文件复印件的不需提供。</w:t>
      </w: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02"/>
        <w:rPr>
          <w:rFonts w:ascii="宋体" w:hAnsi="宋体"/>
          <w:bCs/>
          <w:sz w:val="28"/>
        </w:rPr>
      </w:pP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投标人应提交的其他相关资格证明材料</w:t>
      </w:r>
    </w:p>
    <w:p>
      <w:pPr>
        <w:pStyle w:val="80"/>
        <w:spacing w:before="60" w:line="360" w:lineRule="auto"/>
        <w:ind w:left="546" w:firstLine="0" w:firstLineChars="0"/>
        <w:rPr>
          <w:rFonts w:ascii="宋体" w:hAnsi="宋体"/>
          <w:sz w:val="28"/>
          <w:szCs w:val="28"/>
        </w:rPr>
      </w:pPr>
      <w:r>
        <w:rPr>
          <w:rFonts w:hint="eastAsia" w:ascii="宋体" w:hAnsi="宋体" w:eastAsia="宋体" w:cs="Times New Roman"/>
          <w:bCs/>
          <w:color w:val="000000" w:themeColor="text1"/>
          <w:kern w:val="0"/>
          <w:sz w:val="28"/>
          <w:szCs w:val="28"/>
          <w14:textFill>
            <w14:solidFill>
              <w14:schemeClr w14:val="tx1"/>
            </w14:solidFill>
          </w14:textFill>
        </w:rPr>
        <w:t>按第5章资格性审查标准提供的其他资格证明材料</w:t>
      </w:r>
      <w:r>
        <w:rPr>
          <w:rFonts w:hint="eastAsia" w:ascii="宋体" w:hAnsi="宋体"/>
          <w:sz w:val="28"/>
          <w:szCs w:val="28"/>
        </w:rPr>
        <w:t>。</w:t>
      </w:r>
    </w:p>
    <w:p>
      <w:pPr>
        <w:rPr>
          <w:rFonts w:ascii="宋体" w:hAnsi="宋体"/>
          <w:sz w:val="28"/>
          <w:szCs w:val="28"/>
        </w:rPr>
      </w:pPr>
      <w:r>
        <w:rPr>
          <w:rFonts w:hint="eastAsia" w:ascii="宋体" w:hAnsi="宋体"/>
          <w:sz w:val="28"/>
          <w:szCs w:val="28"/>
        </w:rPr>
        <w:br w:type="page"/>
      </w:r>
    </w:p>
    <w:p>
      <w:pPr>
        <w:pStyle w:val="80"/>
        <w:spacing w:before="60" w:line="360" w:lineRule="auto"/>
        <w:ind w:left="546" w:firstLine="0" w:firstLineChars="0"/>
        <w:rPr>
          <w:rFonts w:ascii="宋体" w:hAnsi="宋体"/>
          <w:sz w:val="28"/>
          <w:szCs w:val="28"/>
        </w:rPr>
      </w:pPr>
    </w:p>
    <w:p>
      <w:pPr>
        <w:keepNext/>
        <w:keepLines/>
        <w:numPr>
          <w:ilvl w:val="1"/>
          <w:numId w:val="3"/>
        </w:numPr>
        <w:spacing w:line="360" w:lineRule="auto"/>
        <w:jc w:val="left"/>
        <w:outlineLvl w:val="1"/>
        <w:rPr>
          <w:rFonts w:ascii="宋体" w:hAnsi="宋体"/>
          <w:b/>
          <w:bCs/>
          <w:sz w:val="28"/>
          <w:szCs w:val="28"/>
        </w:rPr>
      </w:pPr>
      <w:bookmarkStart w:id="127" w:name="_Toc78191620"/>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3"/>
        </w:numPr>
        <w:spacing w:line="360" w:lineRule="auto"/>
        <w:ind w:left="569" w:hanging="569"/>
        <w:outlineLvl w:val="2"/>
        <w:rPr>
          <w:rFonts w:ascii="宋体" w:hAnsi="宋体"/>
          <w:b/>
          <w:bCs/>
          <w:sz w:val="28"/>
          <w:szCs w:val="28"/>
        </w:rPr>
      </w:pPr>
      <w:r>
        <w:rPr>
          <w:rFonts w:hint="eastAsia" w:ascii="宋体" w:hAnsi="宋体"/>
          <w:b/>
          <w:bCs/>
          <w:sz w:val="28"/>
          <w:szCs w:val="28"/>
        </w:rPr>
        <w:t>投标函</w:t>
      </w:r>
    </w:p>
    <w:p>
      <w:pPr>
        <w:spacing w:line="560" w:lineRule="exact"/>
        <w:rPr>
          <w:rFonts w:ascii="宋体" w:hAnsi="宋体"/>
          <w:bCs/>
          <w:sz w:val="28"/>
          <w:szCs w:val="28"/>
        </w:rPr>
      </w:pPr>
      <w:r>
        <w:rPr>
          <w:rFonts w:hint="eastAsia" w:ascii="宋体" w:hAnsi="宋体"/>
          <w:bCs/>
          <w:sz w:val="28"/>
          <w:szCs w:val="28"/>
        </w:rPr>
        <w:t>都江堰市公共资源交易服务中心：</w:t>
      </w:r>
    </w:p>
    <w:p>
      <w:pPr>
        <w:spacing w:line="560" w:lineRule="exact"/>
        <w:ind w:firstLine="566"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XXXX采购项目</w:t>
      </w:r>
      <w:r>
        <w:rPr>
          <w:rFonts w:hint="eastAsia" w:ascii="宋体" w:hAnsi="宋体"/>
          <w:b/>
          <w:bCs/>
          <w:sz w:val="28"/>
          <w:szCs w:val="28"/>
          <w:u w:val="single"/>
        </w:rPr>
        <w:t>”（项目编号：JY3202    号）</w:t>
      </w:r>
      <w:r>
        <w:rPr>
          <w:rFonts w:hint="eastAsia" w:ascii="宋体" w:hAnsi="宋体"/>
          <w:bCs/>
          <w:sz w:val="28"/>
          <w:szCs w:val="28"/>
        </w:rPr>
        <w:t>招标文件，决定参加贵单位组织的本项目投标。</w:t>
      </w:r>
    </w:p>
    <w:p>
      <w:pPr>
        <w:numPr>
          <w:ilvl w:val="1"/>
          <w:numId w:val="33"/>
        </w:numPr>
        <w:tabs>
          <w:tab w:val="left" w:pos="1134"/>
        </w:tabs>
        <w:spacing w:line="56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3"/>
        </w:numPr>
        <w:tabs>
          <w:tab w:val="left" w:pos="1134"/>
        </w:tabs>
        <w:spacing w:line="56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3"/>
        </w:numPr>
        <w:tabs>
          <w:tab w:val="left" w:pos="1134"/>
        </w:tabs>
        <w:spacing w:line="56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3"/>
        </w:numPr>
        <w:tabs>
          <w:tab w:val="left" w:pos="1134"/>
        </w:tabs>
        <w:spacing w:line="56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3"/>
        </w:numPr>
        <w:tabs>
          <w:tab w:val="left" w:pos="1134"/>
        </w:tabs>
        <w:spacing w:line="56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3"/>
        </w:numPr>
        <w:tabs>
          <w:tab w:val="left" w:pos="1134"/>
        </w:tabs>
        <w:spacing w:line="360" w:lineRule="auto"/>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360" w:lineRule="auto"/>
        <w:ind w:left="420" w:firstLine="566"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360" w:lineRule="auto"/>
        <w:ind w:left="420" w:firstLine="566"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360" w:lineRule="auto"/>
        <w:ind w:left="420" w:firstLine="566"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360" w:lineRule="auto"/>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360" w:lineRule="auto"/>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39846734"/>
      <w:bookmarkStart w:id="129" w:name="_Toc237145395"/>
      <w:bookmarkStart w:id="130" w:name="_Toc229802674"/>
      <w:bookmarkStart w:id="131" w:name="_Toc314574804"/>
      <w:bookmarkStart w:id="132" w:name="_Toc231030275"/>
      <w:bookmarkStart w:id="133" w:name="_Toc240367172"/>
      <w:bookmarkStart w:id="134" w:name="_Toc240865266"/>
      <w:bookmarkStart w:id="135" w:name="_Toc239849853"/>
      <w:bookmarkStart w:id="136" w:name="_Toc265494342"/>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02" w:lineRule="auto"/>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3"/>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63753605"/>
      <w:bookmarkStart w:id="141" w:name="_Toc263768870"/>
      <w:bookmarkStart w:id="142" w:name="_Toc220299393"/>
      <w:bookmarkStart w:id="143" w:name="_Toc217446083"/>
      <w:r>
        <w:rPr>
          <w:rFonts w:hint="eastAsia" w:ascii="宋体" w:hAnsi="宋体"/>
          <w:b/>
          <w:bCs/>
          <w:sz w:val="28"/>
          <w:szCs w:val="28"/>
        </w:rPr>
        <w:t>投标人基本情况表</w:t>
      </w:r>
      <w:bookmarkEnd w:id="139"/>
    </w:p>
    <w:tbl>
      <w:tblPr>
        <w:tblStyle w:val="47"/>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rPr>
      </w:pPr>
    </w:p>
    <w:p>
      <w:pPr>
        <w:adjustRightInd w:val="0"/>
        <w:spacing w:line="400" w:lineRule="exact"/>
        <w:ind w:firstLine="700" w:firstLineChars="250"/>
        <w:rPr>
          <w:rFonts w:ascii="宋体" w:hAnsi="宋体"/>
          <w:bCs/>
          <w:sz w:val="28"/>
          <w:szCs w:val="28"/>
        </w:rPr>
      </w:pPr>
    </w:p>
    <w:bookmarkEnd w:id="140"/>
    <w:bookmarkEnd w:id="141"/>
    <w:bookmarkEnd w:id="142"/>
    <w:p>
      <w:pPr>
        <w:keepNext/>
        <w:keepLines/>
        <w:numPr>
          <w:ilvl w:val="2"/>
          <w:numId w:val="3"/>
        </w:numPr>
        <w:spacing w:line="360" w:lineRule="auto"/>
        <w:ind w:left="142" w:hanging="142"/>
        <w:outlineLvl w:val="2"/>
        <w:rPr>
          <w:rFonts w:ascii="宋体" w:hAnsi="宋体"/>
          <w:b/>
          <w:bCs/>
          <w:sz w:val="28"/>
          <w:szCs w:val="28"/>
        </w:rPr>
      </w:pPr>
      <w:bookmarkStart w:id="144" w:name="_Toc263768877"/>
      <w:bookmarkStart w:id="145" w:name="_Toc263753619"/>
      <w:bookmarkStart w:id="146" w:name="_Toc302997928"/>
      <w:r>
        <w:rPr>
          <w:rFonts w:hint="eastAsia" w:ascii="宋体" w:hAnsi="宋体"/>
          <w:b/>
          <w:bCs/>
          <w:sz w:val="28"/>
          <w:szCs w:val="28"/>
        </w:rPr>
        <w:t>投标产品技术性能、技术参数和配置的详细描述</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szCs w:val="28"/>
          <w:u w:val="single"/>
        </w:rPr>
        <w:t>XXXXXX采购项目</w:t>
      </w:r>
    </w:p>
    <w:p>
      <w:pPr>
        <w:snapToGrid w:val="0"/>
        <w:spacing w:line="360" w:lineRule="auto"/>
        <w:ind w:right="-624" w:rightChars="-297"/>
        <w:rPr>
          <w:rFonts w:ascii="宋体" w:hAnsi="宋体"/>
        </w:rPr>
      </w:pPr>
      <w:r>
        <w:rPr>
          <w:rFonts w:hint="eastAsia" w:ascii="宋体" w:hAnsi="宋体"/>
          <w:b/>
          <w:sz w:val="28"/>
        </w:rPr>
        <w:t>项目编号：</w:t>
      </w:r>
      <w:r>
        <w:rPr>
          <w:rFonts w:hint="eastAsia" w:ascii="宋体" w:hAnsi="宋体"/>
          <w:b/>
          <w:sz w:val="28"/>
          <w:szCs w:val="28"/>
          <w:u w:val="single"/>
        </w:rPr>
        <w:t>JY3202     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adjustRightInd w:val="0"/>
        <w:spacing w:line="400" w:lineRule="exact"/>
        <w:rPr>
          <w:rFonts w:ascii="宋体" w:hAnsi="宋体"/>
          <w:bCs/>
          <w:sz w:val="28"/>
        </w:rPr>
      </w:pPr>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ascii="宋体" w:hAnsi="宋体"/>
          <w:b/>
          <w:sz w:val="28"/>
          <w:szCs w:val="28"/>
        </w:rPr>
      </w:pPr>
      <w:r>
        <w:rPr>
          <w:rFonts w:hint="eastAsia" w:ascii="宋体" w:hAnsi="宋体"/>
          <w:b/>
          <w:sz w:val="28"/>
        </w:rPr>
        <w:t>项目名称：</w:t>
      </w:r>
      <w:r>
        <w:rPr>
          <w:rFonts w:hint="eastAsia" w:ascii="宋体" w:hAnsi="宋体"/>
          <w:b/>
          <w:sz w:val="28"/>
          <w:szCs w:val="28"/>
          <w:u w:val="single"/>
        </w:rPr>
        <w:t>XXXXX采购项目</w:t>
      </w:r>
    </w:p>
    <w:p>
      <w:pPr>
        <w:snapToGrid w:val="0"/>
        <w:spacing w:line="360" w:lineRule="auto"/>
        <w:ind w:right="-624" w:rightChars="-297"/>
        <w:rPr>
          <w:rFonts w:ascii="宋体" w:hAnsi="宋体"/>
          <w:b/>
          <w:sz w:val="28"/>
        </w:rPr>
      </w:pPr>
      <w:r>
        <w:rPr>
          <w:rFonts w:hint="eastAsia" w:ascii="宋体" w:hAnsi="宋体"/>
          <w:b/>
          <w:sz w:val="28"/>
        </w:rPr>
        <w:t>项目编号：</w:t>
      </w:r>
      <w:r>
        <w:rPr>
          <w:rFonts w:hint="eastAsia" w:ascii="宋体" w:hAnsi="宋体"/>
          <w:b/>
          <w:sz w:val="28"/>
          <w:u w:val="single"/>
        </w:rPr>
        <w:t>JY3202      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6"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6" w:firstLineChars="202"/>
        <w:rPr>
          <w:rFonts w:ascii="宋体" w:hAnsi="宋体"/>
          <w:sz w:val="28"/>
        </w:rPr>
      </w:pPr>
    </w:p>
    <w:p>
      <w:pPr>
        <w:spacing w:line="360" w:lineRule="auto"/>
        <w:ind w:firstLine="566" w:firstLineChars="202"/>
        <w:rPr>
          <w:rFonts w:ascii="宋体" w:hAnsi="宋体"/>
          <w:sz w:val="28"/>
        </w:rPr>
      </w:pPr>
      <w:r>
        <w:rPr>
          <w:rFonts w:hint="eastAsia" w:ascii="宋体" w:hAnsi="宋体"/>
          <w:sz w:val="28"/>
        </w:rPr>
        <w:t>二、交货进度计划及保障措施</w:t>
      </w:r>
    </w:p>
    <w:p>
      <w:pPr>
        <w:spacing w:line="360" w:lineRule="auto"/>
        <w:ind w:firstLine="566" w:firstLineChars="202"/>
        <w:rPr>
          <w:rFonts w:ascii="宋体" w:hAnsi="宋体"/>
          <w:sz w:val="28"/>
        </w:rPr>
      </w:pPr>
    </w:p>
    <w:p>
      <w:pPr>
        <w:spacing w:line="360" w:lineRule="auto"/>
        <w:ind w:firstLine="566"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6"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6" w:firstLineChars="202"/>
        <w:rPr>
          <w:rFonts w:ascii="宋体" w:hAnsi="宋体"/>
          <w:sz w:val="28"/>
        </w:rPr>
      </w:pPr>
      <w:r>
        <w:rPr>
          <w:rFonts w:hint="eastAsia" w:ascii="宋体" w:hAnsi="宋体"/>
          <w:sz w:val="28"/>
        </w:rPr>
        <w:t>（三）……</w:t>
      </w:r>
    </w:p>
    <w:p>
      <w:pPr>
        <w:ind w:firstLine="566" w:firstLineChars="202"/>
        <w:rPr>
          <w:rFonts w:ascii="宋体" w:hAnsi="宋体"/>
          <w:sz w:val="28"/>
        </w:rPr>
      </w:pPr>
      <w:r>
        <w:rPr>
          <w:rFonts w:hint="eastAsia" w:ascii="宋体" w:hAnsi="宋体"/>
          <w:sz w:val="28"/>
        </w:rPr>
        <w:t>四、技术支持的能力及方案</w:t>
      </w:r>
    </w:p>
    <w:p>
      <w:pPr>
        <w:ind w:firstLine="566" w:firstLineChars="202"/>
        <w:rPr>
          <w:rFonts w:ascii="宋体" w:hAnsi="宋体"/>
          <w:sz w:val="28"/>
        </w:rPr>
      </w:pPr>
    </w:p>
    <w:p>
      <w:pPr>
        <w:ind w:firstLine="566"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6"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ind w:firstLine="566" w:firstLineChars="202"/>
        <w:rPr>
          <w:rFonts w:ascii="宋体" w:hAnsi="宋体"/>
          <w:bCs/>
          <w:sz w:val="28"/>
          <w:szCs w:val="28"/>
        </w:rPr>
      </w:pPr>
    </w:p>
    <w:p>
      <w:pPr>
        <w:rPr>
          <w:rFonts w:ascii="宋体" w:hAnsi="宋体"/>
          <w:bCs/>
          <w:sz w:val="28"/>
          <w:szCs w:val="28"/>
        </w:rPr>
      </w:pPr>
    </w:p>
    <w:p>
      <w:pPr>
        <w:rPr>
          <w:rFonts w:ascii="宋体" w:hAnsi="宋体"/>
          <w:bCs/>
          <w:sz w:val="28"/>
          <w:szCs w:val="28"/>
        </w:rPr>
      </w:pPr>
    </w:p>
    <w:p>
      <w:pPr>
        <w:rPr>
          <w:rFonts w:ascii="宋体" w:hAnsi="宋体"/>
          <w:bCs/>
          <w:sz w:val="28"/>
          <w:szCs w:val="28"/>
        </w:rPr>
      </w:pPr>
    </w:p>
    <w:p>
      <w:pPr>
        <w:rPr>
          <w:rFonts w:ascii="宋体" w:hAnsi="宋体"/>
          <w:bCs/>
          <w:sz w:val="28"/>
          <w:szCs w:val="28"/>
        </w:rPr>
      </w:pPr>
    </w:p>
    <w:p>
      <w:pPr>
        <w:keepNext/>
        <w:keepLines/>
        <w:numPr>
          <w:ilvl w:val="2"/>
          <w:numId w:val="3"/>
        </w:numPr>
        <w:spacing w:line="360" w:lineRule="auto"/>
        <w:outlineLvl w:val="2"/>
        <w:rPr>
          <w:rFonts w:ascii="宋体" w:hAnsi="宋体"/>
          <w:b/>
          <w:sz w:val="28"/>
          <w:szCs w:val="28"/>
        </w:rPr>
      </w:pPr>
      <w:r>
        <w:rPr>
          <w:rFonts w:hint="eastAsia" w:ascii="宋体" w:hAnsi="宋体"/>
          <w:b/>
          <w:sz w:val="28"/>
          <w:szCs w:val="28"/>
        </w:rPr>
        <w:t>承诺函</w:t>
      </w:r>
    </w:p>
    <w:p>
      <w:pPr>
        <w:snapToGrid w:val="0"/>
        <w:spacing w:line="360" w:lineRule="auto"/>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XXXXX采购项目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JY3202     号</w:t>
      </w:r>
    </w:p>
    <w:p>
      <w:pPr>
        <w:snapToGrid w:val="0"/>
        <w:spacing w:line="360" w:lineRule="auto"/>
        <w:rPr>
          <w:rFonts w:ascii="宋体" w:hAnsi="宋体"/>
          <w:b/>
          <w:sz w:val="28"/>
          <w:szCs w:val="28"/>
        </w:rPr>
      </w:pP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80"/>
        <w:numPr>
          <w:ilvl w:val="0"/>
          <w:numId w:val="34"/>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特此承诺</w:t>
      </w: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snapToGrid w:val="0"/>
        <w:spacing w:line="360" w:lineRule="auto"/>
        <w:ind w:firstLine="560" w:firstLineChars="200"/>
        <w:rPr>
          <w:rFonts w:ascii="宋体" w:hAnsi="宋体"/>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pStyle w:val="2"/>
      </w:pPr>
    </w:p>
    <w:p>
      <w:pPr>
        <w:adjustRightInd w:val="0"/>
        <w:spacing w:line="400" w:lineRule="exact"/>
        <w:rPr>
          <w:rFonts w:ascii="宋体" w:hAnsi="宋体"/>
          <w:bCs/>
          <w:sz w:val="28"/>
        </w:rPr>
      </w:pPr>
    </w:p>
    <w:p>
      <w:pPr>
        <w:rPr>
          <w:rFonts w:ascii="宋体" w:hAnsi="宋体"/>
          <w:bCs/>
          <w:color w:val="FF0000"/>
          <w:sz w:val="28"/>
          <w:szCs w:val="28"/>
        </w:rPr>
      </w:pPr>
      <w:r>
        <w:rPr>
          <w:rFonts w:hint="eastAsia" w:ascii="宋体" w:hAnsi="宋体"/>
          <w:bCs/>
          <w:color w:val="FF0000"/>
          <w:sz w:val="28"/>
          <w:szCs w:val="28"/>
        </w:rPr>
        <w:br w:type="page"/>
      </w:r>
    </w:p>
    <w:p>
      <w:pPr>
        <w:keepNext/>
        <w:keepLines/>
        <w:numPr>
          <w:ilvl w:val="2"/>
          <w:numId w:val="3"/>
        </w:numPr>
        <w:spacing w:line="360" w:lineRule="auto"/>
        <w:outlineLvl w:val="2"/>
        <w:rPr>
          <w:rFonts w:ascii="宋体" w:hAnsi="宋体"/>
          <w:b/>
          <w:sz w:val="28"/>
          <w:szCs w:val="28"/>
        </w:rPr>
      </w:pPr>
      <w:r>
        <w:rPr>
          <w:rFonts w:hint="eastAsia" w:ascii="宋体" w:hAnsi="宋体"/>
          <w:b/>
          <w:sz w:val="28"/>
          <w:szCs w:val="28"/>
        </w:rPr>
        <w:t>项目实施方案</w:t>
      </w:r>
    </w:p>
    <w:p>
      <w:pPr>
        <w:adjustRightInd w:val="0"/>
        <w:spacing w:line="400" w:lineRule="exact"/>
        <w:rPr>
          <w:rFonts w:ascii="宋体" w:hAnsi="宋体"/>
          <w:bCs/>
          <w:sz w:val="28"/>
        </w:rPr>
      </w:pPr>
    </w:p>
    <w:p>
      <w:pPr>
        <w:snapToGrid w:val="0"/>
        <w:spacing w:line="360" w:lineRule="auto"/>
        <w:ind w:right="-624" w:rightChars="-297"/>
        <w:rPr>
          <w:rFonts w:ascii="宋体" w:hAnsi="宋体"/>
          <w:b/>
          <w:sz w:val="28"/>
          <w:szCs w:val="28"/>
        </w:rPr>
      </w:pPr>
      <w:r>
        <w:rPr>
          <w:rFonts w:hint="eastAsia" w:ascii="宋体" w:hAnsi="宋体"/>
          <w:b/>
          <w:sz w:val="28"/>
          <w:szCs w:val="28"/>
        </w:rPr>
        <w:t>目名称：</w:t>
      </w:r>
      <w:r>
        <w:rPr>
          <w:rFonts w:hint="eastAsia" w:ascii="宋体" w:hAnsi="宋体"/>
          <w:b/>
          <w:sz w:val="28"/>
          <w:szCs w:val="28"/>
          <w:u w:val="single"/>
        </w:rPr>
        <w:t>XXX采购项目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u w:val="single"/>
        </w:rPr>
        <w:t>JY3202      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rPr>
          <w:rFonts w:ascii="宋体" w:hAnsi="宋体"/>
          <w:bCs/>
          <w:sz w:val="28"/>
        </w:rPr>
      </w:pPr>
      <w:r>
        <w:rPr>
          <w:rFonts w:ascii="宋体" w:hAnsi="宋体"/>
          <w:bCs/>
          <w:sz w:val="28"/>
        </w:rPr>
        <w:br w:type="page"/>
      </w:r>
    </w:p>
    <w:p>
      <w:pPr>
        <w:pStyle w:val="2"/>
      </w:pPr>
    </w:p>
    <w:p>
      <w:pPr>
        <w:keepNext/>
        <w:keepLines/>
        <w:numPr>
          <w:ilvl w:val="1"/>
          <w:numId w:val="3"/>
        </w:numPr>
        <w:spacing w:line="360" w:lineRule="auto"/>
        <w:jc w:val="left"/>
        <w:outlineLvl w:val="1"/>
        <w:rPr>
          <w:rFonts w:ascii="宋体" w:hAnsi="宋体"/>
          <w:b/>
          <w:bCs/>
          <w:sz w:val="28"/>
          <w:szCs w:val="28"/>
        </w:rPr>
      </w:pPr>
      <w:r>
        <w:rPr>
          <w:rFonts w:hint="eastAsia" w:ascii="宋体" w:hAnsi="宋体"/>
          <w:b/>
          <w:bCs/>
          <w:sz w:val="28"/>
          <w:szCs w:val="28"/>
        </w:rPr>
        <w:t xml:space="preserve"> </w:t>
      </w:r>
      <w:bookmarkStart w:id="148" w:name="_Toc78191621"/>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3"/>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ind w:firstLine="427" w:firstLineChars="152"/>
        <w:rPr>
          <w:rFonts w:ascii="宋体" w:hAnsi="宋体"/>
          <w:b/>
          <w:bCs/>
          <w:sz w:val="28"/>
          <w:szCs w:val="28"/>
        </w:rPr>
      </w:pPr>
      <w:r>
        <w:rPr>
          <w:rFonts w:hint="eastAsia" w:ascii="宋体" w:hAnsi="宋体"/>
          <w:b/>
          <w:bCs/>
          <w:sz w:val="28"/>
          <w:szCs w:val="28"/>
        </w:rPr>
        <w:t>标项1：XXXX采购项目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sz w:val="28"/>
                <w:szCs w:val="28"/>
              </w:rPr>
            </w:pPr>
            <w:r>
              <w:rPr>
                <w:rFonts w:hint="eastAsia" w:ascii="宋体" w:hAnsi="宋体"/>
                <w:sz w:val="28"/>
                <w:szCs w:val="28"/>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sz w:val="28"/>
                <w:szCs w:val="28"/>
              </w:rPr>
            </w:pPr>
          </w:p>
        </w:tc>
      </w:tr>
    </w:tbl>
    <w:p>
      <w:pPr>
        <w:tabs>
          <w:tab w:val="left" w:pos="1134"/>
        </w:tabs>
        <w:spacing w:line="560" w:lineRule="exact"/>
        <w:ind w:firstLine="426"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hint="eastAsia" w:ascii="宋体" w:hAnsi="宋体"/>
          <w:b/>
          <w:sz w:val="28"/>
          <w:szCs w:val="28"/>
        </w:rPr>
        <w:t>投标报价以投标人在政府采购云平台开标一览表中填写的报价为准。</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报价明细表</w:t>
      </w:r>
    </w:p>
    <w:p>
      <w:pPr>
        <w:snapToGrid w:val="0"/>
        <w:spacing w:line="360" w:lineRule="auto"/>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XXXX采购项目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JY3202     号</w:t>
      </w:r>
    </w:p>
    <w:p>
      <w:pPr>
        <w:snapToGrid w:val="0"/>
        <w:spacing w:line="500" w:lineRule="exact"/>
        <w:ind w:right="-57" w:rightChars="-27"/>
        <w:rPr>
          <w:rFonts w:ascii="宋体" w:hAnsi="宋体"/>
          <w:b/>
          <w:bCs/>
          <w:sz w:val="28"/>
          <w:u w:val="single"/>
        </w:rPr>
      </w:pPr>
    </w:p>
    <w:tbl>
      <w:tblPr>
        <w:tblStyle w:val="47"/>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231"/>
              <w:spacing w:line="360" w:lineRule="auto"/>
              <w:ind w:firstLine="0" w:firstLineChars="0"/>
              <w:jc w:val="center"/>
              <w:rPr>
                <w:rFonts w:ascii="宋体" w:hAnsi="宋体"/>
                <w:szCs w:val="28"/>
              </w:rPr>
            </w:pPr>
            <w:r>
              <w:rPr>
                <w:rFonts w:hint="eastAsia" w:ascii="宋体" w:hAnsi="宋体"/>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231"/>
              <w:spacing w:line="360" w:lineRule="auto"/>
              <w:ind w:firstLine="0" w:firstLineChars="0"/>
              <w:jc w:val="center"/>
              <w:rPr>
                <w:rFonts w:ascii="宋体" w:hAnsi="宋体"/>
                <w:szCs w:val="28"/>
              </w:rPr>
            </w:pPr>
            <w:r>
              <w:rPr>
                <w:rFonts w:hint="eastAsia" w:ascii="宋体" w:hAnsi="宋体"/>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440" w:lineRule="atLeast"/>
        <w:ind w:firstLine="419" w:firstLineChars="149"/>
        <w:rPr>
          <w:rFonts w:ascii="宋体" w:hAnsi="宋体"/>
          <w:b/>
          <w:sz w:val="28"/>
          <w:szCs w:val="28"/>
        </w:rPr>
      </w:pPr>
    </w:p>
    <w:p>
      <w:pPr>
        <w:spacing w:line="440" w:lineRule="atLeast"/>
        <w:ind w:firstLine="419" w:firstLineChars="149"/>
        <w:rPr>
          <w:rFonts w:ascii="宋体" w:hAnsi="宋体"/>
          <w:b/>
          <w:sz w:val="28"/>
          <w:szCs w:val="28"/>
        </w:rPr>
      </w:pPr>
      <w:r>
        <w:rPr>
          <w:rFonts w:hint="eastAsia" w:ascii="宋体" w:hAnsi="宋体"/>
          <w:b/>
          <w:sz w:val="28"/>
          <w:szCs w:val="28"/>
        </w:rPr>
        <w:t>说明：</w:t>
      </w:r>
      <w:r>
        <w:rPr>
          <w:rFonts w:ascii="宋体" w:hAnsi="宋体"/>
          <w:b/>
          <w:sz w:val="28"/>
          <w:szCs w:val="28"/>
        </w:rPr>
        <w:t xml:space="preserve"> </w:t>
      </w:r>
      <w:r>
        <w:rPr>
          <w:rFonts w:hint="eastAsia" w:ascii="宋体" w:hAnsi="宋体"/>
          <w:b/>
          <w:sz w:val="28"/>
          <w:szCs w:val="28"/>
        </w:rPr>
        <w:t>1、进口产品是指通过中国海关报关验放进入中国境内且产自关境外的产品。</w:t>
      </w:r>
    </w:p>
    <w:p>
      <w:pPr>
        <w:numPr>
          <w:ilvl w:val="0"/>
          <w:numId w:val="35"/>
        </w:numPr>
        <w:spacing w:line="440" w:lineRule="atLeast"/>
        <w:ind w:firstLine="419" w:firstLineChars="149"/>
        <w:rPr>
          <w:rFonts w:ascii="宋体" w:hAnsi="宋体"/>
          <w:b/>
          <w:sz w:val="28"/>
          <w:szCs w:val="28"/>
        </w:rPr>
      </w:pP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pStyle w:val="2"/>
      </w:pPr>
    </w:p>
    <w:p>
      <w:pPr>
        <w:spacing w:line="440" w:lineRule="atLeast"/>
        <w:ind w:firstLine="1262" w:firstLineChars="449"/>
        <w:rPr>
          <w:rFonts w:ascii="宋体" w:hAnsi="宋体"/>
          <w:b/>
          <w:sz w:val="28"/>
          <w:szCs w:val="28"/>
        </w:rPr>
      </w:pPr>
    </w:p>
    <w:p>
      <w:pPr>
        <w:adjustRightInd w:val="0"/>
        <w:spacing w:line="400" w:lineRule="exact"/>
        <w:ind w:firstLine="420" w:firstLineChars="150"/>
        <w:rPr>
          <w:rFonts w:ascii="宋体" w:hAnsi="宋体"/>
          <w:bCs/>
          <w:sz w:val="28"/>
          <w:u w:val="single"/>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bookmarkEnd w:id="147"/>
    <w:p>
      <w:pPr>
        <w:keepNext/>
        <w:keepLines/>
        <w:numPr>
          <w:ilvl w:val="0"/>
          <w:numId w:val="3"/>
        </w:numPr>
        <w:spacing w:line="360" w:lineRule="auto"/>
        <w:ind w:left="0" w:firstLine="0"/>
        <w:jc w:val="center"/>
        <w:outlineLvl w:val="0"/>
        <w:rPr>
          <w:rFonts w:ascii="宋体" w:hAnsi="宋体"/>
          <w:b/>
          <w:bCs/>
          <w:spacing w:val="-20"/>
          <w:kern w:val="44"/>
          <w:sz w:val="32"/>
          <w:szCs w:val="32"/>
        </w:rPr>
      </w:pPr>
      <w:bookmarkStart w:id="149" w:name="_Toc78191622"/>
      <w:bookmarkStart w:id="150" w:name="_Toc217446093"/>
      <w:bookmarkStart w:id="151" w:name="_Toc316292231"/>
      <w:bookmarkStart w:id="152" w:name="_Toc321382057"/>
      <w:r>
        <w:rPr>
          <w:rFonts w:hint="eastAsia" w:ascii="宋体" w:hAnsi="宋体"/>
          <w:b/>
          <w:bCs/>
          <w:spacing w:val="-20"/>
          <w:kern w:val="44"/>
          <w:sz w:val="32"/>
          <w:szCs w:val="32"/>
        </w:rPr>
        <w:t>招标项目技术、服务、商务及其他要求</w:t>
      </w:r>
      <w:bookmarkEnd w:id="149"/>
      <w:bookmarkEnd w:id="150"/>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8191623"/>
      <w:r>
        <w:rPr>
          <w:rFonts w:hint="eastAsia" w:ascii="宋体" w:hAnsi="宋体"/>
          <w:b/>
          <w:bCs/>
          <w:sz w:val="32"/>
          <w:szCs w:val="32"/>
        </w:rPr>
        <w:t>项目概况</w:t>
      </w:r>
      <w:bookmarkEnd w:id="153"/>
      <w:r>
        <w:rPr>
          <w:rFonts w:hint="eastAsia" w:ascii="宋体" w:hAnsi="宋体"/>
          <w:b/>
          <w:bCs/>
          <w:sz w:val="32"/>
          <w:szCs w:val="32"/>
        </w:rPr>
        <w:t>：</w:t>
      </w:r>
      <w:bookmarkStart w:id="154" w:name="_Toc78191624"/>
      <w:r>
        <w:rPr>
          <w:rFonts w:hint="eastAsia" w:ascii="Times New Roman" w:hAnsi="Times New Roman"/>
          <w:b/>
          <w:sz w:val="24"/>
        </w:rPr>
        <w:t>都江堰市中医医院2021年第一批医疗设备采购</w:t>
      </w:r>
      <w:bookmarkEnd w:id="154"/>
    </w:p>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32"/>
        </w:rPr>
      </w:pPr>
      <w:bookmarkStart w:id="155" w:name="_Toc78191625"/>
      <w:r>
        <w:rPr>
          <w:rFonts w:hint="eastAsia" w:ascii="宋体" w:hAnsi="宋体"/>
          <w:b/>
          <w:bCs/>
          <w:sz w:val="28"/>
          <w:szCs w:val="32"/>
        </w:rPr>
        <w:t>技术参数及要求</w:t>
      </w:r>
      <w:bookmarkEnd w:id="155"/>
    </w:p>
    <w:p>
      <w:pPr>
        <w:jc w:val="center"/>
        <w:rPr>
          <w:b/>
          <w:bCs/>
          <w:sz w:val="36"/>
          <w:szCs w:val="36"/>
        </w:rPr>
      </w:pPr>
      <w:bookmarkStart w:id="156" w:name="_Toc78191626"/>
      <w:bookmarkStart w:id="157" w:name="_Toc529173741"/>
      <w:bookmarkStart w:id="158" w:name="_Toc533672602"/>
      <w:r>
        <w:rPr>
          <w:rFonts w:hint="eastAsia"/>
          <w:b/>
          <w:bCs/>
          <w:sz w:val="36"/>
          <w:szCs w:val="36"/>
        </w:rPr>
        <w:t>都江堰市中医医院2021年第一批医疗设备采购清单及项目技术参数</w:t>
      </w:r>
    </w:p>
    <w:p>
      <w:pPr>
        <w:pStyle w:val="2"/>
        <w:rPr>
          <w:sz w:val="28"/>
          <w:szCs w:val="28"/>
        </w:rPr>
      </w:pPr>
      <w:r>
        <w:rPr>
          <w:rFonts w:hint="eastAsia"/>
          <w:b/>
          <w:bCs/>
          <w:sz w:val="28"/>
          <w:szCs w:val="28"/>
        </w:rPr>
        <w:t>包1</w:t>
      </w:r>
    </w:p>
    <w:tbl>
      <w:tblPr>
        <w:tblStyle w:val="47"/>
        <w:tblW w:w="7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647"/>
        <w:gridCol w:w="1038"/>
        <w:gridCol w:w="463"/>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序号</w:t>
            </w:r>
          </w:p>
        </w:tc>
        <w:tc>
          <w:tcPr>
            <w:tcW w:w="264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设备名称</w:t>
            </w:r>
          </w:p>
        </w:tc>
        <w:tc>
          <w:tcPr>
            <w:tcW w:w="103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w:t>
            </w:r>
          </w:p>
        </w:tc>
        <w:tc>
          <w:tcPr>
            <w:tcW w:w="463"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单位</w:t>
            </w:r>
          </w:p>
        </w:tc>
        <w:tc>
          <w:tcPr>
            <w:tcW w:w="294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床旁连续性血液净化机</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ICU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2</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全自动电控心肺复苏机</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3</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可视喉镜</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2</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vAlign w:val="center"/>
          </w:tcPr>
          <w:p>
            <w:pPr>
              <w:spacing w:line="400" w:lineRule="exact"/>
              <w:rPr>
                <w:rFonts w:ascii="仿宋_GB2312" w:eastAsia="仿宋_GB2312"/>
                <w:sz w:val="24"/>
                <w:szCs w:val="24"/>
              </w:rPr>
            </w:pPr>
            <w:r>
              <w:rPr>
                <w:rFonts w:hint="eastAsia" w:ascii="仿宋_GB2312" w:eastAsia="仿宋_GB2312"/>
                <w:sz w:val="24"/>
                <w:szCs w:val="24"/>
              </w:rPr>
              <w:t>4</w:t>
            </w:r>
          </w:p>
        </w:tc>
        <w:tc>
          <w:tcPr>
            <w:tcW w:w="2647" w:type="dxa"/>
            <w:shd w:val="clear" w:color="auto" w:fill="auto"/>
            <w:vAlign w:val="center"/>
          </w:tcPr>
          <w:p>
            <w:pPr>
              <w:spacing w:line="400" w:lineRule="exact"/>
              <w:rPr>
                <w:rFonts w:ascii="仿宋_GB2312" w:eastAsia="仿宋_GB2312"/>
                <w:sz w:val="24"/>
                <w:szCs w:val="24"/>
              </w:rPr>
            </w:pPr>
            <w:r>
              <w:rPr>
                <w:rFonts w:hint="eastAsia" w:ascii="仿宋_GB2312" w:eastAsia="仿宋_GB2312"/>
                <w:sz w:val="24"/>
                <w:szCs w:val="24"/>
              </w:rPr>
              <w:t>无创呼吸机</w:t>
            </w:r>
          </w:p>
        </w:tc>
        <w:tc>
          <w:tcPr>
            <w:tcW w:w="1038" w:type="dxa"/>
            <w:shd w:val="clear" w:color="auto" w:fill="auto"/>
            <w:vAlign w:val="center"/>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vAlign w:val="center"/>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vAlign w:val="center"/>
          </w:tcPr>
          <w:p>
            <w:pPr>
              <w:spacing w:line="300" w:lineRule="exact"/>
              <w:rPr>
                <w:rFonts w:ascii="仿宋_GB2312" w:eastAsia="仿宋_GB2312"/>
                <w:sz w:val="24"/>
                <w:szCs w:val="24"/>
              </w:rPr>
            </w:pPr>
            <w:r>
              <w:rPr>
                <w:rFonts w:hint="eastAsia" w:ascii="仿宋_GB2312" w:eastAsia="仿宋_GB2312"/>
                <w:sz w:val="24"/>
                <w:szCs w:val="24"/>
              </w:rPr>
              <w:t>肺病科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5</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有创呼吸机</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6</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移动式抢救床</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4</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张</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7</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吊塔</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4</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套</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8</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除颤仪</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医装部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hint="eastAsia" w:ascii="仿宋_GB2312" w:eastAsia="仿宋_GB2312"/>
                <w:sz w:val="24"/>
                <w:szCs w:val="24"/>
              </w:rPr>
            </w:pPr>
            <w:r>
              <w:rPr>
                <w:rFonts w:hint="eastAsia" w:ascii="仿宋_GB2312" w:eastAsia="仿宋_GB2312"/>
                <w:sz w:val="24"/>
                <w:szCs w:val="24"/>
              </w:rPr>
              <w:t>9</w:t>
            </w:r>
          </w:p>
        </w:tc>
        <w:tc>
          <w:tcPr>
            <w:tcW w:w="2647"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开颅动力系统（颅骨钻、铣刀等）</w:t>
            </w:r>
          </w:p>
        </w:tc>
        <w:tc>
          <w:tcPr>
            <w:tcW w:w="1038"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套</w:t>
            </w:r>
          </w:p>
        </w:tc>
        <w:tc>
          <w:tcPr>
            <w:tcW w:w="2946"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ICU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hint="eastAsia" w:ascii="仿宋_GB2312" w:eastAsia="仿宋_GB2312"/>
                <w:sz w:val="24"/>
                <w:szCs w:val="24"/>
              </w:rPr>
            </w:pPr>
            <w:r>
              <w:rPr>
                <w:rFonts w:hint="eastAsia" w:ascii="仿宋_GB2312" w:eastAsia="仿宋_GB2312"/>
                <w:sz w:val="24"/>
                <w:szCs w:val="24"/>
              </w:rPr>
              <w:t>10</w:t>
            </w:r>
          </w:p>
        </w:tc>
        <w:tc>
          <w:tcPr>
            <w:tcW w:w="2647"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麻醉机</w:t>
            </w:r>
          </w:p>
        </w:tc>
        <w:tc>
          <w:tcPr>
            <w:tcW w:w="1038"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hint="eastAsia" w:ascii="仿宋_GB2312" w:eastAsia="仿宋_GB2312"/>
                <w:sz w:val="24"/>
                <w:szCs w:val="24"/>
              </w:rPr>
            </w:pPr>
            <w:r>
              <w:rPr>
                <w:rFonts w:hint="eastAsia" w:ascii="仿宋_GB2312" w:eastAsia="仿宋_GB2312"/>
                <w:sz w:val="24"/>
                <w:szCs w:val="24"/>
              </w:rPr>
              <w:t>11</w:t>
            </w:r>
          </w:p>
        </w:tc>
        <w:tc>
          <w:tcPr>
            <w:tcW w:w="2647"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麻醉监护仪</w:t>
            </w:r>
          </w:p>
        </w:tc>
        <w:tc>
          <w:tcPr>
            <w:tcW w:w="1038"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04" w:type="dxa"/>
            <w:gridSpan w:val="2"/>
            <w:shd w:val="clear" w:color="auto" w:fill="auto"/>
            <w:vAlign w:val="center"/>
          </w:tcPr>
          <w:p>
            <w:pPr>
              <w:spacing w:line="400" w:lineRule="exact"/>
              <w:jc w:val="center"/>
              <w:rPr>
                <w:rFonts w:ascii="仿宋_GB2312" w:eastAsia="仿宋_GB2312"/>
                <w:sz w:val="24"/>
                <w:szCs w:val="24"/>
              </w:rPr>
            </w:pPr>
            <w:r>
              <w:rPr>
                <w:rFonts w:hint="eastAsia" w:ascii="仿宋_GB2312" w:eastAsia="仿宋_GB2312"/>
                <w:sz w:val="24"/>
                <w:szCs w:val="24"/>
              </w:rPr>
              <w:t>合计</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18</w:t>
            </w:r>
          </w:p>
        </w:tc>
        <w:tc>
          <w:tcPr>
            <w:tcW w:w="463" w:type="dxa"/>
            <w:shd w:val="clear" w:color="auto" w:fill="auto"/>
          </w:tcPr>
          <w:p>
            <w:pPr>
              <w:spacing w:line="400" w:lineRule="exact"/>
              <w:jc w:val="center"/>
              <w:rPr>
                <w:rFonts w:ascii="仿宋_GB2312" w:eastAsia="仿宋_GB2312"/>
                <w:sz w:val="24"/>
                <w:szCs w:val="24"/>
              </w:rPr>
            </w:pPr>
          </w:p>
        </w:tc>
        <w:tc>
          <w:tcPr>
            <w:tcW w:w="2946" w:type="dxa"/>
            <w:shd w:val="clear" w:color="auto" w:fill="auto"/>
          </w:tcPr>
          <w:p>
            <w:pPr>
              <w:spacing w:line="400" w:lineRule="exact"/>
              <w:rPr>
                <w:rFonts w:ascii="仿宋_GB2312" w:eastAsia="仿宋_GB2312"/>
                <w:sz w:val="24"/>
                <w:szCs w:val="24"/>
              </w:rPr>
            </w:pPr>
          </w:p>
        </w:tc>
      </w:tr>
    </w:tbl>
    <w:p>
      <w:pPr>
        <w:rPr>
          <w:rFonts w:ascii="Times New Roman" w:hAnsi="Times New Roman" w:eastAsia="仿宋_GB2312"/>
          <w:sz w:val="28"/>
        </w:rPr>
      </w:pPr>
    </w:p>
    <w:p>
      <w:pPr>
        <w:jc w:val="center"/>
        <w:rPr>
          <w:b/>
          <w:bCs/>
          <w:sz w:val="36"/>
          <w:szCs w:val="36"/>
        </w:rPr>
      </w:pPr>
    </w:p>
    <w:p>
      <w:pPr>
        <w:jc w:val="center"/>
        <w:rPr>
          <w:b/>
          <w:bCs/>
          <w:sz w:val="36"/>
          <w:szCs w:val="36"/>
        </w:rPr>
      </w:pPr>
      <w:r>
        <w:rPr>
          <w:rFonts w:hint="eastAsia"/>
          <w:b/>
          <w:bCs/>
          <w:sz w:val="36"/>
          <w:szCs w:val="36"/>
        </w:rPr>
        <w:t>01-01 床旁连续性血液净化机</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支持连续性静脉血液透析、连续性静脉血液滤过、连续性静脉血液透析滤过、缓慢性连续性超滤、血液灌流、单重血浆置换、血浆吸附等治疗功能，并提供国家药品监督管理局出具的以上治疗功能的证明文件。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≥12英寸可旋转液晶触摸显示屏。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w:t>
      </w:r>
      <w:r>
        <w:rPr>
          <w:rFonts w:ascii="仿宋_GB2312" w:hAnsi="仿宋" w:eastAsia="仿宋_GB2312" w:cs="仿宋"/>
          <w:sz w:val="24"/>
          <w:szCs w:val="24"/>
        </w:rPr>
        <w:t>设备配置有枸橼酸输入泵和钙溶液推注泵。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4.具有</w:t>
      </w:r>
      <w:r>
        <w:rPr>
          <w:rFonts w:ascii="仿宋_GB2312" w:hAnsi="仿宋" w:eastAsia="仿宋_GB2312" w:cs="仿宋"/>
          <w:sz w:val="24"/>
          <w:szCs w:val="24"/>
        </w:rPr>
        <w:t>管路安装图文引导。</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w:t>
      </w:r>
      <w:r>
        <w:rPr>
          <w:rFonts w:ascii="仿宋_GB2312" w:hAnsi="仿宋" w:eastAsia="仿宋_GB2312" w:cs="仿宋"/>
          <w:sz w:val="24"/>
          <w:szCs w:val="24"/>
        </w:rPr>
        <w:t>一套耗材管路满足所有连续肾脏替代治疗模式，包括：连续性静脉静脉血液透析、连续性静脉静脉血液滤过、连续性静脉静脉血液透析滤过等治疗模式。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w:t>
      </w:r>
      <w:r>
        <w:rPr>
          <w:rFonts w:ascii="仿宋_GB2312" w:hAnsi="仿宋" w:eastAsia="仿宋_GB2312" w:cs="仿宋"/>
          <w:sz w:val="24"/>
          <w:szCs w:val="24"/>
        </w:rPr>
        <w:t>设备</w:t>
      </w:r>
      <w:r>
        <w:rPr>
          <w:rFonts w:hint="eastAsia" w:ascii="仿宋_GB2312" w:hAnsi="仿宋" w:eastAsia="仿宋_GB2312" w:cs="仿宋"/>
          <w:sz w:val="24"/>
          <w:szCs w:val="24"/>
        </w:rPr>
        <w:t>至少</w:t>
      </w:r>
      <w:r>
        <w:rPr>
          <w:rFonts w:ascii="仿宋_GB2312" w:hAnsi="仿宋" w:eastAsia="仿宋_GB2312" w:cs="仿宋"/>
          <w:sz w:val="24"/>
          <w:szCs w:val="24"/>
        </w:rPr>
        <w:t>配置1个注射泵，至少支持 10ml、20ml、30ml、50ml 规格的注射器，注射流量范围为：10mL/h～2000mL/h。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设备至少配置4个流量泵。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w:t>
      </w:r>
      <w:r>
        <w:rPr>
          <w:rFonts w:ascii="仿宋_GB2312" w:hAnsi="仿宋" w:eastAsia="仿宋_GB2312" w:cs="仿宋"/>
          <w:sz w:val="24"/>
          <w:szCs w:val="24"/>
        </w:rPr>
        <w:t>流量控制范围</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8.1血泵流量范围：30mL/min～580mL/min，±10%。</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8.2补液泵流量范围：5mL/min～245mL/min，±0.1mL/min或±5％。</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8.3废液泵流量范围：5mL/min～245mL/min，±0.1mL/min 或设置值的±5％。</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8.4分流泵流量范围：5mL/min～245mL/min，±0.1mL/min 或设置值的±5％。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ascii="仿宋_GB2312" w:hAnsi="仿宋" w:eastAsia="仿宋_GB2312" w:cs="仿宋"/>
          <w:sz w:val="24"/>
          <w:szCs w:val="24"/>
        </w:rPr>
        <w:t>监测范围</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9.1</w:t>
      </w:r>
      <w:r>
        <w:rPr>
          <w:rFonts w:hint="eastAsia" w:ascii="仿宋_GB2312" w:hAnsi="仿宋" w:eastAsia="仿宋_GB2312" w:cs="仿宋"/>
          <w:sz w:val="24"/>
          <w:szCs w:val="24"/>
        </w:rPr>
        <w:t xml:space="preserve"> </w:t>
      </w:r>
      <w:r>
        <w:rPr>
          <w:rFonts w:ascii="仿宋_GB2312" w:hAnsi="仿宋" w:eastAsia="仿宋_GB2312" w:cs="仿宋"/>
          <w:sz w:val="24"/>
          <w:szCs w:val="24"/>
        </w:rPr>
        <w:t>*动脉压监测范围: -480mmHg～+680mmHg，精度：±5mmHg。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9.2静脉压监测范围: -480mmHg～+680mmHg，精度：±5mmHg。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9.3跨膜压监测范围: -480mmHg～+680mmHg，精度：±5mmHg。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9.4滤前压监控： -480mmHg～+680mmHg 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9.5一级膜外压监控： -480mmHg～+680mmHg 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9.6二级膜外压监控： -480mmHg～+680mmHg 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9.7气泡检测器：可监测≥0.02ml的气泡。</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9.8漏血监测：设备有漏血监护系统，最大报警限值≤0.35mL/min（HCT 32%）。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w:t>
      </w:r>
      <w:r>
        <w:rPr>
          <w:rFonts w:ascii="仿宋_GB2312" w:hAnsi="仿宋" w:eastAsia="仿宋_GB2312" w:cs="仿宋"/>
          <w:sz w:val="24"/>
          <w:szCs w:val="24"/>
        </w:rPr>
        <w:t>脱水范围为 0mL/h～4000mL/h，脱水误差≤±20mL/h。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w:t>
      </w:r>
      <w:r>
        <w:rPr>
          <w:rFonts w:ascii="仿宋_GB2312" w:hAnsi="仿宋" w:eastAsia="仿宋_GB2312" w:cs="仿宋"/>
          <w:sz w:val="24"/>
          <w:szCs w:val="24"/>
        </w:rPr>
        <w:t>具有防止实际脱水量偏离设置值的独立防护系统，防护系统的最大动作值为±100mL。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ascii="仿宋_GB2312" w:hAnsi="仿宋" w:eastAsia="仿宋_GB2312" w:cs="仿宋"/>
          <w:sz w:val="24"/>
          <w:szCs w:val="24"/>
        </w:rPr>
        <w:t>具有预防或防止液袋抽空的措施，治疗界面换液剩余时间提示。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w:t>
      </w:r>
      <w:r>
        <w:rPr>
          <w:rFonts w:ascii="仿宋_GB2312" w:hAnsi="仿宋" w:eastAsia="仿宋_GB2312" w:cs="仿宋"/>
          <w:sz w:val="24"/>
          <w:szCs w:val="24"/>
        </w:rPr>
        <w:t>置换液温度控制范围：33℃～40℃。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w:t>
      </w:r>
      <w:r>
        <w:rPr>
          <w:rFonts w:ascii="仿宋_GB2312" w:hAnsi="仿宋" w:eastAsia="仿宋_GB2312" w:cs="仿宋"/>
          <w:sz w:val="24"/>
          <w:szCs w:val="24"/>
        </w:rPr>
        <w:t>设备</w:t>
      </w:r>
      <w:r>
        <w:rPr>
          <w:rFonts w:hint="eastAsia" w:ascii="仿宋_GB2312" w:hAnsi="仿宋" w:eastAsia="仿宋_GB2312" w:cs="仿宋"/>
          <w:sz w:val="24"/>
          <w:szCs w:val="24"/>
        </w:rPr>
        <w:t>至少</w:t>
      </w:r>
      <w:r>
        <w:rPr>
          <w:rFonts w:ascii="仿宋_GB2312" w:hAnsi="仿宋" w:eastAsia="仿宋_GB2312" w:cs="仿宋"/>
          <w:sz w:val="24"/>
          <w:szCs w:val="24"/>
        </w:rPr>
        <w:t>具有3个高精度称重计</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14.1补液秤称重范围：0kg～28kg，精度为±5g或±0.1％。</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14.2废液秤称重范围： 0kg～28kg，精度为±5g或±0.1％。</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14.3辅助1补液秤称重范围：0kg～10kg，称重精度为±5g 或±0.1％。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w:t>
      </w:r>
      <w:r>
        <w:rPr>
          <w:rFonts w:hint="eastAsia" w:ascii="仿宋_GB2312" w:hAnsi="宋体" w:eastAsia="仿宋_GB2312" w:cs="宋体"/>
          <w:sz w:val="24"/>
          <w:szCs w:val="24"/>
        </w:rPr>
        <w:t>*</w:t>
      </w:r>
      <w:r>
        <w:rPr>
          <w:rFonts w:ascii="仿宋_GB2312" w:hAnsi="仿宋" w:eastAsia="仿宋_GB2312" w:cs="仿宋"/>
          <w:sz w:val="24"/>
          <w:szCs w:val="24"/>
        </w:rPr>
        <w:t>置换液加热装置：采用双面平板加热装置，有加热反馈控制系统。</w:t>
      </w:r>
    </w:p>
    <w:p>
      <w:pPr>
        <w:spacing w:line="420" w:lineRule="exact"/>
        <w:ind w:firstLine="480" w:firstLineChars="200"/>
        <w:rPr>
          <w:rFonts w:ascii="仿宋_GB2312" w:hAnsi="仿宋" w:eastAsia="仿宋_GB2312" w:cs="仿宋"/>
          <w:sz w:val="24"/>
          <w:szCs w:val="24"/>
        </w:rPr>
      </w:pPr>
    </w:p>
    <w:p>
      <w:pPr>
        <w:jc w:val="center"/>
        <w:rPr>
          <w:b/>
          <w:bCs/>
          <w:sz w:val="36"/>
          <w:szCs w:val="36"/>
        </w:rPr>
      </w:pPr>
    </w:p>
    <w:p>
      <w:pPr>
        <w:jc w:val="center"/>
        <w:rPr>
          <w:b/>
          <w:bCs/>
          <w:sz w:val="36"/>
          <w:szCs w:val="36"/>
        </w:rPr>
      </w:pPr>
      <w:r>
        <w:rPr>
          <w:rFonts w:hint="eastAsia"/>
          <w:b/>
          <w:bCs/>
          <w:sz w:val="36"/>
          <w:szCs w:val="36"/>
        </w:rPr>
        <w:t>01-02 全自动电控心肺复苏机</w:t>
      </w:r>
    </w:p>
    <w:p>
      <w:pPr>
        <w:spacing w:line="420" w:lineRule="exact"/>
        <w:rPr>
          <w:rFonts w:ascii="仿宋" w:hAnsi="仿宋" w:eastAsia="仿宋" w:cs="仿宋"/>
          <w:sz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1.按压原理：采用胸腔接触式按压方式，胸部无负荷、垂直按压、自动中心位置定位；背部有固定板支撑。</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2.驱动方式：电动电控。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w:t>
      </w:r>
      <w:r>
        <w:rPr>
          <w:rFonts w:hint="eastAsia" w:ascii="仿宋_GB2312" w:hAnsi="宋体" w:eastAsia="仿宋_GB2312" w:cs="宋体"/>
          <w:sz w:val="24"/>
          <w:szCs w:val="24"/>
        </w:rPr>
        <w:t>*</w:t>
      </w:r>
      <w:r>
        <w:rPr>
          <w:rFonts w:hint="eastAsia" w:ascii="仿宋_GB2312" w:hAnsi="仿宋" w:eastAsia="仿宋_GB2312" w:cs="仿宋"/>
          <w:sz w:val="24"/>
          <w:szCs w:val="24"/>
        </w:rPr>
        <w:t>机械结构：为双杆两侧固定结构，功能操作界面在设备上方。</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w:t>
      </w:r>
      <w:r>
        <w:rPr>
          <w:rFonts w:hint="eastAsia" w:ascii="仿宋_GB2312" w:hAnsi="宋体" w:eastAsia="仿宋_GB2312" w:cs="宋体"/>
          <w:sz w:val="24"/>
          <w:szCs w:val="24"/>
        </w:rPr>
        <w:t>*</w:t>
      </w:r>
      <w:r>
        <w:rPr>
          <w:rFonts w:hint="eastAsia" w:ascii="仿宋_GB2312" w:hAnsi="仿宋" w:eastAsia="仿宋_GB2312" w:cs="仿宋"/>
          <w:sz w:val="24"/>
          <w:szCs w:val="24"/>
        </w:rPr>
        <w:t>按压深度：按压深度 3～6 厘米，至少三挡可调。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5.按压释放比:50%±5%，按压比1:1。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6.按压通气模式：至少包含15:2 按压模式、30:2 按压模式、连续按压模式。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7.通气时间：在 15:2 及 30:2 模式下，通气停顿时间不大于 3 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8.工作环境：温度-20℃～+55℃，湿度≥93%条件下，能保证正常工作状态。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hint="eastAsia" w:ascii="仿宋_GB2312" w:hAnsi="宋体" w:eastAsia="仿宋_GB2312" w:cs="宋体"/>
          <w:sz w:val="24"/>
          <w:szCs w:val="24"/>
        </w:rPr>
        <w:t>*</w:t>
      </w:r>
      <w:r>
        <w:rPr>
          <w:rFonts w:hint="eastAsia" w:ascii="仿宋_GB2312" w:hAnsi="仿宋" w:eastAsia="仿宋_GB2312" w:cs="仿宋"/>
          <w:sz w:val="24"/>
          <w:szCs w:val="24"/>
        </w:rPr>
        <w:t>工作时间：新电池充满电情况下，电池最大运行时间≥75 分钟。2 块电池可持续工作120分钟以上。交流电接入状态下，可持续工作无间断；同时给予电池充电，设备工作过程中可不停机更换备用电池。保证设备处于不中断状态持续工作。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10.电池最大充电时间≤100 分钟。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11.适用胸廓范围：最大胸宽 45 厘米，胸骨高度范围 13.3～30.3 厘米。</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hint="eastAsia" w:ascii="仿宋_GB2312" w:hAnsi="宋体" w:eastAsia="仿宋_GB2312" w:cs="宋体"/>
          <w:sz w:val="24"/>
          <w:szCs w:val="24"/>
        </w:rPr>
        <w:t>*</w:t>
      </w:r>
      <w:r>
        <w:rPr>
          <w:rFonts w:hint="eastAsia" w:ascii="仿宋_GB2312" w:hAnsi="仿宋" w:eastAsia="仿宋_GB2312" w:cs="仿宋"/>
          <w:sz w:val="24"/>
          <w:szCs w:val="24"/>
        </w:rPr>
        <w:t>心肺复苏机的按压器峰值压力＞60 公斤。</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13.具有电池寿命提示，需要更换电池给予提示。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14.具有设备内部故障报警功能，设备故障时给予报警提示。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15.按压头自动归位：当主机发生错误，按压头可自动归位。</w:t>
      </w:r>
    </w:p>
    <w:p>
      <w:pPr>
        <w:rPr>
          <w:rFonts w:ascii="仿宋_GB2312" w:eastAsia="仿宋_GB2312"/>
          <w:sz w:val="24"/>
          <w:szCs w:val="24"/>
        </w:rPr>
      </w:pPr>
    </w:p>
    <w:p>
      <w:pPr>
        <w:jc w:val="center"/>
        <w:rPr>
          <w:b/>
          <w:bCs/>
          <w:sz w:val="36"/>
          <w:szCs w:val="36"/>
        </w:rPr>
      </w:pPr>
      <w:r>
        <w:rPr>
          <w:rFonts w:hint="eastAsia"/>
          <w:b/>
          <w:bCs/>
          <w:sz w:val="36"/>
          <w:szCs w:val="36"/>
        </w:rPr>
        <w:t>01-03 可视喉镜</w:t>
      </w:r>
    </w:p>
    <w:p>
      <w:pPr>
        <w:spacing w:line="360" w:lineRule="auto"/>
        <w:rPr>
          <w:rFonts w:ascii="宋体" w:hAnsi="宋体"/>
          <w:sz w:val="24"/>
        </w:rPr>
      </w:pPr>
      <w:r>
        <w:rPr>
          <w:rFonts w:ascii="宋体" w:hAnsi="宋体"/>
          <w:sz w:val="24"/>
        </w:rPr>
        <w:tab/>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1.可视喉镜镜片参数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1.1 </w:t>
      </w:r>
      <w:r>
        <w:rPr>
          <w:rFonts w:hint="eastAsia" w:ascii="仿宋_GB2312" w:hAnsi="宋体" w:eastAsia="仿宋_GB2312" w:cs="宋体"/>
          <w:sz w:val="24"/>
          <w:szCs w:val="24"/>
        </w:rPr>
        <w:t>*</w:t>
      </w:r>
      <w:r>
        <w:rPr>
          <w:rFonts w:hint="eastAsia" w:ascii="仿宋_GB2312" w:hAnsi="仿宋" w:eastAsia="仿宋_GB2312" w:cs="仿宋"/>
          <w:sz w:val="24"/>
          <w:szCs w:val="24"/>
        </w:rPr>
        <w:t>喉镜片采用医用级PC料，无菌包装 ，一次性使用。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喉镜摄像头与叶片前端的垂直距离：大号≤35mm，中号≤32mm，小号≤28mm。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镜片长度：大号≥119mm，中号≥95mm，小号≥78mm。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镜片厚度（摄像头处）：大号≤10mm，中号≤10mm，小号≤10mm。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 镜片角度：大号≥41度，中号≥35度，小号≥19度。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2.可视喉镜技术要求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显示屏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w:t>
      </w:r>
      <w:r>
        <w:rPr>
          <w:rFonts w:hint="eastAsia" w:ascii="仿宋_GB2312" w:hAnsi="仿宋" w:eastAsia="仿宋_GB2312" w:cs="仿宋"/>
          <w:sz w:val="24"/>
          <w:szCs w:val="24"/>
        </w:rPr>
        <w:tab/>
      </w:r>
      <w:r>
        <w:rPr>
          <w:rFonts w:hint="eastAsia" w:ascii="仿宋_GB2312" w:hAnsi="仿宋" w:eastAsia="仿宋_GB2312" w:cs="仿宋"/>
          <w:sz w:val="24"/>
          <w:szCs w:val="24"/>
        </w:rPr>
        <w:t>高清广角显示屏≥3英寸</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w:t>
      </w:r>
      <w:r>
        <w:rPr>
          <w:rFonts w:hint="eastAsia" w:ascii="仿宋_GB2312" w:hAnsi="仿宋" w:eastAsia="仿宋_GB2312" w:cs="仿宋"/>
          <w:sz w:val="24"/>
          <w:szCs w:val="24"/>
        </w:rPr>
        <w:tab/>
      </w:r>
      <w:r>
        <w:rPr>
          <w:rFonts w:hint="eastAsia" w:ascii="仿宋_GB2312" w:hAnsi="仿宋" w:eastAsia="仿宋_GB2312" w:cs="仿宋"/>
          <w:sz w:val="24"/>
          <w:szCs w:val="24"/>
        </w:rPr>
        <w:t>分辨率：≥960×480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2.1.3</w:t>
      </w:r>
      <w:r>
        <w:rPr>
          <w:rFonts w:hint="eastAsia" w:ascii="仿宋_GB2312" w:hAnsi="仿宋" w:eastAsia="仿宋_GB2312" w:cs="仿宋"/>
          <w:sz w:val="24"/>
          <w:szCs w:val="24"/>
        </w:rPr>
        <w:tab/>
      </w:r>
      <w:r>
        <w:rPr>
          <w:rFonts w:hint="eastAsia" w:ascii="仿宋_GB2312" w:hAnsi="仿宋" w:eastAsia="仿宋_GB2312" w:cs="仿宋"/>
          <w:sz w:val="24"/>
          <w:szCs w:val="24"/>
        </w:rPr>
        <w:t>屏幕旋转角度：前后：0º～130º，左右：0º～270。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2.1.4</w:t>
      </w:r>
      <w:r>
        <w:rPr>
          <w:rFonts w:hint="eastAsia" w:ascii="仿宋_GB2312" w:hAnsi="仿宋" w:eastAsia="仿宋_GB2312" w:cs="仿宋"/>
          <w:sz w:val="24"/>
          <w:szCs w:val="24"/>
        </w:rPr>
        <w:tab/>
      </w:r>
      <w:r>
        <w:rPr>
          <w:rFonts w:hint="eastAsia" w:ascii="仿宋_GB2312" w:hAnsi="仿宋" w:eastAsia="仿宋_GB2312" w:cs="仿宋"/>
          <w:sz w:val="24"/>
          <w:szCs w:val="24"/>
        </w:rPr>
        <w:t>具备AV输出接口、数据导出和充电接口，内存≥4G。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摄像系统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2.2.1</w:t>
      </w:r>
      <w:r>
        <w:rPr>
          <w:rFonts w:hint="eastAsia" w:ascii="仿宋_GB2312" w:hAnsi="仿宋" w:eastAsia="仿宋_GB2312" w:cs="仿宋"/>
          <w:sz w:val="24"/>
          <w:szCs w:val="24"/>
        </w:rPr>
        <w:tab/>
      </w:r>
      <w:r>
        <w:rPr>
          <w:rFonts w:hint="eastAsia" w:ascii="仿宋_GB2312" w:hAnsi="宋体" w:eastAsia="仿宋_GB2312" w:cs="宋体"/>
          <w:sz w:val="24"/>
          <w:szCs w:val="24"/>
        </w:rPr>
        <w:t>*</w:t>
      </w:r>
      <w:r>
        <w:rPr>
          <w:rFonts w:hint="eastAsia" w:ascii="仿宋_GB2312" w:hAnsi="仿宋" w:eastAsia="仿宋_GB2312" w:cs="仿宋"/>
          <w:sz w:val="24"/>
          <w:szCs w:val="24"/>
        </w:rPr>
        <w:t>数字化摄像系统，像素≥200万。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2.2.2</w:t>
      </w:r>
      <w:r>
        <w:rPr>
          <w:rFonts w:hint="eastAsia" w:ascii="仿宋_GB2312" w:hAnsi="仿宋" w:eastAsia="仿宋_GB2312" w:cs="仿宋"/>
          <w:sz w:val="24"/>
          <w:szCs w:val="24"/>
        </w:rPr>
        <w:tab/>
      </w:r>
      <w:r>
        <w:rPr>
          <w:rFonts w:hint="eastAsia" w:ascii="仿宋_GB2312" w:hAnsi="仿宋" w:eastAsia="仿宋_GB2312" w:cs="仿宋"/>
          <w:sz w:val="24"/>
          <w:szCs w:val="24"/>
        </w:rPr>
        <w:t>视场角≥70。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2.2.3</w:t>
      </w:r>
      <w:r>
        <w:rPr>
          <w:rFonts w:hint="eastAsia" w:ascii="仿宋_GB2312" w:hAnsi="仿宋" w:eastAsia="仿宋_GB2312" w:cs="仿宋"/>
          <w:sz w:val="24"/>
          <w:szCs w:val="24"/>
        </w:rPr>
        <w:tab/>
      </w:r>
      <w:r>
        <w:rPr>
          <w:rFonts w:hint="eastAsia" w:ascii="仿宋_GB2312" w:hAnsi="仿宋" w:eastAsia="仿宋_GB2312" w:cs="仿宋"/>
          <w:sz w:val="24"/>
          <w:szCs w:val="24"/>
        </w:rPr>
        <w:t>有效景深：3～100mm。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2.2.4</w:t>
      </w:r>
      <w:r>
        <w:rPr>
          <w:rFonts w:hint="eastAsia" w:ascii="仿宋_GB2312" w:hAnsi="仿宋" w:eastAsia="仿宋_GB2312" w:cs="仿宋"/>
          <w:sz w:val="24"/>
          <w:szCs w:val="24"/>
        </w:rPr>
        <w:tab/>
      </w:r>
      <w:r>
        <w:rPr>
          <w:rFonts w:hint="eastAsia" w:ascii="仿宋_GB2312" w:hAnsi="仿宋" w:eastAsia="仿宋_GB2312" w:cs="仿宋"/>
          <w:sz w:val="24"/>
          <w:szCs w:val="24"/>
        </w:rPr>
        <w:t>超强的防雾功能：开机即用，无需预热。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2.2.5</w:t>
      </w:r>
      <w:r>
        <w:rPr>
          <w:rFonts w:hint="eastAsia" w:ascii="仿宋_GB2312" w:hAnsi="仿宋" w:eastAsia="仿宋_GB2312" w:cs="仿宋"/>
          <w:sz w:val="24"/>
          <w:szCs w:val="24"/>
        </w:rPr>
        <w:tab/>
      </w:r>
      <w:r>
        <w:rPr>
          <w:rFonts w:hint="eastAsia" w:ascii="仿宋_GB2312" w:hAnsi="仿宋" w:eastAsia="仿宋_GB2312" w:cs="仿宋"/>
          <w:sz w:val="24"/>
          <w:szCs w:val="24"/>
        </w:rPr>
        <w:t>光照度：≥2000lux。</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电池</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2.3.1</w:t>
      </w:r>
      <w:r>
        <w:rPr>
          <w:rFonts w:hint="eastAsia" w:ascii="仿宋_GB2312" w:hAnsi="仿宋" w:eastAsia="仿宋_GB2312" w:cs="仿宋"/>
          <w:sz w:val="24"/>
          <w:szCs w:val="24"/>
        </w:rPr>
        <w:tab/>
      </w:r>
      <w:r>
        <w:rPr>
          <w:rFonts w:hint="eastAsia" w:ascii="仿宋_GB2312" w:hAnsi="仿宋" w:eastAsia="仿宋_GB2312" w:cs="仿宋"/>
          <w:sz w:val="24"/>
          <w:szCs w:val="24"/>
        </w:rPr>
        <w:t>充电器输入:100～240V，50/60Hz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2.3.2</w:t>
      </w:r>
      <w:r>
        <w:rPr>
          <w:rFonts w:hint="eastAsia" w:ascii="仿宋_GB2312" w:hAnsi="仿宋" w:eastAsia="仿宋_GB2312" w:cs="仿宋"/>
          <w:sz w:val="24"/>
          <w:szCs w:val="24"/>
        </w:rPr>
        <w:tab/>
      </w:r>
      <w:r>
        <w:rPr>
          <w:rFonts w:hint="eastAsia" w:ascii="仿宋_GB2312" w:hAnsi="仿宋" w:eastAsia="仿宋_GB2312" w:cs="仿宋"/>
          <w:sz w:val="24"/>
          <w:szCs w:val="24"/>
        </w:rPr>
        <w:t>充电器输出:5V,2000mA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2.3.3</w:t>
      </w:r>
      <w:r>
        <w:rPr>
          <w:rFonts w:hint="eastAsia" w:ascii="仿宋_GB2312" w:hAnsi="仿宋" w:eastAsia="仿宋_GB2312" w:cs="仿宋"/>
          <w:sz w:val="24"/>
          <w:szCs w:val="24"/>
        </w:rPr>
        <w:tab/>
      </w:r>
      <w:r>
        <w:rPr>
          <w:rFonts w:hint="eastAsia" w:ascii="仿宋_GB2312" w:hAnsi="仿宋" w:eastAsia="仿宋_GB2312" w:cs="仿宋"/>
          <w:sz w:val="24"/>
          <w:szCs w:val="24"/>
        </w:rPr>
        <w:t>电池容量≥3000mA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2.3.4</w:t>
      </w:r>
      <w:r>
        <w:rPr>
          <w:rFonts w:hint="eastAsia" w:ascii="仿宋_GB2312" w:hAnsi="仿宋" w:eastAsia="仿宋_GB2312" w:cs="仿宋"/>
          <w:sz w:val="24"/>
          <w:szCs w:val="24"/>
        </w:rPr>
        <w:tab/>
      </w:r>
      <w:r>
        <w:rPr>
          <w:rFonts w:hint="eastAsia" w:ascii="仿宋_GB2312" w:hAnsi="仿宋" w:eastAsia="仿宋_GB2312" w:cs="仿宋"/>
          <w:sz w:val="24"/>
          <w:szCs w:val="24"/>
        </w:rPr>
        <w:t>充电时间:≤5h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2.3.5</w:t>
      </w:r>
      <w:r>
        <w:rPr>
          <w:rFonts w:hint="eastAsia" w:ascii="仿宋_GB2312" w:hAnsi="仿宋" w:eastAsia="仿宋_GB2312" w:cs="仿宋"/>
          <w:sz w:val="24"/>
          <w:szCs w:val="24"/>
        </w:rPr>
        <w:tab/>
      </w:r>
      <w:r>
        <w:rPr>
          <w:rFonts w:hint="eastAsia" w:ascii="仿宋_GB2312" w:hAnsi="仿宋" w:eastAsia="仿宋_GB2312" w:cs="仿宋"/>
          <w:sz w:val="24"/>
          <w:szCs w:val="24"/>
        </w:rPr>
        <w:t>电池放电时间≥6h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w:t>
      </w:r>
      <w:r>
        <w:rPr>
          <w:rFonts w:hint="eastAsia" w:ascii="仿宋_GB2312" w:hAnsi="仿宋" w:eastAsia="仿宋_GB2312" w:cs="仿宋"/>
          <w:sz w:val="24"/>
          <w:szCs w:val="24"/>
        </w:rPr>
        <w:tab/>
      </w:r>
      <w:r>
        <w:rPr>
          <w:rFonts w:hint="eastAsia" w:ascii="仿宋_GB2312" w:hAnsi="仿宋" w:eastAsia="仿宋_GB2312" w:cs="仿宋"/>
          <w:sz w:val="24"/>
          <w:szCs w:val="24"/>
        </w:rPr>
        <w:t>具有一键拍照、一键定格、实时录像等功能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w:t>
      </w:r>
      <w:r>
        <w:rPr>
          <w:rFonts w:hint="eastAsia" w:ascii="仿宋_GB2312" w:hAnsi="仿宋" w:eastAsia="仿宋_GB2312" w:cs="仿宋"/>
          <w:sz w:val="24"/>
          <w:szCs w:val="24"/>
        </w:rPr>
        <w:tab/>
      </w:r>
      <w:r>
        <w:rPr>
          <w:rFonts w:hint="eastAsia" w:ascii="仿宋_GB2312" w:hAnsi="仿宋" w:eastAsia="仿宋_GB2312" w:cs="仿宋"/>
          <w:sz w:val="24"/>
          <w:szCs w:val="24"/>
        </w:rPr>
        <w:t>具有AV输出功能，方便教学及演示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w:t>
      </w:r>
      <w:r>
        <w:rPr>
          <w:rFonts w:hint="eastAsia" w:ascii="仿宋_GB2312" w:hAnsi="仿宋" w:eastAsia="仿宋_GB2312" w:cs="仿宋"/>
          <w:sz w:val="24"/>
          <w:szCs w:val="24"/>
        </w:rPr>
        <w:tab/>
      </w:r>
      <w:r>
        <w:rPr>
          <w:rFonts w:hint="eastAsia" w:ascii="仿宋_GB2312" w:hAnsi="仿宋" w:eastAsia="仿宋_GB2312" w:cs="仿宋"/>
          <w:sz w:val="24"/>
          <w:szCs w:val="24"/>
        </w:rPr>
        <w:t>手柄和摄像系统的连接采用锁扣式设计。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w:t>
      </w:r>
      <w:r>
        <w:rPr>
          <w:rFonts w:hint="eastAsia" w:ascii="仿宋_GB2312" w:hAnsi="仿宋" w:eastAsia="仿宋_GB2312" w:cs="仿宋"/>
          <w:sz w:val="24"/>
          <w:szCs w:val="24"/>
        </w:rPr>
        <w:tab/>
      </w:r>
      <w:r>
        <w:rPr>
          <w:rFonts w:hint="eastAsia" w:ascii="仿宋_GB2312" w:hAnsi="仿宋" w:eastAsia="仿宋_GB2312" w:cs="仿宋"/>
          <w:sz w:val="24"/>
          <w:szCs w:val="24"/>
        </w:rPr>
        <w:t>产品适用于成人、儿童、婴幼儿。</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01-04 无创呼吸机</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采用</w:t>
      </w:r>
      <w:r>
        <w:rPr>
          <w:rFonts w:hint="eastAsia" w:ascii="仿宋_GB2312" w:hAnsi="仿宋" w:eastAsia="仿宋_GB2312" w:cs="仿宋"/>
          <w:sz w:val="24"/>
          <w:szCs w:val="24"/>
        </w:rPr>
        <w:t>≥3.5英寸</w:t>
      </w:r>
      <w:r>
        <w:rPr>
          <w:rFonts w:ascii="仿宋_GB2312" w:hAnsi="仿宋" w:eastAsia="仿宋_GB2312" w:cs="仿宋"/>
          <w:sz w:val="24"/>
          <w:szCs w:val="24"/>
        </w:rPr>
        <w:t>彩色液晶屏,显示</w:t>
      </w:r>
      <w:r>
        <w:rPr>
          <w:rFonts w:hint="eastAsia" w:ascii="仿宋_GB2312" w:hAnsi="仿宋" w:eastAsia="仿宋_GB2312" w:cs="仿宋"/>
          <w:sz w:val="24"/>
          <w:szCs w:val="24"/>
        </w:rPr>
        <w:t>呼吸</w:t>
      </w:r>
      <w:r>
        <w:rPr>
          <w:rFonts w:ascii="仿宋_GB2312" w:hAnsi="仿宋" w:eastAsia="仿宋_GB2312" w:cs="仿宋"/>
          <w:sz w:val="24"/>
          <w:szCs w:val="24"/>
        </w:rPr>
        <w:t>参数、报警信息及波形</w:t>
      </w:r>
      <w:r>
        <w:rPr>
          <w:rFonts w:hint="eastAsia" w:ascii="仿宋_GB2312" w:hAnsi="仿宋" w:eastAsia="仿宋_GB2312" w:cs="仿宋"/>
          <w:sz w:val="24"/>
          <w:szCs w:val="24"/>
        </w:rPr>
        <w:t>柱。</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人体理工学设计</w:t>
      </w:r>
      <w:r>
        <w:rPr>
          <w:rFonts w:hint="eastAsia" w:ascii="仿宋_GB2312" w:hAnsi="仿宋" w:eastAsia="仿宋_GB2312" w:cs="仿宋"/>
          <w:sz w:val="24"/>
          <w:szCs w:val="24"/>
        </w:rPr>
        <w:t>适配多种形式支</w:t>
      </w:r>
      <w:r>
        <w:rPr>
          <w:rFonts w:ascii="仿宋_GB2312" w:hAnsi="仿宋" w:eastAsia="仿宋_GB2312" w:cs="仿宋"/>
          <w:sz w:val="24"/>
          <w:szCs w:val="24"/>
        </w:rPr>
        <w:t>架</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3.自备湿化器增加空气湿度。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4.电源：直流24 V（－15 % ～ ＋25 %），2.5 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5.电源适配器：交流输入 100 V -240 V～，频率50Hz /60 Hz，直流输出 24 V，2.5 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6.环境温度范围：</w:t>
      </w:r>
      <w:r>
        <w:rPr>
          <w:rFonts w:ascii="仿宋_GB2312" w:hAnsi="仿宋" w:eastAsia="仿宋_GB2312" w:cs="仿宋"/>
          <w:sz w:val="24"/>
          <w:szCs w:val="24"/>
        </w:rPr>
        <w:t>+</w:t>
      </w:r>
      <w:r>
        <w:rPr>
          <w:rFonts w:hint="eastAsia" w:ascii="仿宋_GB2312" w:hAnsi="仿宋" w:eastAsia="仿宋_GB2312" w:cs="仿宋"/>
          <w:sz w:val="24"/>
          <w:szCs w:val="24"/>
        </w:rPr>
        <w:t>5 ℃ ～ +35 ℃，相对湿度范围：15 %</w:t>
      </w:r>
      <w:r>
        <w:rPr>
          <w:rFonts w:ascii="仿宋_GB2312" w:hAnsi="仿宋" w:eastAsia="仿宋_GB2312" w:cs="仿宋"/>
          <w:sz w:val="24"/>
          <w:szCs w:val="24"/>
        </w:rPr>
        <w:t xml:space="preserve"> ～</w:t>
      </w:r>
      <w:r>
        <w:rPr>
          <w:rFonts w:hint="eastAsia" w:ascii="仿宋_GB2312" w:hAnsi="仿宋" w:eastAsia="仿宋_GB2312" w:cs="仿宋"/>
          <w:sz w:val="24"/>
          <w:szCs w:val="24"/>
        </w:rPr>
        <w:t xml:space="preserve"> 95</w:t>
      </w:r>
      <w:r>
        <w:rPr>
          <w:rFonts w:ascii="仿宋_GB2312" w:hAnsi="仿宋" w:eastAsia="仿宋_GB2312" w:cs="仿宋"/>
          <w:sz w:val="24"/>
          <w:szCs w:val="24"/>
        </w:rPr>
        <w:t xml:space="preserve"> %</w:t>
      </w:r>
      <w:r>
        <w:rPr>
          <w:rFonts w:hint="eastAsia" w:ascii="仿宋_GB2312" w:hAnsi="仿宋" w:eastAsia="仿宋_GB2312" w:cs="仿宋"/>
          <w:sz w:val="24"/>
          <w:szCs w:val="24"/>
        </w:rPr>
        <w:t>，大气压力范围：830 hP</w:t>
      </w:r>
      <w:r>
        <w:rPr>
          <w:rFonts w:ascii="仿宋_GB2312" w:hAnsi="仿宋" w:eastAsia="仿宋_GB2312" w:cs="仿宋"/>
          <w:sz w:val="24"/>
          <w:szCs w:val="24"/>
        </w:rPr>
        <w:t xml:space="preserve">a </w:t>
      </w:r>
      <w:r>
        <w:rPr>
          <w:rFonts w:hint="eastAsia" w:ascii="仿宋_GB2312" w:hAnsi="仿宋" w:eastAsia="仿宋_GB2312" w:cs="仿宋"/>
          <w:sz w:val="24"/>
          <w:szCs w:val="24"/>
        </w:rPr>
        <w:t>～ 1060 hP</w:t>
      </w:r>
      <w:r>
        <w:rPr>
          <w:rFonts w:ascii="仿宋_GB2312" w:hAnsi="仿宋" w:eastAsia="仿宋_GB2312" w:cs="仿宋"/>
          <w:sz w:val="24"/>
          <w:szCs w:val="24"/>
        </w:rPr>
        <w:t>a</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通气模式</w:t>
      </w:r>
      <w:r>
        <w:rPr>
          <w:rFonts w:hint="eastAsia" w:ascii="仿宋_GB2312" w:hAnsi="仿宋" w:eastAsia="仿宋_GB2312" w:cs="仿宋"/>
          <w:sz w:val="24"/>
          <w:szCs w:val="24"/>
        </w:rPr>
        <w:t>：至少具有自主呼吸/时间控制模式（S/T模式）、时间</w:t>
      </w:r>
      <w:r>
        <w:rPr>
          <w:rFonts w:ascii="仿宋_GB2312" w:hAnsi="仿宋" w:eastAsia="仿宋_GB2312" w:cs="仿宋"/>
          <w:sz w:val="24"/>
          <w:szCs w:val="24"/>
        </w:rPr>
        <w:t>控制</w:t>
      </w:r>
      <w:r>
        <w:rPr>
          <w:rFonts w:hint="eastAsia" w:ascii="仿宋_GB2312" w:hAnsi="仿宋" w:eastAsia="仿宋_GB2312" w:cs="仿宋"/>
          <w:sz w:val="24"/>
          <w:szCs w:val="24"/>
        </w:rPr>
        <w:t>模式（T模式</w:t>
      </w:r>
      <w:r>
        <w:rPr>
          <w:rFonts w:ascii="仿宋_GB2312" w:hAnsi="仿宋" w:eastAsia="仿宋_GB2312" w:cs="仿宋"/>
          <w:sz w:val="24"/>
          <w:szCs w:val="24"/>
        </w:rPr>
        <w:t>）</w:t>
      </w:r>
      <w:r>
        <w:rPr>
          <w:rFonts w:hint="eastAsia" w:ascii="仿宋_GB2312" w:hAnsi="仿宋" w:eastAsia="仿宋_GB2312" w:cs="仿宋"/>
          <w:sz w:val="24"/>
          <w:szCs w:val="24"/>
        </w:rPr>
        <w:t>、自主呼吸模式</w:t>
      </w:r>
      <w:r>
        <w:rPr>
          <w:rFonts w:ascii="仿宋_GB2312" w:hAnsi="仿宋" w:eastAsia="仿宋_GB2312" w:cs="仿宋"/>
          <w:sz w:val="24"/>
          <w:szCs w:val="24"/>
        </w:rPr>
        <w:t>（</w:t>
      </w:r>
      <w:r>
        <w:rPr>
          <w:rFonts w:hint="eastAsia" w:ascii="仿宋_GB2312" w:hAnsi="仿宋" w:eastAsia="仿宋_GB2312" w:cs="仿宋"/>
          <w:sz w:val="24"/>
          <w:szCs w:val="24"/>
        </w:rPr>
        <w:t>S模式</w:t>
      </w:r>
      <w:r>
        <w:rPr>
          <w:rFonts w:ascii="仿宋_GB2312" w:hAnsi="仿宋" w:eastAsia="仿宋_GB2312" w:cs="仿宋"/>
          <w:sz w:val="24"/>
          <w:szCs w:val="24"/>
        </w:rPr>
        <w:t>）</w:t>
      </w:r>
      <w:r>
        <w:rPr>
          <w:rFonts w:hint="eastAsia" w:ascii="仿宋_GB2312" w:hAnsi="仿宋" w:eastAsia="仿宋_GB2312" w:cs="仿宋"/>
          <w:sz w:val="24"/>
          <w:szCs w:val="24"/>
        </w:rPr>
        <w:t>、持续正压通气模式（CPAP模式）、压力</w:t>
      </w:r>
      <w:r>
        <w:rPr>
          <w:rFonts w:ascii="仿宋_GB2312" w:hAnsi="仿宋" w:eastAsia="仿宋_GB2312" w:cs="仿宋"/>
          <w:sz w:val="24"/>
          <w:szCs w:val="24"/>
        </w:rPr>
        <w:t>控制通气（</w:t>
      </w:r>
      <w:r>
        <w:rPr>
          <w:rFonts w:hint="eastAsia" w:ascii="仿宋_GB2312" w:hAnsi="仿宋" w:eastAsia="仿宋_GB2312" w:cs="仿宋"/>
          <w:sz w:val="24"/>
          <w:szCs w:val="24"/>
        </w:rPr>
        <w:t>PC</w:t>
      </w:r>
      <w:r>
        <w:rPr>
          <w:rFonts w:ascii="仿宋_GB2312" w:hAnsi="仿宋" w:eastAsia="仿宋_GB2312" w:cs="仿宋"/>
          <w:sz w:val="24"/>
          <w:szCs w:val="24"/>
        </w:rPr>
        <w:t>）</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w:t>
      </w:r>
      <w:r>
        <w:rPr>
          <w:rFonts w:ascii="仿宋_GB2312" w:hAnsi="仿宋" w:eastAsia="仿宋_GB2312" w:cs="仿宋"/>
          <w:sz w:val="24"/>
          <w:szCs w:val="24"/>
        </w:rPr>
        <w:t>调节参数</w:t>
      </w:r>
      <w:r>
        <w:rPr>
          <w:rFonts w:hint="eastAsia" w:ascii="仿宋_GB2312" w:hAnsi="仿宋" w:eastAsia="仿宋_GB2312" w:cs="仿宋"/>
          <w:sz w:val="24"/>
          <w:szCs w:val="24"/>
        </w:rPr>
        <w:t>：AVPAS：开/关，潮气量：</w:t>
      </w:r>
      <w:r>
        <w:rPr>
          <w:rFonts w:ascii="仿宋_GB2312" w:hAnsi="仿宋" w:eastAsia="仿宋_GB2312" w:cs="仿宋"/>
          <w:sz w:val="24"/>
          <w:szCs w:val="24"/>
        </w:rPr>
        <w:t>200 m</w:t>
      </w:r>
      <w:r>
        <w:rPr>
          <w:rFonts w:hint="eastAsia" w:ascii="仿宋_GB2312" w:hAnsi="仿宋" w:eastAsia="仿宋_GB2312" w:cs="仿宋"/>
          <w:sz w:val="24"/>
          <w:szCs w:val="24"/>
        </w:rPr>
        <w:t>L～1500</w:t>
      </w:r>
      <w:r>
        <w:rPr>
          <w:rFonts w:ascii="仿宋_GB2312" w:hAnsi="仿宋" w:eastAsia="仿宋_GB2312" w:cs="仿宋"/>
          <w:sz w:val="24"/>
          <w:szCs w:val="24"/>
        </w:rPr>
        <w:t xml:space="preserve"> m</w:t>
      </w:r>
      <w:r>
        <w:rPr>
          <w:rFonts w:hint="eastAsia" w:ascii="仿宋_GB2312" w:hAnsi="仿宋" w:eastAsia="仿宋_GB2312" w:cs="仿宋"/>
          <w:sz w:val="24"/>
          <w:szCs w:val="24"/>
        </w:rPr>
        <w:t>L，呼吸频率</w:t>
      </w:r>
      <w:bookmarkStart w:id="159" w:name="_Toc446512908"/>
      <w:r>
        <w:rPr>
          <w:rFonts w:hint="eastAsia" w:ascii="仿宋_GB2312" w:hAnsi="仿宋" w:eastAsia="仿宋_GB2312" w:cs="仿宋"/>
          <w:sz w:val="24"/>
          <w:szCs w:val="24"/>
        </w:rPr>
        <w:t>：3</w:t>
      </w:r>
      <w:r>
        <w:rPr>
          <w:rFonts w:ascii="仿宋_GB2312" w:hAnsi="仿宋" w:eastAsia="仿宋_GB2312" w:cs="仿宋"/>
          <w:sz w:val="24"/>
          <w:szCs w:val="24"/>
        </w:rPr>
        <w:t xml:space="preserve"> bpm</w:t>
      </w:r>
      <w:r>
        <w:rPr>
          <w:rFonts w:hint="eastAsia" w:ascii="仿宋_GB2312" w:hAnsi="仿宋" w:eastAsia="仿宋_GB2312" w:cs="仿宋"/>
          <w:sz w:val="24"/>
          <w:szCs w:val="24"/>
        </w:rPr>
        <w:t xml:space="preserve">～40 </w:t>
      </w:r>
      <w:bookmarkEnd w:id="159"/>
      <w:r>
        <w:rPr>
          <w:rFonts w:ascii="仿宋_GB2312" w:hAnsi="仿宋" w:eastAsia="仿宋_GB2312" w:cs="仿宋"/>
          <w:sz w:val="24"/>
          <w:szCs w:val="24"/>
        </w:rPr>
        <w:t>bpm</w:t>
      </w:r>
      <w:r>
        <w:rPr>
          <w:rFonts w:hint="eastAsia" w:ascii="仿宋_GB2312" w:hAnsi="仿宋" w:eastAsia="仿宋_GB2312" w:cs="仿宋"/>
          <w:sz w:val="24"/>
          <w:szCs w:val="24"/>
        </w:rPr>
        <w:t>，吸气时间</w:t>
      </w:r>
      <w:bookmarkStart w:id="160" w:name="_Toc446512911"/>
      <w:r>
        <w:rPr>
          <w:rFonts w:hint="eastAsia" w:ascii="仿宋_GB2312" w:hAnsi="仿宋" w:eastAsia="仿宋_GB2312" w:cs="仿宋"/>
          <w:sz w:val="24"/>
          <w:szCs w:val="24"/>
        </w:rPr>
        <w:t>：0.0 s～3.0 s</w:t>
      </w:r>
      <w:bookmarkEnd w:id="160"/>
      <w:r>
        <w:rPr>
          <w:rFonts w:hint="eastAsia" w:ascii="仿宋_GB2312" w:hAnsi="仿宋" w:eastAsia="仿宋_GB2312" w:cs="仿宋"/>
          <w:sz w:val="24"/>
          <w:szCs w:val="24"/>
        </w:rPr>
        <w:t>，吸气压力（IPAP）</w:t>
      </w:r>
      <w:bookmarkStart w:id="161" w:name="_Toc446512914"/>
      <w:r>
        <w:rPr>
          <w:rFonts w:hint="eastAsia" w:ascii="仿宋_GB2312" w:hAnsi="仿宋" w:eastAsia="仿宋_GB2312" w:cs="仿宋"/>
          <w:sz w:val="24"/>
          <w:szCs w:val="24"/>
        </w:rPr>
        <w:t>：4 cmH2O～</w:t>
      </w:r>
      <w:r>
        <w:rPr>
          <w:rFonts w:ascii="仿宋_GB2312" w:hAnsi="仿宋" w:eastAsia="仿宋_GB2312" w:cs="仿宋"/>
          <w:sz w:val="24"/>
          <w:szCs w:val="24"/>
        </w:rPr>
        <w:t>30</w:t>
      </w:r>
      <w:r>
        <w:rPr>
          <w:rFonts w:hint="eastAsia" w:ascii="仿宋_GB2312" w:hAnsi="仿宋" w:eastAsia="仿宋_GB2312" w:cs="仿宋"/>
          <w:sz w:val="24"/>
          <w:szCs w:val="24"/>
        </w:rPr>
        <w:t xml:space="preserve"> </w:t>
      </w:r>
      <w:bookmarkEnd w:id="161"/>
      <w:r>
        <w:rPr>
          <w:rFonts w:hint="eastAsia" w:ascii="仿宋_GB2312" w:hAnsi="仿宋" w:eastAsia="仿宋_GB2312" w:cs="仿宋"/>
          <w:sz w:val="24"/>
          <w:szCs w:val="24"/>
        </w:rPr>
        <w:t>cmH2O、最大</w:t>
      </w:r>
      <w:r>
        <w:rPr>
          <w:rFonts w:ascii="仿宋_GB2312" w:hAnsi="仿宋" w:eastAsia="仿宋_GB2312" w:cs="仿宋"/>
          <w:sz w:val="24"/>
          <w:szCs w:val="24"/>
        </w:rPr>
        <w:t>吸气压（</w:t>
      </w:r>
      <w:r>
        <w:rPr>
          <w:rFonts w:hint="eastAsia" w:ascii="仿宋_GB2312" w:hAnsi="仿宋" w:eastAsia="仿宋_GB2312" w:cs="仿宋"/>
          <w:sz w:val="24"/>
          <w:szCs w:val="24"/>
        </w:rPr>
        <w:t>IPAPMAX</w:t>
      </w:r>
      <w:r>
        <w:rPr>
          <w:rFonts w:ascii="仿宋_GB2312" w:hAnsi="仿宋" w:eastAsia="仿宋_GB2312" w:cs="仿宋"/>
          <w:sz w:val="24"/>
          <w:szCs w:val="24"/>
        </w:rPr>
        <w:t>）</w:t>
      </w:r>
      <w:r>
        <w:rPr>
          <w:rFonts w:hint="eastAsia" w:ascii="仿宋_GB2312" w:hAnsi="仿宋" w:eastAsia="仿宋_GB2312" w:cs="仿宋"/>
          <w:sz w:val="24"/>
          <w:szCs w:val="24"/>
        </w:rPr>
        <w:t>：4 cmH2O～</w:t>
      </w:r>
      <w:r>
        <w:rPr>
          <w:rFonts w:ascii="仿宋_GB2312" w:hAnsi="仿宋" w:eastAsia="仿宋_GB2312" w:cs="仿宋"/>
          <w:sz w:val="24"/>
          <w:szCs w:val="24"/>
        </w:rPr>
        <w:t>30</w:t>
      </w:r>
      <w:r>
        <w:rPr>
          <w:rFonts w:hint="eastAsia" w:ascii="仿宋_GB2312" w:hAnsi="仿宋" w:eastAsia="仿宋_GB2312" w:cs="仿宋"/>
          <w:sz w:val="24"/>
          <w:szCs w:val="24"/>
        </w:rPr>
        <w:t xml:space="preserve"> cmH2O，最小</w:t>
      </w:r>
      <w:r>
        <w:rPr>
          <w:rFonts w:ascii="仿宋_GB2312" w:hAnsi="仿宋" w:eastAsia="仿宋_GB2312" w:cs="仿宋"/>
          <w:sz w:val="24"/>
          <w:szCs w:val="24"/>
        </w:rPr>
        <w:t>吸气压（</w:t>
      </w:r>
      <w:r>
        <w:rPr>
          <w:rFonts w:hint="eastAsia" w:ascii="仿宋_GB2312" w:hAnsi="仿宋" w:eastAsia="仿宋_GB2312" w:cs="仿宋"/>
          <w:sz w:val="24"/>
          <w:szCs w:val="24"/>
        </w:rPr>
        <w:t>IPAPM</w:t>
      </w:r>
      <w:r>
        <w:rPr>
          <w:rFonts w:ascii="仿宋_GB2312" w:hAnsi="仿宋" w:eastAsia="仿宋_GB2312" w:cs="仿宋"/>
          <w:sz w:val="24"/>
          <w:szCs w:val="24"/>
        </w:rPr>
        <w:t>IN）</w:t>
      </w:r>
      <w:r>
        <w:rPr>
          <w:rFonts w:hint="eastAsia" w:ascii="仿宋_GB2312" w:hAnsi="仿宋" w:eastAsia="仿宋_GB2312" w:cs="仿宋"/>
          <w:sz w:val="24"/>
          <w:szCs w:val="24"/>
        </w:rPr>
        <w:t>：4 cmH2O～</w:t>
      </w:r>
      <w:r>
        <w:rPr>
          <w:rFonts w:ascii="仿宋_GB2312" w:hAnsi="仿宋" w:eastAsia="仿宋_GB2312" w:cs="仿宋"/>
          <w:sz w:val="24"/>
          <w:szCs w:val="24"/>
        </w:rPr>
        <w:t>30</w:t>
      </w:r>
      <w:r>
        <w:rPr>
          <w:rFonts w:hint="eastAsia" w:ascii="仿宋_GB2312" w:hAnsi="仿宋" w:eastAsia="仿宋_GB2312" w:cs="仿宋"/>
          <w:sz w:val="24"/>
          <w:szCs w:val="24"/>
        </w:rPr>
        <w:t xml:space="preserve"> cmH2O，呼气压力（EPAP）</w:t>
      </w:r>
      <w:bookmarkStart w:id="162" w:name="_Toc446512917"/>
      <w:r>
        <w:rPr>
          <w:rFonts w:hint="eastAsia" w:ascii="仿宋_GB2312" w:hAnsi="仿宋" w:eastAsia="仿宋_GB2312" w:cs="仿宋"/>
          <w:sz w:val="24"/>
          <w:szCs w:val="24"/>
        </w:rPr>
        <w:t>：4 cmH2O～2</w:t>
      </w:r>
      <w:r>
        <w:rPr>
          <w:rFonts w:ascii="仿宋_GB2312" w:hAnsi="仿宋" w:eastAsia="仿宋_GB2312" w:cs="仿宋"/>
          <w:sz w:val="24"/>
          <w:szCs w:val="24"/>
        </w:rPr>
        <w:t>5</w:t>
      </w:r>
      <w:r>
        <w:rPr>
          <w:rFonts w:hint="eastAsia" w:ascii="仿宋_GB2312" w:hAnsi="仿宋" w:eastAsia="仿宋_GB2312" w:cs="仿宋"/>
          <w:sz w:val="24"/>
          <w:szCs w:val="24"/>
        </w:rPr>
        <w:t xml:space="preserve"> </w:t>
      </w:r>
      <w:bookmarkEnd w:id="162"/>
      <w:r>
        <w:rPr>
          <w:rFonts w:hint="eastAsia" w:ascii="仿宋_GB2312" w:hAnsi="仿宋" w:eastAsia="仿宋_GB2312" w:cs="仿宋"/>
          <w:sz w:val="24"/>
          <w:szCs w:val="24"/>
        </w:rPr>
        <w:t>cmH2O，持续气道正压（CPAP）</w:t>
      </w:r>
      <w:bookmarkStart w:id="163" w:name="_Toc446512920"/>
      <w:r>
        <w:rPr>
          <w:rFonts w:hint="eastAsia" w:ascii="仿宋_GB2312" w:hAnsi="仿宋" w:eastAsia="仿宋_GB2312" w:cs="仿宋"/>
          <w:sz w:val="24"/>
          <w:szCs w:val="24"/>
        </w:rPr>
        <w:t xml:space="preserve">：4 cmH2O～20 </w:t>
      </w:r>
      <w:bookmarkEnd w:id="163"/>
      <w:r>
        <w:rPr>
          <w:rFonts w:hint="eastAsia" w:ascii="仿宋_GB2312" w:hAnsi="仿宋" w:eastAsia="仿宋_GB2312" w:cs="仿宋"/>
          <w:sz w:val="24"/>
          <w:szCs w:val="24"/>
        </w:rPr>
        <w:t>cmH2O，压力延时上升时间</w:t>
      </w:r>
      <w:bookmarkStart w:id="164" w:name="_Toc446512923"/>
      <w:r>
        <w:rPr>
          <w:rFonts w:hint="eastAsia" w:ascii="仿宋_GB2312" w:hAnsi="仿宋" w:eastAsia="仿宋_GB2312" w:cs="仿宋"/>
          <w:sz w:val="24"/>
          <w:szCs w:val="24"/>
        </w:rPr>
        <w:t xml:space="preserve">：0 </w:t>
      </w:r>
      <w:r>
        <w:rPr>
          <w:rFonts w:ascii="仿宋_GB2312" w:hAnsi="仿宋" w:eastAsia="仿宋_GB2312" w:cs="仿宋"/>
          <w:sz w:val="24"/>
          <w:szCs w:val="24"/>
        </w:rPr>
        <w:t>min</w:t>
      </w:r>
      <w:r>
        <w:rPr>
          <w:rFonts w:hint="eastAsia" w:ascii="仿宋_GB2312" w:hAnsi="仿宋" w:eastAsia="仿宋_GB2312" w:cs="仿宋"/>
          <w:sz w:val="24"/>
          <w:szCs w:val="24"/>
        </w:rPr>
        <w:t xml:space="preserve">～60 </w:t>
      </w:r>
      <w:bookmarkEnd w:id="164"/>
      <w:r>
        <w:rPr>
          <w:rFonts w:ascii="仿宋_GB2312" w:hAnsi="仿宋" w:eastAsia="仿宋_GB2312" w:cs="仿宋"/>
          <w:sz w:val="24"/>
          <w:szCs w:val="24"/>
        </w:rPr>
        <w:t>min</w:t>
      </w:r>
      <w:r>
        <w:rPr>
          <w:rFonts w:hint="eastAsia" w:ascii="仿宋_GB2312" w:hAnsi="仿宋" w:eastAsia="仿宋_GB2312" w:cs="仿宋"/>
          <w:sz w:val="24"/>
          <w:szCs w:val="24"/>
        </w:rPr>
        <w:t>，压力上升时间</w:t>
      </w:r>
      <w:bookmarkStart w:id="165" w:name="_Toc446512926"/>
      <w:r>
        <w:rPr>
          <w:rFonts w:hint="eastAsia" w:ascii="仿宋_GB2312" w:hAnsi="仿宋" w:eastAsia="仿宋_GB2312" w:cs="仿宋"/>
          <w:sz w:val="24"/>
          <w:szCs w:val="24"/>
        </w:rPr>
        <w:t>：自动调节,0.1 s～ 0.6s</w:t>
      </w:r>
      <w:bookmarkEnd w:id="165"/>
      <w:r>
        <w:rPr>
          <w:rFonts w:hint="eastAsia" w:ascii="仿宋_GB2312" w:hAnsi="仿宋" w:eastAsia="仿宋_GB2312" w:cs="仿宋"/>
          <w:sz w:val="24"/>
          <w:szCs w:val="24"/>
        </w:rPr>
        <w:t>，吸气灵敏度</w:t>
      </w:r>
      <w:bookmarkStart w:id="166" w:name="_Toc446512929"/>
      <w:r>
        <w:rPr>
          <w:rFonts w:ascii="仿宋_GB2312" w:hAnsi="仿宋" w:eastAsia="仿宋_GB2312" w:cs="仿宋"/>
          <w:sz w:val="24"/>
          <w:szCs w:val="24"/>
        </w:rPr>
        <w:t xml:space="preserve"> </w:t>
      </w:r>
      <w:r>
        <w:rPr>
          <w:rFonts w:hint="eastAsia" w:ascii="仿宋_GB2312" w:hAnsi="仿宋" w:eastAsia="仿宋_GB2312" w:cs="仿宋"/>
          <w:sz w:val="24"/>
          <w:szCs w:val="24"/>
        </w:rPr>
        <w:t>：自动调节、1～3</w:t>
      </w:r>
      <w:bookmarkEnd w:id="166"/>
      <w:r>
        <w:rPr>
          <w:rFonts w:hint="eastAsia" w:ascii="仿宋_GB2312" w:hAnsi="仿宋" w:eastAsia="仿宋_GB2312" w:cs="仿宋"/>
          <w:sz w:val="24"/>
          <w:szCs w:val="24"/>
        </w:rPr>
        <w:t xml:space="preserve"> ，呼气灵敏度</w:t>
      </w:r>
      <w:bookmarkStart w:id="167" w:name="_Toc446512931"/>
      <w:r>
        <w:rPr>
          <w:rFonts w:hint="eastAsia" w:ascii="仿宋_GB2312" w:hAnsi="仿宋" w:eastAsia="仿宋_GB2312" w:cs="仿宋"/>
          <w:sz w:val="24"/>
          <w:szCs w:val="24"/>
        </w:rPr>
        <w:t>：自动调节、1～3</w:t>
      </w:r>
      <w:bookmarkEnd w:id="167"/>
      <w:r>
        <w:rPr>
          <w:rFonts w:hint="eastAsia" w:ascii="仿宋_GB2312" w:hAnsi="仿宋" w:eastAsia="仿宋_GB2312" w:cs="仿宋"/>
          <w:sz w:val="24"/>
          <w:szCs w:val="24"/>
        </w:rPr>
        <w:t>，舒适度</w:t>
      </w:r>
      <w:bookmarkStart w:id="168" w:name="_Toc446512933"/>
      <w:r>
        <w:rPr>
          <w:rFonts w:hint="eastAsia" w:ascii="仿宋_GB2312" w:hAnsi="仿宋" w:eastAsia="仿宋_GB2312" w:cs="仿宋"/>
          <w:sz w:val="24"/>
          <w:szCs w:val="24"/>
        </w:rPr>
        <w:t>：关、1～3</w:t>
      </w:r>
      <w:bookmarkEnd w:id="168"/>
      <w:r>
        <w:rPr>
          <w:rFonts w:hint="eastAsia" w:ascii="仿宋_GB2312" w:hAnsi="仿宋" w:eastAsia="仿宋_GB2312" w:cs="仿宋"/>
          <w:sz w:val="24"/>
          <w:szCs w:val="24"/>
        </w:rPr>
        <w:t>，湿化器</w:t>
      </w:r>
      <w:bookmarkStart w:id="169" w:name="_Toc446512935"/>
      <w:r>
        <w:rPr>
          <w:rFonts w:hint="eastAsia" w:ascii="仿宋_GB2312" w:hAnsi="仿宋" w:eastAsia="仿宋_GB2312" w:cs="仿宋"/>
          <w:sz w:val="24"/>
          <w:szCs w:val="24"/>
        </w:rPr>
        <w:t>：0～5</w:t>
      </w:r>
      <w:bookmarkStart w:id="170" w:name="_Toc454864868"/>
      <w:bookmarkEnd w:id="169"/>
      <w:r>
        <w:rPr>
          <w:rFonts w:hint="eastAsia" w:ascii="仿宋_GB2312" w:hAnsi="仿宋" w:eastAsia="仿宋_GB2312" w:cs="仿宋"/>
          <w:sz w:val="24"/>
          <w:szCs w:val="24"/>
        </w:rPr>
        <w:t>，自动</w:t>
      </w:r>
      <w:r>
        <w:rPr>
          <w:rFonts w:ascii="仿宋_GB2312" w:hAnsi="仿宋" w:eastAsia="仿宋_GB2312" w:cs="仿宋"/>
          <w:sz w:val="24"/>
          <w:szCs w:val="24"/>
        </w:rPr>
        <w:t>功能</w:t>
      </w:r>
      <w:r>
        <w:rPr>
          <w:rFonts w:hint="eastAsia" w:ascii="仿宋_GB2312" w:hAnsi="仿宋" w:eastAsia="仿宋_GB2312" w:cs="仿宋"/>
          <w:sz w:val="24"/>
          <w:szCs w:val="24"/>
        </w:rPr>
        <w:t>：关/开，压力限制</w:t>
      </w:r>
      <w:bookmarkEnd w:id="170"/>
      <w:r>
        <w:rPr>
          <w:rFonts w:hint="eastAsia" w:ascii="仿宋_GB2312" w:hAnsi="仿宋" w:eastAsia="仿宋_GB2312" w:cs="仿宋"/>
          <w:sz w:val="24"/>
          <w:szCs w:val="24"/>
        </w:rPr>
        <w:t>：20 cmH2O～3</w:t>
      </w:r>
      <w:r>
        <w:rPr>
          <w:rFonts w:ascii="仿宋_GB2312" w:hAnsi="仿宋" w:eastAsia="仿宋_GB2312" w:cs="仿宋"/>
          <w:sz w:val="24"/>
          <w:szCs w:val="24"/>
        </w:rPr>
        <w:t>5</w:t>
      </w:r>
      <w:r>
        <w:rPr>
          <w:rFonts w:hint="eastAsia" w:ascii="仿宋_GB2312" w:hAnsi="仿宋" w:eastAsia="仿宋_GB2312" w:cs="仿宋"/>
          <w:sz w:val="24"/>
          <w:szCs w:val="24"/>
        </w:rPr>
        <w:t xml:space="preserve"> 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ascii="仿宋_GB2312" w:hAnsi="仿宋" w:eastAsia="仿宋_GB2312" w:cs="仿宋"/>
          <w:sz w:val="24"/>
          <w:szCs w:val="24"/>
        </w:rPr>
        <w:t>监测参数</w:t>
      </w:r>
      <w:r>
        <w:rPr>
          <w:rFonts w:hint="eastAsia" w:ascii="仿宋_GB2312" w:hAnsi="仿宋" w:eastAsia="仿宋_GB2312" w:cs="仿宋"/>
          <w:sz w:val="24"/>
          <w:szCs w:val="24"/>
        </w:rPr>
        <w:t xml:space="preserve">：频率（Freq）：0 </w:t>
      </w:r>
      <w:r>
        <w:rPr>
          <w:rFonts w:ascii="仿宋_GB2312" w:hAnsi="仿宋" w:eastAsia="仿宋_GB2312" w:cs="仿宋"/>
          <w:sz w:val="24"/>
          <w:szCs w:val="24"/>
        </w:rPr>
        <w:t>bpm</w:t>
      </w:r>
      <w:r>
        <w:rPr>
          <w:rFonts w:hint="eastAsia" w:ascii="仿宋_GB2312" w:hAnsi="仿宋" w:eastAsia="仿宋_GB2312" w:cs="仿宋"/>
          <w:sz w:val="24"/>
          <w:szCs w:val="24"/>
        </w:rPr>
        <w:t xml:space="preserve">～100 </w:t>
      </w:r>
      <w:r>
        <w:rPr>
          <w:rFonts w:ascii="仿宋_GB2312" w:hAnsi="仿宋" w:eastAsia="仿宋_GB2312" w:cs="仿宋"/>
          <w:sz w:val="24"/>
          <w:szCs w:val="24"/>
        </w:rPr>
        <w:t>bpm</w:t>
      </w:r>
      <w:r>
        <w:rPr>
          <w:rFonts w:hint="eastAsia" w:ascii="仿宋_GB2312" w:hAnsi="仿宋" w:eastAsia="仿宋_GB2312" w:cs="仿宋"/>
          <w:sz w:val="24"/>
          <w:szCs w:val="24"/>
        </w:rPr>
        <w:t xml:space="preserve">，潮气量（VT）：0 </w:t>
      </w:r>
      <w:r>
        <w:rPr>
          <w:rFonts w:ascii="仿宋_GB2312" w:hAnsi="仿宋" w:eastAsia="仿宋_GB2312" w:cs="仿宋"/>
          <w:sz w:val="24"/>
          <w:szCs w:val="24"/>
        </w:rPr>
        <w:t>m</w:t>
      </w:r>
      <w:r>
        <w:rPr>
          <w:rFonts w:hint="eastAsia" w:ascii="仿宋_GB2312" w:hAnsi="仿宋" w:eastAsia="仿宋_GB2312" w:cs="仿宋"/>
          <w:sz w:val="24"/>
          <w:szCs w:val="24"/>
        </w:rPr>
        <w:t>L～</w:t>
      </w:r>
      <w:r>
        <w:rPr>
          <w:rFonts w:ascii="仿宋_GB2312" w:hAnsi="仿宋" w:eastAsia="仿宋_GB2312" w:cs="仿宋"/>
          <w:sz w:val="24"/>
          <w:szCs w:val="24"/>
        </w:rPr>
        <w:t>2</w:t>
      </w:r>
      <w:r>
        <w:rPr>
          <w:rFonts w:hint="eastAsia" w:ascii="仿宋_GB2312" w:hAnsi="仿宋" w:eastAsia="仿宋_GB2312" w:cs="仿宋"/>
          <w:sz w:val="24"/>
          <w:szCs w:val="24"/>
        </w:rPr>
        <w:t xml:space="preserve">000 </w:t>
      </w:r>
      <w:r>
        <w:rPr>
          <w:rFonts w:ascii="仿宋_GB2312" w:hAnsi="仿宋" w:eastAsia="仿宋_GB2312" w:cs="仿宋"/>
          <w:sz w:val="24"/>
          <w:szCs w:val="24"/>
        </w:rPr>
        <w:t>m</w:t>
      </w:r>
      <w:r>
        <w:rPr>
          <w:rFonts w:hint="eastAsia" w:ascii="仿宋_GB2312" w:hAnsi="仿宋" w:eastAsia="仿宋_GB2312" w:cs="仿宋"/>
          <w:sz w:val="24"/>
          <w:szCs w:val="24"/>
        </w:rPr>
        <w:t>L，分钟通气量（MV）：0 L/</w:t>
      </w:r>
      <w:r>
        <w:rPr>
          <w:rFonts w:ascii="仿宋_GB2312" w:hAnsi="仿宋" w:eastAsia="仿宋_GB2312" w:cs="仿宋"/>
          <w:sz w:val="24"/>
          <w:szCs w:val="24"/>
        </w:rPr>
        <w:t>min</w:t>
      </w:r>
      <w:r>
        <w:rPr>
          <w:rFonts w:hint="eastAsia" w:ascii="仿宋_GB2312" w:hAnsi="仿宋" w:eastAsia="仿宋_GB2312" w:cs="仿宋"/>
          <w:sz w:val="24"/>
          <w:szCs w:val="24"/>
        </w:rPr>
        <w:t>～</w:t>
      </w:r>
      <w:r>
        <w:rPr>
          <w:rFonts w:ascii="仿宋_GB2312" w:hAnsi="仿宋" w:eastAsia="仿宋_GB2312" w:cs="仿宋"/>
          <w:sz w:val="24"/>
          <w:szCs w:val="24"/>
        </w:rPr>
        <w:t>99</w:t>
      </w:r>
      <w:r>
        <w:rPr>
          <w:rFonts w:hint="eastAsia" w:ascii="仿宋_GB2312" w:hAnsi="仿宋" w:eastAsia="仿宋_GB2312" w:cs="仿宋"/>
          <w:sz w:val="24"/>
          <w:szCs w:val="24"/>
        </w:rPr>
        <w:t xml:space="preserve"> L/</w:t>
      </w:r>
      <w:r>
        <w:rPr>
          <w:rFonts w:ascii="仿宋_GB2312" w:hAnsi="仿宋" w:eastAsia="仿宋_GB2312" w:cs="仿宋"/>
          <w:sz w:val="24"/>
          <w:szCs w:val="24"/>
        </w:rPr>
        <w:t>min</w:t>
      </w:r>
      <w:r>
        <w:rPr>
          <w:rFonts w:hint="eastAsia" w:ascii="仿宋_GB2312" w:hAnsi="仿宋" w:eastAsia="仿宋_GB2312" w:cs="仿宋"/>
          <w:sz w:val="24"/>
          <w:szCs w:val="24"/>
        </w:rPr>
        <w:t>，吸气时间（T</w:t>
      </w:r>
      <w:r>
        <w:rPr>
          <w:rFonts w:ascii="仿宋_GB2312" w:hAnsi="仿宋" w:eastAsia="仿宋_GB2312" w:cs="仿宋"/>
          <w:sz w:val="24"/>
          <w:szCs w:val="24"/>
        </w:rPr>
        <w:t>ime</w:t>
      </w:r>
      <w:r>
        <w:rPr>
          <w:rFonts w:hint="eastAsia" w:ascii="仿宋_GB2312" w:hAnsi="仿宋" w:eastAsia="仿宋_GB2312" w:cs="仿宋"/>
          <w:sz w:val="24"/>
          <w:szCs w:val="24"/>
        </w:rPr>
        <w:t>）：0.0 s～3.0 s，吸气压力（</w:t>
      </w:r>
      <w:r>
        <w:rPr>
          <w:rFonts w:ascii="仿宋_GB2312" w:hAnsi="仿宋" w:eastAsia="仿宋_GB2312" w:cs="仿宋"/>
          <w:sz w:val="24"/>
          <w:szCs w:val="24"/>
        </w:rPr>
        <w:t>IPAP</w:t>
      </w:r>
      <w:r>
        <w:rPr>
          <w:rFonts w:hint="eastAsia" w:ascii="仿宋_GB2312" w:hAnsi="仿宋" w:eastAsia="仿宋_GB2312" w:cs="仿宋"/>
          <w:sz w:val="24"/>
          <w:szCs w:val="24"/>
        </w:rPr>
        <w:t>）：0 cmH2O～40 cmH2O，呼气</w:t>
      </w:r>
      <w:r>
        <w:rPr>
          <w:rFonts w:ascii="仿宋_GB2312" w:hAnsi="仿宋" w:eastAsia="仿宋_GB2312" w:cs="仿宋"/>
          <w:sz w:val="24"/>
          <w:szCs w:val="24"/>
        </w:rPr>
        <w:t>压力（</w:t>
      </w:r>
      <w:r>
        <w:rPr>
          <w:rFonts w:hint="eastAsia" w:ascii="仿宋_GB2312" w:hAnsi="仿宋" w:eastAsia="仿宋_GB2312" w:cs="仿宋"/>
          <w:sz w:val="24"/>
          <w:szCs w:val="24"/>
        </w:rPr>
        <w:t>EPAP</w:t>
      </w:r>
      <w:r>
        <w:rPr>
          <w:rFonts w:ascii="仿宋_GB2312" w:hAnsi="仿宋" w:eastAsia="仿宋_GB2312" w:cs="仿宋"/>
          <w:sz w:val="24"/>
          <w:szCs w:val="24"/>
        </w:rPr>
        <w:t>）</w:t>
      </w:r>
      <w:r>
        <w:rPr>
          <w:rFonts w:hint="eastAsia" w:ascii="仿宋_GB2312" w:hAnsi="仿宋" w:eastAsia="仿宋_GB2312" w:cs="仿宋"/>
          <w:sz w:val="24"/>
          <w:szCs w:val="24"/>
        </w:rPr>
        <w:t>：0 cmH2O～40 cmH2O，气道</w:t>
      </w:r>
      <w:r>
        <w:rPr>
          <w:rFonts w:ascii="仿宋_GB2312" w:hAnsi="仿宋" w:eastAsia="仿宋_GB2312" w:cs="仿宋"/>
          <w:sz w:val="24"/>
          <w:szCs w:val="24"/>
        </w:rPr>
        <w:t>正压（</w:t>
      </w:r>
      <w:r>
        <w:rPr>
          <w:rFonts w:hint="eastAsia" w:ascii="仿宋_GB2312" w:hAnsi="仿宋" w:eastAsia="仿宋_GB2312" w:cs="仿宋"/>
          <w:sz w:val="24"/>
          <w:szCs w:val="24"/>
        </w:rPr>
        <w:t>CPAP</w:t>
      </w:r>
      <w:r>
        <w:rPr>
          <w:rFonts w:ascii="仿宋_GB2312" w:hAnsi="仿宋" w:eastAsia="仿宋_GB2312" w:cs="仿宋"/>
          <w:sz w:val="24"/>
          <w:szCs w:val="24"/>
        </w:rPr>
        <w:t>）</w:t>
      </w:r>
      <w:r>
        <w:rPr>
          <w:rFonts w:hint="eastAsia" w:ascii="仿宋_GB2312" w:hAnsi="仿宋" w:eastAsia="仿宋_GB2312" w:cs="仿宋"/>
          <w:sz w:val="24"/>
          <w:szCs w:val="24"/>
        </w:rPr>
        <w:t>：0 cmH2O～40 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w:t>
      </w:r>
      <w:r>
        <w:rPr>
          <w:rFonts w:ascii="仿宋_GB2312" w:hAnsi="仿宋" w:eastAsia="仿宋_GB2312" w:cs="仿宋"/>
          <w:sz w:val="24"/>
          <w:szCs w:val="24"/>
        </w:rPr>
        <w:t>图形显示</w:t>
      </w:r>
      <w:r>
        <w:rPr>
          <w:rFonts w:hint="eastAsia" w:ascii="仿宋_GB2312" w:hAnsi="仿宋" w:eastAsia="仿宋_GB2312" w:cs="仿宋"/>
          <w:sz w:val="24"/>
          <w:szCs w:val="24"/>
        </w:rPr>
        <w:t>：气道压力（全部模式）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11.至少具有窒息报警、管道脱落报警、报警系统消声（静音）、低</w:t>
      </w:r>
      <w:r>
        <w:rPr>
          <w:rFonts w:ascii="仿宋_GB2312" w:hAnsi="仿宋" w:eastAsia="仿宋_GB2312" w:cs="仿宋"/>
          <w:sz w:val="24"/>
          <w:szCs w:val="24"/>
        </w:rPr>
        <w:t>通气量报警</w:t>
      </w:r>
      <w:r>
        <w:rPr>
          <w:rFonts w:hint="eastAsia" w:ascii="仿宋_GB2312" w:hAnsi="仿宋" w:eastAsia="仿宋_GB2312" w:cs="仿宋"/>
          <w:sz w:val="24"/>
          <w:szCs w:val="24"/>
        </w:rPr>
        <w:t>、高呼吸频率报警、低呼吸频率报警、气道高压报警、断电</w:t>
      </w:r>
      <w:r>
        <w:rPr>
          <w:rFonts w:ascii="仿宋_GB2312" w:hAnsi="仿宋" w:eastAsia="仿宋_GB2312" w:cs="仿宋"/>
          <w:sz w:val="24"/>
          <w:szCs w:val="24"/>
        </w:rPr>
        <w:t>报警</w:t>
      </w:r>
      <w:r>
        <w:rPr>
          <w:rFonts w:hint="eastAsia" w:ascii="仿宋_GB2312" w:hAnsi="仿宋" w:eastAsia="仿宋_GB2312" w:cs="仿宋"/>
          <w:sz w:val="24"/>
          <w:szCs w:val="24"/>
        </w:rPr>
        <w:t>、潮气量</w:t>
      </w:r>
      <w:r>
        <w:rPr>
          <w:rFonts w:ascii="仿宋_GB2312" w:hAnsi="仿宋" w:eastAsia="仿宋_GB2312" w:cs="仿宋"/>
          <w:sz w:val="24"/>
          <w:szCs w:val="24"/>
        </w:rPr>
        <w:t>过低报警</w:t>
      </w:r>
      <w:r>
        <w:rPr>
          <w:rFonts w:hint="eastAsia" w:ascii="仿宋_GB2312" w:hAnsi="仿宋" w:eastAsia="仿宋_GB2312" w:cs="仿宋"/>
          <w:sz w:val="24"/>
          <w:szCs w:val="24"/>
        </w:rPr>
        <w:t>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12.配备加温湿化器，具有防水流倒灌技术，湿化灌的注水口在上面。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13.配备插拔式电池≥1个，电池放电时间≥1小时；配备移动支架。</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01-05 有创呼吸机</w:t>
      </w:r>
    </w:p>
    <w:p>
      <w:pPr>
        <w:spacing w:line="420" w:lineRule="exact"/>
        <w:ind w:firstLine="480" w:firstLineChars="200"/>
        <w:rPr>
          <w:sz w:val="24"/>
        </w:rPr>
      </w:pPr>
    </w:p>
    <w:p>
      <w:pPr>
        <w:spacing w:line="420" w:lineRule="exact"/>
        <w:ind w:firstLine="480" w:firstLineChars="200"/>
        <w:rPr>
          <w:rFonts w:ascii="仿宋_GB2312" w:hAnsi="仿宋" w:eastAsia="仿宋_GB2312" w:cs="仿宋"/>
          <w:sz w:val="24"/>
          <w:szCs w:val="24"/>
        </w:rPr>
      </w:pPr>
      <w:r>
        <w:rPr>
          <w:rFonts w:hint="eastAsia"/>
          <w:sz w:val="24"/>
        </w:rPr>
        <w:t>1.</w:t>
      </w:r>
      <w:r>
        <w:rPr>
          <w:rFonts w:hint="eastAsia" w:ascii="仿宋_GB2312" w:hAnsi="仿宋" w:eastAsia="仿宋_GB2312" w:cs="仿宋"/>
          <w:sz w:val="24"/>
          <w:szCs w:val="24"/>
        </w:rPr>
        <w:t xml:space="preserve"> *≥12英寸彩色液晶全触摸屏操作，中文界面。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2.支持屏幕同屏显示≥4道波形。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3.*电动电控涡轮驱动供气呼吸机，适用于成人，小儿，婴幼儿病人类型，并提供技术证明材料。</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4.内置高能锂电池，至少标配一块锂电池；最多可配置2块电池，2块锂电池情况下供电时间≥4小时。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5.具有漏气自动补偿、管道的顺应性和BTPS补偿功能。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6.*至少提供高压氧气气源和低压氧气气源两种方式。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7.可升级支持12V直流电供电接口。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有创通气模式包括：容量控制通气下的辅助控制通气A/C和同步间歇指令通气SIMV、压力控制通气下的A/C和SIMV、CPAP/PSV、窒息通气模式，同时支持升级通气模式：双相气道正压通气（如BIPAP或Bi-vent）、自动适应性压力调整容量控制功能（如AUTOFLOW或者PRVC等）、压力释放通气APRV和压力调节容量控制-同步间歇指令模式（PRVC-SIMV）。</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9.*支持升级高级通气模式：压力释放通气APRV，智能通气模式（如自适应分钟通气AMV，自适应支持通气ASV等）。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10.*支持升级心肺复苏通气模式。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11.支持无创通气模式。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12.标配高流量氧疗，最大氧流速可达80L/min，最大氧浓度可达100%，并具有氧疗计时功能。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13.具有智能同步技术，具有吸气触发、压力上升时间、呼气触发自动调节功能。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14.支持手动呼吸、吸气保持、呼气保持、雾化、纯氧灌注、智能吸痰程序、NIF、PEEPi及P0.1测定。</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15.支持监测参数≥72小时的趋势图、表分析。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16.支持病人信息、当前的设置参数、报警和趋势等数据的导出。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17.提供冻结功能，呼吸波形及呼吸环冻结后，支持通过USB接口导出保存到U盘。</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18.可升级低流速P-V工具，帮助确定最佳PEEP值。</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19.可升级自动插管阻力补偿（ATRC）功能，选择不同孔径的气管插管，呼吸机可以自动调节送气压力，使插管末端的压力与呼吸机压力设置值保持一致。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20.具有单位理想体重输送的潮气量 （TVe/IBW）监测功能。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21.吸气安全阀组件可拆卸，并能高温高压蒸汽消毒（134℃）。</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22.呼气阀采用内置压差流量传感器，支持高温高压蒸汽消毒（134℃）。</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23.支持选配旁流CO2和主流CO2监测。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24.潮气量范围不小于：20ml—2000ml。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25.呼吸频率范围不小于：1-100次/min。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26.SIMV频率范围不小于：1-60次/min。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27.吸/呼比：4:1—1:10。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28.最大峰值流速：≥210L/min。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29.吸气压力范围不小于：5--80 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30.压力支持范围不小于：0—80cmH2O。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31.PEEP：0-50 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32.压力触发灵敏度：-20 — -0.5cmH2O。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33.流速触发灵敏度：0.5—20L/ 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34.氧浓度：21—100%。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35.监测气道压力参数：PEEP、气道峰压、平台压、平均压等监测。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36.每分钟呼出通气量：至少具有总的分钟通气量、自主呼吸的分钟通气量、泄漏的分钟通气量的监测。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37.潮气量的监测：至少具有吸入潮气量、呼出潮气量的监测。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38.呼吸频率监测：至少具有总的呼吸频率、自主呼吸频率、机控呼吸频率的监测。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39.波形显示：至少具有压力/时间、流速/时间、容量/时间。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40.具有吸入的氧浓度的监测。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41.至少具有压力/容积、流速/容积、流速/压力环3种呼吸环监测。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42.肺的力学：至少具有吸气阻力、呼气阻力、静态顺应性、动态顺应性和时间常数的监测。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43.*信息互连：能够和监护仪互联，至少支持同一品牌监护仪，把呼吸机的监测参数和波形实时显示到监护仪上，继而连接中央站、CIS系统，满足科室信息化的需求。支持HL7协议。</w:t>
      </w:r>
    </w:p>
    <w:p>
      <w:pPr>
        <w:spacing w:line="420" w:lineRule="exact"/>
        <w:ind w:firstLine="480" w:firstLineChars="200"/>
        <w:rPr>
          <w:rFonts w:ascii="仿宋_GB2312" w:hAnsi="仿宋" w:eastAsia="仿宋_GB2312" w:cs="仿宋"/>
          <w:sz w:val="24"/>
          <w:szCs w:val="24"/>
        </w:rPr>
      </w:pPr>
    </w:p>
    <w:p>
      <w:pPr>
        <w:jc w:val="center"/>
        <w:rPr>
          <w:b/>
          <w:bCs/>
          <w:color w:val="000000"/>
          <w:sz w:val="36"/>
          <w:szCs w:val="36"/>
        </w:rPr>
      </w:pPr>
      <w:r>
        <w:rPr>
          <w:rFonts w:hint="eastAsia"/>
          <w:b/>
          <w:bCs/>
          <w:color w:val="000000"/>
          <w:sz w:val="36"/>
          <w:szCs w:val="36"/>
        </w:rPr>
        <w:t>01-</w:t>
      </w:r>
      <w:r>
        <w:rPr>
          <w:b/>
          <w:bCs/>
          <w:color w:val="000000"/>
          <w:sz w:val="36"/>
          <w:szCs w:val="36"/>
        </w:rPr>
        <w:t>0</w:t>
      </w:r>
      <w:r>
        <w:rPr>
          <w:rFonts w:hint="eastAsia"/>
          <w:b/>
          <w:bCs/>
          <w:color w:val="000000"/>
          <w:sz w:val="36"/>
          <w:szCs w:val="36"/>
        </w:rPr>
        <w:t xml:space="preserve">6 </w:t>
      </w:r>
      <w:r>
        <w:rPr>
          <w:b/>
          <w:bCs/>
          <w:color w:val="000000"/>
          <w:sz w:val="36"/>
          <w:szCs w:val="36"/>
        </w:rPr>
        <w:t>移动式抢救床</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车体最大外尺寸：长</w:t>
      </w:r>
      <w:r>
        <w:rPr>
          <w:rFonts w:hint="eastAsia" w:ascii="仿宋_GB2312" w:hAnsi="仿宋" w:eastAsia="仿宋_GB2312" w:cs="仿宋"/>
          <w:sz w:val="24"/>
          <w:szCs w:val="24"/>
        </w:rPr>
        <w:t>（1900-2000）×</w:t>
      </w:r>
      <w:r>
        <w:rPr>
          <w:rFonts w:ascii="仿宋_GB2312" w:hAnsi="仿宋" w:eastAsia="仿宋_GB2312" w:cs="仿宋"/>
          <w:sz w:val="24"/>
          <w:szCs w:val="24"/>
        </w:rPr>
        <w:t>宽</w:t>
      </w:r>
      <w:r>
        <w:rPr>
          <w:rFonts w:hint="eastAsia" w:ascii="仿宋_GB2312" w:hAnsi="仿宋" w:eastAsia="仿宋_GB2312" w:cs="仿宋"/>
          <w:sz w:val="24"/>
          <w:szCs w:val="24"/>
        </w:rPr>
        <w:t>（700-800）×</w:t>
      </w:r>
      <w:r>
        <w:rPr>
          <w:rFonts w:ascii="仿宋_GB2312" w:hAnsi="仿宋" w:eastAsia="仿宋_GB2312" w:cs="仿宋"/>
          <w:sz w:val="24"/>
          <w:szCs w:val="24"/>
        </w:rPr>
        <w:t>高（630-950）mm，底盘脚踏宽</w:t>
      </w:r>
      <w:r>
        <w:rPr>
          <w:rFonts w:hint="eastAsia" w:ascii="仿宋_GB2312" w:hAnsi="仿宋" w:eastAsia="仿宋_GB2312" w:cs="仿宋"/>
          <w:sz w:val="24"/>
          <w:szCs w:val="24"/>
        </w:rPr>
        <w:t>≥</w:t>
      </w:r>
      <w:r>
        <w:rPr>
          <w:rFonts w:ascii="仿宋_GB2312" w:hAnsi="仿宋" w:eastAsia="仿宋_GB2312" w:cs="仿宋"/>
          <w:sz w:val="24"/>
          <w:szCs w:val="24"/>
        </w:rPr>
        <w:t>700mm，pp护栏宽</w:t>
      </w:r>
      <w:r>
        <w:rPr>
          <w:rFonts w:hint="eastAsia" w:ascii="仿宋_GB2312" w:hAnsi="仿宋" w:eastAsia="仿宋_GB2312" w:cs="仿宋"/>
          <w:sz w:val="24"/>
          <w:szCs w:val="24"/>
        </w:rPr>
        <w:t>≥</w:t>
      </w:r>
      <w:r>
        <w:rPr>
          <w:rFonts w:ascii="仿宋_GB2312" w:hAnsi="仿宋" w:eastAsia="仿宋_GB2312" w:cs="仿宋"/>
          <w:sz w:val="24"/>
          <w:szCs w:val="24"/>
        </w:rPr>
        <w:t>730mm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床面尺寸：</w:t>
      </w:r>
      <w:r>
        <w:rPr>
          <w:rFonts w:hint="eastAsia" w:ascii="仿宋_GB2312" w:hAnsi="仿宋" w:eastAsia="仿宋_GB2312" w:cs="仿宋"/>
          <w:sz w:val="24"/>
          <w:szCs w:val="24"/>
        </w:rPr>
        <w:t>≥</w:t>
      </w:r>
      <w:r>
        <w:rPr>
          <w:rFonts w:ascii="仿宋_GB2312" w:hAnsi="仿宋" w:eastAsia="仿宋_GB2312" w:cs="仿宋"/>
          <w:sz w:val="24"/>
          <w:szCs w:val="24"/>
        </w:rPr>
        <w:t>长19</w:t>
      </w:r>
      <w:r>
        <w:rPr>
          <w:rFonts w:hint="eastAsia" w:ascii="仿宋_GB2312" w:hAnsi="仿宋" w:eastAsia="仿宋_GB2312" w:cs="仿宋"/>
          <w:sz w:val="24"/>
          <w:szCs w:val="24"/>
        </w:rPr>
        <w:t>0</w:t>
      </w:r>
      <w:r>
        <w:rPr>
          <w:rFonts w:ascii="仿宋_GB2312" w:hAnsi="仿宋" w:eastAsia="仿宋_GB2312" w:cs="仿宋"/>
          <w:sz w:val="24"/>
          <w:szCs w:val="24"/>
        </w:rPr>
        <w:t>0</w:t>
      </w:r>
      <w:r>
        <w:rPr>
          <w:rFonts w:hint="eastAsia" w:ascii="仿宋_GB2312" w:hAnsi="仿宋" w:eastAsia="仿宋_GB2312" w:cs="仿宋"/>
          <w:sz w:val="24"/>
          <w:szCs w:val="24"/>
        </w:rPr>
        <w:t>×</w:t>
      </w:r>
      <w:r>
        <w:rPr>
          <w:rFonts w:ascii="仿宋_GB2312" w:hAnsi="仿宋" w:eastAsia="仿宋_GB2312" w:cs="仿宋"/>
          <w:sz w:val="24"/>
          <w:szCs w:val="24"/>
        </w:rPr>
        <w:t>宽630mm，床面高低范围：630-950mm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3.整车配备4个≥6英寸双片中控轮，可实现一踏四轮制动及释放。并配备中心第五轮，可以保持车辆直线行走，缩小转弯半径，可实现单人操作。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4.车辆最大承重≥250kg。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5.车辆配备ABS隐藏式护栏，一健放下，可隐藏于床体下方。</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6.床头背板可实现0到90度升起，让病人实现仰卧姿态。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7.床头背板下方设有氧气瓶搁架，并配有锁紧装置。</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8.整车下方采用液压升降装置，可实现整床水平升降，并可实现0到15度前后倾斜。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9.下方一体式整体ABS 罩壳，罩壳上方自带氧气瓶凹槽及杂物托盘。</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10.整床设有病人称重系统，病人睡在床上，床尾ABS面板下方自带液晶显示屏，可随时显示体重，利于医护观察。称重系统内设有蓄电池。</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 xml:space="preserve">01-07 </w:t>
      </w:r>
      <w:r>
        <w:rPr>
          <w:b/>
          <w:bCs/>
          <w:sz w:val="36"/>
          <w:szCs w:val="36"/>
        </w:rPr>
        <w:t>吊塔</w:t>
      </w:r>
    </w:p>
    <w:p>
      <w:pPr>
        <w:rPr>
          <w:rFonts w:ascii="Times New Roman" w:hAnsi="Times New Roman"/>
          <w:szCs w:val="20"/>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1.*所有吊塔上承载的设备的电源线路及气源管路和塔体之间没有相对移动，所有电源线路及气源管路必须在塔体不能外露，保证吊塔在移动过程中，不会因位置的改变导致线路脱落的意外发生。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2.横梁长度2200mm-3500mm可供选择。</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3.*符合气电分离要求,桥梁式吊塔中用于氧化医用气体、麻醉气体净化系统的终端，距离在正常工作状态下或单一故障状态下可能产生火花的电器元件的距离≥250</w:t>
      </w:r>
      <w:r>
        <w:rPr>
          <w:rFonts w:ascii="仿宋_GB2312" w:hAnsi="仿宋" w:eastAsia="仿宋_GB2312" w:cs="仿宋"/>
          <w:sz w:val="24"/>
          <w:szCs w:val="24"/>
        </w:rPr>
        <w:t>mm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4.*桥梁式吊塔医用气体管道系统能承受≥1M</w:t>
      </w:r>
      <w:r>
        <w:rPr>
          <w:rFonts w:ascii="仿宋_GB2312" w:hAnsi="仿宋" w:eastAsia="仿宋_GB2312" w:cs="仿宋"/>
          <w:sz w:val="24"/>
          <w:szCs w:val="24"/>
        </w:rPr>
        <w:t>pa</w:t>
      </w:r>
      <w:r>
        <w:rPr>
          <w:rFonts w:hint="eastAsia" w:ascii="仿宋_GB2312" w:hAnsi="仿宋" w:eastAsia="仿宋_GB2312" w:cs="仿宋"/>
          <w:sz w:val="24"/>
          <w:szCs w:val="24"/>
        </w:rPr>
        <w:t>的气压要求；桥梁式吊塔负压吸引系统能承受≥500K</w:t>
      </w:r>
      <w:r>
        <w:rPr>
          <w:rFonts w:ascii="仿宋_GB2312" w:hAnsi="仿宋" w:eastAsia="仿宋_GB2312" w:cs="仿宋"/>
          <w:sz w:val="24"/>
          <w:szCs w:val="24"/>
        </w:rPr>
        <w:t>pa</w:t>
      </w:r>
      <w:r>
        <w:rPr>
          <w:rFonts w:hint="eastAsia" w:ascii="仿宋_GB2312" w:hAnsi="仿宋" w:eastAsia="仿宋_GB2312" w:cs="仿宋"/>
          <w:sz w:val="24"/>
          <w:szCs w:val="24"/>
        </w:rPr>
        <w:t>的气压要求。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5.*桥梁式吊塔防护等级应符合GB4208-2008中IP20的规定。</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6.内置LED照明灯和夜光背景灯，内置于吊桥横梁中，和吊桥设备一体，LED灯泡寿命≥20000小时。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7.夜光背景灯安装位置在横梁朝天花板方向内，灯光向上照射。</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8.*所有气电端口安装于气电箱上，禁止安装于横梁上。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9.干区-1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9.1承重负载能力≥150Kg。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9.2气电箱长度≥700mm。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9.3德式标准气体插座（至少具有空气1个，负压吸引1个，氧气1个），含所有插头.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9.4电源插座≥6个。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9.5网络接口≥ 2个。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9.6等电位住≥2个。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9.7二层设备托盘，其中一层带抽屉，抽屉为吸呐式，托盘≥650X350mm。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9.8吊杆两侧须带有国际标准不锈钢设备边条和国际标准通用制式∮38钢管，可用于连接各种设备（呼吸机、监护仪等）配套连接装置等。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10.干区-2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10.1承重负载能力≥150Kg。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10.2气电箱长度≥700mm。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10.3德式标准气体插座（至少具有空气1个，负压吸引1个，氧气1个）。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10.4 配加强型双关节旋转伸展臂1个，双臂长300mmX300mm。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10.5至少配备高度可调不锈钢输液架1个。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10.6 电源插座≥6个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10.7网络接口≥ 2个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10.8等电位住≥2个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10.9二层设备托盘，其中一层带抽屉，抽屉为吸呐式，托盘≥650X350mm。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10.10吊杆两侧须带有国际标准不锈钢设备边条和国际标准通用制式∮38钢管，可用于连接各种设备（呼吸机、监护仪等）配套连接装置等。</w:t>
      </w:r>
    </w:p>
    <w:p>
      <w:pPr>
        <w:tabs>
          <w:tab w:val="left" w:pos="1553"/>
        </w:tabs>
        <w:spacing w:line="420" w:lineRule="exact"/>
        <w:rPr>
          <w:rFonts w:ascii="仿宋_GB2312" w:hAnsi="仿宋" w:eastAsia="仿宋_GB2312" w:cs="仿宋"/>
          <w:sz w:val="24"/>
          <w:szCs w:val="24"/>
        </w:rPr>
      </w:pPr>
    </w:p>
    <w:p>
      <w:pPr>
        <w:jc w:val="center"/>
        <w:rPr>
          <w:b/>
          <w:bCs/>
          <w:sz w:val="36"/>
          <w:szCs w:val="36"/>
        </w:rPr>
      </w:pPr>
      <w:r>
        <w:rPr>
          <w:rFonts w:hint="eastAsia"/>
          <w:b/>
          <w:bCs/>
          <w:sz w:val="36"/>
          <w:szCs w:val="36"/>
        </w:rPr>
        <w:t xml:space="preserve">01-08 </w:t>
      </w:r>
      <w:r>
        <w:rPr>
          <w:b/>
          <w:bCs/>
          <w:sz w:val="36"/>
          <w:szCs w:val="36"/>
        </w:rPr>
        <w:t>除颤</w:t>
      </w:r>
      <w:r>
        <w:rPr>
          <w:rFonts w:hint="eastAsia"/>
          <w:b/>
          <w:bCs/>
          <w:sz w:val="36"/>
          <w:szCs w:val="36"/>
        </w:rPr>
        <w:t>仪</w:t>
      </w:r>
    </w:p>
    <w:p>
      <w:pPr>
        <w:spacing w:line="360" w:lineRule="auto"/>
        <w:jc w:val="center"/>
        <w:rPr>
          <w:rFonts w:ascii="宋体" w:hAnsi="宋体"/>
          <w:b/>
          <w:sz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1.适用于成人、儿童、新生儿。</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 xml:space="preserve">显示器: </w:t>
      </w:r>
      <w:r>
        <w:rPr>
          <w:rFonts w:hint="eastAsia" w:ascii="仿宋_GB2312" w:hAnsi="仿宋" w:eastAsia="仿宋_GB2312" w:cs="仿宋"/>
          <w:sz w:val="24"/>
          <w:szCs w:val="24"/>
        </w:rPr>
        <w:t>≥6.5</w:t>
      </w:r>
      <w:r>
        <w:rPr>
          <w:rFonts w:ascii="仿宋_GB2312" w:hAnsi="仿宋" w:eastAsia="仿宋_GB2312" w:cs="仿宋"/>
          <w:sz w:val="24"/>
          <w:szCs w:val="24"/>
        </w:rPr>
        <w:t>英寸</w:t>
      </w:r>
      <w:r>
        <w:rPr>
          <w:rFonts w:hint="eastAsia" w:ascii="仿宋_GB2312" w:hAnsi="仿宋" w:eastAsia="仿宋_GB2312" w:cs="仿宋"/>
          <w:sz w:val="24"/>
          <w:szCs w:val="24"/>
        </w:rPr>
        <w:t>,</w:t>
      </w:r>
      <w:r>
        <w:rPr>
          <w:rFonts w:ascii="仿宋_GB2312" w:hAnsi="仿宋" w:eastAsia="仿宋_GB2312" w:cs="仿宋"/>
          <w:sz w:val="24"/>
          <w:szCs w:val="24"/>
        </w:rPr>
        <w:t>彩色</w:t>
      </w:r>
      <w:r>
        <w:rPr>
          <w:rFonts w:hint="eastAsia" w:ascii="仿宋_GB2312" w:hAnsi="仿宋" w:eastAsia="仿宋_GB2312" w:cs="仿宋"/>
          <w:sz w:val="24"/>
          <w:szCs w:val="24"/>
        </w:rPr>
        <w:t>LCD显示，高背光显示，屏幕亮度≥1000cd/m2 ,屏幕有倾斜,</w:t>
      </w:r>
      <w:r>
        <w:rPr>
          <w:rFonts w:ascii="仿宋_GB2312" w:hAnsi="仿宋" w:eastAsia="仿宋_GB2312" w:cs="仿宋"/>
          <w:sz w:val="24"/>
          <w:szCs w:val="24"/>
        </w:rPr>
        <w:t>可显示</w:t>
      </w:r>
      <w:r>
        <w:rPr>
          <w:rFonts w:hint="eastAsia" w:ascii="仿宋_GB2312" w:hAnsi="仿宋" w:eastAsia="仿宋_GB2312" w:cs="仿宋"/>
          <w:sz w:val="24"/>
          <w:szCs w:val="24"/>
        </w:rPr>
        <w:t>ECG，SpO2, EtCO2等四通道波形, 支持数字放大，波形冻结。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3.*1秒内完成开机、最高能量选择、智能自检等三个项目。</w:t>
      </w:r>
    </w:p>
    <w:p>
      <w:pPr>
        <w:spacing w:line="420" w:lineRule="exact"/>
        <w:ind w:firstLine="480" w:firstLineChars="200"/>
        <w:rPr>
          <w:rFonts w:ascii="仿宋_GB2312" w:hAnsi="仿宋" w:eastAsia="仿宋_GB2312" w:cs="仿宋"/>
          <w:color w:val="000000"/>
          <w:sz w:val="24"/>
          <w:szCs w:val="24"/>
        </w:rPr>
      </w:pPr>
      <w:r>
        <w:rPr>
          <w:rFonts w:hint="eastAsia" w:ascii="仿宋_GB2312" w:hAnsi="仿宋" w:eastAsia="仿宋_GB2312" w:cs="仿宋"/>
          <w:color w:val="000000"/>
          <w:sz w:val="24"/>
          <w:szCs w:val="24"/>
        </w:rPr>
        <w:t>4.</w:t>
      </w:r>
      <w:r>
        <w:rPr>
          <w:rFonts w:ascii="仿宋_GB2312" w:hAnsi="仿宋" w:eastAsia="仿宋_GB2312" w:cs="仿宋"/>
          <w:color w:val="000000"/>
          <w:sz w:val="24"/>
          <w:szCs w:val="24"/>
        </w:rPr>
        <w:t>除颤电流波形：</w:t>
      </w:r>
      <w:r>
        <w:rPr>
          <w:rFonts w:hint="eastAsia" w:ascii="仿宋_GB2312" w:hAnsi="仿宋" w:eastAsia="仿宋_GB2312" w:cs="仿宋"/>
          <w:color w:val="000000"/>
          <w:sz w:val="24"/>
          <w:szCs w:val="24"/>
        </w:rPr>
        <w:t>双相波技术。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w:t>
      </w:r>
      <w:r>
        <w:rPr>
          <w:rFonts w:ascii="仿宋_GB2312" w:hAnsi="仿宋" w:eastAsia="仿宋_GB2312" w:cs="仿宋"/>
          <w:sz w:val="24"/>
          <w:szCs w:val="24"/>
        </w:rPr>
        <w:t>手动除颤电极板：</w:t>
      </w:r>
      <w:r>
        <w:rPr>
          <w:rFonts w:hint="eastAsia" w:ascii="仿宋_GB2312" w:hAnsi="仿宋" w:eastAsia="仿宋_GB2312" w:cs="仿宋"/>
          <w:sz w:val="24"/>
          <w:szCs w:val="24"/>
        </w:rPr>
        <w:t>至少配备</w:t>
      </w:r>
      <w:r>
        <w:rPr>
          <w:rFonts w:ascii="仿宋_GB2312" w:hAnsi="仿宋" w:eastAsia="仿宋_GB2312" w:cs="仿宋"/>
          <w:sz w:val="24"/>
          <w:szCs w:val="24"/>
        </w:rPr>
        <w:t>成人、儿童各一付</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w:t>
      </w:r>
      <w:r>
        <w:rPr>
          <w:rFonts w:ascii="仿宋_GB2312" w:hAnsi="仿宋" w:eastAsia="仿宋_GB2312" w:cs="仿宋"/>
          <w:sz w:val="24"/>
          <w:szCs w:val="24"/>
        </w:rPr>
        <w:t>标配工作模式：手动除颤</w:t>
      </w:r>
      <w:r>
        <w:rPr>
          <w:rFonts w:hint="eastAsia" w:ascii="仿宋_GB2312" w:hAnsi="仿宋" w:eastAsia="仿宋_GB2312" w:cs="仿宋"/>
          <w:sz w:val="24"/>
          <w:szCs w:val="24"/>
        </w:rPr>
        <w:t>、</w:t>
      </w:r>
      <w:r>
        <w:rPr>
          <w:rFonts w:ascii="仿宋_GB2312" w:hAnsi="仿宋" w:eastAsia="仿宋_GB2312" w:cs="仿宋"/>
          <w:sz w:val="24"/>
          <w:szCs w:val="24"/>
        </w:rPr>
        <w:t>同步复律</w:t>
      </w:r>
      <w:r>
        <w:rPr>
          <w:rFonts w:hint="eastAsia" w:ascii="仿宋_GB2312" w:hAnsi="仿宋" w:eastAsia="仿宋_GB2312" w:cs="仿宋"/>
          <w:sz w:val="24"/>
          <w:szCs w:val="24"/>
        </w:rPr>
        <w:t>、</w:t>
      </w:r>
      <w:r>
        <w:rPr>
          <w:rFonts w:ascii="仿宋_GB2312" w:hAnsi="仿宋" w:eastAsia="仿宋_GB2312" w:cs="仿宋"/>
          <w:sz w:val="24"/>
          <w:szCs w:val="24"/>
        </w:rPr>
        <w:t>生命体征监护</w:t>
      </w:r>
      <w:r>
        <w:rPr>
          <w:rFonts w:hint="eastAsia" w:ascii="仿宋_GB2312" w:hAnsi="仿宋" w:eastAsia="仿宋_GB2312" w:cs="仿宋"/>
          <w:sz w:val="24"/>
          <w:szCs w:val="24"/>
        </w:rPr>
        <w:t>、</w:t>
      </w:r>
      <w:r>
        <w:rPr>
          <w:rFonts w:ascii="仿宋_GB2312" w:hAnsi="仿宋" w:eastAsia="仿宋_GB2312" w:cs="仿宋"/>
          <w:sz w:val="24"/>
          <w:szCs w:val="24"/>
        </w:rPr>
        <w:t>内部放电</w:t>
      </w:r>
      <w:r>
        <w:rPr>
          <w:rFonts w:hint="eastAsia" w:ascii="仿宋_GB2312" w:hAnsi="仿宋" w:eastAsia="仿宋_GB2312" w:cs="仿宋"/>
          <w:sz w:val="24"/>
          <w:szCs w:val="24"/>
        </w:rPr>
        <w:t>、</w:t>
      </w:r>
      <w:r>
        <w:rPr>
          <w:rFonts w:ascii="仿宋_GB2312" w:hAnsi="仿宋" w:eastAsia="仿宋_GB2312" w:cs="仿宋"/>
          <w:sz w:val="24"/>
          <w:szCs w:val="24"/>
        </w:rPr>
        <w:t>机器</w:t>
      </w:r>
      <w:r>
        <w:rPr>
          <w:rFonts w:hint="eastAsia" w:ascii="仿宋_GB2312" w:hAnsi="仿宋" w:eastAsia="仿宋_GB2312" w:cs="仿宋"/>
          <w:sz w:val="24"/>
          <w:szCs w:val="24"/>
        </w:rPr>
        <w:t>智能</w:t>
      </w:r>
      <w:r>
        <w:rPr>
          <w:rFonts w:ascii="仿宋_GB2312" w:hAnsi="仿宋" w:eastAsia="仿宋_GB2312" w:cs="仿宋"/>
          <w:sz w:val="24"/>
          <w:szCs w:val="24"/>
        </w:rPr>
        <w:t>自检</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 xml:space="preserve">除颤能量: </w:t>
      </w:r>
      <w:r>
        <w:rPr>
          <w:rFonts w:hint="eastAsia" w:ascii="仿宋_GB2312" w:hAnsi="仿宋" w:eastAsia="仿宋_GB2312" w:cs="仿宋"/>
          <w:sz w:val="24"/>
          <w:szCs w:val="24"/>
        </w:rPr>
        <w:t>≤30</w:t>
      </w:r>
      <w:r>
        <w:rPr>
          <w:rFonts w:ascii="仿宋_GB2312" w:hAnsi="仿宋" w:eastAsia="仿宋_GB2312" w:cs="仿宋"/>
          <w:sz w:val="24"/>
          <w:szCs w:val="24"/>
        </w:rPr>
        <w:t>0J</w:t>
      </w:r>
      <w:r>
        <w:rPr>
          <w:rFonts w:hint="eastAsia" w:ascii="仿宋_GB2312" w:hAnsi="仿宋" w:eastAsia="仿宋_GB2312" w:cs="仿宋"/>
          <w:sz w:val="24"/>
          <w:szCs w:val="24"/>
        </w:rPr>
        <w:t>, ≥</w:t>
      </w:r>
      <w:r>
        <w:rPr>
          <w:rFonts w:ascii="仿宋_GB2312" w:hAnsi="仿宋" w:eastAsia="仿宋_GB2312" w:cs="仿宋"/>
          <w:sz w:val="24"/>
          <w:szCs w:val="24"/>
        </w:rPr>
        <w:t>1</w:t>
      </w:r>
      <w:r>
        <w:rPr>
          <w:rFonts w:hint="eastAsia" w:ascii="仿宋_GB2312" w:hAnsi="仿宋" w:eastAsia="仿宋_GB2312" w:cs="仿宋"/>
          <w:sz w:val="24"/>
          <w:szCs w:val="24"/>
        </w:rPr>
        <w:t>2</w:t>
      </w:r>
      <w:r>
        <w:rPr>
          <w:rFonts w:ascii="仿宋_GB2312" w:hAnsi="仿宋" w:eastAsia="仿宋_GB2312" w:cs="仿宋"/>
          <w:sz w:val="24"/>
          <w:szCs w:val="24"/>
        </w:rPr>
        <w:t>档能量选择</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w:t>
      </w:r>
      <w:r>
        <w:rPr>
          <w:rFonts w:ascii="仿宋_GB2312" w:hAnsi="仿宋" w:eastAsia="仿宋_GB2312" w:cs="仿宋"/>
          <w:sz w:val="24"/>
          <w:szCs w:val="24"/>
        </w:rPr>
        <w:t xml:space="preserve">能量及工作模式选择: </w:t>
      </w:r>
      <w:r>
        <w:rPr>
          <w:rFonts w:hint="eastAsia" w:ascii="仿宋_GB2312" w:hAnsi="仿宋" w:eastAsia="仿宋_GB2312" w:cs="仿宋"/>
          <w:sz w:val="24"/>
          <w:szCs w:val="24"/>
        </w:rPr>
        <w:t>一体</w:t>
      </w:r>
      <w:r>
        <w:rPr>
          <w:rFonts w:ascii="仿宋_GB2312" w:hAnsi="仿宋" w:eastAsia="仿宋_GB2312" w:cs="仿宋"/>
          <w:sz w:val="24"/>
          <w:szCs w:val="24"/>
        </w:rPr>
        <w:t>旋扭式</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9.*快速</w:t>
      </w:r>
      <w:r>
        <w:rPr>
          <w:rFonts w:ascii="仿宋_GB2312" w:hAnsi="仿宋" w:eastAsia="仿宋_GB2312" w:cs="仿宋"/>
          <w:sz w:val="24"/>
          <w:szCs w:val="24"/>
        </w:rPr>
        <w:t>充电：</w:t>
      </w:r>
      <w:r>
        <w:rPr>
          <w:rFonts w:hint="eastAsia" w:ascii="仿宋_GB2312" w:hAnsi="仿宋" w:eastAsia="仿宋_GB2312" w:cs="仿宋"/>
          <w:sz w:val="24"/>
          <w:szCs w:val="24"/>
        </w:rPr>
        <w:t>4</w:t>
      </w:r>
      <w:r>
        <w:rPr>
          <w:rFonts w:ascii="仿宋_GB2312" w:hAnsi="仿宋" w:eastAsia="仿宋_GB2312" w:cs="仿宋"/>
          <w:sz w:val="24"/>
          <w:szCs w:val="24"/>
        </w:rPr>
        <w:t>秒内充电到</w:t>
      </w:r>
      <w:r>
        <w:rPr>
          <w:rFonts w:hint="eastAsia" w:ascii="仿宋_GB2312" w:hAnsi="仿宋" w:eastAsia="仿宋_GB2312" w:cs="仿宋"/>
          <w:sz w:val="24"/>
          <w:szCs w:val="24"/>
        </w:rPr>
        <w:t>200J（包括使用交流电时），</w:t>
      </w:r>
      <w:r>
        <w:rPr>
          <w:rFonts w:ascii="仿宋_GB2312" w:hAnsi="仿宋" w:eastAsia="仿宋_GB2312" w:cs="仿宋"/>
          <w:sz w:val="24"/>
          <w:szCs w:val="24"/>
        </w:rPr>
        <w:t>充电过程中可在屏幕上显示当前能量值</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w:t>
      </w:r>
      <w:r>
        <w:rPr>
          <w:rFonts w:ascii="仿宋_GB2312" w:hAnsi="仿宋" w:eastAsia="仿宋_GB2312" w:cs="仿宋"/>
          <w:sz w:val="24"/>
          <w:szCs w:val="24"/>
        </w:rPr>
        <w:t>ECG波形恢复时间：除颤放电后，心电波形在3秒内恢复</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w:t>
      </w:r>
      <w:r>
        <w:rPr>
          <w:rFonts w:ascii="仿宋_GB2312" w:hAnsi="仿宋" w:eastAsia="仿宋_GB2312" w:cs="仿宋"/>
          <w:sz w:val="24"/>
          <w:szCs w:val="24"/>
        </w:rPr>
        <w:t>心电导联：标配三导联，可选</w:t>
      </w:r>
      <w:r>
        <w:rPr>
          <w:rFonts w:hint="eastAsia" w:ascii="仿宋_GB2312" w:hAnsi="仿宋" w:eastAsia="仿宋_GB2312" w:cs="仿宋"/>
          <w:sz w:val="24"/>
          <w:szCs w:val="24"/>
        </w:rPr>
        <w:t>配6芯</w:t>
      </w:r>
      <w:r>
        <w:rPr>
          <w:rFonts w:ascii="仿宋_GB2312" w:hAnsi="仿宋" w:eastAsia="仿宋_GB2312" w:cs="仿宋"/>
          <w:sz w:val="24"/>
          <w:szCs w:val="24"/>
        </w:rPr>
        <w:t>心电导联</w:t>
      </w:r>
      <w:r>
        <w:rPr>
          <w:rFonts w:hint="eastAsia" w:ascii="仿宋_GB2312" w:hAnsi="仿宋" w:eastAsia="仿宋_GB2312" w:cs="仿宋"/>
          <w:sz w:val="24"/>
          <w:szCs w:val="24"/>
        </w:rPr>
        <w:t>线。</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ascii="仿宋_GB2312" w:hAnsi="仿宋" w:eastAsia="仿宋_GB2312" w:cs="仿宋"/>
          <w:sz w:val="24"/>
          <w:szCs w:val="24"/>
        </w:rPr>
        <w:t>心电共模抑制比：</w:t>
      </w:r>
      <w:r>
        <w:rPr>
          <w:rFonts w:hint="eastAsia" w:ascii="仿宋_GB2312" w:hAnsi="仿宋" w:eastAsia="仿宋_GB2312" w:cs="仿宋"/>
          <w:sz w:val="24"/>
          <w:szCs w:val="24"/>
        </w:rPr>
        <w:t>≥</w:t>
      </w:r>
      <w:r>
        <w:rPr>
          <w:rFonts w:ascii="仿宋_GB2312" w:hAnsi="仿宋" w:eastAsia="仿宋_GB2312" w:cs="仿宋"/>
          <w:sz w:val="24"/>
          <w:szCs w:val="24"/>
        </w:rPr>
        <w:t>100dB</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w:t>
      </w:r>
      <w:r>
        <w:rPr>
          <w:rFonts w:ascii="仿宋_GB2312" w:hAnsi="仿宋" w:eastAsia="仿宋_GB2312" w:cs="仿宋"/>
          <w:sz w:val="24"/>
          <w:szCs w:val="24"/>
        </w:rPr>
        <w:t>电容：高性能集合式电容</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w:t>
      </w:r>
      <w:r>
        <w:rPr>
          <w:rFonts w:ascii="仿宋_GB2312" w:hAnsi="仿宋" w:eastAsia="仿宋_GB2312" w:cs="仿宋"/>
          <w:sz w:val="24"/>
          <w:szCs w:val="24"/>
        </w:rPr>
        <w:t>可升级主流法呼吸末二氧化碳</w:t>
      </w:r>
      <w:r>
        <w:rPr>
          <w:rFonts w:hint="eastAsia" w:ascii="仿宋_GB2312" w:hAnsi="仿宋" w:eastAsia="仿宋_GB2312" w:cs="仿宋"/>
          <w:sz w:val="24"/>
          <w:szCs w:val="24"/>
        </w:rPr>
        <w:t>，</w:t>
      </w:r>
      <w:r>
        <w:rPr>
          <w:rFonts w:ascii="仿宋_GB2312" w:hAnsi="仿宋" w:eastAsia="仿宋_GB2312" w:cs="仿宋"/>
          <w:sz w:val="24"/>
          <w:szCs w:val="24"/>
        </w:rPr>
        <w:t>既能用于插管病人，又能用于非插管病人，传感器预热时间</w:t>
      </w:r>
      <w:r>
        <w:rPr>
          <w:rFonts w:hint="eastAsia" w:ascii="仿宋_GB2312" w:hAnsi="仿宋" w:eastAsia="仿宋_GB2312" w:cs="仿宋"/>
          <w:sz w:val="24"/>
          <w:szCs w:val="24"/>
        </w:rPr>
        <w:t>≤10</w:t>
      </w:r>
      <w:r>
        <w:rPr>
          <w:rFonts w:ascii="仿宋_GB2312" w:hAnsi="仿宋" w:eastAsia="仿宋_GB2312" w:cs="仿宋"/>
          <w:sz w:val="24"/>
          <w:szCs w:val="24"/>
        </w:rPr>
        <w:t>秒，</w:t>
      </w:r>
      <w:r>
        <w:rPr>
          <w:rFonts w:hint="eastAsia" w:ascii="仿宋_GB2312" w:hAnsi="仿宋" w:eastAsia="仿宋_GB2312" w:cs="仿宋"/>
          <w:sz w:val="24"/>
          <w:szCs w:val="24"/>
        </w:rPr>
        <w:t>传感器重量≤10g, IPX7防水等级</w:t>
      </w:r>
      <w:r>
        <w:rPr>
          <w:rFonts w:ascii="仿宋_GB2312" w:hAnsi="仿宋" w:eastAsia="仿宋_GB2312" w:cs="仿宋"/>
          <w:sz w:val="24"/>
          <w:szCs w:val="24"/>
        </w:rPr>
        <w:t>，耐摔</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w:t>
      </w:r>
      <w:r>
        <w:rPr>
          <w:rFonts w:ascii="仿宋_GB2312" w:hAnsi="仿宋" w:eastAsia="仿宋_GB2312" w:cs="仿宋"/>
          <w:sz w:val="24"/>
          <w:szCs w:val="24"/>
        </w:rPr>
        <w:t>可升级血氧饱和度：血氧饱和度探头采用平行夹设计，可水洗消毒</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16.自检指示</w:t>
      </w:r>
      <w:r>
        <w:rPr>
          <w:rFonts w:ascii="仿宋_GB2312" w:hAnsi="仿宋" w:eastAsia="仿宋_GB2312" w:cs="仿宋"/>
          <w:sz w:val="24"/>
          <w:szCs w:val="24"/>
        </w:rPr>
        <w:t>：</w:t>
      </w:r>
      <w:r>
        <w:rPr>
          <w:rFonts w:hint="eastAsia" w:ascii="仿宋_GB2312" w:hAnsi="仿宋" w:eastAsia="仿宋_GB2312" w:cs="仿宋"/>
          <w:sz w:val="24"/>
          <w:szCs w:val="24"/>
        </w:rPr>
        <w:t>带有自检指示灯，关机状态下可每天自动自检，并更新状态灯颜色（绿色代表一切正常，红色代表有异常），清晰指示仪器状态，并自动保存自检结果。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w:t>
      </w:r>
      <w:r>
        <w:rPr>
          <w:rFonts w:ascii="仿宋_GB2312" w:hAnsi="仿宋" w:eastAsia="仿宋_GB2312" w:cs="仿宋"/>
          <w:sz w:val="24"/>
          <w:szCs w:val="24"/>
        </w:rPr>
        <w:t>电池：采用安全性高的环保电池</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18.使用环境：工作温度：-5℃到45℃；振动冲击及跌落认证：通过</w:t>
      </w:r>
      <w:r>
        <w:rPr>
          <w:rFonts w:ascii="仿宋_GB2312" w:hAnsi="仿宋" w:eastAsia="仿宋_GB2312" w:cs="仿宋"/>
          <w:sz w:val="24"/>
          <w:szCs w:val="24"/>
        </w:rPr>
        <w:t xml:space="preserve">MIL-STD-810F 514.5 Category 4 </w:t>
      </w:r>
      <w:r>
        <w:rPr>
          <w:rFonts w:hint="eastAsia" w:ascii="仿宋_GB2312" w:hAnsi="仿宋" w:eastAsia="仿宋_GB2312" w:cs="仿宋"/>
          <w:sz w:val="24"/>
          <w:szCs w:val="24"/>
        </w:rPr>
        <w:t>及</w:t>
      </w:r>
      <w:r>
        <w:rPr>
          <w:rFonts w:ascii="仿宋_GB2312" w:hAnsi="仿宋" w:eastAsia="仿宋_GB2312" w:cs="仿宋"/>
          <w:sz w:val="24"/>
          <w:szCs w:val="24"/>
        </w:rPr>
        <w:t xml:space="preserve">MIL-STD-810F 514.5 Category 9 </w:t>
      </w:r>
      <w:r>
        <w:rPr>
          <w:rFonts w:hint="eastAsia" w:ascii="仿宋_GB2312" w:hAnsi="仿宋" w:eastAsia="仿宋_GB2312" w:cs="仿宋"/>
          <w:sz w:val="24"/>
          <w:szCs w:val="24"/>
        </w:rPr>
        <w:t>，可用于救护车及急救直升机。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19.仪器内置屏幕智能操作指导，带有电极板放置架，具有报警指示灯。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20.数据存储：可存储≥160小时心电图连续波形，可存储周围环境音。</w:t>
      </w:r>
    </w:p>
    <w:p>
      <w:pPr>
        <w:ind w:firstLine="480" w:firstLineChars="200"/>
        <w:jc w:val="left"/>
        <w:rPr>
          <w:rFonts w:ascii="方正小标宋简体" w:eastAsia="方正小标宋简体"/>
          <w:b/>
          <w:sz w:val="36"/>
          <w:szCs w:val="44"/>
        </w:rPr>
      </w:pPr>
      <w:r>
        <w:rPr>
          <w:rFonts w:hint="eastAsia" w:ascii="仿宋_GB2312" w:hAnsi="仿宋" w:eastAsia="仿宋_GB2312" w:cs="仿宋"/>
          <w:sz w:val="24"/>
          <w:szCs w:val="24"/>
        </w:rPr>
        <w:t>21.提供至少一支原装专业除颤导电膏。</w:t>
      </w:r>
    </w:p>
    <w:p>
      <w:pPr>
        <w:jc w:val="center"/>
        <w:rPr>
          <w:rFonts w:ascii="方正小标宋简体" w:eastAsia="方正小标宋简体"/>
          <w:b/>
          <w:sz w:val="36"/>
          <w:szCs w:val="44"/>
        </w:rPr>
      </w:pPr>
    </w:p>
    <w:p>
      <w:pPr>
        <w:spacing w:line="420" w:lineRule="exact"/>
        <w:jc w:val="center"/>
        <w:rPr>
          <w:b/>
          <w:bCs/>
          <w:sz w:val="36"/>
          <w:szCs w:val="36"/>
        </w:rPr>
      </w:pPr>
      <w:r>
        <w:rPr>
          <w:rFonts w:hint="eastAsia"/>
          <w:b/>
          <w:bCs/>
          <w:sz w:val="36"/>
          <w:szCs w:val="36"/>
        </w:rPr>
        <w:t>01-09 开颅动力系统</w:t>
      </w:r>
    </w:p>
    <w:p>
      <w:pPr>
        <w:spacing w:line="360" w:lineRule="auto"/>
        <w:rPr>
          <w:rFonts w:ascii="宋体" w:hAnsi="宋体"/>
          <w:sz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 主机：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工作参数可数字化实时显示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具</w:t>
      </w:r>
      <w:r>
        <w:rPr>
          <w:rFonts w:ascii="仿宋_GB2312" w:hAnsi="仿宋" w:eastAsia="仿宋_GB2312" w:cs="仿宋"/>
          <w:sz w:val="24"/>
          <w:szCs w:val="24"/>
        </w:rPr>
        <w:t>有刨削功能扩展接口</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w:t>
      </w:r>
      <w:r>
        <w:rPr>
          <w:rFonts w:ascii="仿宋_GB2312" w:hAnsi="仿宋" w:eastAsia="仿宋_GB2312" w:cs="仿宋"/>
          <w:sz w:val="24"/>
          <w:szCs w:val="24"/>
        </w:rPr>
        <w:t>具备注水泵扩展功能（可实现流量无级调速）</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1.4  </w:t>
      </w:r>
      <w:r>
        <w:rPr>
          <w:rFonts w:ascii="仿宋_GB2312" w:hAnsi="仿宋" w:eastAsia="仿宋_GB2312" w:cs="仿宋"/>
          <w:sz w:val="24"/>
          <w:szCs w:val="24"/>
        </w:rPr>
        <w:t>恒速驱动控制系统，负载速降</w:t>
      </w:r>
      <w:r>
        <w:rPr>
          <w:rFonts w:hint="eastAsia" w:ascii="仿宋_GB2312" w:hAnsi="仿宋" w:eastAsia="仿宋_GB2312" w:cs="仿宋"/>
          <w:sz w:val="24"/>
          <w:szCs w:val="24"/>
        </w:rPr>
        <w:t>≤</w:t>
      </w:r>
      <w:r>
        <w:rPr>
          <w:rFonts w:ascii="仿宋_GB2312" w:hAnsi="仿宋" w:eastAsia="仿宋_GB2312" w:cs="仿宋"/>
          <w:sz w:val="24"/>
          <w:szCs w:val="24"/>
        </w:rPr>
        <w:t>5%</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1.5  </w:t>
      </w:r>
      <w:r>
        <w:rPr>
          <w:rFonts w:ascii="仿宋_GB2312" w:hAnsi="仿宋" w:eastAsia="仿宋_GB2312" w:cs="仿宋"/>
          <w:sz w:val="24"/>
          <w:szCs w:val="24"/>
        </w:rPr>
        <w:t>闭环控制系统，主动预警提示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1.6  </w:t>
      </w:r>
      <w:r>
        <w:rPr>
          <w:rFonts w:ascii="仿宋_GB2312" w:hAnsi="仿宋" w:eastAsia="仿宋_GB2312" w:cs="仿宋"/>
          <w:sz w:val="24"/>
          <w:szCs w:val="24"/>
        </w:rPr>
        <w:t>电机自动识别功能</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  *</w:t>
      </w:r>
      <w:r>
        <w:rPr>
          <w:rFonts w:ascii="仿宋_GB2312" w:hAnsi="仿宋" w:eastAsia="仿宋_GB2312" w:cs="仿宋"/>
          <w:sz w:val="24"/>
          <w:szCs w:val="24"/>
        </w:rPr>
        <w:t>具有小骨拓展功能（空心钻，摆锯，往复锯）</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1.8  </w:t>
      </w:r>
      <w:r>
        <w:rPr>
          <w:rFonts w:ascii="仿宋_GB2312" w:hAnsi="仿宋" w:eastAsia="仿宋_GB2312" w:cs="仿宋"/>
          <w:sz w:val="24"/>
          <w:szCs w:val="24"/>
        </w:rPr>
        <w:t>大功率微电机式开颅和高速磨钻完美结合</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  ≥</w:t>
      </w:r>
      <w:r>
        <w:rPr>
          <w:rFonts w:ascii="仿宋_GB2312" w:hAnsi="仿宋" w:eastAsia="仿宋_GB2312" w:cs="仿宋"/>
          <w:sz w:val="24"/>
          <w:szCs w:val="24"/>
        </w:rPr>
        <w:t>7</w:t>
      </w:r>
      <w:r>
        <w:rPr>
          <w:rFonts w:hint="eastAsia" w:ascii="仿宋_GB2312" w:hAnsi="仿宋" w:eastAsia="仿宋_GB2312" w:cs="仿宋"/>
          <w:sz w:val="24"/>
          <w:szCs w:val="24"/>
        </w:rPr>
        <w:t>英</w:t>
      </w:r>
      <w:r>
        <w:rPr>
          <w:rFonts w:ascii="仿宋_GB2312" w:hAnsi="仿宋" w:eastAsia="仿宋_GB2312" w:cs="仿宋"/>
          <w:sz w:val="24"/>
          <w:szCs w:val="24"/>
        </w:rPr>
        <w:t>寸彩色液晶触摸菜单操作界面</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1.10</w:t>
      </w:r>
      <w:r>
        <w:rPr>
          <w:rFonts w:ascii="仿宋_GB2312" w:hAnsi="仿宋" w:eastAsia="仿宋_GB2312" w:cs="仿宋"/>
          <w:sz w:val="24"/>
          <w:szCs w:val="24"/>
        </w:rPr>
        <w:t>动力采用先进</w:t>
      </w:r>
      <w:r>
        <w:rPr>
          <w:rFonts w:hint="eastAsia" w:ascii="仿宋_GB2312" w:hAnsi="仿宋" w:eastAsia="仿宋_GB2312" w:cs="仿宋"/>
          <w:sz w:val="24"/>
          <w:szCs w:val="24"/>
        </w:rPr>
        <w:t>微电脑</w:t>
      </w:r>
      <w:r>
        <w:rPr>
          <w:rFonts w:ascii="仿宋_GB2312" w:hAnsi="仿宋" w:eastAsia="仿宋_GB2312" w:cs="仿宋"/>
          <w:sz w:val="24"/>
          <w:szCs w:val="24"/>
        </w:rPr>
        <w:t>控制系统，系统功能多、噪音低、工作稳定</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1.11</w:t>
      </w:r>
      <w:r>
        <w:rPr>
          <w:rFonts w:ascii="仿宋_GB2312" w:hAnsi="仿宋" w:eastAsia="仿宋_GB2312" w:cs="仿宋"/>
          <w:sz w:val="24"/>
          <w:szCs w:val="24"/>
        </w:rPr>
        <w:t>具有刀具选择功能，也可以在通用模式下使用</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1.12</w:t>
      </w:r>
      <w:r>
        <w:rPr>
          <w:rFonts w:ascii="仿宋_GB2312" w:hAnsi="仿宋" w:eastAsia="仿宋_GB2312" w:cs="仿宋"/>
          <w:sz w:val="24"/>
          <w:szCs w:val="24"/>
        </w:rPr>
        <w:t>可设置最高转速，脚踏开关操控实现无级变速</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1.13 *</w:t>
      </w:r>
      <w:r>
        <w:rPr>
          <w:rFonts w:ascii="仿宋_GB2312" w:hAnsi="仿宋" w:eastAsia="仿宋_GB2312" w:cs="仿宋"/>
          <w:sz w:val="24"/>
          <w:szCs w:val="24"/>
        </w:rPr>
        <w:t>手柄连接自动激活，刨削（吸切）刀具自动识别</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1.14 </w:t>
      </w:r>
      <w:r>
        <w:rPr>
          <w:rFonts w:ascii="仿宋_GB2312" w:hAnsi="仿宋" w:eastAsia="仿宋_GB2312" w:cs="仿宋"/>
          <w:sz w:val="24"/>
          <w:szCs w:val="24"/>
        </w:rPr>
        <w:t>BF型电气安全设计和100-240V宽电压电源设计</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  脚踏开关：</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线缆长≤3.5m，无级调速，可进行功能切换及注水控制。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IPX8防水等级，防滑、防侧翻。</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踏板高度≤48mm，减轻脚疲劳。</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  承载重量：≥1350N（138kg）。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  微电机：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3.1  ISO-E类型标准接口，接插方便快捷，可高温高压消毒。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3.2  *开颅用微电机，输出动力强劲稳定，峰值输出功率达≥150W，输出扭矩≥2.86Ncm，转速可达≥40000r/min。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3.3  自动风冷技术，噪音：＜65dB，工作最高温度：＜40℃。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3.4  最大直径：≤23.5mm，重量：≤127g。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  颅骨钻手柄：</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  体积小，最大外径：ф30mm，长：≤130mm，轻质合金材料制造，重量≤0.445kg，可高温高压消毒。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4.2  带手把，握持舒适，轻巧方便，操控性强。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4.3  免钥匙接口。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4.4  表面硬质阳极氧化，防刮耐磨、防腐蚀。</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4.5  转速为0-1500r/min，低噪音、低振动，最高转速时空载噪音：＜75dB。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  颅骨钻头：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5.1  机械式钻穿即停功能，确保操作安全。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5.2  高精密快装卸接口设计。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5.3  钻头规格：ф4mm，ф6mm，ф9mm，ф12mm可选。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5.4  刃口采用优质不锈钢HRC58以上高硬度热处理，锋利耐用。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5.5  免钥匙接口。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  颅骨铣手机：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6.1  最大柄径：≤22mm，表面防滑花纹设计，可握持式或执笔式操作。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6.2  重量：≤148g，低噪音、低振动，最高转速时，空载噪音：＜75dB，工作最高温度：＜45℃。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6.3  快速铣刀安装接口。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6.4  脑膜护鞘可360°自由旋转设计，最小铣切半径≤5mm，铣切骨板顺畅安全。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6.5  无级调速，最高输出转速：≥40000r/min。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6.6  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  颅骨铣刀：</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7.1  *螺旋密封功能，防止体液进入铣手机内部，增强耐用性。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7.2  直刃设计，锋利耐用，铣切轻松快捷。</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7.3  头端直径：≤Φ1.6mm，铣切颅骨缝隙：1.6-2.34mm。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7.4 一次性无菌铣刀。</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  磨钻手柄：</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8.1  ISO-E类型标准接口，接插方便快捷，可高温高压消毒。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8.2  最大直径≥20mm，角度≥21°，执笔式、防滑结构设计。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8.3  最高转速≥80000r/min，可正反转，低发热、低噪音，最高转速时空载噪音：＜75dB，长时间运行最高热平衡温度：＜45℃。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8.4  磨钻手柄与微电机连接具有锁定功能，防止任意旋转。</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8.5可接刚性传动无级变向磨钻手柄。</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 磨钻头：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9.1  钨钢材质，抗弯抗扭，锋利耐用，可高温高压消毒。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9.2  圆跳动0.01mm，高速转动下径向跳动量＜0.01mm；。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9.3 一次性无菌磨钻头。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9.4 金刚砂球形磨钻头：≤Ф2.0mm、≤Ф3.0mm，柄径≤Φ2.38mm。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9.5 钨钢球形磨钻头：≤Ф3.0mm、≤Ф5.0mm，柄径≤Φ2.38mm。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9.6最高转速：≥80000r/min。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10 . </w:t>
      </w:r>
      <w:r>
        <w:rPr>
          <w:rFonts w:ascii="仿宋_GB2312" w:hAnsi="仿宋" w:eastAsia="仿宋_GB2312" w:cs="仿宋"/>
          <w:sz w:val="24"/>
          <w:szCs w:val="24"/>
        </w:rPr>
        <w:t>磨微电机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0.1 </w:t>
      </w:r>
      <w:r>
        <w:rPr>
          <w:rFonts w:ascii="仿宋_GB2312" w:hAnsi="仿宋" w:eastAsia="仿宋_GB2312" w:cs="仿宋"/>
          <w:sz w:val="24"/>
          <w:szCs w:val="24"/>
        </w:rPr>
        <w:t>ISO-E类型标准接口，接插方便快捷，可高温高压消毒；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10.2</w:t>
      </w:r>
      <w:r>
        <w:rPr>
          <w:rFonts w:ascii="仿宋_GB2312" w:hAnsi="仿宋" w:eastAsia="仿宋_GB2312" w:cs="仿宋"/>
          <w:sz w:val="24"/>
          <w:szCs w:val="24"/>
        </w:rPr>
        <w:t>高速电机马达，输出动力强劲稳定，峰值输出功率</w:t>
      </w:r>
      <w:r>
        <w:rPr>
          <w:rFonts w:hint="eastAsia" w:ascii="仿宋_GB2312" w:hAnsi="仿宋" w:eastAsia="仿宋_GB2312" w:cs="仿宋"/>
          <w:sz w:val="24"/>
          <w:szCs w:val="24"/>
        </w:rPr>
        <w:t>≥</w:t>
      </w:r>
      <w:r>
        <w:rPr>
          <w:rFonts w:ascii="仿宋_GB2312" w:hAnsi="仿宋" w:eastAsia="仿宋_GB2312" w:cs="仿宋"/>
          <w:sz w:val="24"/>
          <w:szCs w:val="24"/>
        </w:rPr>
        <w:t>100W，转速</w:t>
      </w:r>
      <w:r>
        <w:rPr>
          <w:rFonts w:hint="eastAsia" w:ascii="仿宋_GB2312" w:hAnsi="仿宋" w:eastAsia="仿宋_GB2312" w:cs="仿宋"/>
          <w:sz w:val="24"/>
          <w:szCs w:val="24"/>
        </w:rPr>
        <w:t>≥</w:t>
      </w:r>
      <w:r>
        <w:rPr>
          <w:rFonts w:ascii="仿宋_GB2312" w:hAnsi="仿宋" w:eastAsia="仿宋_GB2312" w:cs="仿宋"/>
          <w:sz w:val="24"/>
          <w:szCs w:val="24"/>
        </w:rPr>
        <w:t>40000r/min</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10.3</w:t>
      </w:r>
      <w:r>
        <w:rPr>
          <w:rFonts w:ascii="仿宋_GB2312" w:hAnsi="仿宋" w:eastAsia="仿宋_GB2312" w:cs="仿宋"/>
          <w:sz w:val="24"/>
          <w:szCs w:val="24"/>
        </w:rPr>
        <w:t>自动风冷技术，温升小，噪音低，噪音＜65dB，</w:t>
      </w:r>
      <w:r>
        <w:rPr>
          <w:rFonts w:hint="eastAsia" w:ascii="仿宋_GB2312" w:hAnsi="仿宋" w:eastAsia="仿宋_GB2312" w:cs="仿宋"/>
          <w:sz w:val="24"/>
          <w:szCs w:val="24"/>
        </w:rPr>
        <w:t>工作</w:t>
      </w:r>
      <w:r>
        <w:rPr>
          <w:rFonts w:ascii="仿宋_GB2312" w:hAnsi="仿宋" w:eastAsia="仿宋_GB2312" w:cs="仿宋"/>
          <w:sz w:val="24"/>
          <w:szCs w:val="24"/>
        </w:rPr>
        <w:t>最高温度＜40℃</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10.4 </w:t>
      </w:r>
      <w:r>
        <w:rPr>
          <w:rFonts w:ascii="仿宋_GB2312" w:hAnsi="仿宋" w:eastAsia="仿宋_GB2312" w:cs="仿宋"/>
          <w:sz w:val="24"/>
          <w:szCs w:val="24"/>
        </w:rPr>
        <w:t>最大直径</w:t>
      </w:r>
      <w:r>
        <w:rPr>
          <w:rFonts w:hint="eastAsia" w:ascii="仿宋_GB2312" w:hAnsi="仿宋" w:eastAsia="仿宋_GB2312" w:cs="仿宋"/>
          <w:sz w:val="24"/>
          <w:szCs w:val="24"/>
        </w:rPr>
        <w:t>≤</w:t>
      </w:r>
      <w:r>
        <w:rPr>
          <w:rFonts w:ascii="仿宋_GB2312" w:hAnsi="仿宋" w:eastAsia="仿宋_GB2312" w:cs="仿宋"/>
          <w:sz w:val="24"/>
          <w:szCs w:val="24"/>
        </w:rPr>
        <w:t>20mm，重量</w:t>
      </w:r>
      <w:r>
        <w:rPr>
          <w:rFonts w:hint="eastAsia" w:ascii="仿宋_GB2312" w:hAnsi="仿宋" w:eastAsia="仿宋_GB2312" w:cs="仿宋"/>
          <w:sz w:val="24"/>
          <w:szCs w:val="24"/>
        </w:rPr>
        <w:t>≤</w:t>
      </w:r>
      <w:r>
        <w:rPr>
          <w:rFonts w:ascii="仿宋_GB2312" w:hAnsi="仿宋" w:eastAsia="仿宋_GB2312" w:cs="仿宋"/>
          <w:sz w:val="24"/>
          <w:szCs w:val="24"/>
        </w:rPr>
        <w:t>110g；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10.5 *</w:t>
      </w:r>
      <w:r>
        <w:rPr>
          <w:rFonts w:ascii="仿宋_GB2312" w:hAnsi="仿宋" w:eastAsia="仿宋_GB2312" w:cs="仿宋"/>
          <w:sz w:val="24"/>
          <w:szCs w:val="24"/>
        </w:rPr>
        <w:t>急停时间＜0.2s</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11.清洁套件：医用高速传动。</w:t>
      </w:r>
      <w:bookmarkStart w:id="171" w:name="_Toc343695275"/>
      <w:bookmarkEnd w:id="171"/>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 xml:space="preserve">01-10  </w:t>
      </w:r>
      <w:r>
        <w:rPr>
          <w:b/>
          <w:bCs/>
          <w:sz w:val="36"/>
          <w:szCs w:val="36"/>
        </w:rPr>
        <w:t>麻醉机</w:t>
      </w:r>
    </w:p>
    <w:p>
      <w:pPr>
        <w:widowControl/>
        <w:spacing w:line="360" w:lineRule="auto"/>
        <w:textAlignment w:val="baseline"/>
        <w:rPr>
          <w:rFonts w:ascii="Arial" w:hAnsi="Arial"/>
          <w:b/>
          <w:sz w:val="24"/>
        </w:rPr>
      </w:pP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w:t>
      </w:r>
      <w:r>
        <w:rPr>
          <w:rFonts w:hint="eastAsia" w:ascii="仿宋_GB2312" w:hAnsi="仿宋" w:eastAsia="仿宋_GB2312" w:cs="仿宋"/>
          <w:sz w:val="24"/>
          <w:szCs w:val="24"/>
        </w:rPr>
        <w:t>.</w:t>
      </w:r>
      <w:r>
        <w:rPr>
          <w:rFonts w:ascii="仿宋_GB2312" w:hAnsi="仿宋" w:eastAsia="仿宋_GB2312" w:cs="仿宋"/>
          <w:sz w:val="24"/>
          <w:szCs w:val="24"/>
        </w:rPr>
        <w:t>工作条件及基本配件</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1.1 操作环境，温度：10° 至40°C，湿度：15 至 95%</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1.2 电源：220V，50/60Hz</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1.3 后备电池使用时间：</w:t>
      </w:r>
      <w:r>
        <w:rPr>
          <w:rFonts w:hint="eastAsia" w:ascii="仿宋_GB2312" w:hAnsi="仿宋" w:eastAsia="仿宋_GB2312" w:cs="仿宋"/>
          <w:sz w:val="24"/>
          <w:szCs w:val="24"/>
        </w:rPr>
        <w:t>≥</w:t>
      </w:r>
      <w:r>
        <w:rPr>
          <w:rFonts w:ascii="仿宋_GB2312" w:hAnsi="仿宋" w:eastAsia="仿宋_GB2312" w:cs="仿宋"/>
          <w:sz w:val="24"/>
          <w:szCs w:val="24"/>
        </w:rPr>
        <w:t>120分钟</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1.4 具有RJ45接口、HL7、以太网连接功能</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1.5 </w:t>
      </w:r>
      <w:r>
        <w:rPr>
          <w:rFonts w:hint="eastAsia" w:ascii="仿宋_GB2312" w:hAnsi="仿宋" w:eastAsia="仿宋_GB2312" w:cs="仿宋"/>
          <w:sz w:val="24"/>
          <w:szCs w:val="24"/>
        </w:rPr>
        <w:t>*</w:t>
      </w:r>
      <w:r>
        <w:rPr>
          <w:rFonts w:ascii="仿宋_GB2312" w:hAnsi="仿宋" w:eastAsia="仿宋_GB2312" w:cs="仿宋"/>
          <w:sz w:val="24"/>
          <w:szCs w:val="24"/>
        </w:rPr>
        <w:t>机架：带大工作台侧栏杆推车，</w:t>
      </w:r>
      <w:r>
        <w:rPr>
          <w:rFonts w:hint="eastAsia" w:ascii="仿宋_GB2312" w:hAnsi="仿宋" w:eastAsia="仿宋_GB2312" w:cs="仿宋"/>
          <w:sz w:val="24"/>
          <w:szCs w:val="24"/>
        </w:rPr>
        <w:t>至少</w:t>
      </w:r>
      <w:r>
        <w:rPr>
          <w:rFonts w:ascii="仿宋_GB2312" w:hAnsi="仿宋" w:eastAsia="仿宋_GB2312" w:cs="仿宋"/>
          <w:sz w:val="24"/>
          <w:szCs w:val="24"/>
        </w:rPr>
        <w:t>三个抽屉，标配独立脚轮刹车。</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1.6 适合内窥镜手术模式：具备顶光灯，能够在黑暗环境中提供麻醉机工作台面照明。</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w:t>
      </w:r>
      <w:r>
        <w:rPr>
          <w:rFonts w:hint="eastAsia" w:ascii="仿宋_GB2312" w:hAnsi="仿宋" w:eastAsia="仿宋_GB2312" w:cs="仿宋"/>
          <w:sz w:val="24"/>
          <w:szCs w:val="24"/>
        </w:rPr>
        <w:t>.</w:t>
      </w:r>
      <w:r>
        <w:rPr>
          <w:rFonts w:ascii="仿宋_GB2312" w:hAnsi="仿宋" w:eastAsia="仿宋_GB2312" w:cs="仿宋"/>
          <w:sz w:val="24"/>
          <w:szCs w:val="24"/>
        </w:rPr>
        <w:t>气源</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 标配氧气、空气双气源，可选笑气气源</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2.2 具备机械的笑、氧保护装置，不受停电影响，保证任何流量下氧浓度不低于25%</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2.3 快速充氧范围25 - 75 l/min</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3</w:t>
      </w:r>
      <w:r>
        <w:rPr>
          <w:rFonts w:hint="eastAsia" w:ascii="仿宋_GB2312" w:hAnsi="仿宋" w:eastAsia="仿宋_GB2312" w:cs="仿宋"/>
          <w:sz w:val="24"/>
          <w:szCs w:val="24"/>
        </w:rPr>
        <w:t>.</w:t>
      </w:r>
      <w:r>
        <w:rPr>
          <w:rFonts w:ascii="仿宋_GB2312" w:hAnsi="仿宋" w:eastAsia="仿宋_GB2312" w:cs="仿宋"/>
          <w:sz w:val="24"/>
          <w:szCs w:val="24"/>
        </w:rPr>
        <w:t>流量计</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3.1 </w:t>
      </w:r>
      <w:r>
        <w:rPr>
          <w:rFonts w:hint="eastAsia" w:ascii="仿宋_GB2312" w:hAnsi="仿宋" w:eastAsia="仿宋_GB2312" w:cs="仿宋"/>
          <w:sz w:val="24"/>
          <w:szCs w:val="24"/>
        </w:rPr>
        <w:t>*</w:t>
      </w:r>
      <w:r>
        <w:rPr>
          <w:rFonts w:ascii="仿宋_GB2312" w:hAnsi="仿宋" w:eastAsia="仿宋_GB2312" w:cs="仿宋"/>
          <w:sz w:val="24"/>
          <w:szCs w:val="24"/>
        </w:rPr>
        <w:t>全电子流量计 (可直接设置氧浓度和总流量)</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3.2 具备备用流量计</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3.3 具备直观的适宜低流量麻醉的新鲜气体流量指示工具</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4</w:t>
      </w:r>
      <w:r>
        <w:rPr>
          <w:rFonts w:hint="eastAsia" w:ascii="仿宋_GB2312" w:hAnsi="仿宋" w:eastAsia="仿宋_GB2312" w:cs="仿宋"/>
          <w:sz w:val="24"/>
          <w:szCs w:val="24"/>
        </w:rPr>
        <w:t>.</w:t>
      </w:r>
      <w:r>
        <w:rPr>
          <w:rFonts w:ascii="仿宋_GB2312" w:hAnsi="仿宋" w:eastAsia="仿宋_GB2312" w:cs="仿宋"/>
          <w:sz w:val="24"/>
          <w:szCs w:val="24"/>
        </w:rPr>
        <w:t>挥发罐</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4.1 标配双麻醉罐位</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4.2 </w:t>
      </w:r>
      <w:r>
        <w:rPr>
          <w:rFonts w:hint="eastAsia" w:ascii="仿宋_GB2312" w:hAnsi="仿宋" w:eastAsia="仿宋_GB2312" w:cs="仿宋"/>
          <w:sz w:val="24"/>
          <w:szCs w:val="24"/>
        </w:rPr>
        <w:t>*</w:t>
      </w:r>
      <w:r>
        <w:rPr>
          <w:rFonts w:ascii="仿宋_GB2312" w:hAnsi="仿宋" w:eastAsia="仿宋_GB2312" w:cs="仿宋"/>
          <w:sz w:val="24"/>
          <w:szCs w:val="24"/>
        </w:rPr>
        <w:t>标配一个同品牌高品质麻醉挥发罐，具备压力、流速和温度补偿</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w:t>
      </w:r>
      <w:r>
        <w:rPr>
          <w:rFonts w:hint="eastAsia" w:ascii="仿宋_GB2312" w:hAnsi="仿宋" w:eastAsia="仿宋_GB2312" w:cs="仿宋"/>
          <w:sz w:val="24"/>
          <w:szCs w:val="24"/>
        </w:rPr>
        <w:t>.</w:t>
      </w:r>
      <w:r>
        <w:rPr>
          <w:rFonts w:ascii="仿宋_GB2312" w:hAnsi="仿宋" w:eastAsia="仿宋_GB2312" w:cs="仿宋"/>
          <w:sz w:val="24"/>
          <w:szCs w:val="24"/>
        </w:rPr>
        <w:t>呼吸回路</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5.1 </w:t>
      </w:r>
      <w:r>
        <w:rPr>
          <w:rFonts w:hint="eastAsia" w:ascii="仿宋_GB2312" w:hAnsi="仿宋" w:eastAsia="仿宋_GB2312" w:cs="仿宋"/>
          <w:sz w:val="24"/>
          <w:szCs w:val="24"/>
        </w:rPr>
        <w:t>*</w:t>
      </w:r>
      <w:r>
        <w:rPr>
          <w:rFonts w:ascii="仿宋_GB2312" w:hAnsi="仿宋" w:eastAsia="仿宋_GB2312" w:cs="仿宋"/>
          <w:sz w:val="24"/>
          <w:szCs w:val="24"/>
        </w:rPr>
        <w:t>回路整体可徒手拆卸，一体化回路，回路整体可旋转</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5.2 回路部件可以耐受134</w:t>
      </w:r>
      <w:r>
        <w:rPr>
          <w:rFonts w:hint="eastAsia" w:ascii="仿宋_GB2312" w:hAnsi="仿宋" w:eastAsia="仿宋_GB2312" w:cs="仿宋"/>
          <w:sz w:val="24"/>
          <w:szCs w:val="24"/>
        </w:rPr>
        <w:t>℃</w:t>
      </w:r>
      <w:r>
        <w:rPr>
          <w:rFonts w:ascii="仿宋_GB2312" w:hAnsi="仿宋" w:eastAsia="仿宋_GB2312" w:cs="仿宋"/>
          <w:sz w:val="24"/>
          <w:szCs w:val="24"/>
        </w:rPr>
        <w:t>高温高压消毒以避免院内交叉感染</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5.3 二氧化碳吸收罐，容积</w:t>
      </w:r>
      <w:r>
        <w:rPr>
          <w:rFonts w:hint="eastAsia" w:ascii="仿宋_GB2312" w:hAnsi="仿宋" w:eastAsia="仿宋_GB2312" w:cs="仿宋"/>
          <w:sz w:val="24"/>
          <w:szCs w:val="24"/>
        </w:rPr>
        <w:t>≥</w:t>
      </w:r>
      <w:r>
        <w:rPr>
          <w:rFonts w:ascii="仿宋_GB2312" w:hAnsi="仿宋" w:eastAsia="仿宋_GB2312" w:cs="仿宋"/>
          <w:sz w:val="24"/>
          <w:szCs w:val="24"/>
        </w:rPr>
        <w:t>1500ml</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5.4 内置双流量传感器，分别在吸入端，呼出端</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5.5 低回路系统容积，为快速调节新鲜气体流量以及输出麻药浓度提供了保障</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5.6 可选配共同新鲜气体输出口，输出口无需改装可直接连接特殊的开放式回路，如Bain回路、T管等</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5.7 </w:t>
      </w:r>
      <w:r>
        <w:rPr>
          <w:rFonts w:hint="eastAsia" w:ascii="仿宋_GB2312" w:hAnsi="仿宋" w:eastAsia="仿宋_GB2312" w:cs="仿宋"/>
          <w:sz w:val="24"/>
          <w:szCs w:val="24"/>
        </w:rPr>
        <w:t>*</w:t>
      </w:r>
      <w:r>
        <w:rPr>
          <w:rFonts w:ascii="仿宋_GB2312" w:hAnsi="仿宋" w:eastAsia="仿宋_GB2312" w:cs="仿宋"/>
          <w:sz w:val="24"/>
          <w:szCs w:val="24"/>
        </w:rPr>
        <w:t>具有回路加温功能，无需冷凝器，保证回路不受积水影响，保证流量传感器精准及向病人提供温暖气体，避免对呼吸道的刺激</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5.8 可选配自动CO2旁路功能，在机械通气过程中，更换钠石灰罐无需选择确认，无需关停机械通气，可方便直接更换</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5.9 具备智能回路识别报警系统，当钠石灰罐未安装到位时，机器能智能识别，并报警提示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w:t>
      </w:r>
      <w:r>
        <w:rPr>
          <w:rFonts w:hint="eastAsia" w:ascii="仿宋_GB2312" w:hAnsi="仿宋" w:eastAsia="仿宋_GB2312" w:cs="仿宋"/>
          <w:sz w:val="24"/>
          <w:szCs w:val="24"/>
        </w:rPr>
        <w:t>.</w:t>
      </w:r>
      <w:r>
        <w:rPr>
          <w:rFonts w:ascii="仿宋_GB2312" w:hAnsi="仿宋" w:eastAsia="仿宋_GB2312" w:cs="仿宋"/>
          <w:sz w:val="24"/>
          <w:szCs w:val="24"/>
        </w:rPr>
        <w:t>呼吸机</w:t>
      </w:r>
      <w:r>
        <w:rPr>
          <w:rFonts w:hint="eastAsia" w:ascii="仿宋_GB2312" w:hAnsi="仿宋" w:eastAsia="仿宋_GB2312" w:cs="仿宋"/>
          <w:sz w:val="24"/>
          <w:szCs w:val="24"/>
        </w:rPr>
        <w:t>：</w:t>
      </w:r>
      <w:r>
        <w:rPr>
          <w:rFonts w:ascii="仿宋_GB2312" w:hAnsi="仿宋" w:eastAsia="仿宋_GB2312" w:cs="仿宋"/>
          <w:sz w:val="24"/>
          <w:szCs w:val="24"/>
        </w:rPr>
        <w:t xml:space="preserve"> </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6.1 </w:t>
      </w:r>
      <w:r>
        <w:rPr>
          <w:rFonts w:hint="eastAsia" w:ascii="仿宋_GB2312" w:hAnsi="仿宋" w:eastAsia="仿宋_GB2312" w:cs="仿宋"/>
          <w:sz w:val="24"/>
          <w:szCs w:val="24"/>
        </w:rPr>
        <w:t>*</w:t>
      </w:r>
      <w:r>
        <w:rPr>
          <w:rFonts w:ascii="仿宋_GB2312" w:hAnsi="仿宋" w:eastAsia="仿宋_GB2312" w:cs="仿宋"/>
          <w:sz w:val="24"/>
          <w:szCs w:val="24"/>
        </w:rPr>
        <w:t>气动电控呼吸机，全中文操作和显示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6.2 </w:t>
      </w:r>
      <w:r>
        <w:rPr>
          <w:rFonts w:hint="eastAsia" w:ascii="仿宋_GB2312" w:hAnsi="仿宋" w:eastAsia="仿宋_GB2312" w:cs="仿宋"/>
          <w:sz w:val="24"/>
          <w:szCs w:val="24"/>
        </w:rPr>
        <w:t>*</w:t>
      </w:r>
      <w:r>
        <w:rPr>
          <w:rFonts w:ascii="仿宋_GB2312" w:hAnsi="仿宋" w:eastAsia="仿宋_GB2312" w:cs="仿宋"/>
          <w:sz w:val="24"/>
          <w:szCs w:val="24"/>
        </w:rPr>
        <w:t>提供辅助/控制通气，标配VCV、PCV通气模式，可选配升级SIMV（SIMV-VC、SIMV-PC）、PCV-VG通气模式</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6.3 潮气量设置范围：20ml-1500ml </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6.4 吸气压力设置范围：PEEP+5～70 cmH2O</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6.5 呼吸频率：4-100 次/分钟</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6.6 吸呼比：4:1到1:8</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6.7 压力限制范围：10到 100 cmH2O</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6.8 电子PEEP，显示屏设置，范围：OFF，3 到 30 cmH2O</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6.9 吸气暂停：OFF，5%-60%</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6.10上升式风箱，可以直接观察病人实际呼吸状态</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6.11 具备吸入端，呼出端双流量传感器，实现动态潮气量实时自动补偿功能，补偿新鲜气体变化、气体压缩、回路顺应性变化以及小的回路泄漏造成的吸入潮气量和设置潮气量的误差</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6.12 可选配肺保护工具：专业PEEP递增法肺复张工具</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w:t>
      </w:r>
      <w:r>
        <w:rPr>
          <w:rFonts w:hint="eastAsia" w:ascii="仿宋_GB2312" w:hAnsi="仿宋" w:eastAsia="仿宋_GB2312" w:cs="仿宋"/>
          <w:sz w:val="24"/>
          <w:szCs w:val="24"/>
        </w:rPr>
        <w:t>.</w:t>
      </w:r>
      <w:r>
        <w:rPr>
          <w:rFonts w:ascii="仿宋_GB2312" w:hAnsi="仿宋" w:eastAsia="仿宋_GB2312" w:cs="仿宋"/>
          <w:sz w:val="24"/>
          <w:szCs w:val="24"/>
        </w:rPr>
        <w:t>数字和波形监测</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7.1 具备三级声光报警功能，有独立红黄报警灯显示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7.2 </w:t>
      </w:r>
      <w:r>
        <w:rPr>
          <w:rFonts w:hint="eastAsia" w:ascii="仿宋_GB2312" w:hAnsi="仿宋" w:eastAsia="仿宋_GB2312" w:cs="仿宋"/>
          <w:sz w:val="24"/>
          <w:szCs w:val="24"/>
        </w:rPr>
        <w:t>*≥</w:t>
      </w:r>
      <w:r>
        <w:rPr>
          <w:rFonts w:ascii="仿宋_GB2312" w:hAnsi="仿宋" w:eastAsia="仿宋_GB2312" w:cs="仿宋"/>
          <w:sz w:val="24"/>
          <w:szCs w:val="24"/>
        </w:rPr>
        <w:t>15</w:t>
      </w:r>
      <w:r>
        <w:rPr>
          <w:rFonts w:hint="eastAsia" w:ascii="仿宋_GB2312" w:hAnsi="仿宋" w:eastAsia="仿宋_GB2312" w:cs="仿宋"/>
          <w:sz w:val="24"/>
          <w:szCs w:val="24"/>
        </w:rPr>
        <w:t>英</w:t>
      </w:r>
      <w:r>
        <w:rPr>
          <w:rFonts w:ascii="仿宋_GB2312" w:hAnsi="仿宋" w:eastAsia="仿宋_GB2312" w:cs="仿宋"/>
          <w:sz w:val="24"/>
          <w:szCs w:val="24"/>
        </w:rPr>
        <w:t>寸彩色触摸屏，显示屏与主机一体化内嵌式非外挂式设计，可同屏显示</w:t>
      </w:r>
      <w:r>
        <w:rPr>
          <w:rFonts w:hint="eastAsia" w:ascii="仿宋_GB2312" w:hAnsi="仿宋" w:eastAsia="仿宋_GB2312" w:cs="仿宋"/>
          <w:sz w:val="24"/>
          <w:szCs w:val="24"/>
        </w:rPr>
        <w:t>≥</w:t>
      </w:r>
      <w:r>
        <w:rPr>
          <w:rFonts w:ascii="仿宋_GB2312" w:hAnsi="仿宋" w:eastAsia="仿宋_GB2312" w:cs="仿宋"/>
          <w:sz w:val="24"/>
          <w:szCs w:val="24"/>
        </w:rPr>
        <w:t>3通道波形。</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7.3 内置插件槽，可直接热插拔插件</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7.4 </w:t>
      </w:r>
      <w:r>
        <w:rPr>
          <w:rFonts w:hint="eastAsia" w:ascii="仿宋_GB2312" w:hAnsi="仿宋" w:eastAsia="仿宋_GB2312" w:cs="仿宋"/>
          <w:sz w:val="24"/>
          <w:szCs w:val="24"/>
        </w:rPr>
        <w:t>*</w:t>
      </w:r>
      <w:r>
        <w:rPr>
          <w:rFonts w:ascii="仿宋_GB2312" w:hAnsi="仿宋" w:eastAsia="仿宋_GB2312" w:cs="仿宋"/>
          <w:sz w:val="24"/>
          <w:szCs w:val="24"/>
        </w:rPr>
        <w:t>插件可在监护仪和麻醉机之间通用</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7.5 标配插件：EtCO2监测模块</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7.6 监测参数：呼吸频率、潮气量、分钟通气量、吸呼比、气道压（峰压、平台压、平均压、PEEP）、气道阻力、顺应性；EtCO2监测、呼吸环（P-V，P-F，F-V）监测；可选配氧电池法吸入氧浓度监测</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7.7 同屏幕3通道任意波形显示（压力时间波形，流速时间波形，容量时间波形，可选呼末CO2波形），波形和环图可以同屏显示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7.8 潮气量监测范围：0 到2500ml</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7.9 分钟通气量监测范围：0L/min 到100L/min</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01-11  麻醉监护仪（插件模块化监护仪）</w:t>
      </w:r>
    </w:p>
    <w:p>
      <w:pPr>
        <w:widowControl/>
        <w:autoSpaceDE w:val="0"/>
        <w:autoSpaceDN w:val="0"/>
        <w:adjustRightInd w:val="0"/>
        <w:spacing w:after="120" w:line="360" w:lineRule="auto"/>
        <w:jc w:val="left"/>
        <w:rPr>
          <w:rFonts w:ascii="宋体" w:hAnsi="宋体" w:cs="宋体"/>
          <w:b/>
          <w:kern w:val="0"/>
          <w:szCs w:val="21"/>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1.监护仪结构：</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模块化插件式床边监护仪，主机、显示屏和插件槽一体化设计，主机插槽数≥4个。</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*≥12英寸彩色电容触摸屏，分辨率≥128</w:t>
      </w:r>
      <w:r>
        <w:rPr>
          <w:rFonts w:ascii="仿宋_GB2312" w:hAnsi="仿宋" w:eastAsia="仿宋_GB2312" w:cs="仿宋"/>
          <w:sz w:val="24"/>
          <w:szCs w:val="24"/>
        </w:rPr>
        <w:t>0</w:t>
      </w:r>
      <w:r>
        <w:rPr>
          <w:rFonts w:hint="eastAsia" w:ascii="仿宋_GB2312" w:hAnsi="仿宋" w:eastAsia="仿宋_GB2312" w:cs="仿宋"/>
          <w:sz w:val="24"/>
          <w:szCs w:val="24"/>
        </w:rPr>
        <w:t xml:space="preserve"> x</w:t>
      </w:r>
      <w:r>
        <w:rPr>
          <w:rFonts w:ascii="仿宋_GB2312" w:hAnsi="仿宋" w:eastAsia="仿宋_GB2312" w:cs="仿宋"/>
          <w:sz w:val="24"/>
          <w:szCs w:val="24"/>
        </w:rPr>
        <w:t xml:space="preserve"> </w:t>
      </w:r>
      <w:r>
        <w:rPr>
          <w:rFonts w:hint="eastAsia" w:ascii="仿宋_GB2312" w:hAnsi="仿宋" w:eastAsia="仿宋_GB2312" w:cs="仿宋"/>
          <w:sz w:val="24"/>
          <w:szCs w:val="24"/>
        </w:rPr>
        <w:t>80</w:t>
      </w:r>
      <w:r>
        <w:rPr>
          <w:rFonts w:ascii="仿宋_GB2312" w:hAnsi="仿宋" w:eastAsia="仿宋_GB2312" w:cs="仿宋"/>
          <w:sz w:val="24"/>
          <w:szCs w:val="24"/>
        </w:rPr>
        <w:t>0</w:t>
      </w:r>
      <w:r>
        <w:rPr>
          <w:rFonts w:hint="eastAsia" w:ascii="仿宋_GB2312" w:hAnsi="仿宋" w:eastAsia="仿宋_GB2312" w:cs="仿宋"/>
          <w:sz w:val="24"/>
          <w:szCs w:val="24"/>
        </w:rPr>
        <w:t>像素，≥8通道显示，</w:t>
      </w:r>
      <w:r>
        <w:rPr>
          <w:rFonts w:ascii="仿宋_GB2312" w:hAnsi="仿宋" w:eastAsia="仿宋_GB2312" w:cs="仿宋"/>
          <w:sz w:val="24"/>
          <w:szCs w:val="24"/>
        </w:rPr>
        <w:t>显示屏亮度自动调节</w:t>
      </w:r>
      <w:r>
        <w:rPr>
          <w:rFonts w:hint="eastAsia" w:ascii="仿宋_GB2312" w:hAnsi="仿宋" w:eastAsia="仿宋_GB2312" w:cs="仿宋"/>
          <w:sz w:val="24"/>
          <w:szCs w:val="24"/>
        </w:rPr>
        <w:t>。</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采用无风扇设计。</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配置内置锂电池，供电时间≥4小时。</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 配置≥4个USB接口，支持连接存储介质、鼠标、键盘、条码扫描枪等USB设备。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2.监测参数：</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基本功能模块至少支持心电、呼吸、心率、无创血压、血氧饱和度、脉搏、双通道体温和双通道有创血压的同时监测。</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*基本功能模块支持升级从监护仪拔出后作为一个独立的监护仪，支持病人的无缝转移，具有显示屏，屏幕尺寸≥5英寸，内置锂电池供电≥4小时，无风扇设计。</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*具备3/5导心电监测,支持升级12导心电测量，并在监护仪上完成12导静息分析，具备房颤心律失常分析功能，支持≥20种实时心律失常分析。</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 *提供ST段分析功能，支持在专门的窗口中分组显示心脏前壁，下壁和侧壁的ST实时片段和参考片段。</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 监测ST段抬高或者压低，提供ST报警。</w:t>
      </w:r>
      <w:r>
        <w:rPr>
          <w:rFonts w:ascii="仿宋_GB2312" w:hAnsi="仿宋" w:eastAsia="仿宋_GB2312" w:cs="仿宋"/>
          <w:sz w:val="24"/>
          <w:szCs w:val="24"/>
        </w:rPr>
        <w:t>提供单个，或多个ST值报警，并支持相对的报警限设置。</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 具备导联类型自动识别功能，具备智能导联脱落监测功能，导联脱落的情况下仍能保持监护。</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 *</w:t>
      </w:r>
      <w:r>
        <w:rPr>
          <w:rFonts w:ascii="仿宋_GB2312" w:hAnsi="仿宋" w:eastAsia="仿宋_GB2312" w:cs="仿宋"/>
          <w:sz w:val="24"/>
          <w:szCs w:val="24"/>
        </w:rPr>
        <w:t>具有</w:t>
      </w:r>
      <w:r>
        <w:rPr>
          <w:rFonts w:hint="eastAsia" w:ascii="仿宋_GB2312" w:hAnsi="仿宋" w:eastAsia="仿宋_GB2312" w:cs="仿宋"/>
          <w:sz w:val="24"/>
          <w:szCs w:val="24"/>
        </w:rPr>
        <w:t>QT/QTc测量功能，提供QT，QTc和ΔQTc参数值。</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2.9 </w:t>
      </w:r>
      <w:r>
        <w:rPr>
          <w:rFonts w:ascii="仿宋_GB2312" w:hAnsi="仿宋" w:eastAsia="仿宋_GB2312" w:cs="仿宋"/>
          <w:sz w:val="24"/>
          <w:szCs w:val="24"/>
        </w:rPr>
        <w:t>提供QT和QTc模板显示。</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2.10 无创血压至少</w:t>
      </w:r>
      <w:r>
        <w:rPr>
          <w:rFonts w:ascii="仿宋_GB2312" w:hAnsi="仿宋" w:eastAsia="仿宋_GB2312" w:cs="仿宋"/>
          <w:sz w:val="24"/>
          <w:szCs w:val="24"/>
        </w:rPr>
        <w:t>提供手动、自动间隔、连续</w:t>
      </w:r>
      <w:r>
        <w:rPr>
          <w:rFonts w:hint="eastAsia" w:ascii="仿宋_GB2312" w:hAnsi="仿宋" w:eastAsia="仿宋_GB2312" w:cs="仿宋"/>
          <w:sz w:val="24"/>
          <w:szCs w:val="24"/>
        </w:rPr>
        <w:t>、</w:t>
      </w:r>
      <w:r>
        <w:rPr>
          <w:rFonts w:ascii="仿宋_GB2312" w:hAnsi="仿宋" w:eastAsia="仿宋_GB2312" w:cs="仿宋"/>
          <w:sz w:val="24"/>
          <w:szCs w:val="24"/>
        </w:rPr>
        <w:t>序列</w:t>
      </w:r>
      <w:r>
        <w:rPr>
          <w:rFonts w:hint="eastAsia" w:ascii="仿宋_GB2312" w:hAnsi="仿宋" w:eastAsia="仿宋_GB2312" w:cs="仿宋"/>
          <w:sz w:val="24"/>
          <w:szCs w:val="24"/>
        </w:rPr>
        <w:t>四</w:t>
      </w:r>
      <w:r>
        <w:rPr>
          <w:rFonts w:ascii="仿宋_GB2312" w:hAnsi="仿宋" w:eastAsia="仿宋_GB2312" w:cs="仿宋"/>
          <w:sz w:val="24"/>
          <w:szCs w:val="24"/>
        </w:rPr>
        <w:t>种测量模式</w:t>
      </w:r>
      <w:r>
        <w:rPr>
          <w:rFonts w:hint="eastAsia" w:ascii="仿宋_GB2312" w:hAnsi="仿宋" w:eastAsia="仿宋_GB2312" w:cs="仿宋"/>
          <w:sz w:val="24"/>
          <w:szCs w:val="24"/>
        </w:rPr>
        <w:t>。</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 提供血氧监测提供灌注指数（PI）的监测。</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 配置指套式血氧探头，支持浸泡清洁与消毒，防水等级≥IPx7。</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2.13 具备双通道有创压IBP监测，支持升级多达8通道有创压监测。</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2.14 提供肺动脉锲压（PAWP）的监测和PPV参数监测</w:t>
      </w:r>
      <w:r>
        <w:rPr>
          <w:rFonts w:ascii="仿宋_GB2312" w:hAnsi="仿宋" w:eastAsia="仿宋_GB2312" w:cs="仿宋"/>
          <w:sz w:val="24"/>
          <w:szCs w:val="24"/>
        </w:rPr>
        <w:t xml:space="preserve"> </w:t>
      </w:r>
      <w:r>
        <w:rPr>
          <w:rFonts w:hint="eastAsia" w:ascii="仿宋_GB2312" w:hAnsi="仿宋" w:eastAsia="仿宋_GB2312" w:cs="仿宋"/>
          <w:sz w:val="24"/>
          <w:szCs w:val="24"/>
        </w:rPr>
        <w:t>。</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2.15 具备≥4道IBP波形叠加显示。</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2.16 *支持EtCO2监测模块，采用旁流技术，支持升级顺磁氧监测技术进行O2监测，水槽要求易用快速更换。</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2.17 CO2波形至少提供填充和线条两种方式显示。</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2.18 CO2波形最小走速为≤3mm/s,满足同屏查看更多呼吸周期。</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2.19 支持升级麻醉深度BISx4监测模块或者单机，提供不少于4通道EEG，双频指数（</w:t>
      </w:r>
      <w:r>
        <w:rPr>
          <w:rFonts w:ascii="仿宋_GB2312" w:hAnsi="仿宋" w:eastAsia="仿宋_GB2312" w:cs="仿宋"/>
          <w:sz w:val="24"/>
          <w:szCs w:val="24"/>
        </w:rPr>
        <w:t>BIS</w:t>
      </w:r>
      <w:r>
        <w:rPr>
          <w:rFonts w:hint="eastAsia" w:ascii="仿宋_GB2312" w:hAnsi="仿宋" w:eastAsia="仿宋_GB2312" w:cs="仿宋"/>
          <w:sz w:val="24"/>
          <w:szCs w:val="24"/>
        </w:rPr>
        <w:t>），肌电活动（</w:t>
      </w:r>
      <w:r>
        <w:rPr>
          <w:rFonts w:ascii="仿宋_GB2312" w:hAnsi="仿宋" w:eastAsia="仿宋_GB2312" w:cs="仿宋"/>
          <w:sz w:val="24"/>
          <w:szCs w:val="24"/>
        </w:rPr>
        <w:t>EMG</w:t>
      </w:r>
      <w:r>
        <w:rPr>
          <w:rFonts w:hint="eastAsia" w:ascii="仿宋_GB2312" w:hAnsi="仿宋" w:eastAsia="仿宋_GB2312" w:cs="仿宋"/>
          <w:sz w:val="24"/>
          <w:szCs w:val="24"/>
        </w:rPr>
        <w:t>）,抑制比（SR），频谱边缘频率（SEF）等参数的监测。</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2.20 提供功率谱密度（</w:t>
      </w:r>
      <w:r>
        <w:rPr>
          <w:rFonts w:ascii="仿宋_GB2312" w:hAnsi="仿宋" w:eastAsia="仿宋_GB2312" w:cs="仿宋"/>
          <w:sz w:val="24"/>
          <w:szCs w:val="24"/>
        </w:rPr>
        <w:t>DSA</w:t>
      </w:r>
      <w:r>
        <w:rPr>
          <w:rFonts w:hint="eastAsia" w:ascii="仿宋_GB2312" w:hAnsi="仿宋" w:eastAsia="仿宋_GB2312" w:cs="仿宋"/>
          <w:sz w:val="24"/>
          <w:szCs w:val="24"/>
        </w:rPr>
        <w:t>）显示界面，可以直观地显示一段时间内的双侧功率谱分布变化的情况。</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2.21 *支持升级血流动力学PiCCO监测模块或者单机，</w:t>
      </w:r>
      <w:r>
        <w:rPr>
          <w:rFonts w:ascii="仿宋_GB2312" w:hAnsi="仿宋" w:eastAsia="仿宋_GB2312" w:cs="仿宋"/>
          <w:sz w:val="24"/>
          <w:szCs w:val="24"/>
        </w:rPr>
        <w:t>采用Pulsion PiCCO技术</w:t>
      </w:r>
      <w:r>
        <w:rPr>
          <w:rFonts w:hint="eastAsia" w:ascii="仿宋_GB2312" w:hAnsi="仿宋" w:eastAsia="仿宋_GB2312" w:cs="仿宋"/>
          <w:sz w:val="24"/>
          <w:szCs w:val="24"/>
        </w:rPr>
        <w:t>股动脉和中心静脉常规穿刺实现微创CCO等血液动力学监测参数，并提供蛛网图。</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2.22 支持升级中心静脉血氧饱和度ScvO2监测，监测组织氧供和氧耗情况。</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2.23 支持升级RM呼吸力学监测，监测参数至少包括FEV1.0，RSBI，WOB等17种参数。</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2.24 当同时监测RM和主流CO2参数时，提供扩展参数，包括容积CO2（VCO2）参数、通气参数和死腔参数，并提供容积CO2曲线。</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2.25 当同时监测RM和AG参数，并配备有O2监测时，提供扩展参数，包括容积CO2，RQ和EE参数。</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2.26 支持升级NMT肌松监测模块。</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2.27 支持升级EEG脑电监测模块，支持进行4通道脑电的监测。</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2.28 支持升级rSO2组织氧饱和度模块，适用于成人，小儿和新生儿。</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2.29 支持升级与主流呼吸机品牌的呼吸机相连，实现呼吸机设备的信息在监护仪上显示、存储、记录、打印或者用于参与计算。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3.系统功能：</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3.1 </w:t>
      </w:r>
      <w:r>
        <w:rPr>
          <w:rFonts w:ascii="仿宋_GB2312" w:hAnsi="仿宋" w:eastAsia="仿宋_GB2312" w:cs="仿宋"/>
          <w:sz w:val="24"/>
          <w:szCs w:val="24"/>
        </w:rPr>
        <w:t>大字体界面</w:t>
      </w:r>
      <w:r>
        <w:rPr>
          <w:rFonts w:hint="eastAsia" w:ascii="仿宋_GB2312" w:hAnsi="仿宋" w:eastAsia="仿宋_GB2312" w:cs="仿宋"/>
          <w:sz w:val="24"/>
          <w:szCs w:val="24"/>
        </w:rPr>
        <w:t>至少</w:t>
      </w:r>
      <w:r>
        <w:rPr>
          <w:rFonts w:ascii="仿宋_GB2312" w:hAnsi="仿宋" w:eastAsia="仿宋_GB2312" w:cs="仿宋"/>
          <w:sz w:val="24"/>
          <w:szCs w:val="24"/>
        </w:rPr>
        <w:t>支持</w:t>
      </w:r>
      <w:r>
        <w:rPr>
          <w:rFonts w:hint="eastAsia" w:ascii="仿宋_GB2312" w:hAnsi="仿宋" w:eastAsia="仿宋_GB2312" w:cs="仿宋"/>
          <w:sz w:val="24"/>
          <w:szCs w:val="24"/>
        </w:rPr>
        <w:t>6个参数区的设置和显示。</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3.2 </w:t>
      </w:r>
      <w:r>
        <w:rPr>
          <w:rFonts w:ascii="仿宋_GB2312" w:hAnsi="仿宋" w:eastAsia="仿宋_GB2312" w:cs="仿宋"/>
          <w:sz w:val="24"/>
          <w:szCs w:val="24"/>
        </w:rPr>
        <w:t>具有图形化报警指示功能</w:t>
      </w:r>
      <w:r>
        <w:rPr>
          <w:rFonts w:hint="eastAsia" w:ascii="仿宋_GB2312" w:hAnsi="仿宋" w:eastAsia="仿宋_GB2312" w:cs="仿宋"/>
          <w:sz w:val="24"/>
          <w:szCs w:val="24"/>
        </w:rPr>
        <w:t>。</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3.3 </w:t>
      </w:r>
      <w:r>
        <w:rPr>
          <w:rFonts w:ascii="仿宋_GB2312" w:hAnsi="仿宋" w:eastAsia="仿宋_GB2312" w:cs="仿宋"/>
          <w:sz w:val="24"/>
          <w:szCs w:val="24"/>
        </w:rPr>
        <w:t>所有参数报警限自动设置</w:t>
      </w:r>
      <w:r>
        <w:rPr>
          <w:rFonts w:hint="eastAsia" w:ascii="仿宋_GB2312" w:hAnsi="仿宋" w:eastAsia="仿宋_GB2312" w:cs="仿宋"/>
          <w:sz w:val="24"/>
          <w:szCs w:val="24"/>
        </w:rPr>
        <w:t>。</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3.4 </w:t>
      </w:r>
      <w:r>
        <w:rPr>
          <w:rFonts w:ascii="仿宋_GB2312" w:hAnsi="仿宋" w:eastAsia="仿宋_GB2312" w:cs="仿宋"/>
          <w:sz w:val="24"/>
          <w:szCs w:val="24"/>
        </w:rPr>
        <w:t>能够设置护理组，一个护理组能够设置6-12</w:t>
      </w:r>
      <w:r>
        <w:rPr>
          <w:rFonts w:hint="eastAsia" w:ascii="仿宋_GB2312" w:hAnsi="仿宋" w:eastAsia="仿宋_GB2312" w:cs="仿宋"/>
          <w:sz w:val="24"/>
          <w:szCs w:val="24"/>
        </w:rPr>
        <w:t>个病人。这些病人之间能够互相进行它床观察。</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3.5 具备血液动力学，药物计算，氧合计算，通气计算和肾功能计算功能。</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3.6 至少具备</w:t>
      </w:r>
      <w:r>
        <w:rPr>
          <w:rFonts w:ascii="仿宋_GB2312" w:hAnsi="仿宋" w:eastAsia="仿宋_GB2312" w:cs="仿宋"/>
          <w:sz w:val="24"/>
          <w:szCs w:val="24"/>
        </w:rPr>
        <w:t>40</w:t>
      </w:r>
      <w:r>
        <w:rPr>
          <w:rFonts w:hint="eastAsia" w:ascii="仿宋_GB2312" w:hAnsi="仿宋" w:eastAsia="仿宋_GB2312" w:cs="仿宋"/>
          <w:sz w:val="24"/>
          <w:szCs w:val="24"/>
        </w:rPr>
        <w:t>个</w:t>
      </w:r>
      <w:r>
        <w:rPr>
          <w:rFonts w:ascii="仿宋_GB2312" w:hAnsi="仿宋" w:eastAsia="仿宋_GB2312" w:cs="仿宋"/>
          <w:sz w:val="24"/>
          <w:szCs w:val="24"/>
        </w:rPr>
        <w:t>及以上</w:t>
      </w:r>
      <w:r>
        <w:rPr>
          <w:rFonts w:hint="eastAsia" w:ascii="仿宋_GB2312" w:hAnsi="仿宋" w:eastAsia="仿宋_GB2312" w:cs="仿宋"/>
          <w:sz w:val="24"/>
          <w:szCs w:val="24"/>
        </w:rPr>
        <w:t>参数的≥120小时（分辨率1分钟）趋势表、趋势图回顾，≥4小时（分辨率≤5秒）趋势表、趋势图回顾。</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3.7 ≥</w:t>
      </w:r>
      <w:r>
        <w:rPr>
          <w:rFonts w:ascii="仿宋_GB2312" w:hAnsi="仿宋" w:eastAsia="仿宋_GB2312" w:cs="仿宋"/>
          <w:sz w:val="24"/>
          <w:szCs w:val="24"/>
        </w:rPr>
        <w:t>1000条事件回顾。每条报警事件能够存储</w:t>
      </w:r>
      <w:r>
        <w:rPr>
          <w:rFonts w:hint="eastAsia" w:ascii="仿宋_GB2312" w:hAnsi="仿宋" w:eastAsia="仿宋_GB2312" w:cs="仿宋"/>
          <w:sz w:val="24"/>
          <w:szCs w:val="24"/>
        </w:rPr>
        <w:t>≥32秒三道相关波形，以及报警触发时所有测量参数值。</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3.8 </w:t>
      </w:r>
      <w:r>
        <w:rPr>
          <w:rFonts w:ascii="仿宋_GB2312" w:hAnsi="仿宋" w:eastAsia="仿宋_GB2312" w:cs="仿宋"/>
          <w:sz w:val="24"/>
          <w:szCs w:val="24"/>
        </w:rPr>
        <w:t>事件回顾时能够提供报警事件列表。能够根据时间、报警优先级、报警类型和参数组对事件进行筛选。</w:t>
      </w:r>
    </w:p>
    <w:p>
      <w:pPr>
        <w:ind w:firstLine="480" w:firstLineChars="200"/>
        <w:jc w:val="left"/>
        <w:rPr>
          <w:rFonts w:ascii="方正小标宋简体" w:eastAsia="方正小标宋简体"/>
          <w:b/>
          <w:sz w:val="36"/>
          <w:szCs w:val="44"/>
        </w:rPr>
      </w:pPr>
      <w:r>
        <w:rPr>
          <w:rFonts w:hint="eastAsia" w:ascii="仿宋_GB2312" w:hAnsi="仿宋" w:eastAsia="仿宋_GB2312" w:cs="仿宋"/>
          <w:sz w:val="24"/>
          <w:szCs w:val="24"/>
        </w:rPr>
        <w:t>3.9 ≥120小时（分辨率≤5分钟）ST模板回顾。</w:t>
      </w:r>
    </w:p>
    <w:p>
      <w:pPr>
        <w:pStyle w:val="2"/>
        <w:rPr>
          <w:rFonts w:ascii="方正小标宋简体" w:eastAsia="方正小标宋简体"/>
          <w:b/>
          <w:sz w:val="36"/>
          <w:szCs w:val="44"/>
        </w:rPr>
      </w:pPr>
    </w:p>
    <w:p/>
    <w:p>
      <w:pPr>
        <w:jc w:val="left"/>
        <w:rPr>
          <w:rFonts w:ascii="方正小标宋简体" w:eastAsia="方正小标宋简体"/>
          <w:b/>
          <w:sz w:val="28"/>
          <w:szCs w:val="28"/>
        </w:rPr>
      </w:pPr>
      <w:r>
        <w:rPr>
          <w:rFonts w:hint="eastAsia" w:ascii="方正小标宋简体" w:eastAsia="方正小标宋简体"/>
          <w:b/>
          <w:sz w:val="28"/>
          <w:szCs w:val="28"/>
        </w:rPr>
        <w:t>包2</w:t>
      </w:r>
    </w:p>
    <w:tbl>
      <w:tblPr>
        <w:tblStyle w:val="47"/>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3193"/>
        <w:gridCol w:w="1078"/>
        <w:gridCol w:w="736"/>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序号</w:t>
            </w:r>
          </w:p>
        </w:tc>
        <w:tc>
          <w:tcPr>
            <w:tcW w:w="3193"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设备名称</w:t>
            </w:r>
          </w:p>
        </w:tc>
        <w:tc>
          <w:tcPr>
            <w:tcW w:w="107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w:t>
            </w:r>
          </w:p>
        </w:tc>
        <w:tc>
          <w:tcPr>
            <w:tcW w:w="73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单位</w:t>
            </w:r>
          </w:p>
        </w:tc>
        <w:tc>
          <w:tcPr>
            <w:tcW w:w="3355"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3193"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经颅多普勒超声诊断仪</w:t>
            </w:r>
          </w:p>
        </w:tc>
        <w:tc>
          <w:tcPr>
            <w:tcW w:w="1078"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73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超声科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2</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输液泵</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心脑科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3</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治疗台</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6</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组</w:t>
            </w:r>
          </w:p>
        </w:tc>
        <w:tc>
          <w:tcPr>
            <w:tcW w:w="3355" w:type="dxa"/>
            <w:shd w:val="clear" w:color="auto" w:fill="auto"/>
          </w:tcPr>
          <w:p>
            <w:pPr>
              <w:spacing w:line="300" w:lineRule="exact"/>
              <w:rPr>
                <w:rFonts w:ascii="仿宋_GB2312" w:eastAsia="仿宋_GB2312"/>
                <w:sz w:val="24"/>
                <w:szCs w:val="24"/>
              </w:rPr>
            </w:pPr>
            <w:r>
              <w:rPr>
                <w:rFonts w:hint="eastAsia" w:ascii="仿宋_GB2312" w:eastAsia="仿宋_GB2312"/>
                <w:sz w:val="24"/>
                <w:szCs w:val="24"/>
              </w:rPr>
              <w:t>肺病科、心病科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4</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动态多参数遥测监护仪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8</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肺病科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5</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母婴监护仪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6</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移动式空气消毒机</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22</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医装部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7</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心电监护仪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肛肠科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8</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心电监护仪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4</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9</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24小时动态心电监测仪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2</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心病科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10</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24小时动态血压监测仪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3</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300" w:lineRule="exact"/>
              <w:rPr>
                <w:rFonts w:ascii="仿宋_GB2312" w:eastAsia="仿宋_GB2312"/>
                <w:sz w:val="24"/>
                <w:szCs w:val="24"/>
              </w:rPr>
            </w:pPr>
            <w:r>
              <w:rPr>
                <w:rFonts w:hint="eastAsia" w:ascii="仿宋_GB2312" w:eastAsia="仿宋_GB2312"/>
                <w:sz w:val="24"/>
                <w:szCs w:val="24"/>
              </w:rPr>
              <w:t>心病科、心脑病科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11</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心电图机</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2</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300" w:lineRule="exact"/>
              <w:rPr>
                <w:rFonts w:ascii="仿宋_GB2312" w:eastAsia="仿宋_GB2312"/>
                <w:sz w:val="24"/>
                <w:szCs w:val="24"/>
              </w:rPr>
            </w:pPr>
            <w:r>
              <w:rPr>
                <w:rFonts w:hint="eastAsia" w:ascii="仿宋_GB2312" w:eastAsia="仿宋_GB2312"/>
                <w:sz w:val="24"/>
                <w:szCs w:val="24"/>
              </w:rPr>
              <w:t>心病科、针灸科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0" w:type="dxa"/>
            <w:gridSpan w:val="2"/>
            <w:shd w:val="clear" w:color="auto" w:fill="auto"/>
            <w:vAlign w:val="center"/>
          </w:tcPr>
          <w:p>
            <w:pPr>
              <w:spacing w:line="420" w:lineRule="exact"/>
              <w:jc w:val="center"/>
              <w:rPr>
                <w:rFonts w:ascii="仿宋_GB2312" w:eastAsia="仿宋_GB2312"/>
                <w:sz w:val="24"/>
                <w:szCs w:val="24"/>
              </w:rPr>
            </w:pPr>
            <w:r>
              <w:rPr>
                <w:rFonts w:hint="eastAsia" w:ascii="仿宋_GB2312" w:eastAsia="仿宋_GB2312"/>
                <w:sz w:val="24"/>
                <w:szCs w:val="24"/>
              </w:rPr>
              <w:t>合计</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51</w:t>
            </w:r>
          </w:p>
        </w:tc>
        <w:tc>
          <w:tcPr>
            <w:tcW w:w="736" w:type="dxa"/>
            <w:shd w:val="clear" w:color="auto" w:fill="auto"/>
          </w:tcPr>
          <w:p>
            <w:pPr>
              <w:spacing w:line="420" w:lineRule="exact"/>
              <w:jc w:val="center"/>
              <w:rPr>
                <w:rFonts w:ascii="仿宋_GB2312" w:eastAsia="仿宋_GB2312"/>
                <w:sz w:val="24"/>
                <w:szCs w:val="24"/>
              </w:rPr>
            </w:pPr>
          </w:p>
        </w:tc>
        <w:tc>
          <w:tcPr>
            <w:tcW w:w="3355" w:type="dxa"/>
            <w:shd w:val="clear" w:color="auto" w:fill="auto"/>
          </w:tcPr>
          <w:p>
            <w:pPr>
              <w:spacing w:line="420" w:lineRule="exact"/>
              <w:rPr>
                <w:rFonts w:ascii="仿宋_GB2312" w:eastAsia="仿宋_GB2312"/>
                <w:sz w:val="24"/>
                <w:szCs w:val="24"/>
              </w:rPr>
            </w:pPr>
          </w:p>
        </w:tc>
      </w:tr>
    </w:tbl>
    <w:p>
      <w:pPr>
        <w:jc w:val="center"/>
        <w:rPr>
          <w:rFonts w:ascii="方正小标宋简体" w:eastAsia="方正小标宋简体"/>
          <w:b/>
          <w:sz w:val="36"/>
          <w:szCs w:val="44"/>
        </w:rPr>
      </w:pPr>
    </w:p>
    <w:p>
      <w:pPr>
        <w:spacing w:line="420" w:lineRule="exact"/>
        <w:jc w:val="center"/>
        <w:rPr>
          <w:b/>
          <w:bCs/>
          <w:sz w:val="36"/>
          <w:szCs w:val="36"/>
        </w:rPr>
      </w:pPr>
      <w:r>
        <w:rPr>
          <w:rFonts w:hint="eastAsia"/>
          <w:b/>
          <w:bCs/>
          <w:sz w:val="36"/>
          <w:szCs w:val="36"/>
        </w:rPr>
        <w:t>02-01 经颅多普勒超声诊断仪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1.硬件要求：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*便携一体式主机、触摸屏操作。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至少配置1.6MHz手持探头、4MHz手持探头。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*中心频率为1.6MHz探头最大工作距离325mm（提供检验报告）。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FFT采样率至少包括64、128、256、512、1024。</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 *配备30键以上的有线“三防”小键盘，并至少具有4个自定义键。</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2.软件要求：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*50mm深度时,单向最大速度量程能达到750cm/s以上,在68mm深度,采用10mm的采样容积,速度量程可达到600cm/s以上（提供检验报告）。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*检测参数：Vs、Vd、Vm、PI、RI、S/D、HR、SBI、HITS、TI、Dmean指数、 lindegaard指数。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LP标识法：标识当前信号噪声处理状态。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 8000gates动态M模：无限时记录原始血流信息，任何状态下可以实现每1mm间隔的血流信息回放、测量，回放数据在任何电脑上都可以播放。</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 *具有快照功能：对于异常的数据方便记录；快照频谱都可以进行栓子分析，并且可以手动添加栓子事件；快照频谱数据可以再次分析，并且可以手动标示；频谱图像可以同时进行双向参数计算、显示。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 具有一键报告功能。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 可以从病人文档中选取图谱用于幻灯演示，不需要格式转换。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 *IWM POWER PEAK实时输出与显示：血红细胞强度加权平均值IWM、能量Power以及峰值血流速度Peak连续曲线显示与输出，IWM血红细胞数量最大值、最小值与平均值定性分析与计算。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 具备DICOM3.0网络接口，可连接医院网络。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2.10 血流动力学检查方面配备卧立位实验软件，满足神经科在焦虑症诊断及帕金森早期发现等。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 *配备同一品牌超声图文工作站，便于临床出具报告。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 专家版</w:t>
      </w:r>
      <w:r>
        <w:rPr>
          <w:rFonts w:ascii="仿宋_GB2312" w:hAnsi="仿宋" w:eastAsia="仿宋_GB2312" w:cs="仿宋"/>
          <w:sz w:val="24"/>
          <w:szCs w:val="24"/>
        </w:rPr>
        <w:t>H-Veri</w:t>
      </w:r>
      <w:r>
        <w:rPr>
          <w:rFonts w:hint="eastAsia" w:ascii="仿宋_GB2312" w:hAnsi="仿宋" w:eastAsia="仿宋_GB2312" w:cs="仿宋"/>
          <w:sz w:val="24"/>
          <w:szCs w:val="24"/>
        </w:rPr>
        <w:t>双通道模式：双通道各项参数均可以独立调节，特别是两侧速度量程独立调节，避免出现一侧频谱“倒挂”；国际专家版微栓子检测模式：具有微栓子的伪差自动识别功能、自动计数功能，微栓子频谱图、纺锤波、声谱图、直方图等呈现方式；配备双通道和测量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2.13 </w:t>
      </w:r>
      <w:r>
        <w:rPr>
          <w:rFonts w:ascii="仿宋_GB2312" w:hAnsi="仿宋" w:eastAsia="仿宋_GB2312" w:cs="仿宋"/>
          <w:sz w:val="24"/>
          <w:szCs w:val="24"/>
        </w:rPr>
        <w:t>XL2</w:t>
      </w:r>
      <w:r>
        <w:rPr>
          <w:rFonts w:hint="eastAsia" w:ascii="仿宋_GB2312" w:hAnsi="仿宋" w:eastAsia="仿宋_GB2312" w:cs="仿宋"/>
          <w:sz w:val="24"/>
          <w:szCs w:val="24"/>
        </w:rPr>
        <w:t>智慧型发泡实验软件：发泡实验流程的专家版语音引导、栓子自动计数、发泡实验结果的智能分级。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2.14 </w:t>
      </w:r>
      <w:r>
        <w:rPr>
          <w:rFonts w:ascii="仿宋_GB2312" w:hAnsi="仿宋" w:eastAsia="仿宋_GB2312" w:cs="仿宋"/>
          <w:sz w:val="24"/>
          <w:szCs w:val="24"/>
        </w:rPr>
        <w:t>ICM+</w:t>
      </w:r>
      <w:r>
        <w:rPr>
          <w:rFonts w:hint="eastAsia" w:ascii="仿宋_GB2312" w:hAnsi="仿宋" w:eastAsia="仿宋_GB2312" w:cs="仿宋"/>
          <w:sz w:val="24"/>
          <w:szCs w:val="24"/>
        </w:rPr>
        <w:t>软件分析平台搭载（提供相关证明文件）。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2.15 连续血压信号接入，行脑血流自动调节分析CO2输入：脑血流与二氧化碳同步显示，同步趋势数据，脑血流储备功能评估。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2.16 预留全自动监护探头及跟踪系统接口，可升级：自动搜索、自动扫描、自动跟踪三个部分。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2.17 数据分析系统：同一病人、同一病种及流行病学统计分析，可生成曲线图、直方图、饼状图、均值偏差等，同时可以EXCL输出。</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02-02 输液泵</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w:t>
      </w:r>
      <w:r>
        <w:rPr>
          <w:rFonts w:hint="eastAsia" w:ascii="仿宋_GB2312" w:hAnsi="仿宋" w:eastAsia="仿宋_GB2312" w:cs="仿宋"/>
          <w:sz w:val="24"/>
          <w:szCs w:val="24"/>
        </w:rPr>
        <w:t>适用符合标准的各品牌输液器。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2.*≥8种输液模式可选：速度模式、时间模式、体重模式、序列模式、点滴模式、梯度模式、首剂量模式、微量模式。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3.输液速度范围：0.1-1500.0ml/h, 最小增量为0.01ml/h。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4.预置输液量范围：0.1-9999ml（最小增量0.01）。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5.输液总量显示范围：</w:t>
      </w:r>
      <w:r>
        <w:rPr>
          <w:rFonts w:ascii="仿宋_GB2312" w:hAnsi="仿宋" w:eastAsia="仿宋_GB2312" w:cs="仿宋"/>
          <w:sz w:val="24"/>
          <w:szCs w:val="24"/>
        </w:rPr>
        <w:t>0-99999.9</w:t>
      </w:r>
      <w:r>
        <w:rPr>
          <w:rFonts w:hint="eastAsia" w:ascii="仿宋_GB2312" w:hAnsi="仿宋" w:eastAsia="仿宋_GB2312" w:cs="仿宋"/>
          <w:sz w:val="24"/>
          <w:szCs w:val="24"/>
        </w:rPr>
        <w:t>9</w:t>
      </w:r>
      <w:r>
        <w:rPr>
          <w:rFonts w:ascii="仿宋_GB2312" w:hAnsi="仿宋" w:eastAsia="仿宋_GB2312" w:cs="仿宋"/>
          <w:sz w:val="24"/>
          <w:szCs w:val="24"/>
        </w:rPr>
        <w:t>m</w:t>
      </w:r>
      <w:r>
        <w:rPr>
          <w:rFonts w:hint="eastAsia" w:ascii="仿宋_GB2312" w:hAnsi="仿宋" w:eastAsia="仿宋_GB2312" w:cs="仿宋"/>
          <w:sz w:val="24"/>
          <w:szCs w:val="24"/>
        </w:rPr>
        <w:t>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6.输液精度±5%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7.具有排气功能。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8.至少具有</w:t>
      </w:r>
      <w:r>
        <w:rPr>
          <w:rFonts w:ascii="仿宋_GB2312" w:hAnsi="仿宋" w:eastAsia="仿宋_GB2312" w:cs="仿宋"/>
          <w:sz w:val="24"/>
          <w:szCs w:val="24"/>
        </w:rPr>
        <w:t>3</w:t>
      </w:r>
      <w:r>
        <w:rPr>
          <w:rFonts w:hint="eastAsia" w:ascii="仿宋_GB2312" w:hAnsi="仿宋" w:eastAsia="仿宋_GB2312" w:cs="仿宋"/>
          <w:sz w:val="24"/>
          <w:szCs w:val="24"/>
        </w:rPr>
        <w:t>种快进方式：手动快进、快速定量快进、自动快进。</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9.KVO速度0.1-30ml/h；KVO设置为0 时可关闭。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10.分体式气泡检测：具有单个气泡和累积气泡检测，至少7级可调，最小检测气泡≤25ul。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11.防药液自流：智能阻断技术，泵门打开时，保证液体不会任意流出。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12.*泵门和止液夹：输液泵具有电动止液夹和电动泵门控制。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13.*≥3.5英寸触摸显示屏，全中文显示，方便快捷的人机操作界面。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14.显示屏亮度至少10级可调。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15.具有阻塞预警报警功能。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16.支持上、下端阻塞报警。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17.*下阻塞级别：75mmHg-975mmHg，至少13级可选择；动态显示管路的压力状态。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18.更改输速时不需要中断输液。</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19.具备输液精度校正功能：用户可自定义其他符合标准的输液器。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报警：至少包含输注即将完成、输注完成、输注阻塞、管路上端阻塞、电池电量低、电池耗竭、无电池、无外部电源、管路有气泡、无滴数传感器、无滴液、滴数异常、遗忘操作、待机结束、阻塞预警、泵门打开。</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21.再报警功能：至少包含静音报警声音后，若仍然存在报警，约2分钟后，将继续报警。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22.事件记录功能：能够存储、回放≥2</w:t>
      </w:r>
      <w:r>
        <w:rPr>
          <w:rFonts w:ascii="仿宋_GB2312" w:hAnsi="仿宋" w:eastAsia="仿宋_GB2312" w:cs="仿宋"/>
          <w:sz w:val="24"/>
          <w:szCs w:val="24"/>
        </w:rPr>
        <w:t>000</w:t>
      </w:r>
      <w:r>
        <w:rPr>
          <w:rFonts w:hint="eastAsia" w:ascii="仿宋_GB2312" w:hAnsi="仿宋" w:eastAsia="仿宋_GB2312" w:cs="仿宋"/>
          <w:sz w:val="24"/>
          <w:szCs w:val="24"/>
        </w:rPr>
        <w:t>个事件。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23.记录≥20条最近治疗方案。</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24.支持自定义药物库。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25.声音音量等级：至少可调10级报警音量。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26.条码扫描：患者信息通过条码扫描输入。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27.无线联网功能：输液泵可无线连接静脉输注中央站，连接医院信息系统。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28.有线联网功能：输液泵可有线连接静脉输注中央站，连接医院信息系统。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29.电源切换功能：当交流</w:t>
      </w:r>
      <w:r>
        <w:rPr>
          <w:rFonts w:ascii="仿宋_GB2312" w:hAnsi="仿宋" w:eastAsia="仿宋_GB2312" w:cs="仿宋"/>
          <w:sz w:val="24"/>
          <w:szCs w:val="24"/>
        </w:rPr>
        <w:t>/</w:t>
      </w:r>
      <w:r>
        <w:rPr>
          <w:rFonts w:hint="eastAsia" w:ascii="仿宋_GB2312" w:hAnsi="仿宋" w:eastAsia="仿宋_GB2312" w:cs="仿宋"/>
          <w:sz w:val="24"/>
          <w:szCs w:val="24"/>
        </w:rPr>
        <w:t>直流电源停止供电时，输液泵自动切换为内置电池供电。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30.*内置锂电池，在2</w:t>
      </w:r>
      <w:r>
        <w:rPr>
          <w:rFonts w:ascii="仿宋_GB2312" w:hAnsi="仿宋" w:eastAsia="仿宋_GB2312" w:cs="仿宋"/>
          <w:sz w:val="24"/>
          <w:szCs w:val="24"/>
        </w:rPr>
        <w:t>5ml/h</w:t>
      </w:r>
      <w:r>
        <w:rPr>
          <w:rFonts w:hint="eastAsia" w:ascii="仿宋_GB2312" w:hAnsi="仿宋" w:eastAsia="仿宋_GB2312" w:cs="仿宋"/>
          <w:sz w:val="24"/>
          <w:szCs w:val="24"/>
        </w:rPr>
        <w:t>速度状态下，标配电池工作时间≥5小时；可选配大容量锂电池，工作时间≥20小时。</w:t>
      </w:r>
    </w:p>
    <w:p>
      <w:pPr>
        <w:jc w:val="center"/>
        <w:rPr>
          <w:b/>
          <w:bCs/>
          <w:sz w:val="36"/>
          <w:szCs w:val="36"/>
        </w:rPr>
      </w:pPr>
      <w:r>
        <w:rPr>
          <w:rFonts w:hint="eastAsia"/>
          <w:b/>
          <w:bCs/>
          <w:sz w:val="36"/>
          <w:szCs w:val="36"/>
        </w:rPr>
        <w:t>02-03 治疗台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1.台面、柜底座采用优质不锈钢钢板。</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2.柜体采用优质冷轧钢板焊接，并经酸洗磷化静电喷塑。</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3.工作台上部柜内隔板可以调整高低，上门可做对开门及推拉门，抽屉及上下柜均带独立锁。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4.规格：4组1700×350/700×1750mm，1组2000×350/700×1750mm，1组             1800×350/700×1750mm。</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02-04 动态多参数遥测监护仪</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w:t>
      </w:r>
      <w:r>
        <w:rPr>
          <w:rFonts w:hint="eastAsia" w:ascii="仿宋_GB2312" w:hAnsi="仿宋" w:eastAsia="仿宋_GB2312" w:cs="仿宋"/>
          <w:sz w:val="24"/>
          <w:szCs w:val="24"/>
        </w:rPr>
        <w:t>≥</w:t>
      </w:r>
      <w:r>
        <w:rPr>
          <w:rFonts w:ascii="仿宋_GB2312" w:hAnsi="仿宋" w:eastAsia="仿宋_GB2312" w:cs="仿宋"/>
          <w:sz w:val="24"/>
          <w:szCs w:val="24"/>
        </w:rPr>
        <w:t>3英寸液晶屏幕显示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2.*可实现心电、无创血压、血氧、脉搏、呼吸、体温的实时监护</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3.电池：连续使用</w:t>
      </w:r>
      <w:r>
        <w:rPr>
          <w:rFonts w:hint="eastAsia" w:ascii="仿宋_GB2312" w:hAnsi="仿宋" w:eastAsia="仿宋_GB2312" w:cs="仿宋"/>
          <w:sz w:val="24"/>
          <w:szCs w:val="24"/>
        </w:rPr>
        <w:t>≥</w:t>
      </w:r>
      <w:r>
        <w:rPr>
          <w:rFonts w:ascii="仿宋_GB2312" w:hAnsi="仿宋" w:eastAsia="仿宋_GB2312" w:cs="仿宋"/>
          <w:sz w:val="24"/>
          <w:szCs w:val="24"/>
        </w:rPr>
        <w:t>36小时</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4.</w:t>
      </w:r>
      <w:r>
        <w:rPr>
          <w:rFonts w:hint="eastAsia" w:ascii="仿宋_GB2312" w:hAnsi="仿宋" w:eastAsia="仿宋_GB2312" w:cs="仿宋"/>
          <w:sz w:val="24"/>
          <w:szCs w:val="24"/>
        </w:rPr>
        <w:t>具有</w:t>
      </w:r>
      <w:r>
        <w:rPr>
          <w:rFonts w:ascii="仿宋_GB2312" w:hAnsi="仿宋" w:eastAsia="仿宋_GB2312" w:cs="仿宋"/>
          <w:sz w:val="24"/>
          <w:szCs w:val="24"/>
        </w:rPr>
        <w:t>TDMA数字通信</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5.具有护士呼叫功能。</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6.*可与医院现有中央监护系统相连接</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.心电</w:t>
      </w:r>
      <w:r>
        <w:rPr>
          <w:rFonts w:hint="eastAsia" w:ascii="仿宋_GB2312" w:hAnsi="仿宋" w:eastAsia="仿宋_GB2312" w:cs="仿宋"/>
          <w:sz w:val="24"/>
          <w:szCs w:val="24"/>
        </w:rPr>
        <w:t>：</w:t>
      </w:r>
      <w:r>
        <w:rPr>
          <w:rFonts w:ascii="仿宋_GB2312" w:hAnsi="仿宋" w:eastAsia="仿宋_GB2312" w:cs="仿宋"/>
          <w:sz w:val="24"/>
          <w:szCs w:val="24"/>
        </w:rPr>
        <w:t>心率测量范围(10～255)次/分</w:t>
      </w:r>
      <w:r>
        <w:rPr>
          <w:rFonts w:hint="eastAsia" w:ascii="仿宋_GB2312" w:hAnsi="仿宋" w:eastAsia="仿宋_GB2312" w:cs="仿宋"/>
          <w:sz w:val="24"/>
          <w:szCs w:val="24"/>
        </w:rPr>
        <w:t>，</w:t>
      </w:r>
      <w:r>
        <w:rPr>
          <w:rFonts w:ascii="仿宋_GB2312" w:hAnsi="仿宋" w:eastAsia="仿宋_GB2312" w:cs="仿宋"/>
          <w:sz w:val="24"/>
          <w:szCs w:val="24"/>
        </w:rPr>
        <w:t>心率测量精度±3次/分</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w:t>
      </w:r>
      <w:r>
        <w:rPr>
          <w:rFonts w:ascii="仿宋_GB2312" w:hAnsi="仿宋" w:eastAsia="仿宋_GB2312" w:cs="仿宋"/>
          <w:sz w:val="24"/>
          <w:szCs w:val="24"/>
        </w:rPr>
        <w:t>.血压</w:t>
      </w:r>
      <w:r>
        <w:rPr>
          <w:rFonts w:hint="eastAsia" w:ascii="仿宋_GB2312" w:hAnsi="仿宋" w:eastAsia="仿宋_GB2312" w:cs="仿宋"/>
          <w:sz w:val="24"/>
          <w:szCs w:val="24"/>
        </w:rPr>
        <w:t>：</w:t>
      </w:r>
      <w:r>
        <w:rPr>
          <w:rFonts w:ascii="仿宋_GB2312" w:hAnsi="仿宋" w:eastAsia="仿宋_GB2312" w:cs="仿宋"/>
          <w:sz w:val="24"/>
          <w:szCs w:val="24"/>
        </w:rPr>
        <w:t>血压测量范围0kPa(0mmHg) ～40kPa(300mmHg)</w:t>
      </w:r>
      <w:r>
        <w:rPr>
          <w:rFonts w:hint="eastAsia" w:ascii="仿宋_GB2312" w:hAnsi="仿宋" w:eastAsia="仿宋_GB2312" w:cs="仿宋"/>
          <w:sz w:val="24"/>
          <w:szCs w:val="24"/>
        </w:rPr>
        <w:t>，</w:t>
      </w:r>
      <w:r>
        <w:rPr>
          <w:rFonts w:ascii="仿宋_GB2312" w:hAnsi="仿宋" w:eastAsia="仿宋_GB2312" w:cs="仿宋"/>
          <w:sz w:val="24"/>
          <w:szCs w:val="24"/>
        </w:rPr>
        <w:t>精度：±0.4kPa（±3mmHg）</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ascii="仿宋_GB2312" w:hAnsi="仿宋" w:eastAsia="仿宋_GB2312" w:cs="仿宋"/>
          <w:sz w:val="24"/>
          <w:szCs w:val="24"/>
        </w:rPr>
        <w:t>.血氧</w:t>
      </w:r>
      <w:r>
        <w:rPr>
          <w:rFonts w:hint="eastAsia" w:ascii="仿宋_GB2312" w:hAnsi="仿宋" w:eastAsia="仿宋_GB2312" w:cs="仿宋"/>
          <w:sz w:val="24"/>
          <w:szCs w:val="24"/>
        </w:rPr>
        <w:t>：</w:t>
      </w:r>
      <w:r>
        <w:rPr>
          <w:rFonts w:ascii="仿宋_GB2312" w:hAnsi="仿宋" w:eastAsia="仿宋_GB2312" w:cs="仿宋"/>
          <w:sz w:val="24"/>
          <w:szCs w:val="24"/>
        </w:rPr>
        <w:t>血氧饱和度测量范围0%～100%</w:t>
      </w:r>
      <w:r>
        <w:rPr>
          <w:rFonts w:hint="eastAsia" w:ascii="仿宋_GB2312" w:hAnsi="仿宋" w:eastAsia="仿宋_GB2312" w:cs="仿宋"/>
          <w:sz w:val="24"/>
          <w:szCs w:val="24"/>
        </w:rPr>
        <w:t>，</w:t>
      </w:r>
      <w:r>
        <w:rPr>
          <w:rFonts w:ascii="仿宋_GB2312" w:hAnsi="仿宋" w:eastAsia="仿宋_GB2312" w:cs="仿宋"/>
          <w:sz w:val="24"/>
          <w:szCs w:val="24"/>
        </w:rPr>
        <w:t>测量精度70%-100%范围内±2%，35%-69%范围内±4%</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w:t>
      </w:r>
      <w:r>
        <w:rPr>
          <w:rFonts w:ascii="仿宋_GB2312" w:hAnsi="仿宋" w:eastAsia="仿宋_GB2312" w:cs="仿宋"/>
          <w:sz w:val="24"/>
          <w:szCs w:val="24"/>
        </w:rPr>
        <w:t>.脉搏</w:t>
      </w:r>
      <w:r>
        <w:rPr>
          <w:rFonts w:hint="eastAsia" w:ascii="仿宋_GB2312" w:hAnsi="仿宋" w:eastAsia="仿宋_GB2312" w:cs="仿宋"/>
          <w:sz w:val="24"/>
          <w:szCs w:val="24"/>
        </w:rPr>
        <w:t>：</w:t>
      </w:r>
      <w:r>
        <w:rPr>
          <w:rFonts w:ascii="仿宋_GB2312" w:hAnsi="仿宋" w:eastAsia="仿宋_GB2312" w:cs="仿宋"/>
          <w:sz w:val="24"/>
          <w:szCs w:val="24"/>
        </w:rPr>
        <w:t>脉搏测量范围(10～255)次/分</w:t>
      </w:r>
      <w:r>
        <w:rPr>
          <w:rFonts w:hint="eastAsia" w:ascii="仿宋_GB2312" w:hAnsi="仿宋" w:eastAsia="仿宋_GB2312" w:cs="仿宋"/>
          <w:sz w:val="24"/>
          <w:szCs w:val="24"/>
        </w:rPr>
        <w:t>，</w:t>
      </w:r>
      <w:r>
        <w:rPr>
          <w:rFonts w:ascii="仿宋_GB2312" w:hAnsi="仿宋" w:eastAsia="仿宋_GB2312" w:cs="仿宋"/>
          <w:sz w:val="24"/>
          <w:szCs w:val="24"/>
        </w:rPr>
        <w:t>精度30-255bpm范围内±3bpm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w:t>
      </w:r>
      <w:r>
        <w:rPr>
          <w:rFonts w:ascii="仿宋_GB2312" w:hAnsi="仿宋" w:eastAsia="仿宋_GB2312" w:cs="仿宋"/>
          <w:sz w:val="24"/>
          <w:szCs w:val="24"/>
        </w:rPr>
        <w:t>.呼吸</w:t>
      </w:r>
      <w:r>
        <w:rPr>
          <w:rFonts w:hint="eastAsia" w:ascii="仿宋_GB2312" w:hAnsi="仿宋" w:eastAsia="仿宋_GB2312" w:cs="仿宋"/>
          <w:sz w:val="24"/>
          <w:szCs w:val="24"/>
        </w:rPr>
        <w:t>：</w:t>
      </w:r>
      <w:r>
        <w:rPr>
          <w:rFonts w:ascii="仿宋_GB2312" w:hAnsi="仿宋" w:eastAsia="仿宋_GB2312" w:cs="仿宋"/>
          <w:sz w:val="24"/>
          <w:szCs w:val="24"/>
        </w:rPr>
        <w:t>呼吸测量范围(4～120) 次/分</w:t>
      </w:r>
      <w:r>
        <w:rPr>
          <w:rFonts w:hint="eastAsia" w:ascii="仿宋_GB2312" w:hAnsi="仿宋" w:eastAsia="仿宋_GB2312" w:cs="仿宋"/>
          <w:sz w:val="24"/>
          <w:szCs w:val="24"/>
        </w:rPr>
        <w:t>，</w:t>
      </w:r>
      <w:r>
        <w:rPr>
          <w:rFonts w:ascii="仿宋_GB2312" w:hAnsi="仿宋" w:eastAsia="仿宋_GB2312" w:cs="仿宋"/>
          <w:sz w:val="24"/>
          <w:szCs w:val="24"/>
        </w:rPr>
        <w:t>精度：±2次/分</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ascii="仿宋_GB2312" w:hAnsi="仿宋" w:eastAsia="仿宋_GB2312" w:cs="仿宋"/>
          <w:sz w:val="24"/>
          <w:szCs w:val="24"/>
        </w:rPr>
        <w:t>.体温</w:t>
      </w:r>
      <w:r>
        <w:rPr>
          <w:rFonts w:hint="eastAsia" w:ascii="仿宋_GB2312" w:hAnsi="仿宋" w:eastAsia="仿宋_GB2312" w:cs="仿宋"/>
          <w:sz w:val="24"/>
          <w:szCs w:val="24"/>
        </w:rPr>
        <w:t>：</w:t>
      </w:r>
      <w:r>
        <w:rPr>
          <w:rFonts w:ascii="仿宋_GB2312" w:hAnsi="仿宋" w:eastAsia="仿宋_GB2312" w:cs="仿宋"/>
          <w:sz w:val="24"/>
          <w:szCs w:val="24"/>
        </w:rPr>
        <w:t>体温测量范围25℃～45℃</w:t>
      </w:r>
      <w:r>
        <w:rPr>
          <w:rFonts w:hint="eastAsia" w:ascii="仿宋_GB2312" w:hAnsi="仿宋" w:eastAsia="仿宋_GB2312" w:cs="仿宋"/>
          <w:sz w:val="24"/>
          <w:szCs w:val="24"/>
        </w:rPr>
        <w:t>，</w:t>
      </w:r>
      <w:r>
        <w:rPr>
          <w:rFonts w:ascii="仿宋_GB2312" w:hAnsi="仿宋" w:eastAsia="仿宋_GB2312" w:cs="仿宋"/>
          <w:sz w:val="24"/>
          <w:szCs w:val="24"/>
        </w:rPr>
        <w:t>精度：35-40℃范围内±0.2℃</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13.各种线路用保护套保护，配备≥2个监护仪背包。</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02-05 母婴监护仪技术参数</w:t>
      </w:r>
    </w:p>
    <w:p>
      <w:pPr>
        <w:spacing w:line="420" w:lineRule="exact"/>
        <w:ind w:firstLine="723" w:firstLineChars="200"/>
        <w:rPr>
          <w:b/>
          <w:bCs/>
          <w:sz w:val="36"/>
          <w:szCs w:val="36"/>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*插件式设计，可由主机和带屏幕的转运模块组成，可支持双屏一体化同步显示功能。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监测参数：胎心率、宫缩压、胎动、插件模块（心电/心率、脉率、血压、血氧、呼吸、体温、呼末二氧化碳）。</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w:t>
      </w:r>
      <w:r>
        <w:rPr>
          <w:rFonts w:ascii="仿宋_GB2312" w:hAnsi="仿宋" w:eastAsia="仿宋_GB2312" w:cs="仿宋"/>
          <w:sz w:val="24"/>
          <w:szCs w:val="24"/>
        </w:rPr>
        <w:t>超声工作频率：</w:t>
      </w:r>
      <w:r>
        <w:rPr>
          <w:rFonts w:hint="eastAsia" w:ascii="仿宋_GB2312" w:hAnsi="仿宋" w:eastAsia="仿宋_GB2312" w:cs="仿宋"/>
          <w:sz w:val="24"/>
          <w:szCs w:val="24"/>
        </w:rPr>
        <w:t>≥</w:t>
      </w:r>
      <w:r>
        <w:rPr>
          <w:rFonts w:ascii="仿宋_GB2312" w:hAnsi="仿宋" w:eastAsia="仿宋_GB2312" w:cs="仿宋"/>
          <w:sz w:val="24"/>
          <w:szCs w:val="24"/>
        </w:rPr>
        <w:t>1 MHz。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w:t>
      </w:r>
      <w:r>
        <w:rPr>
          <w:rFonts w:ascii="仿宋_GB2312" w:hAnsi="仿宋" w:eastAsia="仿宋_GB2312" w:cs="仿宋"/>
          <w:sz w:val="24"/>
          <w:szCs w:val="24"/>
        </w:rPr>
        <w:t>胎心率测量范围：30～250bpm ，精度：±1bpm。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w:t>
      </w:r>
      <w:r>
        <w:rPr>
          <w:rFonts w:ascii="仿宋_GB2312" w:hAnsi="仿宋" w:eastAsia="仿宋_GB2312" w:cs="仿宋"/>
          <w:sz w:val="24"/>
          <w:szCs w:val="24"/>
        </w:rPr>
        <w:t>宫缩压力测量范围0-100单位，非线性误差为±5%。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w:t>
      </w:r>
      <w:r>
        <w:rPr>
          <w:rFonts w:ascii="仿宋_GB2312" w:hAnsi="仿宋" w:eastAsia="仿宋_GB2312" w:cs="仿宋"/>
          <w:sz w:val="24"/>
          <w:szCs w:val="24"/>
        </w:rPr>
        <w:t>具有手动/自动胎动标记功能。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标配3/5导心电，可选配12导心电测量。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w:t>
      </w:r>
      <w:r>
        <w:rPr>
          <w:rFonts w:ascii="仿宋_GB2312" w:hAnsi="仿宋" w:eastAsia="仿宋_GB2312" w:cs="仿宋"/>
          <w:sz w:val="24"/>
          <w:szCs w:val="24"/>
        </w:rPr>
        <w:t>增益：1.25mm/mv（×0.125）、2、5mm/mv（×0.25）、5mm/mv（×0.5）、10mm/mv（×1）、20mm/mv（×2）、40mm/mv（×4）及自动增益。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ascii="仿宋_GB2312" w:hAnsi="仿宋" w:eastAsia="仿宋_GB2312" w:cs="仿宋"/>
          <w:sz w:val="24"/>
          <w:szCs w:val="24"/>
        </w:rPr>
        <w:t>心率测量范围：成人15-300bpm，儿童/新生儿15-350bpm，精度：±1%或±1bpm，取大者。</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w:t>
      </w:r>
      <w:r>
        <w:rPr>
          <w:rFonts w:ascii="仿宋_GB2312" w:hAnsi="仿宋" w:eastAsia="仿宋_GB2312" w:cs="仿宋"/>
          <w:sz w:val="24"/>
          <w:szCs w:val="24"/>
        </w:rPr>
        <w:t>具有智能导联脱落功能。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w:t>
      </w:r>
      <w:r>
        <w:rPr>
          <w:rFonts w:ascii="仿宋_GB2312" w:hAnsi="仿宋" w:eastAsia="仿宋_GB2312" w:cs="仿宋"/>
          <w:sz w:val="24"/>
          <w:szCs w:val="24"/>
        </w:rPr>
        <w:t>NIBP静态压力测量范围：0-300mmHg，精度±3 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ascii="仿宋_GB2312" w:hAnsi="仿宋" w:eastAsia="仿宋_GB2312" w:cs="仿宋"/>
          <w:sz w:val="24"/>
          <w:szCs w:val="24"/>
        </w:rPr>
        <w:t>自动测量模式间隔时间可选：1min，2 min，2.5min，3 min，4 min，5 min，10 min，15 min，30 min，60 min，90 min，120 min，180 min，240 min，480 min，720 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w:t>
      </w:r>
      <w:r>
        <w:rPr>
          <w:rFonts w:ascii="仿宋_GB2312" w:hAnsi="仿宋" w:eastAsia="仿宋_GB2312" w:cs="仿宋"/>
          <w:sz w:val="24"/>
          <w:szCs w:val="24"/>
        </w:rPr>
        <w:t>可选配Masimo血氧监测，具有灌注指数PI显示，测量范围0.02%-20%，更具有信号质量指数SQI指令功能。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w:t>
      </w:r>
      <w:r>
        <w:rPr>
          <w:rFonts w:ascii="仿宋_GB2312" w:hAnsi="仿宋" w:eastAsia="仿宋_GB2312" w:cs="仿宋"/>
          <w:sz w:val="24"/>
          <w:szCs w:val="24"/>
        </w:rPr>
        <w:t>可选配呼吸末二氧化碳监测，测量范围0-190mmHg。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w:t>
      </w:r>
      <w:r>
        <w:rPr>
          <w:rFonts w:ascii="仿宋_GB2312" w:hAnsi="仿宋" w:eastAsia="仿宋_GB2312" w:cs="仿宋"/>
          <w:sz w:val="24"/>
          <w:szCs w:val="24"/>
        </w:rPr>
        <w:t>12英寸TFT液晶显示屏，触摸屏，笔记本式前翻盖设计。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w:t>
      </w:r>
      <w:r>
        <w:rPr>
          <w:rFonts w:ascii="仿宋_GB2312" w:hAnsi="仿宋" w:eastAsia="仿宋_GB2312" w:cs="仿宋"/>
          <w:sz w:val="24"/>
          <w:szCs w:val="24"/>
        </w:rPr>
        <w:t>电脑键盘设计，可通过键盘、按键、触摸屏多种方式输入。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w:t>
      </w:r>
      <w:r>
        <w:rPr>
          <w:rFonts w:ascii="仿宋_GB2312" w:hAnsi="仿宋" w:eastAsia="仿宋_GB2312" w:cs="仿宋"/>
          <w:sz w:val="24"/>
          <w:szCs w:val="24"/>
        </w:rPr>
        <w:t>支持手写中文输入患者信息。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w:t>
      </w:r>
      <w:r>
        <w:rPr>
          <w:rFonts w:ascii="仿宋_GB2312" w:hAnsi="仿宋" w:eastAsia="仿宋_GB2312" w:cs="仿宋"/>
          <w:sz w:val="24"/>
          <w:szCs w:val="24"/>
        </w:rPr>
        <w:t>具备滑屏操作技术，快速切换显示界面。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w:t>
      </w:r>
      <w:r>
        <w:rPr>
          <w:rFonts w:ascii="仿宋_GB2312" w:hAnsi="仿宋" w:eastAsia="仿宋_GB2312" w:cs="仿宋"/>
          <w:sz w:val="24"/>
          <w:szCs w:val="24"/>
        </w:rPr>
        <w:t>内置</w:t>
      </w:r>
      <w:r>
        <w:rPr>
          <w:rFonts w:hint="eastAsia" w:ascii="仿宋_GB2312" w:hAnsi="仿宋" w:eastAsia="仿宋_GB2312" w:cs="仿宋"/>
          <w:sz w:val="24"/>
          <w:szCs w:val="24"/>
        </w:rPr>
        <w:t>≥</w:t>
      </w:r>
      <w:r>
        <w:rPr>
          <w:rFonts w:ascii="仿宋_GB2312" w:hAnsi="仿宋" w:eastAsia="仿宋_GB2312" w:cs="仿宋"/>
          <w:sz w:val="24"/>
          <w:szCs w:val="24"/>
        </w:rPr>
        <w:t>150mm宽行打印机，连续准确记录胎心率、宫缩压曲线及胎儿活动曲线，支持USB连接外置激光打印机。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w:t>
      </w:r>
      <w:r>
        <w:rPr>
          <w:rFonts w:ascii="仿宋_GB2312" w:hAnsi="仿宋" w:eastAsia="仿宋_GB2312" w:cs="仿宋"/>
          <w:sz w:val="24"/>
          <w:szCs w:val="24"/>
        </w:rPr>
        <w:t>配备收纳式探头支架，不用时可收纳隐藏。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w:t>
      </w:r>
      <w:r>
        <w:rPr>
          <w:rFonts w:ascii="仿宋_GB2312" w:hAnsi="仿宋" w:eastAsia="仿宋_GB2312" w:cs="仿宋"/>
          <w:sz w:val="24"/>
          <w:szCs w:val="24"/>
        </w:rPr>
        <w:t>内置专家评分系统，</w:t>
      </w:r>
      <w:r>
        <w:rPr>
          <w:rFonts w:hint="eastAsia" w:ascii="仿宋_GB2312" w:hAnsi="仿宋" w:eastAsia="仿宋_GB2312" w:cs="仿宋"/>
          <w:sz w:val="24"/>
          <w:szCs w:val="24"/>
        </w:rPr>
        <w:t>至少</w:t>
      </w:r>
      <w:r>
        <w:rPr>
          <w:rFonts w:ascii="仿宋_GB2312" w:hAnsi="仿宋" w:eastAsia="仿宋_GB2312" w:cs="仿宋"/>
          <w:sz w:val="24"/>
          <w:szCs w:val="24"/>
        </w:rPr>
        <w:t>提供KREBS、Fischer、改良Fischer和NST四种评分方式可选。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w:t>
      </w:r>
      <w:r>
        <w:rPr>
          <w:rFonts w:ascii="仿宋_GB2312" w:hAnsi="仿宋" w:eastAsia="仿宋_GB2312" w:cs="仿宋"/>
          <w:sz w:val="24"/>
          <w:szCs w:val="24"/>
        </w:rPr>
        <w:t>具有胎心信号强弱提示功能</w:t>
      </w:r>
      <w:r>
        <w:rPr>
          <w:rFonts w:hint="eastAsia" w:ascii="仿宋_GB2312" w:hAnsi="仿宋" w:eastAsia="仿宋_GB2312" w:cs="仿宋"/>
          <w:sz w:val="24"/>
          <w:szCs w:val="24"/>
        </w:rPr>
        <w:t>、</w:t>
      </w:r>
      <w:r>
        <w:rPr>
          <w:rFonts w:ascii="仿宋_GB2312" w:hAnsi="仿宋" w:eastAsia="仿宋_GB2312" w:cs="仿宋"/>
          <w:sz w:val="24"/>
          <w:szCs w:val="24"/>
        </w:rPr>
        <w:t>交叉通道验证功能、双胎迹线分离功能。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w:t>
      </w:r>
      <w:r>
        <w:rPr>
          <w:rFonts w:ascii="仿宋_GB2312" w:hAnsi="仿宋" w:eastAsia="仿宋_GB2312" w:cs="仿宋"/>
          <w:sz w:val="24"/>
          <w:szCs w:val="24"/>
        </w:rPr>
        <w:t>具有定时监护和定时打印功能，避免超时监护对胎儿造成影响。</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w:t>
      </w:r>
      <w:r>
        <w:rPr>
          <w:rFonts w:ascii="仿宋_GB2312" w:hAnsi="仿宋" w:eastAsia="仿宋_GB2312" w:cs="仿宋"/>
          <w:sz w:val="24"/>
          <w:szCs w:val="24"/>
        </w:rPr>
        <w:t>具有智能电源管理功能，可设置定时触发隐藏底部按钮</w:t>
      </w:r>
      <w:r>
        <w:rPr>
          <w:rFonts w:hint="eastAsia" w:ascii="仿宋_GB2312" w:hAnsi="仿宋" w:eastAsia="仿宋_GB2312" w:cs="仿宋"/>
          <w:sz w:val="24"/>
          <w:szCs w:val="24"/>
        </w:rPr>
        <w:t>、</w:t>
      </w:r>
      <w:r>
        <w:rPr>
          <w:rFonts w:ascii="仿宋_GB2312" w:hAnsi="仿宋" w:eastAsia="仿宋_GB2312" w:cs="仿宋"/>
          <w:sz w:val="24"/>
          <w:szCs w:val="24"/>
        </w:rPr>
        <w:t>锁屏</w:t>
      </w:r>
      <w:r>
        <w:rPr>
          <w:rFonts w:hint="eastAsia" w:ascii="仿宋_GB2312" w:hAnsi="仿宋" w:eastAsia="仿宋_GB2312" w:cs="仿宋"/>
          <w:sz w:val="24"/>
          <w:szCs w:val="24"/>
        </w:rPr>
        <w:t>、</w:t>
      </w:r>
      <w:r>
        <w:rPr>
          <w:rFonts w:ascii="仿宋_GB2312" w:hAnsi="仿宋" w:eastAsia="仿宋_GB2312" w:cs="仿宋"/>
          <w:sz w:val="24"/>
          <w:szCs w:val="24"/>
        </w:rPr>
        <w:t>待机</w:t>
      </w:r>
      <w:r>
        <w:rPr>
          <w:rFonts w:hint="eastAsia" w:ascii="仿宋_GB2312" w:hAnsi="仿宋" w:eastAsia="仿宋_GB2312" w:cs="仿宋"/>
          <w:sz w:val="24"/>
          <w:szCs w:val="24"/>
        </w:rPr>
        <w:t>、</w:t>
      </w:r>
      <w:r>
        <w:rPr>
          <w:rFonts w:ascii="仿宋_GB2312" w:hAnsi="仿宋" w:eastAsia="仿宋_GB2312" w:cs="仿宋"/>
          <w:sz w:val="24"/>
          <w:szCs w:val="24"/>
        </w:rPr>
        <w:t>关机等操作。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w:t>
      </w:r>
      <w:r>
        <w:rPr>
          <w:rFonts w:ascii="仿宋_GB2312" w:hAnsi="仿宋" w:eastAsia="仿宋_GB2312" w:cs="仿宋"/>
          <w:sz w:val="24"/>
          <w:szCs w:val="24"/>
        </w:rPr>
        <w:t>具有数据掉电存储功能</w:t>
      </w:r>
      <w:r>
        <w:rPr>
          <w:rFonts w:hint="eastAsia" w:ascii="仿宋_GB2312" w:hAnsi="仿宋" w:eastAsia="仿宋_GB2312" w:cs="仿宋"/>
          <w:sz w:val="24"/>
          <w:szCs w:val="24"/>
        </w:rPr>
        <w:t>、</w:t>
      </w:r>
      <w:r>
        <w:rPr>
          <w:rFonts w:ascii="仿宋_GB2312" w:hAnsi="仿宋" w:eastAsia="仿宋_GB2312" w:cs="仿宋"/>
          <w:sz w:val="24"/>
          <w:szCs w:val="24"/>
        </w:rPr>
        <w:t>波形冻结功能</w:t>
      </w:r>
      <w:r>
        <w:rPr>
          <w:rFonts w:hint="eastAsia" w:ascii="仿宋_GB2312" w:hAnsi="仿宋" w:eastAsia="仿宋_GB2312" w:cs="仿宋"/>
          <w:sz w:val="24"/>
          <w:szCs w:val="24"/>
        </w:rPr>
        <w:t>，</w:t>
      </w:r>
      <w:r>
        <w:rPr>
          <w:rFonts w:ascii="仿宋_GB2312" w:hAnsi="仿宋" w:eastAsia="仿宋_GB2312" w:cs="仿宋"/>
          <w:sz w:val="24"/>
          <w:szCs w:val="24"/>
        </w:rPr>
        <w:t>胎心率波形可冻结回放</w:t>
      </w:r>
      <w:r>
        <w:rPr>
          <w:rFonts w:hint="eastAsia" w:ascii="仿宋_GB2312" w:hAnsi="仿宋" w:eastAsia="仿宋_GB2312" w:cs="仿宋"/>
          <w:sz w:val="24"/>
          <w:szCs w:val="24"/>
        </w:rPr>
        <w:t>≥</w:t>
      </w:r>
      <w:r>
        <w:rPr>
          <w:rFonts w:ascii="仿宋_GB2312" w:hAnsi="仿宋" w:eastAsia="仿宋_GB2312" w:cs="仿宋"/>
          <w:sz w:val="24"/>
          <w:szCs w:val="24"/>
        </w:rPr>
        <w:t>60小时。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w:t>
      </w:r>
      <w:r>
        <w:rPr>
          <w:rFonts w:ascii="仿宋_GB2312" w:hAnsi="仿宋" w:eastAsia="仿宋_GB2312" w:cs="仿宋"/>
          <w:sz w:val="24"/>
          <w:szCs w:val="24"/>
        </w:rPr>
        <w:t>具备数据存储功能，可存储</w:t>
      </w:r>
      <w:r>
        <w:rPr>
          <w:rFonts w:hint="eastAsia" w:ascii="仿宋_GB2312" w:hAnsi="仿宋" w:eastAsia="仿宋_GB2312" w:cs="仿宋"/>
          <w:sz w:val="24"/>
          <w:szCs w:val="24"/>
        </w:rPr>
        <w:t>≥</w:t>
      </w:r>
      <w:r>
        <w:rPr>
          <w:rFonts w:ascii="仿宋_GB2312" w:hAnsi="仿宋" w:eastAsia="仿宋_GB2312" w:cs="仿宋"/>
          <w:sz w:val="24"/>
          <w:szCs w:val="24"/>
        </w:rPr>
        <w:t>3000份病历报告。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w:t>
      </w:r>
      <w:r>
        <w:rPr>
          <w:rFonts w:ascii="仿宋_GB2312" w:hAnsi="仿宋" w:eastAsia="仿宋_GB2312" w:cs="仿宋"/>
          <w:sz w:val="24"/>
          <w:szCs w:val="24"/>
        </w:rPr>
        <w:t>具有胎监界面、母亲/胎儿监护界面、母亲监护界面、列表界面、趋势共存界面、呼吸氧合界面、大字体界面等多种界面可选。</w:t>
      </w:r>
    </w:p>
    <w:p>
      <w:pPr>
        <w:spacing w:line="420" w:lineRule="exact"/>
        <w:ind w:firstLine="480" w:firstLineChars="200"/>
        <w:rPr>
          <w:rFonts w:ascii="仿宋_GB2312" w:hAnsi="仿宋" w:eastAsia="仿宋_GB2312" w:cs="仿宋"/>
          <w:color w:val="000000"/>
          <w:sz w:val="24"/>
          <w:szCs w:val="24"/>
        </w:rPr>
      </w:pPr>
      <w:r>
        <w:rPr>
          <w:rFonts w:hint="eastAsia" w:ascii="仿宋_GB2312" w:hAnsi="仿宋" w:eastAsia="仿宋_GB2312" w:cs="仿宋"/>
          <w:color w:val="000000"/>
          <w:sz w:val="24"/>
          <w:szCs w:val="24"/>
        </w:rPr>
        <w:t>28.</w:t>
      </w:r>
      <w:r>
        <w:rPr>
          <w:rFonts w:ascii="仿宋_GB2312" w:hAnsi="仿宋" w:eastAsia="仿宋_GB2312" w:cs="仿宋"/>
          <w:color w:val="000000"/>
          <w:sz w:val="24"/>
          <w:szCs w:val="24"/>
        </w:rPr>
        <w:t>内置锂电池。</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w:t>
      </w:r>
      <w:r>
        <w:rPr>
          <w:rFonts w:ascii="仿宋_GB2312" w:hAnsi="仿宋" w:eastAsia="仿宋_GB2312" w:cs="仿宋"/>
          <w:sz w:val="24"/>
          <w:szCs w:val="24"/>
        </w:rPr>
        <w:t>内置通讯接口，支持有线/无线连接中央监护系统。</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02-06 移动式空气消毒机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一、主要功能：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1.*微电脑程序控制，中文背光液晶显示屏。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2.UV管、电机、负离子故障自动检测带真人语音故障提示。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3.UV强度在线自动检测，镜面不锈钢板固定，增加UV照射强度。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4.*整机工作寿命计时和清洗保养提醒功能。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5.主管失效备管自动支援及加强功能。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6.具有时钟计时芯片。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7.程控、遥控、手控多控消毒运行。</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8.风速高、中、低可选。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9.*双通道立体式出风，循环风量大。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10.带多次使用初中效尘埃过滤网、活性炭网除臭及光触媒除菌等辅助消毒手段。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11.内置隐藏式遥控器放置盒，具防丢失功能。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12.外设防滑扶手，推拉移动自如。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二、主要技术参数：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1.适用体积：≥80m3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外形：移动式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*循环消毒风量：≥800m3/h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*紫外线辐照强度（垂直距离灯管15cm处）：≥7.36×103μW/cm2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消毒功率：≤410W</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 紫外线管寿命：≥5000h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 紫外线泄漏量：≤5μW/cm2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 消毒时空气中臭氧量：≤0.1mg/m3</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 负离子发生量：≥6×106个/cm3</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 额定电压：AC 220V±22V</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1.10 额定频率：50Hz±1Hz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1.11 噪音：≤55dB(A)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1.12 消毒后空气中细菌总数：Ⅱ、Ⅲ类无菌环境标准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1.13 适用环境：人在动态环境及静态环境（医院病区）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1.14 安全防护分类：I类</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1.15 提供消毒产品卫生安全评价报告</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02-07 心电监护仪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1.适用于成人、儿童、新生儿。</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2.彩色TFT显示屏，屏幕≥10.4英寸，分辨率≥800×600。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3.*波形显示通道数≥10，波形颜色与位置可调。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4.具备呼吸氧合图、趋势共存、大字体、NIBP回顾等多种显示界面。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5.监测功能：</w:t>
      </w:r>
      <w:r>
        <w:rPr>
          <w:rFonts w:ascii="仿宋_GB2312" w:hAnsi="仿宋" w:eastAsia="仿宋_GB2312" w:cs="仿宋"/>
          <w:sz w:val="24"/>
          <w:szCs w:val="24"/>
        </w:rPr>
        <w:t>标配心电、呼吸、血氧饱和度、无创血压、脉搏、体温监测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4.心电规格：三/五导联自动切换，具有7导联心电同屏显示，具有监护、诊断、手术、用户模式，可抗肌电、除颤等干扰，具有心电级联功能，心率测量范围：10～350 bpm，心率测量精度：±1％ 或 ±1bpm,心律失常分析17种，具有起搏分析功能，具有ST段分析功能。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5.呼吸规格：监测方法：阻抗法，呼吸监测范围：0～150 bpm，呼吸监测精度：±2 bpm。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6.血氧饱和度规格：数字式血氧，抗运动、抗弱灌注，具有脉搏调制音功能，血氧饱和度监测范围：0～100%，血氧饱和度测量精度：±2%（70%-100%）。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脉搏</w:t>
      </w:r>
      <w:r>
        <w:rPr>
          <w:rFonts w:hint="eastAsia" w:ascii="仿宋_GB2312" w:hAnsi="仿宋" w:eastAsia="仿宋_GB2312" w:cs="仿宋"/>
          <w:sz w:val="24"/>
          <w:szCs w:val="24"/>
        </w:rPr>
        <w:t>规格：脉率测量范围：25 bpm～250 bpm，脉率测量精度：±1% 或 ±1 bpm。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8.无创血压规格：测量范围：成人10—270mmHg；小儿10-235mmHg；新生儿10—135mmHg，具有成人、小儿、新生儿分段过压保护功能，测量模式：手动、自动、快速（STAT）。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ascii="仿宋_GB2312" w:hAnsi="仿宋" w:eastAsia="仿宋_GB2312" w:cs="仿宋"/>
          <w:sz w:val="24"/>
          <w:szCs w:val="24"/>
        </w:rPr>
        <w:t>体温</w:t>
      </w:r>
      <w:r>
        <w:rPr>
          <w:rFonts w:hint="eastAsia" w:ascii="仿宋_GB2312" w:hAnsi="仿宋" w:eastAsia="仿宋_GB2312" w:cs="仿宋"/>
          <w:sz w:val="24"/>
          <w:szCs w:val="24"/>
        </w:rPr>
        <w:t>规格：双通道体温监测，具有温差显示，测量范围：0～50 ℃，精度：±0.1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10.操作方式：快捷按键和旋钮操作，中/英文操作界面。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11.报警：声光双重三级报警。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ascii="仿宋_GB2312" w:hAnsi="仿宋" w:eastAsia="仿宋_GB2312" w:cs="仿宋"/>
          <w:sz w:val="24"/>
          <w:szCs w:val="24"/>
        </w:rPr>
        <w:t>数据存储</w:t>
      </w:r>
      <w:r>
        <w:rPr>
          <w:rFonts w:hint="eastAsia" w:ascii="仿宋_GB2312" w:hAnsi="仿宋" w:eastAsia="仿宋_GB2312" w:cs="仿宋"/>
          <w:sz w:val="24"/>
          <w:szCs w:val="24"/>
        </w:rPr>
        <w:t>：≥168小时趋势图表存储与回顾功能，≥30分钟重点监护导联波形存储回放功能，具有报警回顾功能，≥1800组报警事件，具有无创血压测量回顾功能，≥1000组无创血压测量数据，具有全参数掉电存储功能。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w:t>
      </w:r>
      <w:r>
        <w:rPr>
          <w:rFonts w:ascii="仿宋_GB2312" w:hAnsi="仿宋" w:eastAsia="仿宋_GB2312" w:cs="仿宋"/>
          <w:sz w:val="24"/>
          <w:szCs w:val="24"/>
        </w:rPr>
        <w:t>联网功能</w:t>
      </w:r>
      <w:r>
        <w:rPr>
          <w:rFonts w:hint="eastAsia" w:ascii="仿宋_GB2312" w:hAnsi="仿宋" w:eastAsia="仿宋_GB2312" w:cs="仿宋"/>
          <w:sz w:val="24"/>
          <w:szCs w:val="24"/>
        </w:rPr>
        <w:t>：可通过有线、无线和混联方式联入中央机。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14.电池：可插拔铅酸电池，双电池仓，单个电池供电时间≥60分钟，可选配锂电池，单个电池供电时间≥240分钟。</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02-08 心电</w:t>
      </w:r>
      <w:r>
        <w:rPr>
          <w:b/>
          <w:bCs/>
          <w:sz w:val="36"/>
          <w:szCs w:val="36"/>
        </w:rPr>
        <w:t>监护仪</w:t>
      </w:r>
      <w:r>
        <w:rPr>
          <w:rFonts w:hint="eastAsia"/>
          <w:b/>
          <w:bCs/>
          <w:sz w:val="36"/>
          <w:szCs w:val="36"/>
        </w:rPr>
        <w:t xml:space="preserve">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1.便携一体式监护仪,可用于监护成人,儿童,新生儿患者。</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2.*≥10英寸彩色</w:t>
      </w:r>
      <w:r>
        <w:rPr>
          <w:rFonts w:ascii="仿宋_GB2312" w:hAnsi="仿宋" w:eastAsia="仿宋_GB2312" w:cs="仿宋"/>
          <w:sz w:val="24"/>
          <w:szCs w:val="24"/>
        </w:rPr>
        <w:t>LED</w:t>
      </w:r>
      <w:r>
        <w:rPr>
          <w:rFonts w:hint="eastAsia" w:ascii="仿宋_GB2312" w:hAnsi="仿宋" w:eastAsia="仿宋_GB2312" w:cs="仿宋"/>
          <w:sz w:val="24"/>
          <w:szCs w:val="24"/>
        </w:rPr>
        <w:t>液晶显示屏，分辨率达≥800×600，至少8通道波形显示。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3.整机无风扇设计，降低环境噪音干扰。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4.监测参数：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 标准配置可监测心电，呼吸，无创血压，血氧饱和度，脉搏和体温。</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4.2 心电波形速度支持≥4种选择：6.25、12.5、25和50mm/s。</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4.3 具备智能导联脱落监测功能，个别导联脱落的情况下仍能保持监护。</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4.4 *提供心率</w:t>
      </w:r>
      <w:r>
        <w:rPr>
          <w:rFonts w:ascii="仿宋_GB2312" w:hAnsi="仿宋" w:eastAsia="仿宋_GB2312" w:cs="仿宋"/>
          <w:sz w:val="24"/>
          <w:szCs w:val="24"/>
        </w:rPr>
        <w:t>变化统计</w:t>
      </w:r>
      <w:r>
        <w:rPr>
          <w:rFonts w:hint="eastAsia" w:ascii="仿宋_GB2312" w:hAnsi="仿宋" w:eastAsia="仿宋_GB2312" w:cs="仿宋"/>
          <w:sz w:val="24"/>
          <w:szCs w:val="24"/>
        </w:rPr>
        <w:t>界面，包括患者平均心率、夜间平均心率、白天平均心率、最快心率和最慢心率等，直观快速了解过去24小时患者的心率变化和心率分布情况。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4.5 血氧监测时标配支持PI血氧灌注指数的监测，有效反映血氧灌注情况。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4.6 采用抗干扰和弱灌注血氧专利技术保证血氧监护的优异性。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4.7 无创血压至少支持手动、连续和自动测量模式。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4.8 *成人无创血压测量范围：收缩压 25-290mmHg，舒张压 10-250mmHg。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4.9 小儿无创血压测量范围：收缩压 25-240mmHg，舒张压 10-200mmHg。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4.10 新生儿无创血压测量范围：收缩压 25-140mmHg，舒张压 10-115mmHg。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4.11 *提供</w:t>
      </w:r>
      <w:r>
        <w:rPr>
          <w:rFonts w:ascii="仿宋_GB2312" w:hAnsi="仿宋" w:eastAsia="仿宋_GB2312" w:cs="仿宋"/>
          <w:sz w:val="24"/>
          <w:szCs w:val="24"/>
        </w:rPr>
        <w:t>动态血压分析</w:t>
      </w:r>
      <w:r>
        <w:rPr>
          <w:rFonts w:hint="eastAsia" w:ascii="仿宋_GB2312" w:hAnsi="仿宋" w:eastAsia="仿宋_GB2312" w:cs="仿宋"/>
          <w:sz w:val="24"/>
          <w:szCs w:val="24"/>
        </w:rPr>
        <w:t>界面，包括平均血压、白天平均血压、夜间平均血压、最高血压、最低血压和正常血压比例等，直观快速了解过去24小时患者血压变化和分布情况。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5.系统功能：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5.1 支持中/英文输入。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5.2 具有三级声光报警，参数报警级别可调。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5.3 具备报警集中设置功能。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5.4 具备血液动力学、药物计算功能。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5.5 支持&gt;=1000小时趋势数据的存储与回顾功能。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5.6 具备监护模式、待机模式，演示模式、隐私模式和夜间模式不少于5种工作模式。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5.7 具备趋势共存界面、呼吸氧合图界面，大字体显示界面，及标准显示界面等多种显示界面。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5.8 具备网络通信功能，实现中央站的集中监护。</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5.9 标配一块高能</w:t>
      </w:r>
      <w:r>
        <w:rPr>
          <w:rFonts w:ascii="仿宋_GB2312" w:hAnsi="仿宋" w:eastAsia="仿宋_GB2312" w:cs="仿宋"/>
          <w:sz w:val="24"/>
          <w:szCs w:val="24"/>
        </w:rPr>
        <w:t>锂电池，工作时间</w:t>
      </w:r>
      <w:r>
        <w:rPr>
          <w:rFonts w:hint="eastAsia" w:ascii="仿宋_GB2312" w:hAnsi="仿宋" w:eastAsia="仿宋_GB2312" w:cs="仿宋"/>
          <w:sz w:val="24"/>
          <w:szCs w:val="24"/>
        </w:rPr>
        <w:t>≥4小时。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5.10 支持监护仪系统日志向U盘设备的导出功能，日志包括：系统状态、异常和技术报警等。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5.11 主机集成附件收纳槽，支持将心电、血氧和无创血压等导联线附件进行收纳放置，方便监护仪设备的高效管理和转移。</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02-09 24小时动态心电监测仪</w:t>
      </w:r>
    </w:p>
    <w:p>
      <w:pPr>
        <w:spacing w:line="420" w:lineRule="exact"/>
        <w:ind w:firstLine="482" w:firstLineChars="200"/>
        <w:rPr>
          <w:rFonts w:ascii="仿宋_GB2312" w:hAnsi="仿宋" w:eastAsia="仿宋_GB2312" w:cs="仿宋"/>
          <w:sz w:val="24"/>
          <w:szCs w:val="24"/>
        </w:rPr>
      </w:pPr>
      <w:r>
        <w:rPr>
          <w:rFonts w:hint="eastAsia" w:ascii="宋体" w:hAnsi="宋体"/>
          <w:b/>
          <w:bCs/>
          <w:sz w:val="24"/>
          <w:szCs w:val="24"/>
        </w:rPr>
        <w:t>1.</w:t>
      </w:r>
      <w:r>
        <w:rPr>
          <w:rFonts w:ascii="仿宋_GB2312" w:hAnsi="仿宋" w:eastAsia="仿宋_GB2312" w:cs="仿宋"/>
          <w:sz w:val="24"/>
          <w:szCs w:val="24"/>
        </w:rPr>
        <w:t>动态心电记录仪</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1.1</w:t>
      </w:r>
      <w:r>
        <w:rPr>
          <w:rFonts w:hint="eastAsia" w:ascii="仿宋_GB2312" w:hAnsi="仿宋" w:eastAsia="仿宋_GB2312" w:cs="仿宋"/>
          <w:sz w:val="24"/>
          <w:szCs w:val="24"/>
        </w:rPr>
        <w:t xml:space="preserve"> </w:t>
      </w:r>
      <w:r>
        <w:rPr>
          <w:rFonts w:ascii="仿宋_GB2312" w:hAnsi="仿宋" w:eastAsia="仿宋_GB2312" w:cs="仿宋"/>
          <w:sz w:val="24"/>
          <w:szCs w:val="24"/>
        </w:rPr>
        <w:t>导联方式：标准12导联</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1.2</w:t>
      </w:r>
      <w:r>
        <w:rPr>
          <w:rFonts w:hint="eastAsia" w:ascii="仿宋_GB2312" w:hAnsi="仿宋" w:eastAsia="仿宋_GB2312" w:cs="仿宋"/>
          <w:sz w:val="24"/>
          <w:szCs w:val="24"/>
        </w:rPr>
        <w:t xml:space="preserve"> </w:t>
      </w:r>
      <w:r>
        <w:rPr>
          <w:rFonts w:ascii="仿宋_GB2312" w:hAnsi="仿宋" w:eastAsia="仿宋_GB2312" w:cs="仿宋"/>
          <w:sz w:val="24"/>
          <w:szCs w:val="24"/>
        </w:rPr>
        <w:t>1节7号碱性电池供电，最高可连续记录96小时以上</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1.3</w:t>
      </w:r>
      <w:r>
        <w:rPr>
          <w:rFonts w:hint="eastAsia" w:ascii="仿宋_GB2312" w:hAnsi="仿宋" w:eastAsia="仿宋_GB2312" w:cs="仿宋"/>
          <w:sz w:val="24"/>
          <w:szCs w:val="24"/>
        </w:rPr>
        <w:t xml:space="preserve"> </w:t>
      </w:r>
      <w:r>
        <w:rPr>
          <w:rFonts w:ascii="仿宋_GB2312" w:hAnsi="仿宋" w:eastAsia="仿宋_GB2312" w:cs="仿宋"/>
          <w:sz w:val="24"/>
          <w:szCs w:val="24"/>
        </w:rPr>
        <w:t xml:space="preserve">内置起搏器信号采集电路，3导和12导均可独立检测起搏器信号。 </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1.4</w:t>
      </w:r>
      <w:r>
        <w:rPr>
          <w:rFonts w:hint="eastAsia" w:ascii="仿宋_GB2312" w:hAnsi="仿宋" w:eastAsia="仿宋_GB2312" w:cs="仿宋"/>
          <w:sz w:val="24"/>
          <w:szCs w:val="24"/>
        </w:rPr>
        <w:t xml:space="preserve"> *</w:t>
      </w:r>
      <w:r>
        <w:rPr>
          <w:rFonts w:ascii="仿宋_GB2312" w:hAnsi="仿宋" w:eastAsia="仿宋_GB2312" w:cs="仿宋"/>
          <w:sz w:val="24"/>
          <w:szCs w:val="24"/>
        </w:rPr>
        <w:t>自动检测起搏器，当检测到起搏器时采样率为10000Hz；未检测到起搏器时，采样率为4000Hz</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1.5</w:t>
      </w:r>
      <w:r>
        <w:rPr>
          <w:rFonts w:hint="eastAsia" w:ascii="仿宋_GB2312" w:hAnsi="仿宋" w:eastAsia="仿宋_GB2312" w:cs="仿宋"/>
          <w:sz w:val="24"/>
          <w:szCs w:val="24"/>
        </w:rPr>
        <w:t xml:space="preserve"> </w:t>
      </w:r>
      <w:r>
        <w:rPr>
          <w:rFonts w:ascii="仿宋_GB2312" w:hAnsi="仿宋" w:eastAsia="仿宋_GB2312" w:cs="仿宋"/>
          <w:sz w:val="24"/>
          <w:szCs w:val="24"/>
        </w:rPr>
        <w:t>可采集最小脉宽0.1ms，最小幅值2mv的起搏器信号</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1.6</w:t>
      </w:r>
      <w:r>
        <w:rPr>
          <w:rFonts w:hint="eastAsia" w:ascii="仿宋_GB2312" w:hAnsi="仿宋" w:eastAsia="仿宋_GB2312" w:cs="仿宋"/>
          <w:sz w:val="24"/>
          <w:szCs w:val="24"/>
        </w:rPr>
        <w:t xml:space="preserve"> </w:t>
      </w:r>
      <w:r>
        <w:rPr>
          <w:rFonts w:ascii="仿宋_GB2312" w:hAnsi="仿宋" w:eastAsia="仿宋_GB2312" w:cs="仿宋"/>
          <w:sz w:val="24"/>
          <w:szCs w:val="24"/>
        </w:rPr>
        <w:t>采用SD卡存储心电数据，SD卡容量为</w:t>
      </w:r>
      <w:r>
        <w:rPr>
          <w:rFonts w:hint="eastAsia" w:ascii="仿宋_GB2312" w:hAnsi="仿宋" w:eastAsia="仿宋_GB2312" w:cs="仿宋"/>
          <w:sz w:val="24"/>
          <w:szCs w:val="24"/>
        </w:rPr>
        <w:t>≥</w:t>
      </w:r>
      <w:r>
        <w:rPr>
          <w:rFonts w:ascii="仿宋_GB2312" w:hAnsi="仿宋" w:eastAsia="仿宋_GB2312" w:cs="仿宋"/>
          <w:sz w:val="24"/>
          <w:szCs w:val="24"/>
        </w:rPr>
        <w:t>4GB，可增配多张SD卡</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1.7</w:t>
      </w:r>
      <w:r>
        <w:rPr>
          <w:rFonts w:hint="eastAsia" w:ascii="仿宋_GB2312" w:hAnsi="仿宋" w:eastAsia="仿宋_GB2312" w:cs="仿宋"/>
          <w:sz w:val="24"/>
          <w:szCs w:val="24"/>
        </w:rPr>
        <w:t xml:space="preserve"> </w:t>
      </w:r>
      <w:r>
        <w:rPr>
          <w:rFonts w:ascii="仿宋_GB2312" w:hAnsi="仿宋" w:eastAsia="仿宋_GB2312" w:cs="仿宋"/>
          <w:sz w:val="24"/>
          <w:szCs w:val="24"/>
        </w:rPr>
        <w:t>记录时间可选24、48小时，或连续记忆模式</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1.8</w:t>
      </w:r>
      <w:r>
        <w:rPr>
          <w:rFonts w:hint="eastAsia" w:ascii="仿宋_GB2312" w:hAnsi="仿宋" w:eastAsia="仿宋_GB2312" w:cs="仿宋"/>
          <w:sz w:val="24"/>
          <w:szCs w:val="24"/>
        </w:rPr>
        <w:t xml:space="preserve"> *</w:t>
      </w:r>
      <w:r>
        <w:rPr>
          <w:rFonts w:ascii="仿宋_GB2312" w:hAnsi="仿宋" w:eastAsia="仿宋_GB2312" w:cs="仿宋"/>
          <w:sz w:val="24"/>
          <w:szCs w:val="24"/>
        </w:rPr>
        <w:t>记录盒可实时显示电池电量和导联线脱落情况，当电池电量不足或者导联线脱落时，采用蜂鸣器和指示灯的方式报警，导联连接正常时，记录盒可自动开始记录</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软件分析功能</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w:t>
      </w:r>
      <w:r>
        <w:rPr>
          <w:rFonts w:hint="eastAsia" w:ascii="仿宋_GB2312" w:hAnsi="仿宋" w:eastAsia="仿宋_GB2312" w:cs="仿宋"/>
          <w:sz w:val="24"/>
          <w:szCs w:val="24"/>
        </w:rPr>
        <w:t xml:space="preserve"> </w:t>
      </w:r>
      <w:r>
        <w:rPr>
          <w:rFonts w:ascii="仿宋_GB2312" w:hAnsi="仿宋" w:eastAsia="仿宋_GB2312" w:cs="仿宋"/>
          <w:sz w:val="24"/>
          <w:szCs w:val="24"/>
        </w:rPr>
        <w:t>3导/12导兼容，可设定任意通道单独分析；3导联同步分析时，自动分析时间小于30秒</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2.2</w:t>
      </w:r>
      <w:r>
        <w:rPr>
          <w:rFonts w:hint="eastAsia" w:ascii="仿宋_GB2312" w:hAnsi="仿宋" w:eastAsia="仿宋_GB2312" w:cs="仿宋"/>
          <w:sz w:val="24"/>
          <w:szCs w:val="24"/>
        </w:rPr>
        <w:t xml:space="preserve"> </w:t>
      </w:r>
      <w:r>
        <w:rPr>
          <w:rFonts w:ascii="仿宋_GB2312" w:hAnsi="仿宋" w:eastAsia="仿宋_GB2312" w:cs="仿宋"/>
          <w:sz w:val="24"/>
          <w:szCs w:val="24"/>
        </w:rPr>
        <w:t>模板分析：可区分正常、房早、室早、起搏、伪差、疑问心搏模板，模板数目自适应，根据实际波形逐波生成，修改模板方便快捷，可反复修改、单波修改、多波修改功能，模板内同屏心拍叠加图</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2.3</w:t>
      </w:r>
      <w:r>
        <w:rPr>
          <w:rFonts w:hint="eastAsia" w:ascii="仿宋_GB2312" w:hAnsi="仿宋" w:eastAsia="仿宋_GB2312" w:cs="仿宋"/>
          <w:sz w:val="24"/>
          <w:szCs w:val="24"/>
        </w:rPr>
        <w:t xml:space="preserve"> </w:t>
      </w:r>
      <w:r>
        <w:rPr>
          <w:rFonts w:ascii="仿宋_GB2312" w:hAnsi="仿宋" w:eastAsia="仿宋_GB2312" w:cs="仿宋"/>
          <w:sz w:val="24"/>
          <w:szCs w:val="24"/>
        </w:rPr>
        <w:t>模板叠加分析功能：可对单个或多个模板内心搏进行叠加分析，可将形态不同的心搏进行快速区分</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2.4</w:t>
      </w:r>
      <w:r>
        <w:rPr>
          <w:rFonts w:hint="eastAsia" w:ascii="仿宋_GB2312" w:hAnsi="仿宋" w:eastAsia="仿宋_GB2312" w:cs="仿宋"/>
          <w:sz w:val="24"/>
          <w:szCs w:val="24"/>
        </w:rPr>
        <w:t xml:space="preserve"> *</w:t>
      </w:r>
      <w:r>
        <w:rPr>
          <w:rFonts w:ascii="仿宋_GB2312" w:hAnsi="仿宋" w:eastAsia="仿宋_GB2312" w:cs="仿宋"/>
          <w:sz w:val="24"/>
          <w:szCs w:val="24"/>
        </w:rPr>
        <w:t>直方图分析: 包括R-R间期、N-N间期、N-V间期、N-S间期、N-J间期、R-S间期、S-S间期、S-N间期、S-R间期、R-V间期、V-V间期、V-N间期、V-R间期、起搏到起搏、起搏到原发、原发到起搏、RR间期比、心率直方图在内的39种直方图，方便医生快速准确修正自动分析结果</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2.5</w:t>
      </w:r>
      <w:r>
        <w:rPr>
          <w:rFonts w:hint="eastAsia" w:ascii="仿宋_GB2312" w:hAnsi="仿宋" w:eastAsia="仿宋_GB2312" w:cs="仿宋"/>
          <w:sz w:val="24"/>
          <w:szCs w:val="24"/>
        </w:rPr>
        <w:t xml:space="preserve"> *</w:t>
      </w:r>
      <w:r>
        <w:rPr>
          <w:rFonts w:ascii="仿宋_GB2312" w:hAnsi="仿宋" w:eastAsia="仿宋_GB2312" w:cs="仿宋"/>
          <w:sz w:val="24"/>
          <w:szCs w:val="24"/>
        </w:rPr>
        <w:t>房颤、房扑自动分析：一键自动分析房颤，可准确定位房颤发生时间、持续时间和房颤段平均心率，房颤事件列表显示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2.6 房颤、房扑手动分析：基于RR间期散点图和彭卡莱散点图的房颤分析工具，方便快速准确手工定位房颤、房扑的起始时间和持续时间</w:t>
      </w:r>
      <w:r>
        <w:rPr>
          <w:rFonts w:hint="eastAsia" w:ascii="仿宋_GB2312" w:hAnsi="仿宋" w:eastAsia="仿宋_GB2312" w:cs="仿宋"/>
          <w:sz w:val="24"/>
          <w:szCs w:val="24"/>
        </w:rPr>
        <w:t>。</w:t>
      </w:r>
      <w:r>
        <w:rPr>
          <w:rFonts w:ascii="仿宋_GB2312" w:hAnsi="仿宋" w:eastAsia="仿宋_GB2312" w:cs="仿宋"/>
          <w:sz w:val="24"/>
          <w:szCs w:val="24"/>
        </w:rPr>
        <w:t xml:space="preserve"> </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2.7 单独的起搏心搏模板</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2.8 起搏器分析：单独的起搏器分析工具，可自动区分房型单腔、室性单腔、双腔起搏钉类型，并以直方图加条图的方式显示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2.9</w:t>
      </w:r>
      <w:r>
        <w:rPr>
          <w:rFonts w:hint="eastAsia" w:ascii="仿宋_GB2312" w:hAnsi="仿宋" w:eastAsia="仿宋_GB2312" w:cs="仿宋"/>
          <w:sz w:val="24"/>
          <w:szCs w:val="24"/>
        </w:rPr>
        <w:t xml:space="preserve"> </w:t>
      </w:r>
      <w:r>
        <w:rPr>
          <w:rFonts w:ascii="仿宋_GB2312" w:hAnsi="仿宋" w:eastAsia="仿宋_GB2312" w:cs="仿宋"/>
          <w:sz w:val="24"/>
          <w:szCs w:val="24"/>
        </w:rPr>
        <w:t>心率分析：可自动定位最快、最慢心率，单独的心率图分析工具</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2.10 心律失常事件列表：室早时间、房早事件、停搏事件、心率异常事件、ST段事件单独列表，可根据心律失常发生时间、模板编号、事件类型对事件进行排序</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2.11 心律失常事件直方图：根据心律失常次数描绘直方图，方便快速准确定位严重心律失常</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2.12全览图批量编辑：可以大面积选择心搏标记为伪差或者添加房颤事件、用户自定义事件</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2.13报告预览功能：可自动生成综述结论，结论术语可由用户自定义。报告预览中图条可再编辑</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2.14报告自定义功能:可自定义报告打印项目、页边距、字体、行距、图条打印通道和长度等信息</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2.15 心率变异性(HRV)分析：HRV频域、时域自动分析，可对全程、夜间及每小时的心搏进行HRV时域分析</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2.16 心率振荡（HRT）分析：可自动分析心率振荡时间，分析参数可设置</w:t>
      </w:r>
      <w:r>
        <w:rPr>
          <w:rFonts w:hint="eastAsia" w:ascii="仿宋_GB2312" w:hAnsi="仿宋" w:eastAsia="仿宋_GB2312" w:cs="仿宋"/>
          <w:sz w:val="24"/>
          <w:szCs w:val="24"/>
        </w:rPr>
        <w:t>。</w:t>
      </w:r>
      <w:r>
        <w:rPr>
          <w:rFonts w:ascii="仿宋_GB2312" w:hAnsi="仿宋" w:eastAsia="仿宋_GB2312" w:cs="仿宋"/>
          <w:sz w:val="24"/>
          <w:szCs w:val="24"/>
        </w:rPr>
        <w:t xml:space="preserve"> </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2.17 电子尺工具:测量尺可测量心电信号的间期和幅值,平行尺可代替分规功能</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2.18 ECG滤波功能:提供工频滤波和实时基线滤波功能,提高心电信号质量</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2.19 数据库管理功能：可根据病人姓名、ID号、性别、记录时间、分析医生等信息对记录进行查找和浏览，数据库中显示字段可自定义；病人记录可以进行备份、导入和删除操作</w:t>
      </w:r>
      <w:r>
        <w:rPr>
          <w:rFonts w:hint="eastAsia" w:ascii="仿宋_GB2312" w:hAnsi="仿宋" w:eastAsia="仿宋_GB2312" w:cs="仿宋"/>
          <w:sz w:val="24"/>
          <w:szCs w:val="24"/>
        </w:rPr>
        <w:t>。</w:t>
      </w:r>
    </w:p>
    <w:p>
      <w:pPr>
        <w:spacing w:line="420" w:lineRule="exact"/>
        <w:ind w:firstLine="420" w:firstLineChars="200"/>
        <w:rPr>
          <w:rFonts w:ascii="宋体" w:hAnsi="宋体"/>
          <w:szCs w:val="21"/>
        </w:rPr>
      </w:pPr>
    </w:p>
    <w:p>
      <w:pPr>
        <w:spacing w:line="420" w:lineRule="exact"/>
        <w:jc w:val="center"/>
        <w:rPr>
          <w:b/>
          <w:bCs/>
          <w:sz w:val="36"/>
          <w:szCs w:val="36"/>
        </w:rPr>
      </w:pPr>
      <w:r>
        <w:rPr>
          <w:rFonts w:hint="eastAsia"/>
          <w:b/>
          <w:bCs/>
          <w:sz w:val="36"/>
          <w:szCs w:val="36"/>
        </w:rPr>
        <w:t>02-10 24小时动态血压监护仪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1.测量范围：收缩压60-260mmHg，舒张压30-195mmHg。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2.测量精度：+ 3mmHg。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3.充气压力：0-299mmHg。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4.心率：30-200mmHg。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5.记录容量：≥400条。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6.测量方法：示波法，线性放气。</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7.测量模式：至少包括定时模式/自动模式/睡眠模式/自定义模式。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8.测量间隔：至少包括5/10/15/20/30/60/120分钟。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9.电池：两节AA（5号）碱性电池，支持至少200次测量。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10.PC接口：至少包括红外/蓝牙/USB。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11.自适应放气和充气技术。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12.内置双处理器并行监控，保证测量安全。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13.内置USB通讯接口，无需驱动即可快速连接至PC。</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14.用户不适时可按键快速停止测量并放气。</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15.提供血压脉搏波波形显示功能，辅助医生进行二次诊断。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16.智能识别病人测量状态，包括静止、心律失常、轻/中/重度运动等。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17.提供多种图表辅助分析工具，至少包括趋势图、相关图、饼图、直方图、昼夜规律图、比较图等；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18.提供血压变异系数、夜间血压下降比、血压负荷、晨峰血压等分析指标。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19.提供血压负荷、白大衣性高血压、隐匿性高血压、昼夜节律、动态动脉硬化指数等自动分析结论。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20.支持双臂血压分析。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21.支持网络信息平台，实现网络分析共享功能。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22.支持PDF报告打印，自定义模板报告，彩色打印等功能；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23.支持EXCEL导出功能。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24.提供24小时测量模式功能。</w:t>
      </w:r>
    </w:p>
    <w:p>
      <w:pPr>
        <w:spacing w:line="420" w:lineRule="exact"/>
        <w:ind w:firstLine="480" w:firstLineChars="200"/>
        <w:rPr>
          <w:rFonts w:ascii="仿宋_GB2312" w:hAnsi="仿宋" w:eastAsia="仿宋_GB2312" w:cs="仿宋"/>
          <w:sz w:val="24"/>
          <w:szCs w:val="24"/>
        </w:rPr>
      </w:pPr>
    </w:p>
    <w:p>
      <w:pPr>
        <w:spacing w:line="420" w:lineRule="exact"/>
        <w:jc w:val="center"/>
        <w:rPr>
          <w:rFonts w:ascii="黑体" w:hAnsi="Times New Roman" w:eastAsia="黑体"/>
          <w:b/>
          <w:sz w:val="22"/>
          <w:szCs w:val="32"/>
        </w:rPr>
      </w:pPr>
      <w:r>
        <w:rPr>
          <w:rFonts w:hint="eastAsia"/>
          <w:b/>
          <w:bCs/>
          <w:sz w:val="36"/>
          <w:szCs w:val="36"/>
        </w:rPr>
        <w:t>02-11 心电图机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1.工作条件：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产品可在电源交流100伏-240伏，50/60赫兹，室温5-40℃和相对湿度25%RH-80%RH的环境下正常工作。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2.ECG输入：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*ECG输入通道：标准</w:t>
      </w:r>
      <w:r>
        <w:rPr>
          <w:rFonts w:ascii="仿宋_GB2312" w:hAnsi="仿宋" w:eastAsia="仿宋_GB2312" w:cs="仿宋"/>
          <w:sz w:val="24"/>
          <w:szCs w:val="24"/>
        </w:rPr>
        <w:t>12</w:t>
      </w:r>
      <w:r>
        <w:rPr>
          <w:rFonts w:hint="eastAsia" w:ascii="仿宋_GB2312" w:hAnsi="仿宋" w:eastAsia="仿宋_GB2312" w:cs="仿宋"/>
          <w:sz w:val="24"/>
          <w:szCs w:val="24"/>
        </w:rPr>
        <w:t>导联心电信号同步采集。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*导联选择：手动</w:t>
      </w:r>
      <w:r>
        <w:rPr>
          <w:rFonts w:ascii="仿宋_GB2312" w:hAnsi="仿宋" w:eastAsia="仿宋_GB2312" w:cs="仿宋"/>
          <w:sz w:val="24"/>
          <w:szCs w:val="24"/>
        </w:rPr>
        <w:t>/</w:t>
      </w:r>
      <w:r>
        <w:rPr>
          <w:rFonts w:hint="eastAsia" w:ascii="仿宋_GB2312" w:hAnsi="仿宋" w:eastAsia="仿宋_GB2312" w:cs="仿宋"/>
          <w:sz w:val="24"/>
          <w:szCs w:val="24"/>
        </w:rPr>
        <w:t>自动可选,（支持Nehb、Cabrera导联体系）。</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输入阻抗：</w:t>
      </w:r>
      <w:r>
        <w:rPr>
          <w:rFonts w:ascii="仿宋_GB2312" w:hAnsi="仿宋" w:eastAsia="仿宋_GB2312" w:cs="仿宋"/>
          <w:sz w:val="24"/>
          <w:szCs w:val="24"/>
        </w:rPr>
        <w:t>≥100M Ω</w:t>
      </w:r>
      <w:r>
        <w:rPr>
          <w:rFonts w:hint="eastAsia" w:ascii="仿宋_GB2312" w:hAnsi="仿宋" w:eastAsia="仿宋_GB2312" w:cs="仿宋"/>
          <w:sz w:val="24"/>
          <w:szCs w:val="24"/>
        </w:rPr>
        <w:t>（</w:t>
      </w:r>
      <w:r>
        <w:rPr>
          <w:rFonts w:ascii="仿宋_GB2312" w:hAnsi="仿宋" w:eastAsia="仿宋_GB2312" w:cs="仿宋"/>
          <w:sz w:val="24"/>
          <w:szCs w:val="24"/>
        </w:rPr>
        <w:t>10Hz</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 频率响应：</w:t>
      </w:r>
      <w:r>
        <w:rPr>
          <w:rFonts w:ascii="仿宋_GB2312" w:hAnsi="仿宋" w:eastAsia="仿宋_GB2312" w:cs="仿宋"/>
          <w:sz w:val="24"/>
          <w:szCs w:val="24"/>
        </w:rPr>
        <w:t xml:space="preserve">0.01Hz </w:t>
      </w:r>
      <w:r>
        <w:rPr>
          <w:rFonts w:hint="eastAsia" w:ascii="仿宋_GB2312" w:hAnsi="仿宋" w:eastAsia="仿宋_GB2312" w:cs="仿宋"/>
          <w:sz w:val="24"/>
          <w:szCs w:val="24"/>
        </w:rPr>
        <w:t>-</w:t>
      </w:r>
      <w:r>
        <w:rPr>
          <w:rFonts w:ascii="仿宋_GB2312" w:hAnsi="仿宋" w:eastAsia="仿宋_GB2312" w:cs="仿宋"/>
          <w:sz w:val="24"/>
          <w:szCs w:val="24"/>
        </w:rPr>
        <w:t xml:space="preserve"> 300Hz </w:t>
      </w:r>
      <w:r>
        <w:rPr>
          <w:rFonts w:hint="eastAsia" w:ascii="仿宋_GB2312" w:hAnsi="仿宋" w:eastAsia="仿宋_GB2312" w:cs="仿宋"/>
          <w:sz w:val="24"/>
          <w:szCs w:val="24"/>
        </w:rPr>
        <w:t>（</w:t>
      </w:r>
      <w:r>
        <w:rPr>
          <w:rFonts w:ascii="仿宋_GB2312" w:hAnsi="仿宋" w:eastAsia="仿宋_GB2312" w:cs="仿宋"/>
          <w:sz w:val="24"/>
          <w:szCs w:val="24"/>
        </w:rPr>
        <w:t>+0.4</w:t>
      </w:r>
      <w:r>
        <w:rPr>
          <w:rFonts w:hint="eastAsia" w:ascii="仿宋_GB2312" w:hAnsi="仿宋" w:eastAsia="仿宋_GB2312" w:cs="仿宋"/>
          <w:sz w:val="24"/>
          <w:szCs w:val="24"/>
        </w:rPr>
        <w:t>dB-</w:t>
      </w:r>
      <w:r>
        <w:rPr>
          <w:rFonts w:ascii="仿宋_GB2312" w:hAnsi="仿宋" w:eastAsia="仿宋_GB2312" w:cs="仿宋"/>
          <w:sz w:val="24"/>
          <w:szCs w:val="24"/>
        </w:rPr>
        <w:t>3.0dB</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 定标电压：</w:t>
      </w:r>
      <w:r>
        <w:rPr>
          <w:rFonts w:ascii="仿宋_GB2312" w:hAnsi="仿宋" w:eastAsia="仿宋_GB2312" w:cs="仿宋"/>
          <w:sz w:val="24"/>
          <w:szCs w:val="24"/>
        </w:rPr>
        <w:t>1mV</w:t>
      </w:r>
      <w:r>
        <w:rPr>
          <w:rFonts w:hint="eastAsia" w:ascii="仿宋_GB2312" w:hAnsi="仿宋" w:eastAsia="仿宋_GB2312" w:cs="仿宋"/>
          <w:sz w:val="24"/>
          <w:szCs w:val="24"/>
        </w:rPr>
        <w:t>±2%。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 耐极化电压：</w:t>
      </w:r>
      <w:r>
        <w:rPr>
          <w:rFonts w:ascii="仿宋_GB2312" w:hAnsi="仿宋" w:eastAsia="仿宋_GB2312" w:cs="仿宋"/>
          <w:sz w:val="24"/>
          <w:szCs w:val="24"/>
        </w:rPr>
        <w:t>±900mV</w:t>
      </w:r>
      <w:r>
        <w:rPr>
          <w:rFonts w:hint="eastAsia" w:ascii="仿宋_GB2312" w:hAnsi="仿宋" w:eastAsia="仿宋_GB2312" w:cs="仿宋"/>
          <w:sz w:val="24"/>
          <w:szCs w:val="24"/>
        </w:rPr>
        <w:t>（±5%）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 内部噪声：</w:t>
      </w:r>
      <w:r>
        <w:rPr>
          <w:rFonts w:ascii="仿宋_GB2312" w:hAnsi="仿宋" w:eastAsia="仿宋_GB2312" w:cs="仿宋"/>
          <w:sz w:val="24"/>
          <w:szCs w:val="24"/>
        </w:rPr>
        <w:t>≤</w:t>
      </w:r>
      <w:r>
        <w:rPr>
          <w:rFonts w:hint="eastAsia" w:ascii="仿宋_GB2312" w:hAnsi="仿宋" w:eastAsia="仿宋_GB2312" w:cs="仿宋"/>
          <w:sz w:val="24"/>
          <w:szCs w:val="24"/>
        </w:rPr>
        <w:t>12.5µVp-p。</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 时间常数：≥</w:t>
      </w:r>
      <w:r>
        <w:rPr>
          <w:rFonts w:ascii="仿宋_GB2312" w:hAnsi="仿宋" w:eastAsia="仿宋_GB2312" w:cs="仿宋"/>
          <w:sz w:val="24"/>
          <w:szCs w:val="24"/>
        </w:rPr>
        <w:t>3.2 s</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 *共模抑制比：≥</w:t>
      </w:r>
      <w:r>
        <w:rPr>
          <w:rFonts w:ascii="仿宋_GB2312" w:hAnsi="仿宋" w:eastAsia="仿宋_GB2312" w:cs="仿宋"/>
          <w:sz w:val="24"/>
          <w:szCs w:val="24"/>
        </w:rPr>
        <w:t>140dB</w:t>
      </w:r>
      <w:r>
        <w:rPr>
          <w:rFonts w:hint="eastAsia" w:ascii="仿宋_GB2312" w:hAnsi="仿宋" w:eastAsia="仿宋_GB2312" w:cs="仿宋"/>
          <w:sz w:val="24"/>
          <w:szCs w:val="24"/>
        </w:rPr>
        <w:t>（A</w:t>
      </w:r>
      <w:r>
        <w:rPr>
          <w:rFonts w:ascii="仿宋_GB2312" w:hAnsi="仿宋" w:eastAsia="仿宋_GB2312" w:cs="仿宋"/>
          <w:sz w:val="24"/>
          <w:szCs w:val="24"/>
        </w:rPr>
        <w:t>C</w:t>
      </w:r>
      <w:r>
        <w:rPr>
          <w:rFonts w:hint="eastAsia" w:ascii="仿宋_GB2312" w:hAnsi="仿宋" w:eastAsia="仿宋_GB2312" w:cs="仿宋"/>
          <w:sz w:val="24"/>
          <w:szCs w:val="24"/>
        </w:rPr>
        <w:t>滤波开启）；≥</w:t>
      </w:r>
      <w:r>
        <w:rPr>
          <w:rFonts w:ascii="仿宋_GB2312" w:hAnsi="仿宋" w:eastAsia="仿宋_GB2312" w:cs="仿宋"/>
          <w:sz w:val="24"/>
          <w:szCs w:val="24"/>
        </w:rPr>
        <w:t>123dB</w:t>
      </w:r>
      <w:r>
        <w:rPr>
          <w:rFonts w:hint="eastAsia" w:ascii="仿宋_GB2312" w:hAnsi="仿宋" w:eastAsia="仿宋_GB2312" w:cs="仿宋"/>
          <w:sz w:val="24"/>
          <w:szCs w:val="24"/>
        </w:rPr>
        <w:t>（A</w:t>
      </w:r>
      <w:r>
        <w:rPr>
          <w:rFonts w:ascii="仿宋_GB2312" w:hAnsi="仿宋" w:eastAsia="仿宋_GB2312" w:cs="仿宋"/>
          <w:sz w:val="24"/>
          <w:szCs w:val="24"/>
        </w:rPr>
        <w:t>C</w:t>
      </w:r>
      <w:r>
        <w:rPr>
          <w:rFonts w:hint="eastAsia" w:ascii="仿宋_GB2312" w:hAnsi="仿宋" w:eastAsia="仿宋_GB2312" w:cs="仿宋"/>
          <w:sz w:val="24"/>
          <w:szCs w:val="24"/>
        </w:rPr>
        <w:t>滤波关闭）。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2.10 输入电流：≤0.01μA。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3.波形处理：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3.1 *A/D转换：24</w:t>
      </w:r>
      <w:r>
        <w:rPr>
          <w:rFonts w:ascii="仿宋_GB2312" w:hAnsi="仿宋" w:eastAsia="仿宋_GB2312" w:cs="仿宋"/>
          <w:sz w:val="24"/>
          <w:szCs w:val="24"/>
        </w:rPr>
        <w:t>bit</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3.2 采样率：</w:t>
      </w:r>
      <w:r>
        <w:rPr>
          <w:rFonts w:ascii="仿宋_GB2312" w:hAnsi="仿宋" w:eastAsia="仿宋_GB2312" w:cs="仿宋"/>
          <w:sz w:val="24"/>
          <w:szCs w:val="24"/>
        </w:rPr>
        <w:t>16</w:t>
      </w:r>
      <w:r>
        <w:rPr>
          <w:rFonts w:hint="eastAsia" w:ascii="仿宋_GB2312" w:hAnsi="仿宋" w:eastAsia="仿宋_GB2312" w:cs="仿宋"/>
          <w:sz w:val="24"/>
          <w:szCs w:val="24"/>
        </w:rPr>
        <w:t>k</w:t>
      </w:r>
      <w:r>
        <w:rPr>
          <w:rFonts w:ascii="仿宋_GB2312" w:hAnsi="仿宋" w:eastAsia="仿宋_GB2312" w:cs="仿宋"/>
          <w:sz w:val="24"/>
          <w:szCs w:val="24"/>
        </w:rPr>
        <w:t>Hz</w:t>
      </w:r>
      <w:r>
        <w:rPr>
          <w:rFonts w:hint="eastAsia" w:ascii="仿宋_GB2312" w:hAnsi="仿宋" w:eastAsia="仿宋_GB2312" w:cs="仿宋"/>
          <w:sz w:val="24"/>
          <w:szCs w:val="24"/>
        </w:rPr>
        <w:t>，每导联。</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3.3 灵敏度选择：</w:t>
      </w:r>
      <w:r>
        <w:rPr>
          <w:rFonts w:ascii="仿宋_GB2312" w:hAnsi="仿宋" w:eastAsia="仿宋_GB2312" w:cs="仿宋"/>
          <w:sz w:val="24"/>
          <w:szCs w:val="24"/>
        </w:rPr>
        <w:t>1.25</w:t>
      </w:r>
      <w:r>
        <w:rPr>
          <w:rFonts w:hint="eastAsia" w:ascii="仿宋_GB2312" w:hAnsi="仿宋" w:eastAsia="仿宋_GB2312" w:cs="仿宋"/>
          <w:sz w:val="24"/>
          <w:szCs w:val="24"/>
        </w:rPr>
        <w:t>、2.5、</w:t>
      </w:r>
      <w:r>
        <w:rPr>
          <w:rFonts w:ascii="仿宋_GB2312" w:hAnsi="仿宋" w:eastAsia="仿宋_GB2312" w:cs="仿宋"/>
          <w:sz w:val="24"/>
          <w:szCs w:val="24"/>
        </w:rPr>
        <w:t>5</w:t>
      </w:r>
      <w:r>
        <w:rPr>
          <w:rFonts w:hint="eastAsia" w:ascii="仿宋_GB2312" w:hAnsi="仿宋" w:eastAsia="仿宋_GB2312" w:cs="仿宋"/>
          <w:sz w:val="24"/>
          <w:szCs w:val="24"/>
        </w:rPr>
        <w:t>、</w:t>
      </w:r>
      <w:r>
        <w:rPr>
          <w:rFonts w:ascii="仿宋_GB2312" w:hAnsi="仿宋" w:eastAsia="仿宋_GB2312" w:cs="仿宋"/>
          <w:sz w:val="24"/>
          <w:szCs w:val="24"/>
        </w:rPr>
        <w:t>10</w:t>
      </w:r>
      <w:r>
        <w:rPr>
          <w:rFonts w:hint="eastAsia" w:ascii="仿宋_GB2312" w:hAnsi="仿宋" w:eastAsia="仿宋_GB2312" w:cs="仿宋"/>
          <w:sz w:val="24"/>
          <w:szCs w:val="24"/>
        </w:rPr>
        <w:t>、</w:t>
      </w:r>
      <w:r>
        <w:rPr>
          <w:rFonts w:ascii="仿宋_GB2312" w:hAnsi="仿宋" w:eastAsia="仿宋_GB2312" w:cs="仿宋"/>
          <w:sz w:val="24"/>
          <w:szCs w:val="24"/>
        </w:rPr>
        <w:t>20</w:t>
      </w:r>
      <w:r>
        <w:rPr>
          <w:rFonts w:hint="eastAsia" w:ascii="仿宋_GB2312" w:hAnsi="仿宋" w:eastAsia="仿宋_GB2312" w:cs="仿宋"/>
          <w:sz w:val="24"/>
          <w:szCs w:val="24"/>
        </w:rPr>
        <w:t>、10/5、自动（AGC</w:t>
      </w:r>
      <w:r>
        <w:rPr>
          <w:rFonts w:ascii="仿宋_GB2312" w:hAnsi="仿宋" w:eastAsia="仿宋_GB2312" w:cs="仿宋"/>
          <w:sz w:val="24"/>
          <w:szCs w:val="24"/>
        </w:rPr>
        <w:t>）mm/mV</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3.4 抗干扰滤波：具有交流滤波、肌电滤波、基线漂移滤波、低通滤波功能。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3.5 自动分析功能：具有</w:t>
      </w:r>
      <w:r>
        <w:rPr>
          <w:rFonts w:ascii="仿宋_GB2312" w:hAnsi="仿宋" w:eastAsia="仿宋_GB2312" w:cs="仿宋"/>
          <w:sz w:val="24"/>
          <w:szCs w:val="24"/>
        </w:rPr>
        <w:t>12</w:t>
      </w:r>
      <w:r>
        <w:rPr>
          <w:rFonts w:hint="eastAsia" w:ascii="仿宋_GB2312" w:hAnsi="仿宋" w:eastAsia="仿宋_GB2312" w:cs="仿宋"/>
          <w:sz w:val="24"/>
          <w:szCs w:val="24"/>
        </w:rPr>
        <w:t>导联同步自动分析以及RR分析功能。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3.6 自诊断功能：具有设备自诊断及故障提示功能。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4.存储器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 设备内置存储器，存储病历≥800例。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4.2 数据可通过SD卡、USB口导入导出。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4.3 </w:t>
      </w:r>
      <w:r>
        <w:rPr>
          <w:rFonts w:ascii="仿宋_GB2312" w:hAnsi="仿宋" w:eastAsia="仿宋_GB2312" w:cs="仿宋"/>
          <w:sz w:val="24"/>
          <w:szCs w:val="24"/>
        </w:rPr>
        <w:t>支持外接U盘和SD卡可扩展存储空间</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5.显示器：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5.1 ≥7英寸彩色液晶显示屏（可选配触摸屏），倾斜角设计，支持显示背景网格。</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5.2 显示信息：同屏显示12导同步心电波形。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5.3 显示内容至少包含波形、心率、导联、走纸速度、增益、滤波器、时间、电池电量指示、输入法、文件、信息提示区、中文患者信息等。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6.记录器：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6.1 热敏式点阵打印机。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6.2 走纸速度：5、6.25、10、12.5、</w:t>
      </w:r>
      <w:r>
        <w:rPr>
          <w:rFonts w:ascii="仿宋_GB2312" w:hAnsi="仿宋" w:eastAsia="仿宋_GB2312" w:cs="仿宋"/>
          <w:sz w:val="24"/>
          <w:szCs w:val="24"/>
        </w:rPr>
        <w:t>25</w:t>
      </w:r>
      <w:r>
        <w:rPr>
          <w:rFonts w:hint="eastAsia" w:ascii="仿宋_GB2312" w:hAnsi="仿宋" w:eastAsia="仿宋_GB2312" w:cs="仿宋"/>
          <w:sz w:val="24"/>
          <w:szCs w:val="24"/>
        </w:rPr>
        <w:t>、</w:t>
      </w:r>
      <w:r>
        <w:rPr>
          <w:rFonts w:ascii="仿宋_GB2312" w:hAnsi="仿宋" w:eastAsia="仿宋_GB2312" w:cs="仿宋"/>
          <w:sz w:val="24"/>
          <w:szCs w:val="24"/>
        </w:rPr>
        <w:t xml:space="preserve">50 mm/s </w:t>
      </w:r>
      <w:r>
        <w:rPr>
          <w:rFonts w:hint="eastAsia" w:ascii="仿宋_GB2312" w:hAnsi="仿宋" w:eastAsia="仿宋_GB2312" w:cs="仿宋"/>
          <w:sz w:val="24"/>
          <w:szCs w:val="24"/>
        </w:rPr>
        <w:t>（</w:t>
      </w:r>
      <w:r>
        <w:rPr>
          <w:rFonts w:ascii="仿宋_GB2312" w:hAnsi="仿宋" w:eastAsia="仿宋_GB2312" w:cs="仿宋"/>
          <w:sz w:val="24"/>
          <w:szCs w:val="24"/>
        </w:rPr>
        <w:t>±3%</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6.3 记录通道：3×4、3×4+1</w:t>
      </w:r>
      <w:r>
        <w:rPr>
          <w:rFonts w:ascii="仿宋_GB2312" w:hAnsi="仿宋" w:eastAsia="仿宋_GB2312" w:cs="仿宋"/>
          <w:sz w:val="24"/>
          <w:szCs w:val="24"/>
        </w:rPr>
        <w:t>R</w:t>
      </w:r>
      <w:r>
        <w:rPr>
          <w:rFonts w:hint="eastAsia" w:ascii="仿宋_GB2312" w:hAnsi="仿宋" w:eastAsia="仿宋_GB2312" w:cs="仿宋"/>
          <w:sz w:val="24"/>
          <w:szCs w:val="24"/>
        </w:rPr>
        <w:t>、3×4+3</w:t>
      </w:r>
      <w:r>
        <w:rPr>
          <w:rFonts w:ascii="仿宋_GB2312" w:hAnsi="仿宋" w:eastAsia="仿宋_GB2312" w:cs="仿宋"/>
          <w:sz w:val="24"/>
          <w:szCs w:val="24"/>
        </w:rPr>
        <w:t>R</w:t>
      </w:r>
      <w:r>
        <w:rPr>
          <w:rFonts w:hint="eastAsia" w:ascii="仿宋_GB2312" w:hAnsi="仿宋" w:eastAsia="仿宋_GB2312" w:cs="仿宋"/>
          <w:sz w:val="24"/>
          <w:szCs w:val="24"/>
        </w:rPr>
        <w:t>、6×2、6×2+1</w:t>
      </w:r>
      <w:r>
        <w:rPr>
          <w:rFonts w:ascii="仿宋_GB2312" w:hAnsi="仿宋" w:eastAsia="仿宋_GB2312" w:cs="仿宋"/>
          <w:sz w:val="24"/>
          <w:szCs w:val="24"/>
        </w:rPr>
        <w:t>R</w:t>
      </w:r>
      <w:r>
        <w:rPr>
          <w:rFonts w:hint="eastAsia" w:ascii="仿宋_GB2312" w:hAnsi="仿宋" w:eastAsia="仿宋_GB2312" w:cs="仿宋"/>
          <w:sz w:val="24"/>
          <w:szCs w:val="24"/>
        </w:rPr>
        <w:t xml:space="preserve">、12×1。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7.1 具有性别、年龄组快速切换键。</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7.2 可准确判定接触不良的电极并予以指示。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7.3 具有自动测量功能和自动诊断功能。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7.4 手动、自动、节律、</w:t>
      </w:r>
      <w:r>
        <w:rPr>
          <w:rFonts w:ascii="仿宋_GB2312" w:hAnsi="仿宋" w:eastAsia="仿宋_GB2312" w:cs="仿宋"/>
          <w:sz w:val="24"/>
          <w:szCs w:val="24"/>
        </w:rPr>
        <w:t>R-R</w:t>
      </w:r>
      <w:r>
        <w:rPr>
          <w:rFonts w:hint="eastAsia" w:ascii="仿宋_GB2312" w:hAnsi="仿宋" w:eastAsia="仿宋_GB2312" w:cs="仿宋"/>
          <w:sz w:val="24"/>
          <w:szCs w:val="24"/>
        </w:rPr>
        <w:t>四种工作模式可供选择。</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7.5 自动模式下可以支持10-60s时间的采集，记录，存储，传输。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7.6 支持实时采样、触发采样、周期采样模式，支持心律失常检测自动延时打印报告。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7.7 具有长时间波形冻结功能，方便医生对所需区间的波形进行更好的观察、分析、并选择所需要的时间段进行记录。</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7.8 具有病历管理功能，可进行病历查询、预览、修改、传输、打印，方便医生调阅病人信息。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8.外部输入接口：至少包括USB接口、网络接口、</w:t>
      </w:r>
      <w:r>
        <w:rPr>
          <w:rFonts w:ascii="仿宋_GB2312" w:hAnsi="仿宋" w:eastAsia="仿宋_GB2312" w:cs="仿宋"/>
          <w:sz w:val="24"/>
          <w:szCs w:val="24"/>
        </w:rPr>
        <w:t>外部输入输出端口</w:t>
      </w:r>
      <w:r>
        <w:rPr>
          <w:rFonts w:hint="eastAsia" w:ascii="仿宋_GB2312" w:hAnsi="仿宋" w:eastAsia="仿宋_GB2312" w:cs="仿宋"/>
          <w:sz w:val="24"/>
          <w:szCs w:val="24"/>
        </w:rPr>
        <w:t>、SD卡接口。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9.具有外部隐藏式提手。</w:t>
      </w:r>
    </w:p>
    <w:p>
      <w:pPr>
        <w:spacing w:line="42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10.电源：交直流两用，自动转换；交流电源：交流</w:t>
      </w:r>
      <w:r>
        <w:rPr>
          <w:rFonts w:ascii="仿宋_GB2312" w:hAnsi="仿宋" w:eastAsia="仿宋_GB2312" w:cs="仿宋"/>
          <w:sz w:val="24"/>
          <w:szCs w:val="24"/>
        </w:rPr>
        <w:t xml:space="preserve"> </w:t>
      </w:r>
      <w:r>
        <w:rPr>
          <w:rFonts w:hint="eastAsia" w:ascii="仿宋_GB2312" w:hAnsi="仿宋" w:eastAsia="仿宋_GB2312" w:cs="仿宋"/>
          <w:sz w:val="24"/>
          <w:szCs w:val="24"/>
        </w:rPr>
        <w:t>100</w:t>
      </w:r>
      <w:r>
        <w:rPr>
          <w:rFonts w:ascii="仿宋_GB2312" w:hAnsi="仿宋" w:eastAsia="仿宋_GB2312" w:cs="仿宋"/>
          <w:sz w:val="24"/>
          <w:szCs w:val="24"/>
        </w:rPr>
        <w:t>V</w:t>
      </w:r>
      <w:r>
        <w:rPr>
          <w:rFonts w:hint="eastAsia" w:ascii="仿宋_GB2312" w:hAnsi="仿宋" w:eastAsia="仿宋_GB2312" w:cs="仿宋"/>
          <w:sz w:val="24"/>
          <w:szCs w:val="24"/>
        </w:rPr>
        <w:t>-240V，</w:t>
      </w:r>
      <w:r>
        <w:rPr>
          <w:rFonts w:ascii="仿宋_GB2312" w:hAnsi="仿宋" w:eastAsia="仿宋_GB2312" w:cs="仿宋"/>
          <w:sz w:val="24"/>
          <w:szCs w:val="24"/>
        </w:rPr>
        <w:t>50Hz</w:t>
      </w:r>
      <w:r>
        <w:rPr>
          <w:rFonts w:hint="eastAsia" w:ascii="仿宋_GB2312" w:hAnsi="仿宋" w:eastAsia="仿宋_GB2312" w:cs="仿宋"/>
          <w:sz w:val="24"/>
          <w:szCs w:val="24"/>
        </w:rPr>
        <w:t xml:space="preserve">/60Hz； 直流电源：内置可充电锂离子电池，充足后可正常工作时间4小时以上。 </w:t>
      </w:r>
    </w:p>
    <w:p>
      <w:pPr>
        <w:pStyle w:val="2"/>
        <w:rPr>
          <w:rFonts w:hint="eastAsia"/>
        </w:rPr>
      </w:pPr>
    </w:p>
    <w:p/>
    <w:p>
      <w:pPr>
        <w:jc w:val="left"/>
        <w:rPr>
          <w:rFonts w:ascii="方正小标宋简体" w:eastAsia="方正小标宋简体"/>
          <w:b/>
          <w:sz w:val="28"/>
          <w:szCs w:val="28"/>
        </w:rPr>
      </w:pPr>
      <w:r>
        <w:rPr>
          <w:rFonts w:hint="eastAsia" w:ascii="方正小标宋简体" w:eastAsia="方正小标宋简体"/>
          <w:b/>
          <w:sz w:val="28"/>
          <w:szCs w:val="28"/>
        </w:rPr>
        <w:t>包3</w:t>
      </w:r>
    </w:p>
    <w:tbl>
      <w:tblPr>
        <w:tblStyle w:val="47"/>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3045"/>
        <w:gridCol w:w="1076"/>
        <w:gridCol w:w="1146"/>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序号</w:t>
            </w:r>
          </w:p>
        </w:tc>
        <w:tc>
          <w:tcPr>
            <w:tcW w:w="3045"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设备名称</w:t>
            </w:r>
          </w:p>
        </w:tc>
        <w:tc>
          <w:tcPr>
            <w:tcW w:w="10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w:t>
            </w:r>
          </w:p>
        </w:tc>
        <w:tc>
          <w:tcPr>
            <w:tcW w:w="114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单位</w:t>
            </w:r>
          </w:p>
        </w:tc>
        <w:tc>
          <w:tcPr>
            <w:tcW w:w="3409"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电子阴道镜</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2</w:t>
            </w:r>
          </w:p>
        </w:tc>
        <w:tc>
          <w:tcPr>
            <w:tcW w:w="3045"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空气波治疗仪</w:t>
            </w:r>
          </w:p>
        </w:tc>
        <w:tc>
          <w:tcPr>
            <w:tcW w:w="107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3</w:t>
            </w:r>
          </w:p>
        </w:tc>
        <w:tc>
          <w:tcPr>
            <w:tcW w:w="114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00" w:lineRule="exact"/>
              <w:rPr>
                <w:rFonts w:ascii="仿宋_GB2312" w:eastAsia="仿宋_GB2312"/>
                <w:sz w:val="24"/>
                <w:szCs w:val="24"/>
              </w:rPr>
            </w:pPr>
            <w:r>
              <w:rPr>
                <w:rFonts w:hint="eastAsia" w:ascii="仿宋_GB2312" w:eastAsia="仿宋_GB2312"/>
                <w:sz w:val="24"/>
                <w:szCs w:val="24"/>
              </w:rPr>
              <w:t>ICU、妇产科、针灸科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3</w:t>
            </w:r>
          </w:p>
        </w:tc>
        <w:tc>
          <w:tcPr>
            <w:tcW w:w="3045"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气囊压力表</w:t>
            </w:r>
          </w:p>
        </w:tc>
        <w:tc>
          <w:tcPr>
            <w:tcW w:w="107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个</w:t>
            </w:r>
          </w:p>
        </w:tc>
        <w:tc>
          <w:tcPr>
            <w:tcW w:w="3409"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ICU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4</w:t>
            </w:r>
          </w:p>
        </w:tc>
        <w:tc>
          <w:tcPr>
            <w:tcW w:w="3045"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高级分娩综合技能训练模型</w:t>
            </w:r>
          </w:p>
        </w:tc>
        <w:tc>
          <w:tcPr>
            <w:tcW w:w="107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套</w:t>
            </w:r>
          </w:p>
        </w:tc>
        <w:tc>
          <w:tcPr>
            <w:tcW w:w="3409"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5</w:t>
            </w:r>
          </w:p>
        </w:tc>
        <w:tc>
          <w:tcPr>
            <w:tcW w:w="3045"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新生儿心肺复苏插管模型</w:t>
            </w:r>
          </w:p>
        </w:tc>
        <w:tc>
          <w:tcPr>
            <w:tcW w:w="107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套</w:t>
            </w:r>
          </w:p>
        </w:tc>
        <w:tc>
          <w:tcPr>
            <w:tcW w:w="3409"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6</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内镜送水泵</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内镜室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7</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内镜用二氧化碳送气装置</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内镜室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8</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食道扩张探条</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套</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内镜室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9</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红蓝黄光治疗仪</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10</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308纳米紫外线光疗仪</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11</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皮肤镜</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12</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半导体激光生发仪</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13</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智能熏蒸机</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14</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电脑视野检查仪</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五官科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15</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视频耳镜</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套</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五官科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16</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鼻镜、喉镜镜头</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套</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五官科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17</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中药熏蒸机</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2</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针灸科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2" w:type="dxa"/>
            <w:gridSpan w:val="2"/>
            <w:shd w:val="clear" w:color="auto" w:fill="auto"/>
            <w:vAlign w:val="center"/>
          </w:tcPr>
          <w:p>
            <w:pPr>
              <w:spacing w:line="360" w:lineRule="auto"/>
              <w:jc w:val="center"/>
              <w:rPr>
                <w:rFonts w:ascii="仿宋_GB2312" w:eastAsia="仿宋_GB2312"/>
                <w:sz w:val="24"/>
                <w:szCs w:val="24"/>
              </w:rPr>
            </w:pPr>
            <w:r>
              <w:rPr>
                <w:rFonts w:hint="eastAsia" w:ascii="仿宋_GB2312" w:eastAsia="仿宋_GB2312"/>
                <w:sz w:val="24"/>
                <w:szCs w:val="24"/>
              </w:rPr>
              <w:t>合计</w:t>
            </w:r>
          </w:p>
        </w:tc>
        <w:tc>
          <w:tcPr>
            <w:tcW w:w="107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17</w:t>
            </w:r>
          </w:p>
        </w:tc>
        <w:tc>
          <w:tcPr>
            <w:tcW w:w="1146" w:type="dxa"/>
            <w:shd w:val="clear" w:color="auto" w:fill="auto"/>
          </w:tcPr>
          <w:p>
            <w:pPr>
              <w:spacing w:line="360" w:lineRule="auto"/>
              <w:jc w:val="center"/>
              <w:rPr>
                <w:rFonts w:ascii="仿宋_GB2312" w:eastAsia="仿宋_GB2312"/>
                <w:sz w:val="24"/>
                <w:szCs w:val="24"/>
              </w:rPr>
            </w:pPr>
          </w:p>
        </w:tc>
        <w:tc>
          <w:tcPr>
            <w:tcW w:w="3409" w:type="dxa"/>
            <w:shd w:val="clear" w:color="auto" w:fill="auto"/>
          </w:tcPr>
          <w:p>
            <w:pPr>
              <w:spacing w:line="360" w:lineRule="auto"/>
              <w:rPr>
                <w:rFonts w:ascii="仿宋_GB2312" w:eastAsia="仿宋_GB2312"/>
                <w:sz w:val="24"/>
                <w:szCs w:val="24"/>
              </w:rPr>
            </w:pPr>
          </w:p>
        </w:tc>
      </w:tr>
    </w:tbl>
    <w:p>
      <w:pPr>
        <w:jc w:val="left"/>
        <w:rPr>
          <w:rFonts w:ascii="方正小标宋简体" w:eastAsia="方正小标宋简体"/>
          <w:b/>
          <w:sz w:val="28"/>
          <w:szCs w:val="28"/>
        </w:rPr>
      </w:pPr>
    </w:p>
    <w:p>
      <w:pPr>
        <w:spacing w:line="420" w:lineRule="exact"/>
        <w:jc w:val="center"/>
        <w:rPr>
          <w:b/>
          <w:bCs/>
          <w:sz w:val="36"/>
          <w:szCs w:val="36"/>
        </w:rPr>
      </w:pPr>
    </w:p>
    <w:p>
      <w:pPr>
        <w:spacing w:line="420" w:lineRule="exact"/>
        <w:jc w:val="center"/>
        <w:rPr>
          <w:b/>
          <w:bCs/>
          <w:sz w:val="36"/>
          <w:szCs w:val="36"/>
        </w:rPr>
      </w:pPr>
      <w:r>
        <w:rPr>
          <w:rFonts w:hint="eastAsia"/>
          <w:b/>
          <w:bCs/>
          <w:sz w:val="36"/>
          <w:szCs w:val="36"/>
        </w:rPr>
        <w:t>03-01 电子阴道镜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1.阴道镜镜头参数：</w:t>
      </w:r>
      <w:r>
        <w:rPr>
          <w:rFonts w:hint="eastAsia" w:ascii="仿宋_GB2312" w:hAnsi="仿宋" w:eastAsia="仿宋_GB2312" w:cs="仿宋"/>
          <w:sz w:val="24"/>
          <w:szCs w:val="24"/>
        </w:rPr>
        <w:tab/>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镜头具有连续变焦、自动聚焦和高清CMOS成像功能，输出FULL  HD 1080P信号。</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像素不低于200万。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*成像系统水平分辨率不低于1000TVL。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放大倍数支持：1～36倍（可选1～60倍）。</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 有效操作距离：150mm～350mm。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 视场范围：≥Ø100mm(3X),≥Ø15mm(18X)。</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 景深：≥150mm(3X),≥50mm(18X)。</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 空间分辨率：≥14 lp/mm。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 图像几何失真度≤1%。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1.10 亮度可调的高显色性贴片LED光源，与镜头集成一体，30cm处光源照度≥3000Lx, 光源色温：3200K～7000K。</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1.11 *光斑直径≥ Ø70mm ,照度均匀性≥80%,显色指数Ra≥90。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1.12 色彩还原最大误差≤30NBS，平均色彩还原误差≤20NBS，饱和度值95%~120%。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1.13 最大照度时辐射照度≤350 W/m2。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1.14 光源在200nm~400nm光谱范围内，最大照度时的有效紫外辐射照度≤0.008 W/m2。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1.15 有快速自动聚焦和手动聚焦功能，手动聚焦支持独立按键控制的微距调节功能。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1.16 镜头9按键扇形布局，可正常消毒清理，单手操作按键即可实现对图像观察的视野变换（放大/缩小）、可视焦距调节（手动定位聚焦+/-）、白光变色温成像（三级，包括自然光成像、暗光成像模式以及曝光补偿模式）、电子绿色滤镜成像（三级）、计时显示和图像冻结功能控制，并支持镜头手柄按键控制图像采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1.17 可通过镜头操作按键独立控制醋酸试验计时标记显示和关闭功能，醋酸计时时长可自定义设置，并可在打印报告中显示图像的醋酸反映时间标记，为检查过程提供量化评估依据，放大倍数和计时时间分布在图像一侧，减少对图像观察的影响。</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1.18 镜头手柄后方按键有定位宫颈口与采集图像两种功能，便于快速确定病变部位的位置。</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1.19 *图像采集单元提供HDMI视频输出接口。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1.20 采用全金属模具结构可升降直立式支架，镜头可调，确保其使用的稳定性，升降固定的可靠性及操作的灵敏性。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2.阴道镜工作站性能参数：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工作站功能：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 具有自动提示患者随访管理功能，医护人员可根据患者需求转入预约，让医院对高危患者进行有效的系统管理，同时患者信息的集中录入，可有效提高医生阴道镜检查的效率。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 可以提供≧4种病人信息获取方式。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2.1.3 具有病例重点关注功能，医生可根据醒目的颜色和标记快速发现需要重点关注的患者，同时提供查询功能，便于医生快速查找患者信息。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2.1.4 *能将阴道镜检查过程中所采集的图像按时间顺序同屏显示（图像数量≥12幅），并且可以通过镜头扣手按键一键操作多幅图片同屏显示，方便医生对比分析患者病变部位醋白变化和碘染色的关联。</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2.1.5 可以自定义设置粗醋白计时时间，自定义时间范围。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2.1.6 支持≧4种采图方式。具有脚踏板控制、鼠标控制或镜头扣手按键控制采图、定时自动采图、视频采集过程中采图、视频回放过程中采图的功能；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2.1.7 采图后可支持图像镜像观察。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2.1.8 自动采图时具备声音提醒功能。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2.1.9 提供≧2种方式开启计时功能。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2.1.10 支持观察检查界面两种以上显示方式，图像采集时进行全屏观察。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2.1.11 提供符合IFCPC2011和ASCCP2017的阴道镜术语和检查规范，提供阴道镜诊断术语及参考图谱，并可与当前检查患者检查图像对比显示在同一界面，方便对比参考，辅助检查医生做出准确判断。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2.1.12 系统图像采集方式可以支持保存bmp,jpg 2种图像格式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2.1.13 在观察检查界面中可快速查找患者历史资料，便于医生对比分析、追溯患者的检查与治疗过程。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2.1.14 具有定时自动采图功能，给出临床检查流自动提示信息。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2.1.15 具有视频采集功能，能够在检查或手术过程中进行录像，并且对视频进行回放，回放过程中支持再次采集图像。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2.1.16 图像处理功能：可以对图像进行注释、标注，图像亮度、对比度可调；可对病变部位的面积、长度进行测量、标注到病例中。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2.1.17 提供RCI及Swede评估方法,可通过病变边界、范围、表面轮廓、醋白上皮颜色、醋酸变化、血管形态及碘染色等维度做评分，用于评估宫颈病变的程度，并提供参考图谱，为基层医院学习掌握提供辅助。</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2.1.18 *提供R-way阴道镜诊断评估方法，具有阴道镜操作提醒及自动采图功能，量化检查流程，提供基于三种不同溶液实验结果关联“特征”的智能评估和报告系统，便于医生规范阴道镜检查流程和拟诊结果，同时简化了阴道镜检查技术的培训难度，更适合基层医院使用，提供≧50例病理确诊的病例资料供操作练习，能够提供进修培训其临床应用功能的教学医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2.1.19 具有图片导出导入功能。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2.1.20 提供临床检查过程的帮助文件。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2.1.21 *可对阴道镜检查、手术治疗进行针对性的记录和随访管理，提供≧6种打印报告模版，提交患者打印报告后系统自动生成PDF文件备份,提供邮件、DICOM等选择报告发送模式，便于医疗纠纷的追述。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2.1.22 生成报告后，在报告页面可以直接编辑报告，便于医生操作。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2.1.23 病例存储≥50000份，支持病例查找，编辑，删除，导入，导出等功能。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2.1.24 可对拟诊结果、病理结果、实验室检查结果、检查医生和开单医生的工作量等进行统计分析，统计结果可以拼图、直方图和折线图形式进行显示，并可输出到Excel表。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工作站可扩展信息化应用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2.2.1 可以识别≥2种编码格式的扫描枪。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2.2.2 具有外接身份证读取设备功能，刷身份证可以直接导入病人姓名及身份证号码功能。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2.2.3 可以支持标准HL7协议，可以方便对接HIS系统。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2.2.4 支持LDAP集成登陆，方便医院账号管理。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2.2.5 支持PDF报告发送至邮箱。</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2.2.6 *提供DICOM3.0数据交换接口，可方便与医院PACS系统互联，提供的服务包括：DICOM worklist, DICOM verify, DICOM storage。</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2.2.7 具有功能模块自定义功能：医生可以根据操作习惯，自定义软件操作工作流。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3.工作站数据库：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3.1 提供≧两类国际专业术语数据库。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3.2 提供临床病理参考图谱,数据库包括至少十种临床病症现象的标准参考图谱。</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3.3提供数百张张病理确诊的病例资料数据图库。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3.4 *提供≥70例病理确诊的病例资料供操作练习，可提供进修培训其临床应用功能的教学医院；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3.5 *提供≥3种的评估方法。</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4.工作站网络应用功能：</w:t>
      </w:r>
      <w:r>
        <w:rPr>
          <w:rFonts w:hint="eastAsia" w:ascii="仿宋_GB2312" w:hAnsi="仿宋" w:eastAsia="仿宋_GB2312" w:cs="仿宋"/>
          <w:sz w:val="24"/>
          <w:szCs w:val="24"/>
        </w:rPr>
        <w:tab/>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 支持局网和广域网两种组网方式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4.2 基于患者为中心的网络数据库系统，对不同阴道镜检查的数据进行统一管理。对患者的阴道镜转诊检查指征、所有的历史病例、诊断术语等进行规范化管理，保证患者数据的一致性。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4.3 支持护士工作站、医生工作站和阴道镜工作站互联构成门诊应用网络，提供四级用户权限管理（主任、医生、护士及系统管理者）。</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4.4 具有广域网连接功能，能够与电子阴道镜数据管理系统联网，便于宫颈门诊中心或区域性子宫颈癌早诊早治质控中心更好的开展网络化应用和质控管理，提高管理效率，提升临床诊疗与随访管理的服务质量。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4.5 转诊信息和病理结果信息综合管理网络化应用，方便门诊业务的统计分析。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4.6 阴道镜病人信息、图片信息不管是局域网还是广域网连接方式，都支持实时上传。</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4.7 为确保网络阴道镜系统使用的安全性及可靠性，在断网情况下，阴道镜也能支持单机运行，网络连通后单机阴道镜能自动恢复与服务器数据同步。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4.8 提供数据信息的自动备份与恢复功能。</w:t>
      </w:r>
    </w:p>
    <w:p>
      <w:pPr>
        <w:spacing w:line="420" w:lineRule="exact"/>
        <w:ind w:firstLine="480" w:firstLineChars="200"/>
        <w:rPr>
          <w:color w:val="000000"/>
          <w:sz w:val="24"/>
          <w:szCs w:val="24"/>
        </w:rPr>
      </w:pPr>
      <w:r>
        <w:rPr>
          <w:rFonts w:hint="eastAsia" w:ascii="仿宋_GB2312" w:hAnsi="仿宋" w:eastAsia="仿宋_GB2312" w:cs="仿宋"/>
          <w:sz w:val="24"/>
          <w:szCs w:val="24"/>
        </w:rPr>
        <w:t>4.9 支持联网叫号系统，便于对阴道镜检查患者的分流处理，提高工作效率。</w:t>
      </w:r>
    </w:p>
    <w:p>
      <w:pPr>
        <w:spacing w:line="420" w:lineRule="exact"/>
        <w:jc w:val="center"/>
        <w:rPr>
          <w:b/>
          <w:bCs/>
          <w:sz w:val="36"/>
          <w:szCs w:val="36"/>
        </w:rPr>
      </w:pPr>
    </w:p>
    <w:p>
      <w:pPr>
        <w:jc w:val="center"/>
        <w:rPr>
          <w:b/>
          <w:bCs/>
          <w:sz w:val="36"/>
          <w:szCs w:val="36"/>
        </w:rPr>
      </w:pPr>
      <w:r>
        <w:rPr>
          <w:rFonts w:hint="eastAsia"/>
          <w:b/>
          <w:bCs/>
          <w:sz w:val="36"/>
          <w:szCs w:val="36"/>
        </w:rPr>
        <w:t>03-02 空气波</w:t>
      </w:r>
      <w:r>
        <w:rPr>
          <w:b/>
          <w:bCs/>
          <w:sz w:val="36"/>
          <w:szCs w:val="36"/>
        </w:rPr>
        <w:t>治疗仪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1.柜式一体机，可同时使用两个八腔气囊。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2.*液晶触摸屏加旋转编码器操作。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3.时间设定功能时间范围为0～60min，步长1min。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4.*生物波功能：≥四组生物波输出，输出模式至少包含连续波、正弦波和方波三种模式，脉冲频率1Hz～99Hz连续可调，步长1Hz，脉冲宽度≥500μs。</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5.充气模式：至少八种基础充气模式，可任意组合治疗。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6.治疗仪压力范围：5～25kPa可调。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7.极限压强≤40kPa，且超过2kPa的持续时间≥3min。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8.过压保护：治疗仪具有过压保护措施。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9.*手动释压器：治疗仪提供在各种状态下手动解除患者压强的措施。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10.连接：连接管路有防止接错的装置或标识。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11.工作噪声：治疗仪正常工作时的噪声≤70dB。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12.每个部位至少6个压力点。</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03-03 气囊压力表</w:t>
      </w:r>
    </w:p>
    <w:p>
      <w:pPr>
        <w:spacing w:line="360" w:lineRule="auto"/>
        <w:rPr>
          <w:rFonts w:ascii="宋体" w:hAnsi="宋体"/>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1.气囊压力表和配件用于给各种气管插管、气管切开插管、双腔支气管插管等的高容量低压气管插管充气、放气及压力检测。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2、气囊压力表由压力表(表盘及面板保护圈组成)、充气手柄组成，配置有附件（延长管）1根。</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3、气囊压力表为弹簧管机械指针式压力表。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4、连接管为PVC材料，面板保护圈为橡胶材料。</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5、具有抽气功能，可将气囊内气体抽出（拔管时使用）。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6、VBM气囊测压表后面有独特设计挂钩.可将其挂置于各类围栏、架子上。</w:t>
      </w:r>
    </w:p>
    <w:p>
      <w:pPr>
        <w:spacing w:line="420" w:lineRule="exact"/>
        <w:jc w:val="center"/>
        <w:rPr>
          <w:rFonts w:hint="eastAsia"/>
          <w:b/>
          <w:bCs/>
          <w:sz w:val="36"/>
          <w:szCs w:val="36"/>
        </w:rPr>
      </w:pPr>
    </w:p>
    <w:p>
      <w:pPr>
        <w:spacing w:line="420" w:lineRule="exact"/>
        <w:jc w:val="center"/>
        <w:rPr>
          <w:rFonts w:ascii="仿宋_GB2312" w:hAnsi="仿宋" w:eastAsia="仿宋_GB2312" w:cs="仿宋"/>
          <w:sz w:val="24"/>
          <w:szCs w:val="24"/>
        </w:rPr>
      </w:pPr>
      <w:r>
        <w:rPr>
          <w:rFonts w:hint="eastAsia"/>
          <w:b/>
          <w:bCs/>
          <w:sz w:val="36"/>
          <w:szCs w:val="36"/>
        </w:rPr>
        <w:t>03-04 高级分娩综合技能训练模型</w:t>
      </w:r>
      <w:r>
        <w:rPr>
          <w:rFonts w:hint="eastAsia"/>
          <w:b/>
          <w:bCs/>
          <w:sz w:val="36"/>
          <w:szCs w:val="36"/>
        </w:rPr>
        <w:cr/>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1.可进行整个分娩过程的示教。</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2.可示教胎头吸引术的胎儿、脐带及胎盘，胎儿关节灵活，可演示多种正常与异常的胎位分娩。</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3.可练习并掌握正常分娩、异常分娩（难产）、助产技巧以及会阴保护等综合技能。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4.可进行多胎妊娠（双胎）分娩操作训练。</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03-05 新生儿心肺复苏插管模型</w:t>
      </w:r>
    </w:p>
    <w:p>
      <w:pPr>
        <w:spacing w:line="420" w:lineRule="exact"/>
        <w:ind w:firstLine="480" w:firstLineChars="200"/>
        <w:rPr>
          <w:rFonts w:ascii="宋体" w:hAnsi="宋体"/>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w:t>
      </w:r>
      <w:r>
        <w:rPr>
          <w:rFonts w:hint="eastAsia" w:ascii="仿宋_GB2312" w:hAnsi="仿宋" w:eastAsia="仿宋_GB2312" w:cs="仿宋"/>
          <w:sz w:val="24"/>
          <w:szCs w:val="24"/>
        </w:rPr>
        <w:t>具有气管插管功能。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2.模拟标准气道开放。</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3.全程语音提示，音量可以调节。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4.具有人工手位胸外按压显示报警：按压位置正确，错误的指示灯显示及错误的语音提示；按压深度正确（前后径1/3处区域），错误（小于前后径1/3处或大于前后径1/3处）的指示灯显示及错误的语示提示。</w:t>
      </w:r>
      <w:r>
        <w:rPr>
          <w:rFonts w:hint="eastAsia" w:ascii="仿宋_GB2312" w:hAnsi="仿宋" w:eastAsia="仿宋_GB2312" w:cs="仿宋"/>
          <w:sz w:val="24"/>
          <w:szCs w:val="24"/>
        </w:rPr>
        <w:cr/>
      </w:r>
      <w:r>
        <w:rPr>
          <w:rFonts w:hint="eastAsia" w:ascii="仿宋_GB2312" w:hAnsi="仿宋" w:eastAsia="仿宋_GB2312" w:cs="仿宋"/>
          <w:sz w:val="24"/>
          <w:szCs w:val="24"/>
        </w:rPr>
        <w:t xml:space="preserve">    5.具有人工口对口呼吸（吹气）显示报警：吹入的潮气量＜30ml的指示灯显示及语音提示；吹入的潮气量在30ml-50ml的正确指示灯显示；吹入的潮气量过快或者超大，造成气体进入胃部指示灯显示及语音提示。</w:t>
      </w:r>
      <w:r>
        <w:rPr>
          <w:rFonts w:hint="eastAsia" w:ascii="仿宋_GB2312" w:hAnsi="仿宋" w:eastAsia="仿宋_GB2312" w:cs="仿宋"/>
          <w:sz w:val="24"/>
          <w:szCs w:val="24"/>
        </w:rPr>
        <w:cr/>
      </w:r>
      <w:r>
        <w:rPr>
          <w:rFonts w:hint="eastAsia" w:ascii="仿宋_GB2312" w:hAnsi="仿宋" w:eastAsia="仿宋_GB2312" w:cs="仿宋"/>
          <w:sz w:val="24"/>
          <w:szCs w:val="24"/>
        </w:rPr>
        <w:t xml:space="preserve">    6.按压与人工呼吸比：30：2。</w:t>
      </w:r>
      <w:r>
        <w:rPr>
          <w:rFonts w:hint="eastAsia" w:ascii="仿宋_GB2312" w:hAnsi="仿宋" w:eastAsia="仿宋_GB2312" w:cs="仿宋"/>
          <w:sz w:val="24"/>
          <w:szCs w:val="24"/>
        </w:rPr>
        <w:cr/>
      </w:r>
      <w:r>
        <w:rPr>
          <w:rFonts w:hint="eastAsia" w:ascii="仿宋_GB2312" w:hAnsi="仿宋" w:eastAsia="仿宋_GB2312" w:cs="仿宋"/>
          <w:sz w:val="24"/>
          <w:szCs w:val="24"/>
        </w:rPr>
        <w:t xml:space="preserve">    7.操作周期：按压与人工吹气30：2做五个循环周期CPR操作。</w:t>
      </w:r>
      <w:r>
        <w:rPr>
          <w:rFonts w:hint="eastAsia" w:ascii="仿宋_GB2312" w:hAnsi="仿宋" w:eastAsia="仿宋_GB2312" w:cs="仿宋"/>
          <w:sz w:val="24"/>
          <w:szCs w:val="24"/>
        </w:rPr>
        <w:cr/>
      </w:r>
      <w:r>
        <w:rPr>
          <w:rFonts w:hint="eastAsia" w:ascii="仿宋_GB2312" w:hAnsi="仿宋" w:eastAsia="仿宋_GB2312" w:cs="仿宋"/>
          <w:sz w:val="24"/>
          <w:szCs w:val="24"/>
        </w:rPr>
        <w:t xml:space="preserve">    8.操作频率：≥100次/分，（至少100、110、120次/分三档可选）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9.操作方式：训练操作。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10.检查肱动脉反映：手捏压力皮球，模拟肱动脉搏动。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11.工作状态：采用220V电源或者采用4节1号电池的直流电源状态下工作，适应野外无电源地方训练。</w:t>
      </w:r>
    </w:p>
    <w:p>
      <w:pPr>
        <w:spacing w:line="420" w:lineRule="exact"/>
        <w:jc w:val="center"/>
        <w:rPr>
          <w:rFonts w:hint="eastAsia"/>
          <w:b/>
          <w:bCs/>
          <w:sz w:val="36"/>
          <w:szCs w:val="36"/>
        </w:rPr>
      </w:pPr>
    </w:p>
    <w:p>
      <w:pPr>
        <w:pStyle w:val="2"/>
      </w:pPr>
    </w:p>
    <w:p>
      <w:pPr>
        <w:spacing w:line="420" w:lineRule="exact"/>
        <w:jc w:val="center"/>
        <w:rPr>
          <w:b/>
          <w:bCs/>
          <w:sz w:val="36"/>
          <w:szCs w:val="36"/>
        </w:rPr>
      </w:pPr>
      <w:r>
        <w:rPr>
          <w:rFonts w:hint="eastAsia"/>
          <w:b/>
          <w:bCs/>
          <w:sz w:val="36"/>
          <w:szCs w:val="36"/>
        </w:rPr>
        <w:t>03-06 内镜送水泵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1.适用液体：无菌水。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2.适用泵管内径：3.2mm～4.8mm（壁厚1.6mm）。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3.最大输出压强：≤350kPa。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4.最大输出流量：270±40ml/min（3.2mm 内径泵管）；600±60ml/min（4.8mm 内径泵管）。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5.定时时间：20S。</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6.定时精度：±3S。</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7.挂架载荷：≥2Kg。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8.能耗（额定输入功率）：100-240V～  50/60Hz 60VA。</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03-07 内镜用二氧化碳送气装置</w:t>
      </w:r>
    </w:p>
    <w:p>
      <w:pPr>
        <w:spacing w:line="420" w:lineRule="exact"/>
        <w:ind w:firstLine="480" w:firstLineChars="200"/>
        <w:rPr>
          <w:rFonts w:ascii="仿宋_GB2312" w:hAnsi="仿宋" w:eastAsia="仿宋_GB2312" w:cs="仿宋"/>
          <w:sz w:val="24"/>
          <w:szCs w:val="24"/>
        </w:rPr>
      </w:pPr>
      <w:r>
        <w:rPr>
          <w:rFonts w:hint="eastAsia" w:ascii="宋体" w:hAnsi="宋体"/>
          <w:sz w:val="24"/>
          <w:szCs w:val="24"/>
        </w:rPr>
        <w:t>1.</w:t>
      </w:r>
      <w:r>
        <w:rPr>
          <w:rFonts w:hint="eastAsia" w:ascii="仿宋_GB2312" w:hAnsi="仿宋" w:eastAsia="仿宋_GB2312" w:cs="仿宋"/>
          <w:sz w:val="24"/>
          <w:szCs w:val="24"/>
        </w:rPr>
        <w:t>适用气体：医用高纯二氧化碳气体（CO2）。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2.输入CO2气体额定压强范围：≥0.3432MPa-1.4MPa。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3.输入CO2气体压强上限报警最大值：≥1.5MPa。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4.输入CO2气体压强下限报警最小值：≤250KPa。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5.输出CO2气体额定压强：45KPa±4KPa。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6.输出CO2气体流量下限报警最小值：≤0.2L/min。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7.输出CO2气体额定流量：8.5 L/min±1 L/min。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8.输出CO2气体额定流量精度：≤±0.3 L/min。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9.输出CO2气体温度范围（辅助加热功能）：15-35℃。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10.四档定时模式可选</w:t>
      </w:r>
      <w:r>
        <w:rPr>
          <w:rFonts w:hint="eastAsia" w:ascii="仿宋_GB2312" w:hAnsi="仿宋" w:eastAsia="仿宋_GB2312" w:cs="仿宋"/>
          <w:sz w:val="24"/>
          <w:szCs w:val="24"/>
        </w:rPr>
        <w:tab/>
      </w:r>
      <w:r>
        <w:rPr>
          <w:rFonts w:hint="eastAsia" w:ascii="仿宋_GB2312" w:hAnsi="仿宋" w:eastAsia="仿宋_GB2312" w:cs="仿宋"/>
          <w:sz w:val="24"/>
          <w:szCs w:val="24"/>
        </w:rPr>
        <w:t>4种（15min，30min，60min，120min）。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11.定时精度：±10S。</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12.耗能（额定输入功率）：100-240V～50/60Hz 60VA。</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03-08 食道扩张探条</w:t>
      </w:r>
    </w:p>
    <w:p>
      <w:pPr>
        <w:spacing w:line="360" w:lineRule="auto"/>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扩张条采用医用级高分子材料制成，软硬适中。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端部圆锥顺滑，利于扩张，创伤小。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w:t>
      </w:r>
      <w:r>
        <w:rPr>
          <w:rFonts w:ascii="仿宋_GB2312" w:hAnsi="仿宋" w:eastAsia="仿宋_GB2312" w:cs="仿宋"/>
          <w:sz w:val="24"/>
          <w:szCs w:val="24"/>
        </w:rPr>
        <w:t>头端有显影环，在X射线下定位更准确。</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w:t>
      </w:r>
      <w:r>
        <w:rPr>
          <w:rFonts w:ascii="仿宋_GB2312" w:hAnsi="仿宋" w:eastAsia="仿宋_GB2312" w:cs="仿宋"/>
          <w:sz w:val="24"/>
          <w:szCs w:val="24"/>
        </w:rPr>
        <w:t>配有不锈钢超弹导丝。</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w:t>
      </w:r>
      <w:r>
        <w:rPr>
          <w:rFonts w:ascii="仿宋_GB2312" w:hAnsi="仿宋" w:eastAsia="仿宋_GB2312" w:cs="仿宋"/>
          <w:sz w:val="24"/>
          <w:szCs w:val="24"/>
        </w:rPr>
        <w:t>配有清洗孔道清洁刷。</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w:t>
      </w:r>
      <w:r>
        <w:rPr>
          <w:rFonts w:ascii="仿宋_GB2312" w:hAnsi="仿宋" w:eastAsia="仿宋_GB2312" w:cs="仿宋"/>
          <w:sz w:val="24"/>
          <w:szCs w:val="24"/>
        </w:rPr>
        <w:t>配有便携外箱，便于运输。</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03-09 红蓝黄光治疗仪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1.设备用途：</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用于轻、中度炎性痤疮红光和蓝光治疗，中、重度痤疮及囊肿性痤疮的光动力疗法、各类皮肤的嫩肤治疗、敏感性皮肤的黄光舒敏治疗、面部过敏性皮炎的治疗、抗衰嫩肤美白、淡化斑点、增加皮肤弹性。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2.技术参数：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LED光源芯片，输出稳定，光源使用寿命</w:t>
      </w:r>
      <w:r>
        <w:rPr>
          <w:rFonts w:ascii="仿宋_GB2312" w:hAnsi="仿宋" w:eastAsia="仿宋_GB2312" w:cs="仿宋"/>
          <w:sz w:val="24"/>
          <w:szCs w:val="24"/>
        </w:rPr>
        <w:t>≥</w:t>
      </w:r>
      <w:r>
        <w:rPr>
          <w:rFonts w:hint="eastAsia" w:ascii="仿宋_GB2312" w:hAnsi="仿宋" w:eastAsia="仿宋_GB2312" w:cs="仿宋"/>
          <w:sz w:val="24"/>
          <w:szCs w:val="24"/>
        </w:rPr>
        <w:t>30000小时。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光源输出强度高，见效快，疗程短，不良反应小。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蓝光峰值≥415nm，红光峰值≥633nm，黄光</w:t>
      </w:r>
      <w:r>
        <w:rPr>
          <w:rFonts w:ascii="仿宋_GB2312" w:hAnsi="仿宋" w:eastAsia="仿宋_GB2312" w:cs="仿宋"/>
          <w:sz w:val="24"/>
          <w:szCs w:val="24"/>
        </w:rPr>
        <w:t>峰值</w:t>
      </w:r>
      <w:r>
        <w:rPr>
          <w:rFonts w:hint="eastAsia" w:ascii="仿宋_GB2312" w:hAnsi="仿宋" w:eastAsia="仿宋_GB2312" w:cs="仿宋"/>
          <w:sz w:val="24"/>
          <w:szCs w:val="24"/>
        </w:rPr>
        <w:t>≥590</w:t>
      </w:r>
      <w:r>
        <w:rPr>
          <w:rFonts w:ascii="仿宋_GB2312" w:hAnsi="仿宋" w:eastAsia="仿宋_GB2312" w:cs="仿宋"/>
          <w:sz w:val="24"/>
          <w:szCs w:val="24"/>
        </w:rPr>
        <w:t>nm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 光源设计选用“广角密布型”光源阵列，输出强度均匀，并可在患者舒适的治疗距离范围内保证足够强度。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 采用“恒流并联式”光源阵列模组，可靠性高，不会因为单颗芯片的缺陷导致整列LED光源或整个LED集成模块损坏。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 光源辐照面积大，采用可包围可伸展的五幅光源模块设计，可以根据治疗部位灵活调整。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 辐照器可以根据治疗需要灵活的上下左右调整、旋转，患者可在坐卧等多种方式下完成治疗。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 治疗方式上至少有连续治疗和脉冲治疗2种模式可选。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 配置≥8英寸高清真彩触摸式显示屏，图形化操作界面。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2.10 操控系统具有自我记忆和预存储模式。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 辐照强度可调模式，适合各种治疗方案。</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 *峰值波段（nm）：蓝光：</w:t>
      </w:r>
      <w:r>
        <w:rPr>
          <w:rFonts w:ascii="仿宋_GB2312" w:hAnsi="仿宋" w:eastAsia="仿宋_GB2312" w:cs="仿宋"/>
          <w:sz w:val="24"/>
          <w:szCs w:val="24"/>
        </w:rPr>
        <w:t>415nm±10nm；</w:t>
      </w:r>
      <w:r>
        <w:rPr>
          <w:rFonts w:hint="eastAsia" w:ascii="仿宋_GB2312" w:hAnsi="仿宋" w:eastAsia="仿宋_GB2312" w:cs="仿宋"/>
          <w:sz w:val="24"/>
          <w:szCs w:val="24"/>
        </w:rPr>
        <w:t>红光：</w:t>
      </w:r>
      <w:r>
        <w:rPr>
          <w:rFonts w:ascii="仿宋_GB2312" w:hAnsi="仿宋" w:eastAsia="仿宋_GB2312" w:cs="仿宋"/>
          <w:sz w:val="24"/>
          <w:szCs w:val="24"/>
        </w:rPr>
        <w:t>63</w:t>
      </w:r>
      <w:r>
        <w:rPr>
          <w:rFonts w:hint="eastAsia" w:ascii="仿宋_GB2312" w:hAnsi="仿宋" w:eastAsia="仿宋_GB2312" w:cs="仿宋"/>
          <w:sz w:val="24"/>
          <w:szCs w:val="24"/>
        </w:rPr>
        <w:t>3</w:t>
      </w:r>
      <w:r>
        <w:rPr>
          <w:rFonts w:ascii="仿宋_GB2312" w:hAnsi="仿宋" w:eastAsia="仿宋_GB2312" w:cs="仿宋"/>
          <w:sz w:val="24"/>
          <w:szCs w:val="24"/>
        </w:rPr>
        <w:t>nm±10nm；</w:t>
      </w:r>
      <w:r>
        <w:rPr>
          <w:rFonts w:hint="eastAsia" w:ascii="仿宋_GB2312" w:hAnsi="仿宋" w:eastAsia="仿宋_GB2312" w:cs="仿宋"/>
          <w:sz w:val="24"/>
          <w:szCs w:val="24"/>
        </w:rPr>
        <w:t>黄光</w:t>
      </w:r>
      <w:r>
        <w:rPr>
          <w:rFonts w:ascii="仿宋_GB2312" w:hAnsi="仿宋" w:eastAsia="仿宋_GB2312" w:cs="仿宋"/>
          <w:sz w:val="24"/>
          <w:szCs w:val="24"/>
        </w:rPr>
        <w:t>：</w:t>
      </w:r>
      <w:r>
        <w:rPr>
          <w:rFonts w:hint="eastAsia" w:ascii="仿宋_GB2312" w:hAnsi="仿宋" w:eastAsia="仿宋_GB2312" w:cs="仿宋"/>
          <w:sz w:val="24"/>
          <w:szCs w:val="24"/>
        </w:rPr>
        <w:t>590</w:t>
      </w:r>
      <w:r>
        <w:rPr>
          <w:rFonts w:ascii="仿宋_GB2312" w:hAnsi="仿宋" w:eastAsia="仿宋_GB2312" w:cs="仿宋"/>
          <w:sz w:val="24"/>
          <w:szCs w:val="24"/>
        </w:rPr>
        <w:t xml:space="preserve"> nm±10nm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2.13 *光源类型：LED红光/LED蓝光/LED黄光。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2.14 *辐照强度（</w:t>
      </w:r>
      <w:r>
        <w:rPr>
          <w:rFonts w:ascii="仿宋_GB2312" w:hAnsi="仿宋" w:eastAsia="仿宋_GB2312" w:cs="仿宋"/>
          <w:sz w:val="24"/>
          <w:szCs w:val="24"/>
        </w:rPr>
        <w:t>mw/cm²）：蓝光: 67</w:t>
      </w:r>
      <w:r>
        <w:rPr>
          <w:rFonts w:hint="eastAsia" w:ascii="仿宋_GB2312" w:hAnsi="仿宋" w:eastAsia="仿宋_GB2312" w:cs="仿宋"/>
          <w:sz w:val="24"/>
          <w:szCs w:val="24"/>
        </w:rPr>
        <w:t>～</w:t>
      </w:r>
      <w:r>
        <w:rPr>
          <w:rFonts w:ascii="仿宋_GB2312" w:hAnsi="仿宋" w:eastAsia="仿宋_GB2312" w:cs="仿宋"/>
          <w:sz w:val="24"/>
          <w:szCs w:val="24"/>
        </w:rPr>
        <w:t>208，红光:25</w:t>
      </w:r>
      <w:r>
        <w:rPr>
          <w:rFonts w:hint="eastAsia" w:ascii="仿宋_GB2312" w:hAnsi="仿宋" w:eastAsia="仿宋_GB2312" w:cs="仿宋"/>
          <w:sz w:val="24"/>
          <w:szCs w:val="24"/>
        </w:rPr>
        <w:t>～</w:t>
      </w:r>
      <w:r>
        <w:rPr>
          <w:rFonts w:ascii="仿宋_GB2312" w:hAnsi="仿宋" w:eastAsia="仿宋_GB2312" w:cs="仿宋"/>
          <w:sz w:val="24"/>
          <w:szCs w:val="24"/>
        </w:rPr>
        <w:t>95</w:t>
      </w:r>
      <w:r>
        <w:rPr>
          <w:rFonts w:hint="eastAsia" w:ascii="仿宋_GB2312" w:hAnsi="仿宋" w:eastAsia="仿宋_GB2312" w:cs="仿宋"/>
          <w:sz w:val="24"/>
          <w:szCs w:val="24"/>
        </w:rPr>
        <w:t>；黄光：16～52。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2.15 辐照面积（长×宽，mm）：≥410×160。</w:t>
      </w:r>
    </w:p>
    <w:p>
      <w:pPr>
        <w:spacing w:line="420" w:lineRule="exact"/>
        <w:ind w:firstLine="480" w:firstLineChars="200"/>
        <w:rPr>
          <w:rFonts w:ascii="仿宋_GB2312" w:hAnsi="仿宋" w:eastAsia="仿宋_GB2312" w:cs="仿宋"/>
          <w:color w:val="000000"/>
          <w:sz w:val="24"/>
          <w:szCs w:val="24"/>
        </w:rPr>
      </w:pPr>
      <w:r>
        <w:rPr>
          <w:rFonts w:hint="eastAsia" w:ascii="仿宋_GB2312" w:hAnsi="仿宋" w:eastAsia="仿宋_GB2312" w:cs="仿宋"/>
          <w:color w:val="000000"/>
          <w:sz w:val="24"/>
          <w:szCs w:val="24"/>
        </w:rPr>
        <w:t>2.16 交流电压： 220</w:t>
      </w:r>
      <w:r>
        <w:rPr>
          <w:rFonts w:ascii="仿宋_GB2312" w:hAnsi="仿宋" w:eastAsia="仿宋_GB2312" w:cs="仿宋"/>
          <w:color w:val="000000"/>
          <w:sz w:val="24"/>
          <w:szCs w:val="24"/>
        </w:rPr>
        <w:t xml:space="preserve"> V</w:t>
      </w:r>
      <w:r>
        <w:rPr>
          <w:rFonts w:hint="eastAsia" w:ascii="仿宋_GB2312" w:hAnsi="仿宋" w:eastAsia="仿宋_GB2312" w:cs="仿宋"/>
          <w:color w:val="000000"/>
          <w:sz w:val="24"/>
          <w:szCs w:val="24"/>
        </w:rPr>
        <w:t>±22</w:t>
      </w:r>
      <w:r>
        <w:rPr>
          <w:rFonts w:ascii="仿宋_GB2312" w:hAnsi="仿宋" w:eastAsia="仿宋_GB2312" w:cs="仿宋"/>
          <w:color w:val="000000"/>
          <w:sz w:val="24"/>
          <w:szCs w:val="24"/>
        </w:rPr>
        <w:t xml:space="preserve"> V</w:t>
      </w:r>
      <w:r>
        <w:rPr>
          <w:rFonts w:hint="eastAsia" w:ascii="仿宋_GB2312" w:hAnsi="仿宋" w:eastAsia="仿宋_GB2312" w:cs="仿宋"/>
          <w:color w:val="000000"/>
          <w:sz w:val="24"/>
          <w:szCs w:val="24"/>
        </w:rPr>
        <w:t>。</w:t>
      </w:r>
    </w:p>
    <w:p>
      <w:pPr>
        <w:spacing w:line="420" w:lineRule="exact"/>
        <w:ind w:firstLine="480" w:firstLineChars="200"/>
        <w:rPr>
          <w:rFonts w:ascii="仿宋_GB2312" w:hAnsi="仿宋" w:eastAsia="仿宋_GB2312" w:cs="仿宋"/>
          <w:color w:val="000000"/>
          <w:sz w:val="24"/>
          <w:szCs w:val="24"/>
        </w:rPr>
      </w:pPr>
      <w:r>
        <w:rPr>
          <w:rFonts w:hint="eastAsia" w:ascii="仿宋_GB2312" w:hAnsi="仿宋" w:eastAsia="仿宋_GB2312" w:cs="仿宋"/>
          <w:color w:val="000000"/>
          <w:sz w:val="24"/>
          <w:szCs w:val="24"/>
        </w:rPr>
        <w:t>2.17 电源频率</w:t>
      </w:r>
      <w:r>
        <w:rPr>
          <w:rFonts w:ascii="仿宋_GB2312" w:hAnsi="仿宋" w:eastAsia="仿宋_GB2312" w:cs="仿宋"/>
          <w:color w:val="000000"/>
          <w:sz w:val="24"/>
          <w:szCs w:val="24"/>
        </w:rPr>
        <w:t>: 50 Hz</w:t>
      </w:r>
      <w:r>
        <w:rPr>
          <w:rFonts w:hint="eastAsia" w:ascii="仿宋_GB2312" w:hAnsi="仿宋" w:eastAsia="仿宋_GB2312" w:cs="仿宋"/>
          <w:color w:val="000000"/>
          <w:sz w:val="24"/>
          <w:szCs w:val="24"/>
        </w:rPr>
        <w:t>±1</w:t>
      </w:r>
      <w:r>
        <w:rPr>
          <w:rFonts w:ascii="仿宋_GB2312" w:hAnsi="仿宋" w:eastAsia="仿宋_GB2312" w:cs="仿宋"/>
          <w:color w:val="000000"/>
          <w:sz w:val="24"/>
          <w:szCs w:val="24"/>
        </w:rPr>
        <w:t xml:space="preserve"> Hz</w:t>
      </w:r>
      <w:r>
        <w:rPr>
          <w:rFonts w:hint="eastAsia" w:ascii="仿宋_GB2312" w:hAnsi="仿宋" w:eastAsia="仿宋_GB2312" w:cs="仿宋"/>
          <w:color w:val="000000"/>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2.18 </w:t>
      </w:r>
      <w:r>
        <w:rPr>
          <w:rFonts w:ascii="仿宋_GB2312" w:hAnsi="仿宋" w:eastAsia="仿宋_GB2312" w:cs="仿宋"/>
          <w:sz w:val="24"/>
          <w:szCs w:val="24"/>
        </w:rPr>
        <w:t xml:space="preserve">输入功率: </w:t>
      </w:r>
      <w:r>
        <w:rPr>
          <w:rFonts w:hint="eastAsia" w:ascii="仿宋_GB2312" w:hAnsi="仿宋" w:eastAsia="仿宋_GB2312" w:cs="仿宋"/>
          <w:sz w:val="24"/>
          <w:szCs w:val="24"/>
        </w:rPr>
        <w:t>≤8</w:t>
      </w:r>
      <w:r>
        <w:rPr>
          <w:rFonts w:ascii="仿宋_GB2312" w:hAnsi="仿宋" w:eastAsia="仿宋_GB2312" w:cs="仿宋"/>
          <w:sz w:val="24"/>
          <w:szCs w:val="24"/>
        </w:rPr>
        <w:t>00 VA</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03-10 308纳米紫外线光疗仪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1.*以氮化铝镓（AlGaN）为“核芯”的LED固态光源，直接发出308nm波段的紫外线，无需过滤，光谱更加纯净和均匀,无杂光干扰。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2.*光源使用寿命≥5000小时。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3.整机设计符合人体工学原理，锂电池充电式无线手持移动设计，底座和治疗手柄可实现无线分离，适合任何病灶部位的治疗。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4.采用低压设计，保证治疗过程中的安全；治疗剂量：0-5J（5000mJ）;治疗时配备各种形状的硅胶垫保护患者皮损部位周边的好皮肤，适应各类大小皮损。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5.配置智能型数字式操作界面，采用剂量设计。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6.双面散热孔设计，机身采用抗紫外线阻燃材料。</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7.治疗开始和治疗结束时都有语音提示功能，治疗结束时设备自动停止照射，治疗过程中，数字式控制器实时显示递减计数和余值，设备具有最高剂量输入限制功能。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8.配置辐照窗定位器，“锁”住能量，实现精准治疗。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9.光源波段：≥308nm。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10.辐照强度：</w:t>
      </w:r>
      <w:r>
        <w:rPr>
          <w:rFonts w:hint="eastAsia" w:ascii="宋体" w:hAnsi="宋体"/>
          <w:sz w:val="24"/>
          <w:szCs w:val="24"/>
        </w:rPr>
        <w:t>≥20mW/cm²20。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11.辐照面积(mm)：≥45×45。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12.电源电压：交流100-230VAC。</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13.电源频率：50/60HZ。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14.输入电流：≤0.5A。</w:t>
      </w:r>
    </w:p>
    <w:p>
      <w:pPr>
        <w:spacing w:line="360" w:lineRule="auto"/>
        <w:ind w:firstLine="602" w:firstLineChars="200"/>
        <w:jc w:val="center"/>
        <w:rPr>
          <w:rFonts w:ascii="宋体" w:hAnsi="宋体" w:cs="微软雅黑"/>
          <w:b/>
          <w:color w:val="000000"/>
          <w:sz w:val="30"/>
          <w:szCs w:val="30"/>
        </w:rPr>
      </w:pPr>
    </w:p>
    <w:p>
      <w:pPr>
        <w:spacing w:line="420" w:lineRule="exact"/>
        <w:jc w:val="center"/>
        <w:rPr>
          <w:b/>
          <w:bCs/>
          <w:sz w:val="36"/>
          <w:szCs w:val="36"/>
        </w:rPr>
      </w:pPr>
      <w:r>
        <w:rPr>
          <w:rFonts w:hint="eastAsia"/>
          <w:b/>
          <w:bCs/>
          <w:sz w:val="36"/>
          <w:szCs w:val="36"/>
        </w:rPr>
        <w:t>03-11 皮肤镜</w:t>
      </w:r>
    </w:p>
    <w:p>
      <w:pPr>
        <w:spacing w:line="360" w:lineRule="auto"/>
        <w:ind w:firstLine="482" w:firstLineChars="200"/>
        <w:jc w:val="center"/>
        <w:rPr>
          <w:rFonts w:ascii="宋体" w:hAnsi="宋体" w:cs="微软雅黑"/>
          <w:b/>
          <w:color w:val="000000"/>
          <w:sz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1.*设备使用范围：用于对人皮肤、毛发的病变组织进行拍照和观察。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2.设备须整机注册，设备组成至少包含：摄像头、LED光源、软件、仪器台车、电脑、打印机。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3.设备须通过“医用电器设备安全通用要求”和“电磁兼容”检测，并提供相关资质。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4.须提供整机设备的临床试验报告，临床试验结论:灵敏度、特异度不得低于95%。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5.电脑：CPU≥双核，硬盘≥1TB，内存≥4G，显示器≥19英寸液晶。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6.彩色喷墨打印机一台。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7.仪器台车一台。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8.微观摄像机一个。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9.*微观摄像机成像分辨率≥2592×1944，像素≥500万。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10.微观摄像机倍数范围：20X～220X可自行调节，放大倍率支持无极变倍功能并具有倍率锁定功能，无需更换镜头。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11.微观摄像机应支持多种图像观察及采集方法，需包含：偏振光法、非偏振光法、浸润式、非浸润式、接触式、非接触式、可任意多种组合使用，其中接触式浸润法的观察和采集应具有标尺显示功能。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12.适配至少9种镜头支架，不仅支持多种不同皮损检测。支持指缝、耳背、外耳道、鼻腔等特殊部位。</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13.支持一次性垫片/圈，实现污染控制。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软件系统数据库、报告模板须涉及病种至少40种，包含常见皮肤肿瘤。配备皮肤病皮肤镜图谱数据库，并对疾病有详细的文字描述。涉及的疾病模板符合“皮肤镜诊断专家共识”包括：痣、黑素瘤、面部黑素瘤、肢端黑素细胞性皮损、非黑素细胞性肿瘤、色素减少性皮肤病、非色素性皮肤肿瘤、红斑鳞屑性疾病、甲病、毛发等。需提供电子皮肤镜系统软件著作权证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15.软件测量功能：实现任意形状皮损的面积和周长测量功能。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16.软件系统需具有特异性指征报告模式。</w:t>
      </w:r>
    </w:p>
    <w:p>
      <w:pPr>
        <w:spacing w:line="420" w:lineRule="exact"/>
        <w:ind w:firstLine="480" w:firstLineChars="200"/>
        <w:rPr>
          <w:rFonts w:ascii="宋体" w:hAnsi="宋体"/>
          <w:sz w:val="24"/>
          <w:szCs w:val="24"/>
        </w:rPr>
      </w:pPr>
    </w:p>
    <w:p>
      <w:pPr>
        <w:spacing w:line="420" w:lineRule="exact"/>
        <w:jc w:val="center"/>
        <w:rPr>
          <w:rFonts w:ascii="宋体" w:hAnsi="宋体"/>
          <w:b/>
          <w:sz w:val="32"/>
          <w:szCs w:val="32"/>
        </w:rPr>
      </w:pPr>
      <w:r>
        <w:rPr>
          <w:rFonts w:hint="eastAsia"/>
          <w:b/>
          <w:bCs/>
          <w:sz w:val="36"/>
          <w:szCs w:val="36"/>
        </w:rPr>
        <w:t>03-12 半导体</w:t>
      </w:r>
      <w:r>
        <w:rPr>
          <w:b/>
          <w:bCs/>
          <w:sz w:val="36"/>
          <w:szCs w:val="36"/>
        </w:rPr>
        <w:t>激光生发仪</w:t>
      </w:r>
    </w:p>
    <w:p>
      <w:pPr>
        <w:jc w:val="center"/>
        <w:rPr>
          <w:rFonts w:ascii="宋体" w:hAnsi="宋体"/>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1.激光：5mW激光管,650±10nm，单管有效光功率：2～5mW。</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2.脉宽：60±20ms ，周期：143±20ms ，频率：7±1Hz。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3.激光管：寿命≥4000小时。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4.电源适配器：100～240v 50/60Hz  9V 1.3A。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5.锂电池:正常7.2V(2*3.6V)，充满8.2±0.2V；容量：≥2600mAH。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6.电池单次</w:t>
      </w:r>
      <w:r>
        <w:rPr>
          <w:rFonts w:ascii="仿宋_GB2312" w:hAnsi="仿宋" w:eastAsia="仿宋_GB2312" w:cs="仿宋"/>
          <w:sz w:val="24"/>
          <w:szCs w:val="24"/>
        </w:rPr>
        <w:t>治疗持续时间：</w:t>
      </w:r>
      <w:r>
        <w:rPr>
          <w:rFonts w:hint="eastAsia" w:ascii="仿宋_GB2312" w:hAnsi="仿宋" w:eastAsia="仿宋_GB2312" w:cs="仿宋"/>
          <w:sz w:val="24"/>
          <w:szCs w:val="24"/>
        </w:rPr>
        <w:t>30±6</w:t>
      </w:r>
      <w:r>
        <w:rPr>
          <w:rFonts w:ascii="仿宋_GB2312" w:hAnsi="仿宋" w:eastAsia="仿宋_GB2312" w:cs="仿宋"/>
          <w:sz w:val="24"/>
          <w:szCs w:val="24"/>
        </w:rPr>
        <w:t xml:space="preserve"> min</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03-13 智能熏蒸机</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1.定时时间：1</w:t>
      </w:r>
      <w:r>
        <w:rPr>
          <w:rFonts w:ascii="仿宋_GB2312" w:hAnsi="仿宋" w:eastAsia="仿宋_GB2312" w:cs="仿宋"/>
          <w:sz w:val="24"/>
          <w:szCs w:val="24"/>
        </w:rPr>
        <w:t>-99</w:t>
      </w:r>
      <w:r>
        <w:rPr>
          <w:rFonts w:hint="eastAsia" w:ascii="仿宋_GB2312" w:hAnsi="仿宋" w:eastAsia="仿宋_GB2312" w:cs="仿宋"/>
          <w:sz w:val="24"/>
          <w:szCs w:val="24"/>
        </w:rPr>
        <w:t>min任意可调，连续工作时间≥8h。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2.温度显示范围：0℃</w:t>
      </w:r>
      <w:r>
        <w:rPr>
          <w:rFonts w:ascii="仿宋_GB2312" w:hAnsi="仿宋" w:eastAsia="仿宋_GB2312" w:cs="仿宋"/>
          <w:sz w:val="24"/>
          <w:szCs w:val="24"/>
        </w:rPr>
        <w:t>-150</w:t>
      </w:r>
      <w:r>
        <w:rPr>
          <w:rFonts w:hint="eastAsia" w:ascii="仿宋_GB2312" w:hAnsi="仿宋" w:eastAsia="仿宋_GB2312" w:cs="仿宋"/>
          <w:sz w:val="24"/>
          <w:szCs w:val="24"/>
        </w:rPr>
        <w:t>℃，显示精度±1℃。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3.*压力调节范围：2</w:t>
      </w:r>
      <w:r>
        <w:rPr>
          <w:rFonts w:ascii="仿宋_GB2312" w:hAnsi="仿宋" w:eastAsia="仿宋_GB2312" w:cs="仿宋"/>
          <w:sz w:val="24"/>
          <w:szCs w:val="24"/>
        </w:rPr>
        <w:t>0</w:t>
      </w:r>
      <w:r>
        <w:rPr>
          <w:rFonts w:hint="eastAsia" w:ascii="仿宋_GB2312" w:hAnsi="仿宋" w:eastAsia="仿宋_GB2312" w:cs="仿宋"/>
          <w:sz w:val="24"/>
          <w:szCs w:val="24"/>
        </w:rPr>
        <w:t>-</w:t>
      </w:r>
      <w:r>
        <w:rPr>
          <w:rFonts w:ascii="仿宋_GB2312" w:hAnsi="仿宋" w:eastAsia="仿宋_GB2312" w:cs="仿宋"/>
          <w:sz w:val="24"/>
          <w:szCs w:val="24"/>
        </w:rPr>
        <w:t>35KP</w:t>
      </w:r>
      <w:r>
        <w:rPr>
          <w:rFonts w:hint="eastAsia" w:ascii="仿宋_GB2312" w:hAnsi="仿宋" w:eastAsia="仿宋_GB2312" w:cs="仿宋"/>
          <w:sz w:val="24"/>
          <w:szCs w:val="24"/>
        </w:rPr>
        <w:t>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4.输入功率：≥2</w:t>
      </w:r>
      <w:r>
        <w:rPr>
          <w:rFonts w:ascii="仿宋_GB2312" w:hAnsi="仿宋" w:eastAsia="仿宋_GB2312" w:cs="仿宋"/>
          <w:sz w:val="24"/>
          <w:szCs w:val="24"/>
        </w:rPr>
        <w:t>000V</w:t>
      </w:r>
      <w:r>
        <w:rPr>
          <w:rFonts w:hint="eastAsia" w:ascii="仿宋_GB2312" w:hAnsi="仿宋" w:eastAsia="仿宋_GB2312" w:cs="仿宋"/>
          <w:sz w:val="24"/>
          <w:szCs w:val="24"/>
        </w:rPr>
        <w:t>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5.熏蒸锅容积：≥</w:t>
      </w:r>
      <w:r>
        <w:rPr>
          <w:rFonts w:ascii="仿宋_GB2312" w:hAnsi="仿宋" w:eastAsia="仿宋_GB2312" w:cs="仿宋"/>
          <w:sz w:val="24"/>
          <w:szCs w:val="24"/>
        </w:rPr>
        <w:t>5L</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6.正常工作加药量V：</w:t>
      </w:r>
      <w:r>
        <w:rPr>
          <w:rFonts w:ascii="仿宋_GB2312" w:hAnsi="仿宋" w:eastAsia="仿宋_GB2312" w:cs="仿宋"/>
          <w:sz w:val="24"/>
          <w:szCs w:val="24"/>
        </w:rPr>
        <w:t>2.2L</w:t>
      </w:r>
      <w:r>
        <w:rPr>
          <w:rFonts w:hint="eastAsia" w:ascii="仿宋_GB2312" w:hAnsi="仿宋" w:eastAsia="仿宋_GB2312" w:cs="仿宋"/>
          <w:sz w:val="24"/>
          <w:szCs w:val="24"/>
        </w:rPr>
        <w:t>≤V≤</w:t>
      </w:r>
      <w:r>
        <w:rPr>
          <w:rFonts w:ascii="仿宋_GB2312" w:hAnsi="仿宋" w:eastAsia="仿宋_GB2312" w:cs="仿宋"/>
          <w:sz w:val="24"/>
          <w:szCs w:val="24"/>
        </w:rPr>
        <w:t>3L</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7.双路输出中药蒸汽</w:t>
      </w:r>
      <w:r>
        <w:rPr>
          <w:rFonts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8.*至少两种工作模式可</w:t>
      </w:r>
      <w:r>
        <w:rPr>
          <w:rFonts w:ascii="仿宋_GB2312" w:hAnsi="仿宋" w:eastAsia="仿宋_GB2312" w:cs="仿宋"/>
          <w:sz w:val="24"/>
          <w:szCs w:val="24"/>
        </w:rPr>
        <w:t>任意设定</w:t>
      </w:r>
      <w:r>
        <w:rPr>
          <w:rFonts w:hint="eastAsia" w:ascii="仿宋_GB2312" w:hAnsi="仿宋" w:eastAsia="仿宋_GB2312" w:cs="仿宋"/>
          <w:sz w:val="24"/>
          <w:szCs w:val="24"/>
        </w:rPr>
        <w:t>（即</w:t>
      </w:r>
      <w:r>
        <w:rPr>
          <w:rFonts w:ascii="仿宋_GB2312" w:hAnsi="仿宋" w:eastAsia="仿宋_GB2312" w:cs="仿宋"/>
          <w:sz w:val="24"/>
          <w:szCs w:val="24"/>
        </w:rPr>
        <w:t>常规模式、强弱模式</w:t>
      </w:r>
      <w:r>
        <w:rPr>
          <w:rFonts w:hint="eastAsia" w:ascii="仿宋_GB2312" w:hAnsi="仿宋" w:eastAsia="仿宋_GB2312" w:cs="仿宋"/>
          <w:sz w:val="24"/>
          <w:szCs w:val="24"/>
        </w:rPr>
        <w:t>）。（提供产品图片证明文件）。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9.采用广视角</w:t>
      </w:r>
      <w:r>
        <w:rPr>
          <w:rFonts w:ascii="仿宋_GB2312" w:hAnsi="仿宋" w:eastAsia="仿宋_GB2312" w:cs="仿宋"/>
          <w:sz w:val="24"/>
          <w:szCs w:val="24"/>
        </w:rPr>
        <w:t>液晶屏显示</w:t>
      </w:r>
      <w:r>
        <w:rPr>
          <w:rFonts w:hint="eastAsia" w:ascii="仿宋_GB2312" w:hAnsi="仿宋" w:eastAsia="仿宋_GB2312" w:cs="仿宋"/>
          <w:sz w:val="24"/>
          <w:szCs w:val="24"/>
        </w:rPr>
        <w:t>仪器的工作参数，并具有实时</w:t>
      </w:r>
      <w:r>
        <w:rPr>
          <w:rFonts w:ascii="仿宋_GB2312" w:hAnsi="仿宋" w:eastAsia="仿宋_GB2312" w:cs="仿宋"/>
          <w:sz w:val="24"/>
          <w:szCs w:val="24"/>
        </w:rPr>
        <w:t>状态</w:t>
      </w:r>
      <w:r>
        <w:rPr>
          <w:rFonts w:hint="eastAsia" w:ascii="仿宋_GB2312" w:hAnsi="仿宋" w:eastAsia="仿宋_GB2312" w:cs="仿宋"/>
          <w:sz w:val="24"/>
          <w:szCs w:val="24"/>
        </w:rPr>
        <w:t>提示功能。如“液体缺少，请加液体”、“正在预热”、“正在治疗”、“压力超高，正在减压”等。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10.熏蒸容器具有六重安全防护。</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11.设有两个独立的熏蒸容器，并在熏蒸容器内设置具有过滤功能的蒸汽输出装置，防止药渣进入，堵塞蒸汽管道；蒸汽输出装置可拆卸，方便清洗药垢。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12.翻盖0～90°范围内任意悬停。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13.喷头配有安全隔离罩，使病人和喷嘴之间保持安全距离，防止烫伤。</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14.*至少配置自动、手动两种排废液方式。（提供产品图片证明文件）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w:t>
      </w:r>
      <w:r>
        <w:rPr>
          <w:rFonts w:ascii="仿宋_GB2312" w:hAnsi="仿宋" w:eastAsia="仿宋_GB2312" w:cs="仿宋"/>
          <w:sz w:val="24"/>
          <w:szCs w:val="24"/>
        </w:rPr>
        <w:t>具有浓度检测功能，通过数值大小</w:t>
      </w:r>
      <w:r>
        <w:rPr>
          <w:rFonts w:hint="eastAsia" w:ascii="仿宋_GB2312" w:hAnsi="仿宋" w:eastAsia="仿宋_GB2312" w:cs="仿宋"/>
          <w:sz w:val="24"/>
          <w:szCs w:val="24"/>
        </w:rPr>
        <w:t>指示</w:t>
      </w:r>
      <w:r>
        <w:rPr>
          <w:rFonts w:ascii="仿宋_GB2312" w:hAnsi="仿宋" w:eastAsia="仿宋_GB2312" w:cs="仿宋"/>
          <w:sz w:val="24"/>
          <w:szCs w:val="24"/>
        </w:rPr>
        <w:t>运行时药物的浓度。</w:t>
      </w:r>
      <w:r>
        <w:rPr>
          <w:rFonts w:hint="eastAsia" w:ascii="仿宋_GB2312" w:hAnsi="仿宋" w:eastAsia="仿宋_GB2312" w:cs="仿宋"/>
          <w:sz w:val="24"/>
          <w:szCs w:val="24"/>
        </w:rPr>
        <w:t>（提供产品图片证明文件）</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03-14 电脑视野检查仪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1.分体式外观设计。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2.自动眼位检测与校正系统（AEC），腮托完全自动调整。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3.智能检测策略（IDT），3分钟可完成完整的阈值检查。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4.具备驾驶员快速150度水平视野检测专用模式。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5.检查方式：静态视野，动态视野。</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6.刺激方式：光学投影。</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7.检测范围：0-90度。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8.刺激器类型：半球型（半径≥30cm）。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9.投射光源：白。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10.背景光颜色及亮度：白色≥31.5asb。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11.视标亮度：0asb</w:t>
      </w:r>
      <w:r>
        <w:rPr>
          <w:rFonts w:ascii="仿宋_GB2312" w:hAnsi="仿宋" w:eastAsia="仿宋_GB2312" w:cs="仿宋"/>
          <w:sz w:val="24"/>
          <w:szCs w:val="24"/>
        </w:rPr>
        <w:t>—</w:t>
      </w:r>
      <w:r>
        <w:rPr>
          <w:rFonts w:hint="eastAsia" w:ascii="仿宋_GB2312" w:hAnsi="仿宋" w:eastAsia="仿宋_GB2312" w:cs="仿宋"/>
          <w:sz w:val="24"/>
          <w:szCs w:val="24"/>
        </w:rPr>
        <w:t>10000asb。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12.视标间隔、保持时间：≥200ms(可自定义，无上限)。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13.亮度等级：0</w:t>
      </w:r>
      <w:r>
        <w:rPr>
          <w:rFonts w:ascii="仿宋_GB2312" w:hAnsi="仿宋" w:eastAsia="仿宋_GB2312" w:cs="仿宋"/>
          <w:sz w:val="24"/>
          <w:szCs w:val="24"/>
        </w:rPr>
        <w:t>—</w:t>
      </w:r>
      <w:r>
        <w:rPr>
          <w:rFonts w:hint="eastAsia" w:ascii="仿宋_GB2312" w:hAnsi="仿宋" w:eastAsia="仿宋_GB2312" w:cs="仿宋"/>
          <w:sz w:val="24"/>
          <w:szCs w:val="24"/>
        </w:rPr>
        <w:t>51db。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14.刺激视标大小（Goldmann标准）：III级。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15.检测策略：全阈值、快速阈值、自定义、二表示法、三表示法、缺损量化。</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16.阈值策略：智能动态、快速智能动态、年龄相关、阈值相关、单一强度。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17.阈值测试模式：中心10-2；中心24-2；中心30-2；中心60-4；鼻侧阶梯；黄斑。</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18.筛查、特殊测试模式：中心40；中心64；中心76；中心80；中心Armaly；周边60；鼻侧阶梯；Armaly 全视野；全视野81；全视野120；全视野135；全视野246；上部36；上部64；Esterman单眼；Esterman双眼。</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19.固视监视：动态视频实时检测、生理盲点检测、眼位跟踪曲线、眼位偏移报警。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20.分析软件：可信度分析、单一视野分析、三合一报告分析、概览视野分析，GHT青光眼半视野分析。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21.报告图：数值图、灰度图、总体偏差分贝图、总体偏差概率图、模式偏差分贝图、模式偏差概率图、凝视图，快速水平视野。</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03-15 视频耳镜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1.显示屏TFT/LCD≥3英寸。</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2.*显示器转动角度，前后转动角度≥120度。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3.显示屏左侧设计，不影响操作者视野直观观察镜管置入工作腔道。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4.人机工程学手柄设计，纺锤形手柄握持舒适。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5.存储空间≥32G，最大存储照片量≥32万张，可存储录像≥25小时。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6.电池容量≥3400mAh，配备≥2节专用锂电池。</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7.输入功率≤4VA。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8.*视场角≥72°。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9.角分辨力ra（d）≥0.9C/（°）。</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10.摄像头像素≥100万像素。</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11.*内置LED光源，不用外接冷光源。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12.光照度≥1000lux。</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13.耳镜镜管设计01：镜管长度≥71mm，工作长度≥31mm，镜管头端直径≤3.9mm。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14.耳镜镜管设计02(选配)：镜管长度≥139mm，工作长度≥90mm，镜管头端直径≤3.9mm。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15.景深5mm-100mm。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16.充电器输入100V-240V 50-60Hz。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17.充电器输出≥5V。</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18.充电时间≤4小时、放电时间≥3小时。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19.充电方式：卡坐充式充电方式，即用即充，充电座又是设备放置架。</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03-16 鼻镜、喉镜镜头</w:t>
      </w:r>
    </w:p>
    <w:p>
      <w:pPr>
        <w:spacing w:line="360" w:lineRule="auto"/>
        <w:rPr>
          <w:rFonts w:ascii="宋体" w:hAnsi="宋体"/>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1.鼻镜镜头：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镜管长度≥224mm。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工作长度≥175mm。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镜管头端直径≤4.0mm。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景深5mm-100mm。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2.喉镜镜头：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2.1镜管长度≥234mm。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2.2工作长度≥185mm。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2.3镜管头端直径≤8mm。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2.4景深10mm-100mm。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2.5镜管更换方式：推拉式自锁航空插头的连接方式。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 *镜管与主机连接方式，热插拔，即插即用，无需重启设备。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3.*支持视频耳镜系统配套使用。</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03-17  中药熏蒸机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1.*预热及治疗功率至少1、2、3、4档可调。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2.预热设定温度为40℃～90℃可调。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3.药液从常温加热到95℃时间≤15分钟（因加液量及药液温度不同，通常为3～10分钟）。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4.治疗时间1-35分钟可调。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5.智能倒计时功能，真正做到喷汽时间与治疗时间完全相符。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6.具有缺液报警及缺液自动停止加热功能。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7.按键操作、治疗结束、缺液时具有声音提示。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8.当熏蒸机加热容器中气压大于0.08MPa时，减压阀排气减压。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9.*喷杆关节四轴旋转可调，喷头动作角度万向，确保临床患者坐姿卧姿不同体位的熏蒸需求。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10.设备输出功率：≥1600VA。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11.额定容量：≥5L。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12.通道数：单通道（一个喷头）。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13.*喷头采用双腔隔热设计，具有主容器和副容器，保证喷汽均匀，不喷水不滴水。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14.机箱容器部分和电路显示部分采用分体设计，便于保养和维修，并做到    完全隔离。</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15.采用气路、液路防阻塞设计及工艺。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16.采用直径达23mm排液管路,确保排液方便快捷不阻塞。</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17.外置气路过滤器。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18.采用防干烧、耐高温、防腐蚀、防结垢加热器。 </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注：带“*”参数为重要参数。</w:t>
      </w:r>
    </w:p>
    <w:p>
      <w:pPr>
        <w:pStyle w:val="2"/>
      </w:pP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28"/>
        </w:rPr>
      </w:pPr>
      <w:r>
        <w:rPr>
          <w:rFonts w:hint="eastAsia" w:ascii="宋体" w:hAnsi="宋体"/>
          <w:b/>
          <w:bCs/>
          <w:sz w:val="28"/>
          <w:szCs w:val="28"/>
        </w:rPr>
        <w:t>核心产品</w:t>
      </w:r>
      <w:bookmarkEnd w:id="156"/>
    </w:p>
    <w:p>
      <w:pPr>
        <w:spacing w:line="276" w:lineRule="auto"/>
        <w:ind w:firstLine="560" w:firstLineChars="200"/>
        <w:rPr>
          <w:rFonts w:ascii="宋体" w:hAnsi="宋体"/>
          <w:sz w:val="28"/>
          <w:szCs w:val="28"/>
        </w:rPr>
      </w:pPr>
      <w:r>
        <w:rPr>
          <w:rFonts w:hint="eastAsia" w:ascii="宋体" w:hAnsi="宋体"/>
          <w:sz w:val="28"/>
          <w:szCs w:val="28"/>
        </w:rPr>
        <w:t>包1为床旁连续性血液净化机，包2为经颅多普勒超声诊断仪，包3为电子阴道镜。</w:t>
      </w: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72" w:name="_Toc78191627"/>
      <w:r>
        <w:rPr>
          <w:rFonts w:hint="eastAsia" w:ascii="宋体" w:hAnsi="宋体"/>
          <w:b/>
          <w:bCs/>
          <w:sz w:val="28"/>
          <w:szCs w:val="28"/>
        </w:rPr>
        <w:t>商务</w:t>
      </w:r>
      <w:r>
        <w:rPr>
          <w:rFonts w:ascii="宋体" w:hAnsi="宋体"/>
          <w:b/>
          <w:bCs/>
          <w:sz w:val="28"/>
          <w:szCs w:val="28"/>
        </w:rPr>
        <w:t>要求</w:t>
      </w:r>
      <w:bookmarkEnd w:id="172"/>
    </w:p>
    <w:p>
      <w:pPr>
        <w:pStyle w:val="5"/>
        <w:numPr>
          <w:ilvl w:val="2"/>
          <w:numId w:val="3"/>
        </w:numPr>
        <w:tabs>
          <w:tab w:val="left" w:pos="0"/>
          <w:tab w:val="left" w:pos="426"/>
          <w:tab w:val="left" w:pos="576"/>
          <w:tab w:val="left" w:pos="786"/>
        </w:tabs>
      </w:pPr>
      <w:r>
        <w:rPr>
          <w:rFonts w:hint="eastAsia"/>
          <w:color w:val="auto"/>
        </w:rPr>
        <w:t>交货时间：签订合同后30天内。</w:t>
      </w:r>
    </w:p>
    <w:p>
      <w:pPr>
        <w:pStyle w:val="5"/>
        <w:numPr>
          <w:ilvl w:val="2"/>
          <w:numId w:val="3"/>
        </w:numPr>
        <w:tabs>
          <w:tab w:val="left" w:pos="0"/>
          <w:tab w:val="left" w:pos="426"/>
          <w:tab w:val="left" w:pos="576"/>
          <w:tab w:val="left" w:pos="786"/>
        </w:tabs>
      </w:pPr>
      <w:r>
        <w:rPr>
          <w:rFonts w:hint="eastAsia"/>
          <w:color w:val="auto"/>
        </w:rPr>
        <w:t>交货地点：都江堰市中医医院。</w:t>
      </w:r>
    </w:p>
    <w:p>
      <w:pPr>
        <w:pStyle w:val="5"/>
        <w:numPr>
          <w:ilvl w:val="2"/>
          <w:numId w:val="3"/>
        </w:numPr>
        <w:tabs>
          <w:tab w:val="left" w:pos="0"/>
          <w:tab w:val="left" w:pos="426"/>
          <w:tab w:val="left" w:pos="576"/>
          <w:tab w:val="left" w:pos="786"/>
        </w:tabs>
        <w:rPr>
          <w:color w:val="auto"/>
        </w:rPr>
      </w:pPr>
      <w:r>
        <w:rPr>
          <w:rFonts w:hint="eastAsia"/>
          <w:color w:val="auto"/>
        </w:rPr>
        <w:t>付款方式：设备安装调试后并验收合格，收到正式票据60日内支付合同金额90%，质保期满后60日内支付合同金额10%。</w:t>
      </w:r>
    </w:p>
    <w:p>
      <w:pPr>
        <w:spacing w:line="360" w:lineRule="auto"/>
        <w:ind w:firstLine="560" w:firstLineChars="200"/>
        <w:rPr>
          <w:rFonts w:ascii="宋体" w:hAnsi="宋体"/>
          <w:sz w:val="28"/>
          <w:szCs w:val="28"/>
        </w:rPr>
      </w:pPr>
    </w:p>
    <w:p>
      <w:pPr>
        <w:pStyle w:val="5"/>
        <w:numPr>
          <w:ilvl w:val="2"/>
          <w:numId w:val="3"/>
        </w:numPr>
        <w:tabs>
          <w:tab w:val="left" w:pos="0"/>
          <w:tab w:val="left" w:pos="426"/>
          <w:tab w:val="left" w:pos="576"/>
          <w:tab w:val="left" w:pos="786"/>
        </w:tabs>
        <w:rPr>
          <w:color w:val="auto"/>
        </w:rPr>
      </w:pPr>
      <w:r>
        <w:rPr>
          <w:rFonts w:hint="eastAsia"/>
          <w:color w:val="auto"/>
        </w:rPr>
        <w:t>验收方式</w:t>
      </w:r>
    </w:p>
    <w:p>
      <w:pPr>
        <w:pStyle w:val="80"/>
        <w:spacing w:line="360" w:lineRule="auto"/>
        <w:ind w:firstLine="560"/>
        <w:rPr>
          <w:rFonts w:ascii="宋体" w:hAnsi="宋体" w:eastAsia="宋体" w:cs="Times New Roman"/>
          <w:color w:val="FF0000"/>
          <w:sz w:val="28"/>
          <w:szCs w:val="28"/>
        </w:rPr>
      </w:pPr>
      <w:r>
        <w:rPr>
          <w:rFonts w:hint="eastAsia" w:ascii="宋体" w:hAnsi="宋体" w:eastAsia="宋体" w:cs="Times New Roman"/>
          <w:color w:val="FF0000"/>
          <w:sz w:val="28"/>
          <w:szCs w:val="28"/>
        </w:rPr>
        <w:t>按国家有关规定以及招标文件的质量要求和技术指标、中标人的投标文件及承诺与合同约定标准进行验收；双方如对质量要求和技术指标的约定标准有相互抵触或异议的事项，由采购人在招标与投标文件中按质量要求和技术指标比较优胜的原则确定该项的约定标准进行验收。</w:t>
      </w:r>
    </w:p>
    <w:p>
      <w:pPr>
        <w:pStyle w:val="5"/>
        <w:numPr>
          <w:ilvl w:val="2"/>
          <w:numId w:val="3"/>
        </w:numPr>
        <w:rPr>
          <w:color w:val="auto"/>
        </w:rPr>
      </w:pPr>
      <w:r>
        <w:rPr>
          <w:rFonts w:hint="eastAsia"/>
          <w:color w:val="auto"/>
        </w:rPr>
        <w:t>包装、运输及保管、保险</w:t>
      </w:r>
    </w:p>
    <w:p>
      <w:pPr>
        <w:adjustRightInd w:val="0"/>
        <w:snapToGrid w:val="0"/>
        <w:spacing w:line="276" w:lineRule="auto"/>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中标人所提供的货物应为制造商原装出厂包装，符合国家相关标准，由于包装不善引起的货物损坏、缺漏的损失由投标人负责。</w:t>
      </w:r>
    </w:p>
    <w:p>
      <w:pPr>
        <w:spacing w:line="276" w:lineRule="auto"/>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中标人负责将货物运到采购人指定现场过程中的全部运输、装卸车、货物现场的搬运等所产生的费用并免费提供产品清洁服务。</w:t>
      </w:r>
    </w:p>
    <w:p>
      <w:pPr>
        <w:pStyle w:val="5"/>
        <w:numPr>
          <w:ilvl w:val="2"/>
          <w:numId w:val="3"/>
        </w:numPr>
        <w:rPr>
          <w:color w:val="auto"/>
        </w:rPr>
      </w:pPr>
      <w:r>
        <w:rPr>
          <w:rFonts w:hint="eastAsia"/>
          <w:color w:val="auto"/>
        </w:rPr>
        <w:t>质量保证与安装调试</w:t>
      </w:r>
    </w:p>
    <w:p>
      <w:pPr>
        <w:pStyle w:val="231"/>
        <w:tabs>
          <w:tab w:val="left" w:pos="1276"/>
        </w:tabs>
        <w:adjustRightInd w:val="0"/>
        <w:snapToGrid w:val="0"/>
        <w:spacing w:line="276" w:lineRule="auto"/>
        <w:ind w:left="709" w:firstLine="0" w:firstLineChars="0"/>
        <w:rPr>
          <w:rFonts w:ascii="宋体" w:hAnsi="宋体"/>
          <w:color w:val="FF0000"/>
          <w:sz w:val="28"/>
          <w:szCs w:val="28"/>
        </w:rPr>
      </w:pPr>
      <w:r>
        <w:rPr>
          <w:rFonts w:hint="eastAsia" w:ascii="宋体" w:hAnsi="宋体"/>
          <w:color w:val="FF0000"/>
          <w:sz w:val="28"/>
          <w:szCs w:val="28"/>
        </w:rPr>
        <w:t>质保期≥1年，免费安装调试。</w:t>
      </w:r>
    </w:p>
    <w:p>
      <w:pPr>
        <w:pStyle w:val="5"/>
        <w:numPr>
          <w:ilvl w:val="2"/>
          <w:numId w:val="3"/>
        </w:numPr>
        <w:tabs>
          <w:tab w:val="left" w:pos="0"/>
          <w:tab w:val="left" w:pos="426"/>
          <w:tab w:val="left" w:pos="576"/>
          <w:tab w:val="left" w:pos="786"/>
        </w:tabs>
        <w:rPr>
          <w:color w:val="auto"/>
        </w:rPr>
      </w:pPr>
      <w:r>
        <w:rPr>
          <w:rFonts w:hint="eastAsia"/>
          <w:color w:val="auto"/>
        </w:rPr>
        <w:t>售后服务要求</w:t>
      </w:r>
    </w:p>
    <w:p>
      <w:pPr>
        <w:pStyle w:val="80"/>
        <w:spacing w:line="360" w:lineRule="auto"/>
        <w:ind w:firstLine="560"/>
        <w:rPr>
          <w:rFonts w:ascii="宋体" w:hAnsi="宋体" w:eastAsia="宋体" w:cs="Times New Roman"/>
          <w:color w:val="FF0000"/>
          <w:sz w:val="28"/>
          <w:szCs w:val="28"/>
        </w:rPr>
      </w:pPr>
      <w:r>
        <w:rPr>
          <w:rFonts w:hint="eastAsia" w:ascii="宋体" w:hAnsi="宋体" w:eastAsia="宋体" w:cs="Times New Roman"/>
          <w:color w:val="FF0000"/>
          <w:sz w:val="28"/>
          <w:szCs w:val="28"/>
        </w:rPr>
        <w:t>质保期内故障响应时间≤4小时，若48小时故障不能修复，须提供备用设备。</w:t>
      </w: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73" w:name="_Toc78191628"/>
      <w:r>
        <w:rPr>
          <w:rFonts w:hint="eastAsia" w:ascii="宋体" w:hAnsi="宋体"/>
          <w:b/>
          <w:bCs/>
          <w:sz w:val="28"/>
          <w:szCs w:val="28"/>
        </w:rPr>
        <w:t>最高限价</w:t>
      </w:r>
      <w:bookmarkEnd w:id="173"/>
    </w:p>
    <w:p>
      <w:pPr>
        <w:spacing w:line="360" w:lineRule="auto"/>
        <w:ind w:firstLine="551" w:firstLineChars="196"/>
        <w:rPr>
          <w:rFonts w:ascii="宋体" w:hAnsi="宋体"/>
          <w:b/>
          <w:sz w:val="28"/>
          <w:szCs w:val="28"/>
          <w:lang w:val="zh-CN"/>
        </w:rPr>
      </w:pPr>
      <w:r>
        <w:rPr>
          <w:rFonts w:hint="eastAsia" w:ascii="宋体" w:hAnsi="宋体"/>
          <w:b/>
          <w:sz w:val="28"/>
          <w:szCs w:val="28"/>
        </w:rPr>
        <w:t>★本项目投标</w:t>
      </w:r>
      <w:r>
        <w:rPr>
          <w:rFonts w:ascii="宋体" w:hAnsi="宋体"/>
          <w:b/>
          <w:sz w:val="28"/>
          <w:szCs w:val="28"/>
        </w:rPr>
        <w:t>报价</w:t>
      </w:r>
      <w:r>
        <w:rPr>
          <w:rFonts w:hint="eastAsia" w:ascii="Times New Roman" w:hAnsi="Times New Roman"/>
          <w:b/>
          <w:bCs/>
          <w:color w:val="FF0000"/>
          <w:sz w:val="28"/>
          <w:szCs w:val="28"/>
        </w:rPr>
        <w:t>包1最高限价为</w:t>
      </w:r>
      <w:r>
        <w:rPr>
          <w:rFonts w:hint="eastAsia" w:ascii="Times New Roman" w:hAnsi="Times New Roman"/>
          <w:color w:val="FF0000"/>
          <w:sz w:val="28"/>
          <w:szCs w:val="28"/>
          <w:u w:val="single"/>
        </w:rPr>
        <w:t xml:space="preserve"> 2590000</w:t>
      </w:r>
      <w:r>
        <w:rPr>
          <w:rFonts w:hint="eastAsia" w:ascii="Times New Roman" w:hAnsi="Times New Roman"/>
          <w:color w:val="FF0000"/>
          <w:sz w:val="28"/>
          <w:szCs w:val="28"/>
        </w:rPr>
        <w:t xml:space="preserve">元； </w:t>
      </w:r>
      <w:r>
        <w:rPr>
          <w:rFonts w:hint="eastAsia" w:ascii="Times New Roman" w:hAnsi="Times New Roman"/>
          <w:b/>
          <w:bCs/>
          <w:color w:val="FF0000"/>
          <w:sz w:val="28"/>
          <w:szCs w:val="28"/>
        </w:rPr>
        <w:t>包2最高限价为</w:t>
      </w:r>
      <w:r>
        <w:rPr>
          <w:rFonts w:hint="eastAsia" w:ascii="Times New Roman" w:hAnsi="Times New Roman"/>
          <w:color w:val="FF0000"/>
          <w:sz w:val="28"/>
          <w:szCs w:val="28"/>
          <w:u w:val="single"/>
        </w:rPr>
        <w:t>935000</w:t>
      </w:r>
      <w:r>
        <w:rPr>
          <w:rFonts w:hint="eastAsia" w:ascii="Times New Roman" w:hAnsi="Times New Roman"/>
          <w:color w:val="FF0000"/>
          <w:sz w:val="28"/>
          <w:szCs w:val="28"/>
        </w:rPr>
        <w:t>元；</w:t>
      </w:r>
      <w:r>
        <w:rPr>
          <w:rFonts w:hint="eastAsia" w:ascii="Times New Roman" w:hAnsi="Times New Roman"/>
          <w:b/>
          <w:bCs/>
          <w:color w:val="FF0000"/>
          <w:sz w:val="28"/>
          <w:szCs w:val="28"/>
        </w:rPr>
        <w:t xml:space="preserve"> 包3最高限价为</w:t>
      </w:r>
      <w:r>
        <w:rPr>
          <w:rFonts w:hint="eastAsia" w:ascii="Times New Roman" w:hAnsi="Times New Roman"/>
          <w:color w:val="FF0000"/>
          <w:sz w:val="28"/>
          <w:szCs w:val="28"/>
          <w:u w:val="single"/>
        </w:rPr>
        <w:t>819000</w:t>
      </w:r>
      <w:r>
        <w:rPr>
          <w:rFonts w:hint="eastAsia" w:ascii="Times New Roman" w:hAnsi="Times New Roman"/>
          <w:color w:val="FF0000"/>
          <w:sz w:val="28"/>
          <w:szCs w:val="28"/>
        </w:rPr>
        <w:t>元；</w:t>
      </w:r>
      <w:r>
        <w:rPr>
          <w:rFonts w:hint="eastAsia" w:ascii="宋体" w:hAnsi="宋体" w:cstheme="minorBidi"/>
          <w:b/>
          <w:sz w:val="28"/>
          <w:szCs w:val="28"/>
          <w:lang w:val="zh-CN"/>
        </w:rPr>
        <w:t>如投标人投标报价高于最高限价的则其投标文件将按无效投标文件处理。</w:t>
      </w: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sz w:val="28"/>
          <w:szCs w:val="28"/>
        </w:rPr>
      </w:pPr>
      <w:bookmarkStart w:id="174" w:name="_Toc78191629"/>
      <w:r>
        <w:rPr>
          <w:rFonts w:hint="eastAsia" w:ascii="宋体" w:hAnsi="宋体"/>
          <w:b/>
          <w:sz w:val="28"/>
          <w:szCs w:val="28"/>
        </w:rPr>
        <w:t>其他要求</w:t>
      </w:r>
      <w:bookmarkEnd w:id="174"/>
    </w:p>
    <w:p>
      <w:pPr>
        <w:pStyle w:val="80"/>
        <w:numPr>
          <w:ilvl w:val="0"/>
          <w:numId w:val="36"/>
        </w:numPr>
        <w:tabs>
          <w:tab w:val="left" w:pos="1134"/>
        </w:tabs>
        <w:snapToGrid w:val="0"/>
        <w:spacing w:line="360" w:lineRule="auto"/>
        <w:ind w:left="0" w:firstLine="567" w:firstLineChars="0"/>
        <w:rPr>
          <w:rFonts w:asciiTheme="minorEastAsia" w:hAnsiTheme="minorEastAsia"/>
          <w:b/>
          <w:sz w:val="28"/>
          <w:szCs w:val="28"/>
        </w:rPr>
      </w:pPr>
      <w:r>
        <w:rPr>
          <w:rFonts w:hint="eastAsia" w:asciiTheme="minorEastAsia" w:hAnsiTheme="minorEastAsia"/>
          <w:b/>
          <w:sz w:val="28"/>
          <w:szCs w:val="28"/>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pStyle w:val="80"/>
        <w:numPr>
          <w:ilvl w:val="0"/>
          <w:numId w:val="36"/>
        </w:numPr>
        <w:tabs>
          <w:tab w:val="left" w:pos="1134"/>
        </w:tabs>
        <w:snapToGrid w:val="0"/>
        <w:spacing w:line="360" w:lineRule="auto"/>
        <w:ind w:left="11" w:firstLine="629" w:firstLineChars="0"/>
        <w:rPr>
          <w:rFonts w:asciiTheme="minorEastAsia" w:hAnsiTheme="minorEastAsia"/>
          <w:b/>
          <w:sz w:val="28"/>
          <w:szCs w:val="28"/>
        </w:rPr>
      </w:pPr>
      <w:r>
        <w:rPr>
          <w:rFonts w:hint="eastAsia" w:asciiTheme="minorEastAsia" w:hAnsiTheme="minorEastAsia"/>
          <w:b/>
          <w:sz w:val="28"/>
          <w:szCs w:val="28"/>
        </w:rPr>
        <w:t>★投标人为本项目提供的所有产品、辅材中属于《国家强制性产品认证目录》范围内产品的，均通过国家强制性产品认证并取得认证证书。（说明：按照招标文件3.3.6承诺函内容进行承诺）</w:t>
      </w:r>
    </w:p>
    <w:p>
      <w:pPr>
        <w:pStyle w:val="80"/>
        <w:numPr>
          <w:ilvl w:val="0"/>
          <w:numId w:val="36"/>
        </w:numPr>
        <w:tabs>
          <w:tab w:val="left" w:pos="1134"/>
        </w:tabs>
        <w:snapToGrid w:val="0"/>
        <w:spacing w:line="360" w:lineRule="auto"/>
        <w:ind w:left="11" w:firstLine="629" w:firstLineChars="0"/>
        <w:rPr>
          <w:rFonts w:asciiTheme="minorEastAsia" w:hAnsiTheme="minorEastAsia"/>
          <w:b/>
          <w:sz w:val="28"/>
          <w:szCs w:val="28"/>
        </w:rPr>
      </w:pPr>
      <w:r>
        <w:rPr>
          <w:rFonts w:hint="eastAsia" w:asciiTheme="minorEastAsia" w:hAnsiTheme="minorEastAsia"/>
          <w:b/>
          <w:sz w:val="28"/>
          <w:szCs w:val="28"/>
        </w:rPr>
        <w:t>★投标人为本项目提供的所有产品、辅材符合现行的强制性国家相关标准、行业标准。（说明：按照招标文件3.3.6承诺函内容进行承诺）</w:t>
      </w:r>
    </w:p>
    <w:p>
      <w:pPr>
        <w:pStyle w:val="120"/>
        <w:tabs>
          <w:tab w:val="left" w:pos="1134"/>
        </w:tabs>
        <w:spacing w:before="156" w:line="360" w:lineRule="auto"/>
        <w:ind w:right="210" w:firstLine="562" w:firstLineChars="200"/>
        <w:jc w:val="both"/>
        <w:rPr>
          <w:rFonts w:asciiTheme="minorEastAsia" w:hAnsiTheme="minorEastAsia"/>
          <w:b/>
          <w:sz w:val="28"/>
          <w:szCs w:val="28"/>
        </w:rPr>
      </w:pPr>
      <w:r>
        <w:rPr>
          <w:rFonts w:hint="eastAsia" w:asciiTheme="minorEastAsia" w:hAnsiTheme="minorEastAsia"/>
          <w:b/>
          <w:sz w:val="28"/>
          <w:szCs w:val="28"/>
        </w:rPr>
        <w:t>四、★</w:t>
      </w:r>
      <w:r>
        <w:rPr>
          <w:rFonts w:hint="eastAsia" w:asciiTheme="minorEastAsia" w:hAnsiTheme="minorEastAsia"/>
          <w:b/>
          <w:sz w:val="28"/>
          <w:szCs w:val="28"/>
          <w:lang w:val="zh-CN"/>
        </w:rPr>
        <w:t>投</w:t>
      </w:r>
      <w:r>
        <w:rPr>
          <w:rFonts w:asciiTheme="minorEastAsia" w:hAnsiTheme="minorEastAsia"/>
          <w:b/>
          <w:sz w:val="28"/>
          <w:szCs w:val="28"/>
          <w:lang w:val="zh-CN"/>
        </w:rPr>
        <w:t>标</w:t>
      </w:r>
      <w:r>
        <w:rPr>
          <w:rFonts w:hint="eastAsia" w:asciiTheme="minorEastAsia" w:hAnsiTheme="minorEastAsia"/>
          <w:b/>
          <w:sz w:val="28"/>
          <w:szCs w:val="28"/>
          <w:lang w:val="zh-CN"/>
        </w:rPr>
        <w:t>人为本项目实施涉及的商品包装和快递包装，均符合财政部等三部门联合印发商品包装和快递包装政府采购需求标准（试行）（财办库[2020]123号）的要求。</w:t>
      </w:r>
      <w:r>
        <w:rPr>
          <w:rFonts w:asciiTheme="minorEastAsia" w:hAnsiTheme="minorEastAsia" w:eastAsiaTheme="minorEastAsia"/>
          <w:b/>
          <w:sz w:val="28"/>
          <w:szCs w:val="28"/>
          <w:lang w:val="zh-CN"/>
        </w:rPr>
        <w:t>（说明：投标人应按招标文件</w:t>
      </w:r>
      <w:r>
        <w:rPr>
          <w:rFonts w:ascii="Times New Roman" w:hAnsi="Times New Roman" w:cs="Times New Roman" w:eastAsiaTheme="minorEastAsia"/>
          <w:b/>
          <w:sz w:val="28"/>
          <w:szCs w:val="28"/>
          <w:lang w:val="zh-CN"/>
        </w:rPr>
        <w:t>3.3.</w:t>
      </w:r>
      <w:r>
        <w:rPr>
          <w:rFonts w:ascii="Times New Roman" w:hAnsi="Times New Roman" w:eastAsiaTheme="minorEastAsia"/>
          <w:b/>
          <w:sz w:val="28"/>
          <w:szCs w:val="28"/>
          <w:lang w:val="zh-CN"/>
        </w:rPr>
        <w:t>6</w:t>
      </w:r>
      <w:r>
        <w:rPr>
          <w:rFonts w:asciiTheme="minorEastAsia" w:hAnsiTheme="minorEastAsia" w:eastAsiaTheme="minorEastAsia"/>
          <w:b/>
          <w:sz w:val="28"/>
          <w:szCs w:val="28"/>
          <w:lang w:val="zh-CN"/>
        </w:rPr>
        <w:t>承诺函的格式及要求提供承诺函。）</w:t>
      </w: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bookmarkEnd w:id="157"/>
    <w:bookmarkEnd w:id="158"/>
    <w:p>
      <w:pPr>
        <w:keepNext/>
        <w:keepLines/>
        <w:numPr>
          <w:ilvl w:val="0"/>
          <w:numId w:val="3"/>
        </w:numPr>
        <w:spacing w:before="340" w:after="330" w:line="400" w:lineRule="exact"/>
        <w:ind w:hanging="2692"/>
        <w:jc w:val="center"/>
        <w:outlineLvl w:val="0"/>
        <w:rPr>
          <w:rFonts w:ascii="宋体" w:hAnsi="宋体"/>
          <w:b/>
          <w:bCs/>
          <w:spacing w:val="-20"/>
          <w:kern w:val="44"/>
          <w:sz w:val="32"/>
          <w:szCs w:val="32"/>
        </w:rPr>
      </w:pPr>
      <w:bookmarkStart w:id="175" w:name="_Toc78191630"/>
      <w:r>
        <w:rPr>
          <w:rFonts w:hint="eastAsia" w:ascii="宋体" w:hAnsi="宋体"/>
          <w:b/>
          <w:bCs/>
          <w:spacing w:val="-20"/>
          <w:kern w:val="44"/>
          <w:sz w:val="32"/>
          <w:szCs w:val="32"/>
        </w:rPr>
        <w:t>资格性审查</w:t>
      </w:r>
      <w:bookmarkEnd w:id="175"/>
    </w:p>
    <w:p>
      <w:pPr>
        <w:tabs>
          <w:tab w:val="left" w:pos="851"/>
        </w:tabs>
        <w:spacing w:line="360" w:lineRule="auto"/>
        <w:ind w:firstLine="566"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资格性审查由采购人组建的资格审查小组依据法律法规和招标文件的规定，对投标保证金(市公资交易中心出具的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市公资交易中心将以电子邮件形式通知各投标人。资格性审查标准见下表：</w:t>
      </w:r>
    </w:p>
    <w:tbl>
      <w:tblPr>
        <w:tblStyle w:val="47"/>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00"/>
        <w:gridCol w:w="1197"/>
        <w:gridCol w:w="5940"/>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2585"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资格性审查项</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000000" w:themeColor="text1"/>
                <w:sz w:val="20"/>
                <w14:textFill>
                  <w14:solidFill>
                    <w14:schemeClr w14:val="tx1"/>
                  </w14:solidFill>
                </w14:textFill>
              </w:rPr>
            </w:pPr>
            <w:r>
              <w:rPr>
                <w:b/>
                <w:color w:val="000000" w:themeColor="text1"/>
                <w:sz w:val="20"/>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1</w:t>
            </w:r>
          </w:p>
        </w:tc>
        <w:tc>
          <w:tcPr>
            <w:tcW w:w="700" w:type="dxa"/>
            <w:vMerge w:val="restart"/>
            <w:tcBorders>
              <w:top w:val="single" w:color="auto" w:sz="2" w:space="0"/>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书面声明材料</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具有独立承担民事责任的能力</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投标人具有独立承担民事责任的能力的书面声明材料。【说明：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w:t>
            </w:r>
            <w:r>
              <w:rPr>
                <w:rFonts w:hint="eastAsia"/>
                <w:color w:val="000000" w:themeColor="text1"/>
                <w:sz w:val="20"/>
                <w14:textFill>
                  <w14:solidFill>
                    <w14:schemeClr w14:val="tx1"/>
                  </w14:solidFill>
                </w14:textFill>
              </w:rPr>
              <w:t>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具有良好的商业信誉的证明材料</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投标人具有良好的商业信誉的书面声明材料。【说明：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；②供应商具有良好的商业信誉</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具有履行合同所必须的设备和专业技术能力</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投标人具有履行合同所必须的设备和专业技术能力的书面声明材料。【说明：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具有履行合同所必须的设备和专业技术能力。】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有依法缴纳税收和社会保障资金的良好记录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投标人有依法缴纳税收和社会保障资金的良好记录的书面声明材料。【说明：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参加政府采购活动前三年内，在经营活动中没有重大违法记录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投标人参加政府采购活动前三年内，在经营活动中没有重大违法记录的书面声明材料。【说明：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法律、行政法规规定的其他条件</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投标人具有法律、行政法规规定的其他条件的书面声明材料。【说明：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具有法律、行政法规规定的其他条件。】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未被列入失信被执行人、重大税收违法案件当事人名单、政府采购严重违法失信行为记录名单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投标人未列入失信被执行人、重大税收违法案件当事人名单、政府采购严重违法失信行为记录名单的书面声明材料。【说明：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投标人未列入失信被执行人、重大税收违法案件当事人名单、政府采购严重违法失信行为记录名单；</w:t>
            </w:r>
            <w:r>
              <w:rPr>
                <w:rFonts w:hint="eastAsia" w:ascii="宋体" w:hAnsi="宋体"/>
                <w:color w:val="000000" w:themeColor="text1"/>
                <w:sz w:val="20"/>
                <w:szCs w:val="28"/>
                <w14:textFill>
                  <w14:solidFill>
                    <w14:schemeClr w14:val="tx1"/>
                  </w14:solidFill>
                </w14:textFill>
              </w:rPr>
              <w:t>②</w:t>
            </w:r>
            <w:r>
              <w:rPr>
                <w:rFonts w:hint="eastAsia"/>
                <w:color w:val="000000" w:themeColor="text1"/>
                <w:sz w:val="20"/>
                <w14:textFill>
                  <w14:solidFill>
                    <w14:schemeClr w14:val="tx1"/>
                  </w14:solidFill>
                </w14:textFill>
              </w:rPr>
              <w:t>按第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p>
          <w:p>
            <w:pPr>
              <w:tabs>
                <w:tab w:val="left" w:pos="851"/>
              </w:tabs>
              <w:spacing w:line="360" w:lineRule="auto"/>
              <w:rPr>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未处于被行政部门禁止参与政府采购活动的期限内</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投标人未处于被行政部门禁止参与政府采购活动的期限内。【说明：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；②供应商未处于被行政部门禁止参与政府采购活动的期限内。</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行贿犯罪记录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在行贿犯罪信息查询期限内，投标人及其现任法定代表人、主要负责人没有行贿犯罪记录的书面声明材料。【说明：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章的内容及要求提供书面声明材料，投标文件中不需提供中国裁判文书网（</w:t>
            </w:r>
            <w:r>
              <w:rPr>
                <w:color w:val="000000" w:themeColor="text1"/>
                <w:sz w:val="20"/>
                <w14:textFill>
                  <w14:solidFill>
                    <w14:schemeClr w14:val="tx1"/>
                  </w14:solidFill>
                </w14:textFill>
              </w:rPr>
              <w:t>https://wenshu.court.gov.cn</w:t>
            </w:r>
            <w:r>
              <w:rPr>
                <w:rFonts w:hint="eastAsia"/>
                <w:color w:val="000000" w:themeColor="text1"/>
                <w:sz w:val="20"/>
                <w14:textFill>
                  <w14:solidFill>
                    <w14:schemeClr w14:val="tx1"/>
                  </w14:solidFill>
                </w14:textFill>
              </w:rPr>
              <w:t>）查询结果的证明材料；</w:t>
            </w:r>
            <w:r>
              <w:rPr>
                <w:rFonts w:hint="eastAsia" w:ascii="宋体" w:hAnsi="宋体"/>
                <w:color w:val="000000" w:themeColor="text1"/>
                <w:sz w:val="20"/>
                <w:szCs w:val="28"/>
                <w14:textFill>
                  <w14:solidFill>
                    <w14:schemeClr w14:val="tx1"/>
                  </w14:solidFill>
                </w14:textFill>
              </w:rPr>
              <w:t>②在行贿犯罪信息查询期限内，供应商及其现任法定代表人、主要负责人没有行贿犯罪记录</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单位负责人为同一人或者存在直接控股、管理关系的不同供应商，不得参加同一项目的投标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与投标人负责人为同一人或者存在直接控股、管理关系的相关供应商的书面声明材料。【说明：①按招标文件第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章的内容及要求提供书面声明材料；②参加投标的供应商中无与投标人的负责人为同一人或者存在直接控股、管理关系的供应商。】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restart"/>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2</w:t>
            </w:r>
          </w:p>
        </w:tc>
        <w:tc>
          <w:tcPr>
            <w:tcW w:w="700" w:type="dxa"/>
            <w:vMerge w:val="restart"/>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其他</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信用记录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供应商未被列入失信被执行人、重大税收违法案件当事人名单、政府采购严重违法失信行为记录名单及其他不符合《中华人民共和国政府采购法》第二十二条规定条件的供应商，以下列查询记录为准：</w:t>
            </w:r>
          </w:p>
          <w:p>
            <w:pPr>
              <w:tabs>
                <w:tab w:val="left" w:pos="851"/>
              </w:tabs>
              <w:spacing w:line="360" w:lineRule="auto"/>
              <w:ind w:firstLine="400"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审查小组对“信用中国”网站、“中国政府采购网”网站进行查询，并根据查询结果对投标人的信用记录进行审查。（说明：投标人未被列入失信被执行人、重大税收违法案件当事人名单、政府采购严重违法失信行为记录名单[投标人在参加政府采购活动前被禁止在一定期限内参加政府采购活动，期限届满的可以参加政府采购活动，但投标人应在资格性投标文件中提供相关证明材料]，没有未依法缴纳税收和社会保障资金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不属于其他国家相关法律法规规定的禁止参加投标的供应商</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1</w:t>
            </w:r>
            <w:r>
              <w:rPr>
                <w:rFonts w:hint="eastAsia"/>
                <w:color w:val="000000" w:themeColor="text1"/>
                <w:sz w:val="20"/>
                <w14:textFill>
                  <w14:solidFill>
                    <w14:schemeClr w14:val="tx1"/>
                  </w14:solidFill>
                </w14:textFill>
              </w:rPr>
              <w:t>、根据招标文件的要求不属于禁止参加投标或投标无效的供应商；</w:t>
            </w:r>
          </w:p>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2</w:t>
            </w:r>
            <w:r>
              <w:rPr>
                <w:rFonts w:hint="eastAsia"/>
                <w:color w:val="000000" w:themeColor="text1"/>
                <w:sz w:val="20"/>
                <w14:textFill>
                  <w14:solidFill>
                    <w14:schemeClr w14:val="tx1"/>
                  </w14:solidFill>
                </w14:textFill>
              </w:rPr>
              <w:t>、资格审查小组未发现或者未知晓投标人存在属于国家相关法律法规规定的禁止参加投标或投标无效的供应商。</w:t>
            </w: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联合体投标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资质要求</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投标保证金</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投标文件解密情况</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ascii="宋体" w:hAnsi="宋体"/>
                <w:color w:val="000000" w:themeColor="text1"/>
                <w:sz w:val="20"/>
                <w:szCs w:val="28"/>
                <w14:textFill>
                  <w14:solidFill>
                    <w14:schemeClr w14:val="tx1"/>
                  </w14:solidFill>
                </w14:textFill>
              </w:rPr>
              <w:t>除因断电、断网、系统故障或其他不可抗力等因素，导致系统无法使用外，投标文件已成功解密。</w:t>
            </w: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投标文件签章</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sz w:val="20"/>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投标文件资格响应</w:t>
            </w:r>
            <w:r>
              <w:rPr>
                <w:color w:val="000000" w:themeColor="text1"/>
                <w:sz w:val="20"/>
                <w14:textFill>
                  <w14:solidFill>
                    <w14:schemeClr w14:val="tx1"/>
                  </w14:solidFill>
                </w14:textFill>
              </w:rPr>
              <w:t>文件</w:t>
            </w:r>
            <w:r>
              <w:rPr>
                <w:rFonts w:hint="eastAsia"/>
                <w:color w:val="000000" w:themeColor="text1"/>
                <w:sz w:val="20"/>
                <w14:textFill>
                  <w14:solidFill>
                    <w14:schemeClr w14:val="tx1"/>
                  </w14:solidFill>
                </w14:textFill>
              </w:rPr>
              <w:t>组成</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符合招标文件</w:t>
            </w:r>
            <w:r>
              <w:rPr>
                <w:color w:val="000000" w:themeColor="text1"/>
                <w:sz w:val="20"/>
                <w14:textFill>
                  <w14:solidFill>
                    <w14:schemeClr w14:val="tx1"/>
                  </w14:solidFill>
                </w14:textFill>
              </w:rPr>
              <w:t>“2.4.6</w:t>
            </w:r>
            <w:r>
              <w:rPr>
                <w:rFonts w:hint="eastAsia"/>
                <w:color w:val="000000" w:themeColor="text1"/>
                <w:sz w:val="20"/>
                <w14:textFill>
                  <w14:solidFill>
                    <w14:schemeClr w14:val="tx1"/>
                  </w14:solidFill>
                </w14:textFill>
              </w:rPr>
              <w:t>投标文件的组成</w:t>
            </w:r>
            <w:r>
              <w:rPr>
                <w:color w:val="000000" w:themeColor="text1"/>
                <w:sz w:val="20"/>
                <w14:textFill>
                  <w14:solidFill>
                    <w14:schemeClr w14:val="tx1"/>
                  </w14:solidFill>
                </w14:textFill>
              </w:rPr>
              <w:t>”</w:t>
            </w:r>
            <w:r>
              <w:rPr>
                <w:rFonts w:hint="eastAsia"/>
                <w:color w:val="000000" w:themeColor="text1"/>
                <w:sz w:val="20"/>
                <w14:textFill>
                  <w14:solidFill>
                    <w14:schemeClr w14:val="tx1"/>
                  </w14:solidFill>
                </w14:textFill>
              </w:rPr>
              <w:t>规定要求。【说明：无须提供证明材料，上传空白页即可，不对本项上传的材料作资格审查】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投标文件资格响应文件的语言</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3</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专门面向中小企业证明材料</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pPr>
            <w:r>
              <w:rPr>
                <w:rFonts w:hint="eastAsia"/>
              </w:rPr>
              <w:t>按3.2.3.1格式提供的中小企业声明函或按3.2.3.2格式提供的残疾人福利性单位声明函（格式详见3.2.3.2）或</w:t>
            </w:r>
            <w:r>
              <w:rPr>
                <w:rFonts w:hint="eastAsia"/>
                <w:lang w:val="zh-CN"/>
              </w:rPr>
              <w:t>由省级以上监狱管理局、戒毒管理局（含新疆生产建设兵团）出具的投标人属于监狱企业的证明文件复印件。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4</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根据采购项目提出的特殊资格条件证明材料</w:t>
            </w:r>
          </w:p>
        </w:tc>
        <w:tc>
          <w:tcPr>
            <w:tcW w:w="5940" w:type="dxa"/>
            <w:tcBorders>
              <w:top w:val="single" w:color="auto" w:sz="2" w:space="0"/>
              <w:left w:val="single" w:color="auto" w:sz="2" w:space="0"/>
              <w:bottom w:val="single" w:color="auto" w:sz="2" w:space="0"/>
              <w:right w:val="single" w:color="auto" w:sz="2" w:space="0"/>
            </w:tcBorders>
            <w:vAlign w:val="center"/>
          </w:tcPr>
          <w:p>
            <w:pPr>
              <w:spacing w:line="360" w:lineRule="auto"/>
              <w:ind w:left="34"/>
              <w:rPr>
                <w:rFonts w:ascii="宋体" w:hAnsi="宋体"/>
                <w:color w:val="FF0000"/>
              </w:rPr>
            </w:pPr>
            <w:r>
              <w:rPr>
                <w:rFonts w:hint="eastAsia" w:ascii="宋体" w:hAnsi="宋体"/>
                <w:color w:val="FF0000"/>
              </w:rPr>
              <w:t>（1）投标人有效的《医疗器械经营企业许可证》复印件，复印件加盖</w:t>
            </w:r>
            <w:r>
              <w:rPr>
                <w:rFonts w:hint="eastAsia" w:ascii="宋体" w:hAnsi="宋体"/>
                <w:color w:val="FF0000"/>
                <w:lang w:eastAsia="zh-CN"/>
              </w:rPr>
              <w:t>投标人</w:t>
            </w:r>
            <w:r>
              <w:rPr>
                <w:rFonts w:hint="eastAsia" w:ascii="宋体" w:hAnsi="宋体"/>
                <w:color w:val="FF0000"/>
              </w:rPr>
              <w:t>公章鲜章；</w:t>
            </w:r>
          </w:p>
          <w:p>
            <w:pPr>
              <w:spacing w:line="360" w:lineRule="auto"/>
              <w:ind w:left="34"/>
              <w:rPr>
                <w:rFonts w:ascii="宋体" w:hAnsi="宋体"/>
                <w:color w:val="FF0000"/>
              </w:rPr>
            </w:pPr>
            <w:r>
              <w:rPr>
                <w:rFonts w:hint="eastAsia" w:ascii="宋体" w:hAnsi="宋体"/>
                <w:color w:val="FF0000"/>
              </w:rPr>
              <w:t>（2）投标产品有效的相对应的《医疗器械注册证》复印件，复印件加盖</w:t>
            </w:r>
            <w:r>
              <w:rPr>
                <w:rFonts w:hint="eastAsia" w:ascii="宋体" w:hAnsi="宋体"/>
                <w:color w:val="FF0000"/>
                <w:lang w:eastAsia="zh-CN"/>
              </w:rPr>
              <w:t>投标人</w:t>
            </w:r>
            <w:r>
              <w:rPr>
                <w:rFonts w:hint="eastAsia" w:ascii="宋体" w:hAnsi="宋体"/>
                <w:color w:val="FF0000"/>
              </w:rPr>
              <w:t>公章鲜章；</w:t>
            </w:r>
          </w:p>
          <w:p>
            <w:pPr>
              <w:pStyle w:val="2"/>
              <w:rPr>
                <w:color w:val="FF0000"/>
              </w:rPr>
            </w:pPr>
            <w:r>
              <w:rPr>
                <w:rFonts w:hint="eastAsia" w:ascii="宋体" w:hAnsi="宋体"/>
                <w:color w:val="FF0000"/>
              </w:rPr>
              <w:t>（3）投标产品制造商有效的《医疗器械生产企业许可证》复印件，复印件加盖</w:t>
            </w:r>
            <w:r>
              <w:rPr>
                <w:rFonts w:hint="eastAsia" w:ascii="宋体" w:hAnsi="宋体"/>
                <w:color w:val="FF0000"/>
                <w:lang w:eastAsia="zh-CN"/>
              </w:rPr>
              <w:t>投标人</w:t>
            </w:r>
            <w:bookmarkStart w:id="234" w:name="_GoBack"/>
            <w:bookmarkEnd w:id="234"/>
            <w:r>
              <w:rPr>
                <w:rFonts w:hint="eastAsia" w:ascii="宋体" w:hAnsi="宋体"/>
                <w:color w:val="FF0000"/>
              </w:rPr>
              <w:t>公章鲜章。</w:t>
            </w:r>
          </w:p>
        </w:tc>
      </w:tr>
    </w:tbl>
    <w:p>
      <w:pPr>
        <w:tabs>
          <w:tab w:val="left" w:pos="851"/>
        </w:tabs>
        <w:spacing w:line="360" w:lineRule="auto"/>
        <w:ind w:firstLine="560" w:firstLineChars="200"/>
        <w:rPr>
          <w:rFonts w:ascii="宋体" w:hAnsi="宋体"/>
          <w:sz w:val="28"/>
          <w:szCs w:val="28"/>
        </w:rPr>
      </w:pPr>
    </w:p>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三、投标人的投标文件资格性审查时被判定为无效的，市公资交易中心将通知投标人（以短信、现场公示、电话、“政府采购云平台”等任一方式）。。投标人如对资格审查结论有异议的，应及时向市公资交易中心反馈意见。市公资交易中心将及时告知资格审查小组。（说明：无论投标人是否收到通知或提供反馈意见，均不影响资格审查和评标工作，且市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6" w:firstLineChars="202"/>
        <w:rPr>
          <w:rFonts w:ascii="宋体" w:hAnsi="宋体"/>
          <w:sz w:val="28"/>
          <w:szCs w:val="28"/>
        </w:rPr>
      </w:pPr>
    </w:p>
    <w:p>
      <w:pPr>
        <w:tabs>
          <w:tab w:val="left" w:pos="851"/>
        </w:tabs>
        <w:spacing w:line="360" w:lineRule="auto"/>
        <w:rPr>
          <w:rFonts w:ascii="宋体" w:hAnsi="宋体"/>
          <w:sz w:val="28"/>
          <w:szCs w:val="28"/>
        </w:rPr>
      </w:pPr>
    </w:p>
    <w:p>
      <w:pPr>
        <w:keepNext/>
        <w:keepLines/>
        <w:numPr>
          <w:ilvl w:val="0"/>
          <w:numId w:val="3"/>
        </w:numPr>
        <w:spacing w:line="360" w:lineRule="auto"/>
        <w:ind w:left="0" w:firstLine="0"/>
        <w:jc w:val="center"/>
        <w:outlineLvl w:val="0"/>
        <w:rPr>
          <w:rFonts w:ascii="宋体" w:hAnsi="宋体"/>
          <w:b/>
          <w:bCs/>
          <w:spacing w:val="-20"/>
          <w:kern w:val="44"/>
          <w:sz w:val="32"/>
          <w:szCs w:val="32"/>
        </w:rPr>
      </w:pPr>
      <w:bookmarkStart w:id="176" w:name="_Toc78191631"/>
      <w:r>
        <w:rPr>
          <w:rFonts w:hint="eastAsia" w:ascii="宋体" w:hAnsi="宋体"/>
          <w:b/>
          <w:bCs/>
          <w:spacing w:val="-20"/>
          <w:kern w:val="44"/>
          <w:sz w:val="32"/>
          <w:szCs w:val="32"/>
        </w:rPr>
        <w:t>评标办法</w:t>
      </w:r>
      <w:bookmarkEnd w:id="176"/>
    </w:p>
    <w:p>
      <w:pPr>
        <w:keepNext/>
        <w:keepLines/>
        <w:numPr>
          <w:ilvl w:val="1"/>
          <w:numId w:val="3"/>
        </w:numPr>
        <w:spacing w:line="360" w:lineRule="auto"/>
        <w:jc w:val="left"/>
        <w:outlineLvl w:val="1"/>
        <w:rPr>
          <w:rFonts w:ascii="宋体" w:hAnsi="宋体"/>
          <w:b/>
          <w:bCs/>
          <w:sz w:val="28"/>
          <w:szCs w:val="28"/>
        </w:rPr>
      </w:pPr>
      <w:bookmarkStart w:id="177" w:name="_Toc78191632"/>
      <w:r>
        <w:rPr>
          <w:rFonts w:hint="eastAsia" w:ascii="宋体" w:hAnsi="宋体"/>
          <w:b/>
          <w:bCs/>
          <w:sz w:val="28"/>
          <w:szCs w:val="28"/>
        </w:rPr>
        <w:t>总则</w:t>
      </w:r>
      <w:bookmarkEnd w:id="177"/>
    </w:p>
    <w:p>
      <w:pPr>
        <w:numPr>
          <w:ilvl w:val="0"/>
          <w:numId w:val="37"/>
        </w:numPr>
        <w:tabs>
          <w:tab w:val="left" w:pos="1134"/>
        </w:tabs>
        <w:spacing w:line="360" w:lineRule="auto"/>
        <w:ind w:left="0" w:firstLine="566"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7"/>
        </w:numPr>
        <w:tabs>
          <w:tab w:val="left" w:pos="1134"/>
        </w:tabs>
        <w:spacing w:line="360" w:lineRule="auto"/>
        <w:ind w:left="0" w:firstLine="566" w:firstLineChars="202"/>
        <w:rPr>
          <w:rFonts w:ascii="宋体" w:hAnsi="宋体"/>
          <w:sz w:val="28"/>
          <w:szCs w:val="28"/>
        </w:rPr>
      </w:pPr>
      <w:r>
        <w:rPr>
          <w:rFonts w:hint="eastAsia" w:ascii="宋体" w:hAnsi="宋体"/>
          <w:sz w:val="28"/>
          <w:szCs w:val="28"/>
        </w:rPr>
        <w:t>评标工作由</w:t>
      </w:r>
      <w:r>
        <w:rPr>
          <w:rFonts w:hint="eastAsia" w:cs="Arial"/>
          <w:sz w:val="28"/>
          <w:szCs w:val="28"/>
        </w:rPr>
        <w:t>市公资交易中心</w:t>
      </w:r>
      <w:r>
        <w:rPr>
          <w:rFonts w:hint="eastAsia" w:ascii="宋体" w:hAnsi="宋体"/>
          <w:sz w:val="28"/>
          <w:szCs w:val="28"/>
        </w:rPr>
        <w:t>负责组织，具体评标事务由采购人或</w:t>
      </w:r>
      <w:r>
        <w:rPr>
          <w:rFonts w:hint="eastAsia" w:cs="Arial"/>
          <w:sz w:val="28"/>
          <w:szCs w:val="28"/>
        </w:rPr>
        <w:t>市公资交易中心</w:t>
      </w:r>
      <w:r>
        <w:rPr>
          <w:rFonts w:hint="eastAsia" w:ascii="宋体" w:hAnsi="宋体"/>
          <w:sz w:val="28"/>
          <w:szCs w:val="28"/>
        </w:rPr>
        <w:t>依法组建的评标委员会负责。评标委员会由采购人代表和评审专家组成。</w:t>
      </w:r>
    </w:p>
    <w:p>
      <w:pPr>
        <w:numPr>
          <w:ilvl w:val="0"/>
          <w:numId w:val="37"/>
        </w:numPr>
        <w:tabs>
          <w:tab w:val="left" w:pos="1134"/>
        </w:tabs>
        <w:spacing w:line="360" w:lineRule="auto"/>
        <w:ind w:left="0" w:firstLine="566"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37"/>
        </w:numPr>
        <w:tabs>
          <w:tab w:val="left" w:pos="1134"/>
        </w:tabs>
        <w:spacing w:line="360" w:lineRule="auto"/>
        <w:ind w:left="0" w:firstLine="566"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38"/>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38"/>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38"/>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38"/>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38"/>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38"/>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38"/>
        </w:numPr>
        <w:spacing w:line="360" w:lineRule="auto"/>
        <w:ind w:left="0" w:firstLine="567"/>
        <w:rPr>
          <w:rFonts w:ascii="宋体" w:hAnsi="宋体"/>
          <w:sz w:val="28"/>
          <w:szCs w:val="28"/>
        </w:rPr>
      </w:pPr>
      <w:r>
        <w:rPr>
          <w:rFonts w:hint="eastAsia" w:ascii="宋体" w:hAnsi="宋体"/>
          <w:sz w:val="28"/>
          <w:szCs w:val="28"/>
        </w:rPr>
        <w:t>向采购人、市公资交易中心或者财政、监察等有关部门报告或举报非法干预评标工作的行为；</w:t>
      </w:r>
    </w:p>
    <w:p>
      <w:pPr>
        <w:numPr>
          <w:ilvl w:val="1"/>
          <w:numId w:val="38"/>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市公资交易中心</w:t>
      </w:r>
      <w:r>
        <w:rPr>
          <w:rFonts w:hint="eastAsia" w:ascii="宋体" w:hAnsi="宋体"/>
          <w:sz w:val="28"/>
          <w:szCs w:val="28"/>
        </w:rPr>
        <w:t>或者有关部门报告评标中发现的违法行为。</w:t>
      </w:r>
    </w:p>
    <w:p>
      <w:pPr>
        <w:numPr>
          <w:ilvl w:val="1"/>
          <w:numId w:val="38"/>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37"/>
        </w:numPr>
        <w:tabs>
          <w:tab w:val="left" w:pos="1134"/>
        </w:tabs>
        <w:spacing w:line="360" w:lineRule="auto"/>
        <w:ind w:left="0" w:firstLine="566"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37"/>
        </w:numPr>
        <w:tabs>
          <w:tab w:val="left" w:pos="1134"/>
        </w:tabs>
        <w:spacing w:line="360" w:lineRule="auto"/>
        <w:ind w:left="0" w:firstLine="566"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37"/>
        </w:numPr>
        <w:tabs>
          <w:tab w:val="left" w:pos="1134"/>
        </w:tabs>
        <w:spacing w:line="360" w:lineRule="auto"/>
        <w:ind w:left="0" w:firstLine="566" w:firstLineChars="202"/>
        <w:rPr>
          <w:rFonts w:ascii="宋体" w:hAnsi="宋体"/>
          <w:sz w:val="28"/>
          <w:szCs w:val="28"/>
        </w:rPr>
      </w:pPr>
      <w:r>
        <w:rPr>
          <w:rFonts w:hint="eastAsia" w:ascii="宋体" w:hAnsi="宋体"/>
          <w:sz w:val="28"/>
          <w:szCs w:val="28"/>
        </w:rPr>
        <w:t>评标委员会发现招标文件表述不明确或需要说明的事项，可提请采购人和市公资交易中心书面解释说明。</w:t>
      </w:r>
    </w:p>
    <w:p>
      <w:pPr>
        <w:keepNext/>
        <w:keepLines/>
        <w:numPr>
          <w:ilvl w:val="1"/>
          <w:numId w:val="3"/>
        </w:numPr>
        <w:spacing w:line="360" w:lineRule="auto"/>
        <w:jc w:val="left"/>
        <w:outlineLvl w:val="1"/>
        <w:rPr>
          <w:rFonts w:ascii="宋体" w:hAnsi="宋体"/>
          <w:b/>
          <w:bCs/>
          <w:sz w:val="28"/>
          <w:szCs w:val="28"/>
        </w:rPr>
      </w:pPr>
      <w:bookmarkStart w:id="178" w:name="_Toc78191633"/>
      <w:r>
        <w:rPr>
          <w:rFonts w:hint="eastAsia" w:ascii="宋体" w:hAnsi="宋体"/>
          <w:b/>
          <w:bCs/>
          <w:sz w:val="28"/>
          <w:szCs w:val="28"/>
        </w:rPr>
        <w:t>评标方法</w:t>
      </w:r>
      <w:bookmarkEnd w:id="178"/>
    </w:p>
    <w:p>
      <w:pPr>
        <w:spacing w:line="360" w:lineRule="auto"/>
        <w:ind w:firstLine="566" w:firstLineChars="202"/>
        <w:rPr>
          <w:rFonts w:ascii="宋体" w:hAnsi="宋体"/>
          <w:sz w:val="28"/>
          <w:szCs w:val="28"/>
        </w:rPr>
      </w:pPr>
      <w:r>
        <w:rPr>
          <w:rFonts w:hint="eastAsia" w:ascii="宋体" w:hAnsi="宋体"/>
          <w:sz w:val="28"/>
          <w:szCs w:val="28"/>
        </w:rPr>
        <w:t>综合评分法。</w:t>
      </w:r>
    </w:p>
    <w:p>
      <w:pPr>
        <w:keepNext/>
        <w:keepLines/>
        <w:numPr>
          <w:ilvl w:val="1"/>
          <w:numId w:val="3"/>
        </w:numPr>
        <w:spacing w:line="360" w:lineRule="auto"/>
        <w:jc w:val="left"/>
        <w:outlineLvl w:val="1"/>
        <w:rPr>
          <w:rFonts w:ascii="宋体" w:hAnsi="宋体"/>
          <w:b/>
          <w:bCs/>
          <w:sz w:val="28"/>
          <w:szCs w:val="28"/>
        </w:rPr>
      </w:pPr>
      <w:bookmarkStart w:id="179" w:name="_Toc78191634"/>
      <w:r>
        <w:rPr>
          <w:rFonts w:hint="eastAsia" w:ascii="宋体" w:hAnsi="宋体"/>
          <w:b/>
          <w:bCs/>
          <w:sz w:val="28"/>
          <w:szCs w:val="28"/>
        </w:rPr>
        <w:t>评标程序</w:t>
      </w:r>
      <w:bookmarkEnd w:id="179"/>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符合性审查标准见下表（按以下顺序审查）：</w:t>
      </w:r>
    </w:p>
    <w:tbl>
      <w:tblPr>
        <w:tblStyle w:val="47"/>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143"/>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w:t>
            </w:r>
            <w:r>
              <w:rPr>
                <w:rFonts w:ascii="宋体" w:hAnsi="宋体"/>
                <w:sz w:val="24"/>
                <w:szCs w:val="28"/>
              </w:rPr>
              <w:t>技术响应文件</w:t>
            </w:r>
            <w:r>
              <w:rPr>
                <w:rFonts w:hint="eastAsia" w:ascii="宋体" w:hAnsi="宋体"/>
                <w:sz w:val="24"/>
                <w:szCs w:val="28"/>
              </w:rPr>
              <w:t>、</w:t>
            </w:r>
            <w:r>
              <w:rPr>
                <w:rFonts w:ascii="宋体" w:hAnsi="宋体"/>
                <w:sz w:val="24"/>
                <w:szCs w:val="28"/>
              </w:rPr>
              <w:t>报价要求响应文件</w:t>
            </w:r>
            <w:r>
              <w:rPr>
                <w:rFonts w:hint="eastAsia" w:ascii="宋体" w:hAnsi="宋体"/>
                <w:sz w:val="24"/>
                <w:szCs w:val="28"/>
              </w:rPr>
              <w:t>组成</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w:t>
            </w:r>
            <w:r>
              <w:rPr>
                <w:rFonts w:ascii="宋体" w:hAnsi="宋体"/>
                <w:sz w:val="24"/>
                <w:szCs w:val="28"/>
              </w:rPr>
              <w:t>技术响应文件</w:t>
            </w:r>
            <w:r>
              <w:rPr>
                <w:rFonts w:hint="eastAsia" w:ascii="宋体" w:hAnsi="宋体"/>
                <w:sz w:val="24"/>
                <w:szCs w:val="28"/>
              </w:rPr>
              <w:t>、</w:t>
            </w:r>
            <w:r>
              <w:rPr>
                <w:rFonts w:ascii="宋体" w:hAnsi="宋体"/>
                <w:sz w:val="24"/>
                <w:szCs w:val="28"/>
              </w:rPr>
              <w:t>报价要求响应文件</w:t>
            </w:r>
            <w:r>
              <w:rPr>
                <w:rFonts w:hint="eastAsia" w:ascii="宋体" w:hAnsi="宋体"/>
                <w:sz w:val="24"/>
                <w:szCs w:val="28"/>
              </w:rPr>
              <w:t>的计量单位、语言、报价货币、投标有效期</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3</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第4章打★号的技术、服务、商务和其他要求</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4</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5</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6</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7</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8</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投标报价</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w:t>
            </w:r>
            <w:r>
              <w:rPr>
                <w:rFonts w:ascii="宋体" w:hAnsi="宋体"/>
                <w:sz w:val="24"/>
                <w:szCs w:val="28"/>
              </w:rPr>
              <w:t>投标文件</w:t>
            </w:r>
            <w:r>
              <w:rPr>
                <w:rFonts w:hint="eastAsia" w:ascii="宋体" w:hAnsi="宋体"/>
                <w:sz w:val="24"/>
                <w:szCs w:val="28"/>
              </w:rPr>
              <w:t>【注：（1）投标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二、投标人的投标文件符合性审查时被判定为无效投标文件的，市公资交易中心将通知投标人（以短信、现场公示、电话、 “政府采购云平台”等任一方式）。投标人如对评审结论有异议的，应及时向市公资交易中心反馈意见。市公资交易中心在评审结束前将收到的反馈意见及时告知评标委员会。（说明：无论投标人是否收到通知或提供反馈意见，均不影响评标委员会的评标工作，且市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39"/>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市公资交易中心书面解释。市公资交易中心的解释不得改变招标文件的原义或者影响公平、公正，解释事项如果涉及投标人权益的以有利于投标人的原则进行解释。</w:t>
      </w:r>
    </w:p>
    <w:p>
      <w:pPr>
        <w:numPr>
          <w:ilvl w:val="0"/>
          <w:numId w:val="39"/>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9"/>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0"/>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0"/>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0"/>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39"/>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市公资交易中心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1"/>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1"/>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1"/>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1"/>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6"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6"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3"/>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4"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3"/>
        </w:numPr>
        <w:spacing w:line="360" w:lineRule="auto"/>
        <w:jc w:val="left"/>
        <w:outlineLvl w:val="1"/>
        <w:rPr>
          <w:rFonts w:ascii="宋体" w:hAnsi="宋体"/>
          <w:b/>
          <w:bCs/>
          <w:sz w:val="28"/>
          <w:szCs w:val="28"/>
        </w:rPr>
      </w:pPr>
      <w:bookmarkStart w:id="180" w:name="_Toc78191635"/>
      <w:r>
        <w:rPr>
          <w:rFonts w:hint="eastAsia" w:ascii="宋体" w:hAnsi="宋体"/>
          <w:b/>
          <w:bCs/>
          <w:sz w:val="28"/>
          <w:szCs w:val="28"/>
        </w:rPr>
        <w:t>评标争议处理规则</w:t>
      </w:r>
      <w:bookmarkEnd w:id="180"/>
    </w:p>
    <w:p>
      <w:pPr>
        <w:tabs>
          <w:tab w:val="left" w:pos="1155"/>
        </w:tabs>
        <w:spacing w:line="360" w:lineRule="auto"/>
        <w:ind w:firstLine="524"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市公资交易中心</w:t>
      </w:r>
      <w:r>
        <w:rPr>
          <w:rFonts w:hint="eastAsia" w:ascii="宋体" w:hAnsi="宋体"/>
          <w:sz w:val="28"/>
          <w:szCs w:val="28"/>
        </w:rPr>
        <w:t>书面反映。采购人或</w:t>
      </w:r>
      <w:r>
        <w:rPr>
          <w:rFonts w:hint="eastAsia" w:cs="Arial"/>
          <w:sz w:val="28"/>
          <w:szCs w:val="28"/>
        </w:rPr>
        <w:t>市公资交易中心</w:t>
      </w:r>
      <w:r>
        <w:rPr>
          <w:rFonts w:hint="eastAsia" w:ascii="宋体" w:hAnsi="宋体"/>
          <w:sz w:val="28"/>
          <w:szCs w:val="28"/>
        </w:rPr>
        <w:t>收到书面反映后，应当书面报告采购项目同级财政部门依法处理。</w:t>
      </w:r>
    </w:p>
    <w:p>
      <w:pPr>
        <w:keepNext/>
        <w:keepLines/>
        <w:numPr>
          <w:ilvl w:val="1"/>
          <w:numId w:val="3"/>
        </w:numPr>
        <w:spacing w:line="360" w:lineRule="auto"/>
        <w:jc w:val="left"/>
        <w:outlineLvl w:val="1"/>
        <w:rPr>
          <w:rFonts w:ascii="宋体" w:hAnsi="宋体"/>
          <w:b/>
          <w:bCs/>
          <w:sz w:val="28"/>
          <w:szCs w:val="28"/>
        </w:rPr>
      </w:pPr>
      <w:bookmarkStart w:id="181" w:name="_Toc78191636"/>
      <w:r>
        <w:rPr>
          <w:rFonts w:hint="eastAsia" w:ascii="宋体" w:hAnsi="宋体"/>
          <w:b/>
          <w:bCs/>
          <w:sz w:val="28"/>
          <w:szCs w:val="28"/>
        </w:rPr>
        <w:t>评标细则及标准</w:t>
      </w:r>
      <w:bookmarkEnd w:id="181"/>
    </w:p>
    <w:p>
      <w:pPr>
        <w:numPr>
          <w:ilvl w:val="0"/>
          <w:numId w:val="43"/>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3"/>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3"/>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3"/>
        </w:numPr>
        <w:spacing w:line="360" w:lineRule="auto"/>
        <w:ind w:left="0" w:firstLine="0"/>
        <w:outlineLvl w:val="2"/>
        <w:rPr>
          <w:rFonts w:ascii="宋体" w:hAnsi="宋体"/>
          <w:sz w:val="28"/>
        </w:rPr>
      </w:pPr>
      <w:r>
        <w:rPr>
          <w:rFonts w:hint="eastAsia" w:ascii="宋体" w:hAnsi="宋体"/>
          <w:b/>
          <w:bCs/>
          <w:sz w:val="28"/>
          <w:szCs w:val="28"/>
        </w:rPr>
        <w:t>评分标准</w:t>
      </w:r>
    </w:p>
    <w:tbl>
      <w:tblPr>
        <w:tblStyle w:val="47"/>
        <w:tblpPr w:leftFromText="180" w:rightFromText="180" w:vertAnchor="text" w:horzAnchor="page" w:tblpX="1779" w:tblpY="311"/>
        <w:tblOverlap w:val="never"/>
        <w:tblW w:w="918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0"/>
        <w:gridCol w:w="126"/>
        <w:gridCol w:w="906"/>
        <w:gridCol w:w="5103"/>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101"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1842" w:type="dxa"/>
            <w:gridSpan w:val="3"/>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评审项目</w:t>
            </w:r>
          </w:p>
        </w:tc>
        <w:tc>
          <w:tcPr>
            <w:tcW w:w="510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评分标准</w:t>
            </w:r>
          </w:p>
        </w:tc>
        <w:tc>
          <w:tcPr>
            <w:tcW w:w="1134"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top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842" w:type="dxa"/>
            <w:gridSpan w:val="3"/>
            <w:tcBorders>
              <w:top w:val="single" w:color="auto" w:sz="4" w:space="0"/>
              <w:bottom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bCs/>
                <w:szCs w:val="21"/>
              </w:rPr>
              <w:t>报价</w:t>
            </w:r>
          </w:p>
        </w:tc>
        <w:tc>
          <w:tcPr>
            <w:tcW w:w="5103" w:type="dxa"/>
            <w:tcBorders>
              <w:top w:val="single" w:color="auto" w:sz="4" w:space="0"/>
            </w:tcBorders>
            <w:vAlign w:val="center"/>
          </w:tcPr>
          <w:p>
            <w:pPr>
              <w:spacing w:line="360" w:lineRule="auto"/>
              <w:contextualSpacing/>
              <w:rPr>
                <w:rFonts w:ascii="宋体" w:hAnsi="宋体"/>
                <w:szCs w:val="21"/>
              </w:rPr>
            </w:pPr>
            <w:r>
              <w:rPr>
                <w:rFonts w:hint="eastAsia" w:ascii="宋体" w:hAnsi="宋体"/>
                <w:szCs w:val="21"/>
              </w:rPr>
              <w:t>1. 经评标委员会评审，通过资格性和符合性审查，且投标报价最低的投标人的投标报价作为评标基准价.</w:t>
            </w:r>
          </w:p>
          <w:p>
            <w:pPr>
              <w:spacing w:line="360" w:lineRule="auto"/>
              <w:contextualSpacing/>
              <w:rPr>
                <w:rFonts w:ascii="宋体" w:hAnsi="宋体"/>
                <w:szCs w:val="21"/>
              </w:rPr>
            </w:pPr>
            <w:r>
              <w:rPr>
                <w:rFonts w:hint="eastAsia" w:ascii="宋体" w:hAnsi="宋体"/>
                <w:szCs w:val="21"/>
              </w:rPr>
              <w:t>2.投标报价得分=(评标基准价／投标报价)×30。</w:t>
            </w:r>
          </w:p>
        </w:tc>
        <w:tc>
          <w:tcPr>
            <w:tcW w:w="1134" w:type="dxa"/>
            <w:tcBorders>
              <w:top w:val="single" w:color="auto" w:sz="4" w:space="0"/>
            </w:tcBorders>
            <w:vAlign w:val="center"/>
          </w:tcPr>
          <w:p>
            <w:pPr>
              <w:spacing w:line="360" w:lineRule="auto"/>
              <w:jc w:val="center"/>
              <w:rPr>
                <w:rFonts w:ascii="宋体" w:hAnsi="宋体"/>
                <w:szCs w:val="21"/>
              </w:rPr>
            </w:pPr>
            <w:r>
              <w:rPr>
                <w:rFonts w:hint="eastAsia" w:ascii="宋体" w:hAnsi="宋体"/>
                <w:bCs/>
                <w:szCs w:val="21"/>
              </w:rPr>
              <w:t>30分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atLeast"/>
        </w:trPr>
        <w:tc>
          <w:tcPr>
            <w:tcW w:w="1101" w:type="dxa"/>
            <w:vMerge w:val="restart"/>
            <w:tcBorders>
              <w:top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2</w:t>
            </w:r>
          </w:p>
        </w:tc>
        <w:tc>
          <w:tcPr>
            <w:tcW w:w="810" w:type="dxa"/>
            <w:vMerge w:val="restart"/>
            <w:tcBorders>
              <w:top w:val="single" w:color="auto" w:sz="4" w:space="0"/>
            </w:tcBorders>
            <w:vAlign w:val="center"/>
          </w:tcPr>
          <w:p>
            <w:pPr>
              <w:spacing w:line="360" w:lineRule="auto"/>
              <w:jc w:val="center"/>
              <w:rPr>
                <w:rFonts w:ascii="宋体" w:hAnsi="宋体"/>
                <w:szCs w:val="21"/>
              </w:rPr>
            </w:pPr>
            <w:r>
              <w:rPr>
                <w:rFonts w:hint="eastAsia"/>
              </w:rPr>
              <w:t>技术或者服务水平</w:t>
            </w:r>
          </w:p>
        </w:tc>
        <w:tc>
          <w:tcPr>
            <w:tcW w:w="1032" w:type="dxa"/>
            <w:gridSpan w:val="2"/>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技术指标和配置</w:t>
            </w:r>
          </w:p>
        </w:tc>
        <w:tc>
          <w:tcPr>
            <w:tcW w:w="5103" w:type="dxa"/>
            <w:tcBorders>
              <w:top w:val="single" w:color="auto" w:sz="4" w:space="0"/>
            </w:tcBorders>
            <w:vAlign w:val="center"/>
          </w:tcPr>
          <w:p>
            <w:pPr>
              <w:widowControl/>
              <w:jc w:val="left"/>
              <w:rPr>
                <w:rFonts w:ascii="宋体" w:hAnsi="宋体"/>
                <w:bCs/>
                <w:sz w:val="24"/>
              </w:rPr>
            </w:pPr>
            <w:r>
              <w:rPr>
                <w:rFonts w:hint="eastAsia" w:ascii="宋体" w:hAnsi="宋体" w:eastAsia="宋体" w:cs="Times New Roman"/>
                <w:color w:val="auto"/>
                <w:kern w:val="2"/>
                <w:sz w:val="21"/>
                <w:szCs w:val="21"/>
                <w:lang w:val="en-US" w:eastAsia="zh-CN" w:bidi="ar-SA"/>
              </w:rPr>
              <w:t>完全符合招标文件要求没有负偏离得49分；技术指标和配置高于招标要求并体现出产品的质量和性能更优的，一项加0.5分，最多加1分；与招标文件标注“</w:t>
            </w:r>
            <w:r>
              <w:rPr>
                <w:rFonts w:hint="eastAsia" w:ascii="仿宋_GB2312" w:hAnsi="宋体" w:eastAsia="仿宋_GB2312" w:cs="宋体"/>
                <w:sz w:val="24"/>
                <w:szCs w:val="24"/>
              </w:rPr>
              <w:t>*</w:t>
            </w:r>
            <w:r>
              <w:rPr>
                <w:rFonts w:hint="eastAsia" w:ascii="宋体" w:hAnsi="宋体" w:eastAsia="宋体" w:cs="Times New Roman"/>
                <w:color w:val="auto"/>
                <w:kern w:val="2"/>
                <w:sz w:val="21"/>
                <w:szCs w:val="21"/>
                <w:lang w:val="en-US" w:eastAsia="zh-CN" w:bidi="ar-SA"/>
              </w:rPr>
              <w:t>”的要求有负偏离的，一项扣2分；与招标文件其他要求有</w:t>
            </w:r>
            <w:r>
              <w:rPr>
                <w:rFonts w:hint="eastAsia" w:ascii="宋体" w:hAnsi="宋体" w:eastAsia="宋体" w:cs="Times New Roman"/>
                <w:color w:val="FF0000"/>
                <w:kern w:val="2"/>
                <w:sz w:val="21"/>
                <w:szCs w:val="21"/>
                <w:lang w:val="en-US" w:eastAsia="zh-CN" w:bidi="ar-SA"/>
              </w:rPr>
              <w:t>非实质性</w:t>
            </w:r>
            <w:r>
              <w:rPr>
                <w:rFonts w:hint="eastAsia" w:ascii="宋体" w:hAnsi="宋体" w:eastAsia="宋体" w:cs="Times New Roman"/>
                <w:color w:val="auto"/>
                <w:kern w:val="2"/>
                <w:sz w:val="21"/>
                <w:szCs w:val="21"/>
                <w:lang w:val="en-US" w:eastAsia="zh-CN" w:bidi="ar-SA"/>
              </w:rPr>
              <w:t>负偏离的，一项扣1分，扣完为止。</w:t>
            </w:r>
          </w:p>
        </w:tc>
        <w:tc>
          <w:tcPr>
            <w:tcW w:w="1134" w:type="dxa"/>
            <w:tcBorders>
              <w:top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50分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vAlign w:val="center"/>
          </w:tcPr>
          <w:p>
            <w:pPr>
              <w:spacing w:line="360" w:lineRule="auto"/>
              <w:jc w:val="center"/>
              <w:rPr>
                <w:rFonts w:ascii="宋体" w:hAnsi="宋体" w:cs="宋体"/>
                <w:kern w:val="0"/>
                <w:szCs w:val="21"/>
              </w:rPr>
            </w:pPr>
          </w:p>
        </w:tc>
        <w:tc>
          <w:tcPr>
            <w:tcW w:w="810" w:type="dxa"/>
            <w:vMerge w:val="continue"/>
            <w:tcBorders>
              <w:bottom w:val="single" w:color="auto" w:sz="4" w:space="0"/>
            </w:tcBorders>
            <w:vAlign w:val="center"/>
          </w:tcPr>
          <w:p>
            <w:pPr>
              <w:spacing w:line="360" w:lineRule="auto"/>
              <w:jc w:val="center"/>
            </w:pPr>
          </w:p>
        </w:tc>
        <w:tc>
          <w:tcPr>
            <w:tcW w:w="1032" w:type="dxa"/>
            <w:gridSpan w:val="2"/>
            <w:tcBorders>
              <w:top w:val="single" w:color="auto" w:sz="4" w:space="0"/>
              <w:bottom w:val="single" w:color="auto" w:sz="4" w:space="0"/>
            </w:tcBorders>
            <w:vAlign w:val="center"/>
          </w:tcPr>
          <w:p>
            <w:pPr>
              <w:widowControl/>
              <w:jc w:val="center"/>
              <w:rPr>
                <w:rFonts w:ascii="宋体" w:hAnsi="宋体"/>
                <w:szCs w:val="21"/>
              </w:rPr>
            </w:pPr>
            <w:r>
              <w:rPr>
                <w:rFonts w:hint="eastAsia" w:ascii="宋体" w:hAnsi="宋体"/>
                <w:szCs w:val="21"/>
              </w:rPr>
              <w:t>节能、环境标志产品</w:t>
            </w:r>
          </w:p>
        </w:tc>
        <w:tc>
          <w:tcPr>
            <w:tcW w:w="5103" w:type="dxa"/>
            <w:tcBorders>
              <w:top w:val="single" w:color="auto" w:sz="4" w:space="0"/>
            </w:tcBorders>
          </w:tcPr>
          <w:p>
            <w:pPr>
              <w:jc w:val="left"/>
              <w:rPr>
                <w:rFonts w:ascii="宋体" w:hAnsi="宋体"/>
                <w:szCs w:val="21"/>
              </w:rPr>
            </w:pPr>
            <w:r>
              <w:rPr>
                <w:rFonts w:hint="eastAsia" w:ascii="宋体" w:hAnsi="宋体"/>
                <w:szCs w:val="21"/>
              </w:rPr>
              <w:t>投标人投标产品中</w:t>
            </w:r>
            <w:r>
              <w:rPr>
                <w:rFonts w:ascii="宋体" w:hAnsi="宋体"/>
                <w:szCs w:val="21"/>
              </w:rPr>
              <w:t>每有一项产品</w:t>
            </w:r>
            <w:r>
              <w:rPr>
                <w:rFonts w:hint="eastAsia" w:ascii="宋体" w:hAnsi="宋体"/>
                <w:szCs w:val="21"/>
              </w:rPr>
              <w:t>具有国家确定的认证机构出具的节能产品认证证书的得</w:t>
            </w:r>
            <w:r>
              <w:rPr>
                <w:rFonts w:hint="eastAsia" w:ascii="宋体" w:hAnsi="宋体"/>
                <w:szCs w:val="21"/>
                <w:lang w:val="en-US" w:eastAsia="zh-CN"/>
              </w:rPr>
              <w:t>0.5</w:t>
            </w:r>
            <w:r>
              <w:rPr>
                <w:rFonts w:ascii="宋体" w:hAnsi="宋体"/>
                <w:szCs w:val="21"/>
              </w:rPr>
              <w:t>分；投标人投标产品</w:t>
            </w:r>
            <w:r>
              <w:rPr>
                <w:rFonts w:hint="eastAsia" w:ascii="宋体" w:hAnsi="宋体"/>
                <w:szCs w:val="21"/>
              </w:rPr>
              <w:t>中</w:t>
            </w:r>
            <w:r>
              <w:rPr>
                <w:rFonts w:ascii="宋体" w:hAnsi="宋体"/>
                <w:szCs w:val="21"/>
              </w:rPr>
              <w:t>每有一项产品</w:t>
            </w:r>
            <w:r>
              <w:rPr>
                <w:rFonts w:hint="eastAsia" w:ascii="宋体" w:hAnsi="宋体"/>
                <w:szCs w:val="21"/>
              </w:rPr>
              <w:t>具</w:t>
            </w:r>
            <w:r>
              <w:rPr>
                <w:rFonts w:ascii="宋体" w:hAnsi="宋体"/>
                <w:szCs w:val="21"/>
              </w:rPr>
              <w:t>有国家确定的认证机构出具的环境标志产品认证证书的得</w:t>
            </w:r>
            <w:r>
              <w:rPr>
                <w:rFonts w:hint="eastAsia" w:ascii="宋体" w:hAnsi="宋体"/>
                <w:szCs w:val="21"/>
                <w:lang w:val="en-US" w:eastAsia="zh-CN"/>
              </w:rPr>
              <w:t>0.5</w:t>
            </w:r>
            <w:r>
              <w:rPr>
                <w:rFonts w:ascii="宋体" w:hAnsi="宋体"/>
                <w:szCs w:val="21"/>
              </w:rPr>
              <w:t>分</w:t>
            </w:r>
            <w:r>
              <w:rPr>
                <w:rFonts w:hint="eastAsia" w:ascii="宋体" w:hAnsi="宋体"/>
                <w:szCs w:val="21"/>
              </w:rPr>
              <w:t>；</w:t>
            </w:r>
            <w:r>
              <w:rPr>
                <w:rFonts w:ascii="宋体" w:hAnsi="宋体"/>
                <w:szCs w:val="21"/>
              </w:rPr>
              <w:t>投标人投标产品</w:t>
            </w:r>
            <w:r>
              <w:rPr>
                <w:rFonts w:hint="eastAsia" w:ascii="宋体" w:hAnsi="宋体"/>
                <w:szCs w:val="21"/>
              </w:rPr>
              <w:t>中</w:t>
            </w:r>
            <w:r>
              <w:rPr>
                <w:rFonts w:ascii="宋体" w:hAnsi="宋体"/>
                <w:szCs w:val="21"/>
              </w:rPr>
              <w:t>每有一项产品同时具有国家确定的认证机构出具的节能产品认证证书和环境标志产品认证证书的，得</w:t>
            </w:r>
            <w:r>
              <w:rPr>
                <w:rFonts w:hint="eastAsia" w:ascii="宋体" w:hAnsi="宋体"/>
                <w:szCs w:val="21"/>
              </w:rPr>
              <w:t>1</w:t>
            </w:r>
            <w:r>
              <w:rPr>
                <w:rFonts w:ascii="宋体" w:hAnsi="宋体"/>
                <w:szCs w:val="21"/>
              </w:rPr>
              <w:t>分。本项最多得</w:t>
            </w:r>
            <w:r>
              <w:rPr>
                <w:rFonts w:hint="eastAsia" w:ascii="宋体" w:hAnsi="宋体"/>
                <w:szCs w:val="21"/>
              </w:rPr>
              <w:t>4</w:t>
            </w:r>
            <w:r>
              <w:rPr>
                <w:rFonts w:ascii="宋体" w:hAnsi="宋体"/>
                <w:szCs w:val="21"/>
              </w:rPr>
              <w:t>分</w:t>
            </w:r>
            <w:r>
              <w:rPr>
                <w:rFonts w:hint="eastAsia" w:ascii="宋体" w:hAnsi="宋体"/>
                <w:szCs w:val="21"/>
              </w:rPr>
              <w:t>。</w:t>
            </w:r>
          </w:p>
          <w:p>
            <w:pPr>
              <w:jc w:val="left"/>
            </w:pPr>
            <w:r>
              <w:rPr>
                <w:rFonts w:hint="eastAsia" w:ascii="宋体" w:hAnsi="宋体"/>
                <w:szCs w:val="21"/>
              </w:rPr>
              <w:t>说明：（1）</w:t>
            </w:r>
            <w:r>
              <w:rPr>
                <w:rFonts w:hint="eastAsia"/>
              </w:rPr>
              <w:t>属于节能产品政府采购品目清单范围内政府强制采购产品的，不再作为评分因素；</w:t>
            </w:r>
          </w:p>
          <w:p>
            <w:pPr>
              <w:spacing w:line="360" w:lineRule="auto"/>
              <w:contextualSpacing/>
              <w:rPr>
                <w:rFonts w:ascii="宋体" w:hAnsi="宋体"/>
                <w:szCs w:val="21"/>
              </w:rPr>
            </w:pPr>
            <w:r>
              <w:rPr>
                <w:rFonts w:hint="eastAsia"/>
              </w:rPr>
              <w:t>（2）</w:t>
            </w:r>
            <w:r>
              <w:rPr>
                <w:rFonts w:hint="eastAsia" w:ascii="宋体" w:hAnsi="宋体"/>
                <w:szCs w:val="21"/>
              </w:rPr>
              <w:t>提供有效期内的证书复印件加盖投标人公章鲜章。</w:t>
            </w:r>
          </w:p>
        </w:tc>
        <w:tc>
          <w:tcPr>
            <w:tcW w:w="1134" w:type="dxa"/>
            <w:tcBorders>
              <w:top w:val="single" w:color="auto" w:sz="4" w:space="0"/>
            </w:tcBorders>
            <w:vAlign w:val="center"/>
          </w:tcPr>
          <w:p>
            <w:pPr>
              <w:widowControl/>
              <w:jc w:val="center"/>
              <w:rPr>
                <w:rFonts w:ascii="宋体" w:hAnsi="宋体"/>
                <w:szCs w:val="21"/>
              </w:rPr>
            </w:pPr>
            <w:r>
              <w:rPr>
                <w:rFonts w:hint="eastAsia" w:ascii="宋体" w:hAnsi="宋体"/>
                <w:bCs/>
                <w:szCs w:val="21"/>
              </w:rPr>
              <w:t>4分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left w:val="doub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3</w:t>
            </w:r>
          </w:p>
        </w:tc>
        <w:tc>
          <w:tcPr>
            <w:tcW w:w="810" w:type="dxa"/>
            <w:vMerge w:val="restart"/>
            <w:tcBorders>
              <w:top w:val="single" w:color="auto" w:sz="4" w:space="0"/>
            </w:tcBorders>
            <w:vAlign w:val="center"/>
          </w:tcPr>
          <w:p>
            <w:pPr>
              <w:spacing w:line="360" w:lineRule="auto"/>
              <w:jc w:val="center"/>
              <w:rPr>
                <w:rFonts w:ascii="宋体" w:hAnsi="宋体"/>
                <w:szCs w:val="21"/>
              </w:rPr>
            </w:pPr>
            <w:r>
              <w:rPr>
                <w:rFonts w:hint="eastAsia"/>
              </w:rPr>
              <w:t>履约能力</w:t>
            </w:r>
          </w:p>
        </w:tc>
        <w:tc>
          <w:tcPr>
            <w:tcW w:w="1032" w:type="dxa"/>
            <w:gridSpan w:val="2"/>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项目业绩</w:t>
            </w:r>
          </w:p>
        </w:tc>
        <w:tc>
          <w:tcPr>
            <w:tcW w:w="5103" w:type="dxa"/>
            <w:tcBorders>
              <w:top w:val="single" w:color="auto" w:sz="4" w:space="0"/>
            </w:tcBorders>
            <w:vAlign w:val="center"/>
          </w:tcPr>
          <w:p>
            <w:pPr>
              <w:widowControl/>
              <w:jc w:val="left"/>
              <w:rPr>
                <w:rFonts w:ascii="宋体" w:hAnsi="宋体"/>
                <w:szCs w:val="21"/>
              </w:rPr>
            </w:pPr>
            <w:r>
              <w:rPr>
                <w:rFonts w:hint="eastAsia" w:ascii="宋体" w:hAnsi="宋体"/>
                <w:szCs w:val="21"/>
              </w:rPr>
              <w:t>以</w:t>
            </w:r>
            <w:r>
              <w:rPr>
                <w:rFonts w:hint="eastAsia"/>
              </w:rPr>
              <w:t>投标人</w:t>
            </w:r>
            <w:r>
              <w:rPr>
                <w:rFonts w:hint="eastAsia" w:ascii="宋体" w:hAnsi="宋体"/>
                <w:szCs w:val="21"/>
              </w:rPr>
              <w:t>201</w:t>
            </w:r>
            <w:r>
              <w:rPr>
                <w:rFonts w:hint="eastAsia" w:ascii="宋体" w:hAnsi="宋体"/>
                <w:szCs w:val="21"/>
                <w:u w:val="single"/>
              </w:rPr>
              <w:t>9</w:t>
            </w:r>
            <w:r>
              <w:rPr>
                <w:rFonts w:hint="eastAsia" w:ascii="宋体" w:hAnsi="宋体"/>
                <w:szCs w:val="21"/>
              </w:rPr>
              <w:t>年以来的</w:t>
            </w:r>
            <w:r>
              <w:rPr>
                <w:rFonts w:hint="eastAsia"/>
              </w:rPr>
              <w:t>类似项目业绩（合同至少包含所投包件核心产品中任意一项内容）</w:t>
            </w:r>
            <w:r>
              <w:rPr>
                <w:rFonts w:hint="eastAsia" w:ascii="宋体" w:hAnsi="宋体"/>
                <w:szCs w:val="21"/>
              </w:rPr>
              <w:t>计算每有一个得1分，最多得6分。</w:t>
            </w:r>
          </w:p>
          <w:p>
            <w:pPr>
              <w:widowControl/>
              <w:jc w:val="left"/>
              <w:rPr>
                <w:rFonts w:ascii="宋体" w:hAnsi="宋体"/>
                <w:szCs w:val="21"/>
              </w:rPr>
            </w:pPr>
            <w:r>
              <w:rPr>
                <w:rFonts w:hint="eastAsia" w:ascii="宋体" w:hAnsi="宋体"/>
                <w:szCs w:val="21"/>
              </w:rPr>
              <w:t>提供项目业绩合同复印件和合同资金支付的银行票据复印件（合同资金为分期付款的，至少应提供一次合同资金支付的银行票据复印件），同时提供合同验收合格的证明材料。</w:t>
            </w:r>
          </w:p>
        </w:tc>
        <w:tc>
          <w:tcPr>
            <w:tcW w:w="1134" w:type="dxa"/>
            <w:tcBorders>
              <w:top w:val="single" w:color="auto" w:sz="4" w:space="0"/>
            </w:tcBorders>
            <w:vAlign w:val="center"/>
          </w:tcPr>
          <w:p>
            <w:pPr>
              <w:spacing w:line="360" w:lineRule="auto"/>
              <w:jc w:val="center"/>
              <w:rPr>
                <w:rFonts w:ascii="宋体" w:hAnsi="宋体"/>
                <w:bCs/>
                <w:szCs w:val="21"/>
              </w:rPr>
            </w:pPr>
            <w:r>
              <w:rPr>
                <w:rFonts w:hint="eastAsia" w:ascii="宋体" w:hAnsi="宋体"/>
                <w:bCs/>
                <w:szCs w:val="21"/>
              </w:rPr>
              <w:t>6分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tcBorders>
              <w:left w:val="double" w:color="auto" w:sz="4" w:space="0"/>
            </w:tcBorders>
            <w:vAlign w:val="center"/>
          </w:tcPr>
          <w:p>
            <w:pPr>
              <w:widowControl/>
              <w:spacing w:line="360" w:lineRule="auto"/>
              <w:jc w:val="center"/>
              <w:rPr>
                <w:rFonts w:ascii="宋体" w:hAnsi="宋体" w:cs="宋体"/>
                <w:kern w:val="0"/>
                <w:szCs w:val="21"/>
              </w:rPr>
            </w:pPr>
          </w:p>
        </w:tc>
        <w:tc>
          <w:tcPr>
            <w:tcW w:w="810" w:type="dxa"/>
            <w:vMerge w:val="continue"/>
            <w:tcBorders>
              <w:bottom w:val="single" w:color="auto" w:sz="4" w:space="0"/>
            </w:tcBorders>
            <w:vAlign w:val="center"/>
          </w:tcPr>
          <w:p>
            <w:pPr>
              <w:widowControl/>
              <w:jc w:val="center"/>
              <w:rPr>
                <w:rFonts w:ascii="宋体" w:hAnsi="宋体"/>
                <w:szCs w:val="21"/>
              </w:rPr>
            </w:pPr>
          </w:p>
        </w:tc>
        <w:tc>
          <w:tcPr>
            <w:tcW w:w="1032" w:type="dxa"/>
            <w:gridSpan w:val="2"/>
            <w:tcBorders>
              <w:bottom w:val="single" w:color="auto" w:sz="4" w:space="0"/>
            </w:tcBorders>
            <w:vAlign w:val="center"/>
          </w:tcPr>
          <w:p>
            <w:pPr>
              <w:widowControl/>
              <w:jc w:val="center"/>
              <w:rPr>
                <w:rFonts w:ascii="宋体" w:hAnsi="宋体"/>
                <w:szCs w:val="21"/>
              </w:rPr>
            </w:pPr>
            <w:r>
              <w:rPr>
                <w:rFonts w:hint="eastAsia" w:ascii="宋体" w:hAnsi="宋体"/>
                <w:szCs w:val="21"/>
              </w:rPr>
              <w:t>信誉</w:t>
            </w:r>
          </w:p>
        </w:tc>
        <w:tc>
          <w:tcPr>
            <w:tcW w:w="5103" w:type="dxa"/>
            <w:vAlign w:val="center"/>
          </w:tcPr>
          <w:p>
            <w:pPr>
              <w:numPr>
                <w:ilvl w:val="0"/>
                <w:numId w:val="44"/>
              </w:numPr>
              <w:spacing w:line="276" w:lineRule="auto"/>
              <w:rPr>
                <w:rFonts w:ascii="宋体" w:hAnsi="宋体"/>
                <w:szCs w:val="21"/>
              </w:rPr>
            </w:pPr>
            <w:r>
              <w:rPr>
                <w:rFonts w:hint="eastAsia" w:ascii="宋体" w:hAnsi="宋体"/>
                <w:szCs w:val="21"/>
              </w:rPr>
              <w:t>有投标产品制造商</w:t>
            </w:r>
            <w:r>
              <w:rPr>
                <w:rFonts w:hint="eastAsia"/>
                <w:szCs w:val="21"/>
              </w:rPr>
              <w:t>获得</w:t>
            </w:r>
            <w:r>
              <w:rPr>
                <w:rFonts w:hint="eastAsia" w:ascii="宋体" w:hAnsi="宋体"/>
                <w:szCs w:val="21"/>
              </w:rPr>
              <w:t>ISO9001认证的得2分；</w:t>
            </w:r>
          </w:p>
          <w:p>
            <w:pPr>
              <w:numPr>
                <w:ilvl w:val="0"/>
                <w:numId w:val="44"/>
              </w:numPr>
              <w:spacing w:line="276" w:lineRule="auto"/>
              <w:rPr>
                <w:rFonts w:ascii="宋体" w:hAnsi="宋体"/>
                <w:szCs w:val="21"/>
              </w:rPr>
            </w:pPr>
            <w:r>
              <w:rPr>
                <w:rFonts w:hint="eastAsia" w:ascii="宋体" w:hAnsi="宋体"/>
                <w:szCs w:val="21"/>
              </w:rPr>
              <w:t>有投标产品制造商</w:t>
            </w:r>
            <w:r>
              <w:rPr>
                <w:rFonts w:hint="eastAsia"/>
                <w:szCs w:val="21"/>
              </w:rPr>
              <w:t>获得</w:t>
            </w:r>
            <w:r>
              <w:rPr>
                <w:rFonts w:hint="eastAsia" w:ascii="宋体" w:hAnsi="宋体"/>
                <w:szCs w:val="21"/>
              </w:rPr>
              <w:t>ISO14001认证的得2分；</w:t>
            </w:r>
          </w:p>
          <w:p>
            <w:pPr>
              <w:spacing w:line="276" w:lineRule="auto"/>
              <w:jc w:val="left"/>
              <w:rPr>
                <w:rFonts w:ascii="宋体" w:hAnsi="宋体"/>
                <w:szCs w:val="21"/>
              </w:rPr>
            </w:pPr>
            <w:r>
              <w:rPr>
                <w:rFonts w:hint="eastAsia" w:ascii="宋体" w:hAnsi="宋体"/>
                <w:szCs w:val="21"/>
              </w:rPr>
              <w:t>（3）有投标产品制造商获得ISO</w:t>
            </w:r>
            <w:r>
              <w:rPr>
                <w:rFonts w:hint="eastAsia"/>
              </w:rPr>
              <w:t>13485</w:t>
            </w:r>
            <w:r>
              <w:rPr>
                <w:rFonts w:hint="eastAsia" w:ascii="宋体" w:hAnsi="宋体"/>
                <w:szCs w:val="21"/>
              </w:rPr>
              <w:t>认证得</w:t>
            </w:r>
            <w:r>
              <w:rPr>
                <w:rFonts w:hint="eastAsia"/>
                <w:szCs w:val="21"/>
              </w:rPr>
              <w:t>2</w:t>
            </w:r>
            <w:r>
              <w:rPr>
                <w:rFonts w:hint="eastAsia" w:ascii="宋体" w:hAnsi="宋体"/>
                <w:szCs w:val="21"/>
              </w:rPr>
              <w:t>分。</w:t>
            </w:r>
          </w:p>
          <w:p>
            <w:pPr>
              <w:widowControl/>
              <w:jc w:val="left"/>
              <w:rPr>
                <w:rFonts w:ascii="宋体" w:hAnsi="宋体"/>
                <w:szCs w:val="21"/>
              </w:rPr>
            </w:pPr>
            <w:r>
              <w:rPr>
                <w:rFonts w:hint="eastAsia" w:ascii="宋体" w:hAnsi="宋体"/>
                <w:szCs w:val="21"/>
              </w:rPr>
              <w:t>以有效证书复印件为准，复印件加投标人盖公章鲜章。</w:t>
            </w:r>
          </w:p>
        </w:tc>
        <w:tc>
          <w:tcPr>
            <w:tcW w:w="1134" w:type="dxa"/>
            <w:vAlign w:val="center"/>
          </w:tcPr>
          <w:p>
            <w:pPr>
              <w:widowControl/>
              <w:ind w:left="-38"/>
              <w:jc w:val="center"/>
              <w:rPr>
                <w:rFonts w:ascii="宋体" w:hAnsi="宋体"/>
                <w:szCs w:val="21"/>
              </w:rPr>
            </w:pPr>
            <w:r>
              <w:rPr>
                <w:rFonts w:hint="eastAsia" w:ascii="宋体" w:hAnsi="宋体"/>
                <w:bCs/>
                <w:szCs w:val="21"/>
              </w:rPr>
              <w:t>6分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842" w:type="dxa"/>
            <w:gridSpan w:val="3"/>
            <w:vAlign w:val="center"/>
          </w:tcPr>
          <w:p>
            <w:pPr>
              <w:widowControl/>
              <w:jc w:val="center"/>
              <w:rPr>
                <w:rFonts w:ascii="宋体" w:hAnsi="宋体"/>
                <w:szCs w:val="21"/>
              </w:rPr>
            </w:pPr>
            <w:r>
              <w:rPr>
                <w:rFonts w:hint="eastAsia" w:ascii="宋体" w:hAnsi="宋体"/>
                <w:sz w:val="24"/>
              </w:rPr>
              <w:t>售后服务</w:t>
            </w:r>
          </w:p>
        </w:tc>
        <w:tc>
          <w:tcPr>
            <w:tcW w:w="5103" w:type="dxa"/>
            <w:vAlign w:val="center"/>
          </w:tcPr>
          <w:p>
            <w:pPr>
              <w:widowControl/>
              <w:rPr>
                <w:rFonts w:ascii="宋体" w:hAnsi="宋体"/>
                <w:szCs w:val="21"/>
              </w:rPr>
            </w:pPr>
            <w:r>
              <w:rPr>
                <w:rFonts w:hint="eastAsia" w:ascii="宋体" w:hAnsi="宋体"/>
                <w:szCs w:val="21"/>
              </w:rPr>
              <w:t>根据投标人制定的售后服务方案进行评审，完全满足所投包件采购需求的得3分，有1项不满足的扣0.5分，本项扣完为止。</w:t>
            </w:r>
          </w:p>
        </w:tc>
        <w:tc>
          <w:tcPr>
            <w:tcW w:w="1134" w:type="dxa"/>
            <w:vAlign w:val="center"/>
          </w:tcPr>
          <w:p>
            <w:pPr>
              <w:jc w:val="center"/>
              <w:rPr>
                <w:rFonts w:ascii="宋体" w:hAnsi="宋体"/>
                <w:bCs/>
                <w:szCs w:val="21"/>
              </w:rPr>
            </w:pPr>
            <w:r>
              <w:rPr>
                <w:rFonts w:hint="eastAsia" w:ascii="宋体" w:hAnsi="宋体"/>
                <w:bCs/>
                <w:szCs w:val="21"/>
              </w:rPr>
              <w:t>3分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bottom w:val="doub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936" w:type="dxa"/>
            <w:gridSpan w:val="2"/>
            <w:tcBorders>
              <w:bottom w:val="single" w:color="auto" w:sz="4" w:space="0"/>
            </w:tcBorders>
            <w:vAlign w:val="center"/>
          </w:tcPr>
          <w:p>
            <w:pPr>
              <w:widowControl/>
              <w:rPr>
                <w:rFonts w:ascii="宋体" w:hAnsi="宋体"/>
                <w:sz w:val="24"/>
              </w:rPr>
            </w:pPr>
            <w:r>
              <w:rPr>
                <w:rFonts w:hint="eastAsia" w:ascii="宋体" w:hAnsi="宋体"/>
                <w:szCs w:val="21"/>
              </w:rPr>
              <w:t>扶持政策</w:t>
            </w:r>
          </w:p>
        </w:tc>
        <w:tc>
          <w:tcPr>
            <w:tcW w:w="906" w:type="dxa"/>
            <w:tcBorders>
              <w:bottom w:val="single" w:color="auto" w:sz="4" w:space="0"/>
            </w:tcBorders>
            <w:vAlign w:val="center"/>
          </w:tcPr>
          <w:p>
            <w:pPr>
              <w:widowControl/>
              <w:rPr>
                <w:rFonts w:ascii="宋体" w:hAnsi="宋体"/>
                <w:szCs w:val="21"/>
              </w:rPr>
            </w:pPr>
            <w:r>
              <w:rPr>
                <w:rFonts w:hint="eastAsia" w:ascii="宋体" w:hAnsi="宋体"/>
                <w:szCs w:val="21"/>
              </w:rPr>
              <w:t>支持不发达地区或少数民族地区</w:t>
            </w:r>
          </w:p>
        </w:tc>
        <w:tc>
          <w:tcPr>
            <w:tcW w:w="5103" w:type="dxa"/>
            <w:tcBorders>
              <w:bottom w:val="double" w:color="auto" w:sz="4" w:space="0"/>
            </w:tcBorders>
            <w:vAlign w:val="center"/>
          </w:tcPr>
          <w:p>
            <w:pPr>
              <w:widowControl/>
              <w:rPr>
                <w:rFonts w:ascii="宋体" w:hAnsi="宋体"/>
                <w:szCs w:val="21"/>
              </w:rPr>
            </w:pPr>
            <w:r>
              <w:rPr>
                <w:rFonts w:hint="eastAsia" w:ascii="宋体" w:hAnsi="宋体"/>
                <w:szCs w:val="21"/>
              </w:rPr>
              <w:t>投标人注册地为少数民族或不发达地区的得1分。</w:t>
            </w:r>
          </w:p>
          <w:p>
            <w:pPr>
              <w:widowControl/>
              <w:rPr>
                <w:rFonts w:ascii="宋体" w:hAnsi="宋体"/>
                <w:szCs w:val="21"/>
              </w:rPr>
            </w:pPr>
            <w:r>
              <w:rPr>
                <w:rFonts w:hint="eastAsia" w:ascii="宋体" w:hAnsi="宋体"/>
                <w:szCs w:val="21"/>
              </w:rPr>
              <w:t>(说明：在投标文件中承诺。）</w:t>
            </w:r>
          </w:p>
        </w:tc>
        <w:tc>
          <w:tcPr>
            <w:tcW w:w="1134" w:type="dxa"/>
            <w:tcBorders>
              <w:bottom w:val="double" w:color="auto" w:sz="4" w:space="0"/>
            </w:tcBorders>
            <w:vAlign w:val="center"/>
          </w:tcPr>
          <w:p>
            <w:pPr>
              <w:jc w:val="center"/>
              <w:rPr>
                <w:rFonts w:ascii="宋体" w:hAnsi="宋体"/>
                <w:bCs/>
                <w:szCs w:val="21"/>
              </w:rPr>
            </w:pPr>
            <w:r>
              <w:rPr>
                <w:rFonts w:hint="eastAsia" w:ascii="宋体" w:hAnsi="宋体"/>
                <w:bCs/>
                <w:szCs w:val="21"/>
              </w:rPr>
              <w:t>1分</w:t>
            </w:r>
          </w:p>
        </w:tc>
      </w:tr>
    </w:tbl>
    <w:p>
      <w:pPr>
        <w:ind w:firstLine="560" w:firstLineChars="200"/>
        <w:rPr>
          <w:rFonts w:ascii="宋体" w:hAnsi="宋体"/>
          <w:sz w:val="28"/>
        </w:rPr>
      </w:pPr>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3"/>
        </w:numPr>
        <w:spacing w:before="260" w:after="260" w:line="360" w:lineRule="auto"/>
        <w:jc w:val="left"/>
        <w:outlineLvl w:val="1"/>
        <w:rPr>
          <w:rFonts w:ascii="宋体" w:hAnsi="宋体"/>
          <w:b/>
          <w:bCs/>
          <w:sz w:val="28"/>
          <w:szCs w:val="28"/>
        </w:rPr>
      </w:pPr>
      <w:bookmarkStart w:id="182" w:name="_Toc78191637"/>
      <w:r>
        <w:rPr>
          <w:rFonts w:hint="eastAsia" w:ascii="宋体" w:hAnsi="宋体"/>
          <w:b/>
          <w:bCs/>
          <w:sz w:val="28"/>
          <w:szCs w:val="28"/>
        </w:rPr>
        <w:t>废标</w:t>
      </w:r>
      <w:bookmarkEnd w:id="182"/>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废标后，市公资交易中心将在“四川政府采购网”和“成都市公共资源交易服务中心”网站上公告。</w:t>
      </w:r>
    </w:p>
    <w:p>
      <w:pPr>
        <w:keepNext/>
        <w:keepLines/>
        <w:numPr>
          <w:ilvl w:val="1"/>
          <w:numId w:val="3"/>
        </w:numPr>
        <w:spacing w:before="260" w:after="260" w:line="360" w:lineRule="auto"/>
        <w:jc w:val="left"/>
        <w:outlineLvl w:val="1"/>
        <w:rPr>
          <w:rFonts w:ascii="宋体" w:hAnsi="宋体"/>
          <w:b/>
          <w:bCs/>
          <w:sz w:val="28"/>
          <w:szCs w:val="28"/>
        </w:rPr>
      </w:pPr>
      <w:bookmarkStart w:id="183" w:name="_Toc78191638"/>
      <w:r>
        <w:rPr>
          <w:rFonts w:hint="eastAsia" w:ascii="宋体" w:hAnsi="宋体"/>
          <w:b/>
          <w:bCs/>
          <w:sz w:val="28"/>
          <w:szCs w:val="28"/>
        </w:rPr>
        <w:t>定标</w:t>
      </w:r>
      <w:bookmarkEnd w:id="183"/>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二、市公资交易中心在评审结束之日起2个工作日内将评审报告送采购人。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四、根据采购人确定的中标（成交）人，市公资交易中心在“四川政府采购网”和“成都市公共资源交易服务中心”网站上发布中标（成交）公告，同时向中标（成交）人发出中标（成交）通知书。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五、采购人、市公资交易中心不解释中标（成交）或未中标（成交）原因，不退回投标文件和其他投标资料。</w:t>
      </w:r>
    </w:p>
    <w:p>
      <w:pPr>
        <w:keepNext/>
        <w:keepLines/>
        <w:numPr>
          <w:ilvl w:val="1"/>
          <w:numId w:val="3"/>
        </w:numPr>
        <w:spacing w:line="360" w:lineRule="auto"/>
        <w:jc w:val="left"/>
        <w:outlineLvl w:val="1"/>
        <w:rPr>
          <w:rFonts w:ascii="宋体" w:hAnsi="宋体"/>
          <w:b/>
          <w:bCs/>
          <w:sz w:val="28"/>
          <w:szCs w:val="28"/>
        </w:rPr>
      </w:pPr>
      <w:bookmarkStart w:id="184" w:name="_Toc78191639"/>
      <w:r>
        <w:rPr>
          <w:rFonts w:hint="eastAsia" w:ascii="宋体" w:hAnsi="宋体"/>
          <w:b/>
          <w:bCs/>
          <w:sz w:val="28"/>
          <w:szCs w:val="28"/>
        </w:rPr>
        <w:t>评标专家在政府采购活动中承担以下义务</w:t>
      </w:r>
      <w:bookmarkEnd w:id="184"/>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发现采购人、市公资交易中心及其工作人员在政府采购活动中有干预评审、发表倾向性和歧视性言论、受贿或者接受投标人的其他好处及其他违法违规行为，及时向财政部门报告。</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解答有关方面对政府采购评审工作中有关问题的询问，配合采购人或者市公资交易中心答复投标人的询问、质疑，配合财政部门的投诉处理工作等事宜。</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3"/>
        </w:numPr>
        <w:spacing w:line="360" w:lineRule="auto"/>
        <w:jc w:val="left"/>
        <w:outlineLvl w:val="1"/>
        <w:rPr>
          <w:rFonts w:ascii="宋体" w:hAnsi="宋体"/>
          <w:b/>
          <w:bCs/>
          <w:sz w:val="28"/>
          <w:szCs w:val="28"/>
        </w:rPr>
      </w:pPr>
      <w:bookmarkStart w:id="185" w:name="_Toc78191640"/>
      <w:r>
        <w:rPr>
          <w:rFonts w:hint="eastAsia" w:ascii="宋体" w:hAnsi="宋体"/>
          <w:b/>
          <w:bCs/>
          <w:sz w:val="28"/>
          <w:szCs w:val="28"/>
        </w:rPr>
        <w:t>评标委员会及其成员不得有下列行为</w:t>
      </w:r>
      <w:bookmarkEnd w:id="185"/>
    </w:p>
    <w:p>
      <w:pPr>
        <w:numPr>
          <w:ilvl w:val="0"/>
          <w:numId w:val="47"/>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47"/>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47"/>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3"/>
        </w:numPr>
        <w:spacing w:before="240" w:line="360" w:lineRule="auto"/>
        <w:jc w:val="left"/>
        <w:outlineLvl w:val="1"/>
        <w:rPr>
          <w:rFonts w:ascii="宋体" w:hAnsi="宋体"/>
          <w:b/>
          <w:bCs/>
          <w:sz w:val="28"/>
          <w:szCs w:val="28"/>
        </w:rPr>
      </w:pPr>
      <w:bookmarkStart w:id="186" w:name="_Toc78191641"/>
      <w:r>
        <w:rPr>
          <w:rFonts w:hint="eastAsia" w:ascii="宋体" w:hAnsi="宋体"/>
          <w:b/>
          <w:bCs/>
          <w:sz w:val="28"/>
          <w:szCs w:val="28"/>
        </w:rPr>
        <w:t>评审专家在政府采购活动中应当遵守以下工作纪律</w:t>
      </w:r>
      <w:bookmarkEnd w:id="186"/>
    </w:p>
    <w:p>
      <w:pPr>
        <w:numPr>
          <w:ilvl w:val="0"/>
          <w:numId w:val="48"/>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市公资交易中心</w:t>
      </w:r>
      <w:r>
        <w:rPr>
          <w:rFonts w:hint="eastAsia" w:ascii="宋体" w:hAnsi="宋体"/>
          <w:sz w:val="28"/>
          <w:szCs w:val="28"/>
        </w:rPr>
        <w:t>，不得私自转托他人。</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市公资交易中心</w:t>
      </w:r>
      <w:r>
        <w:rPr>
          <w:rFonts w:hint="eastAsia" w:ascii="宋体" w:hAnsi="宋体"/>
          <w:sz w:val="28"/>
          <w:szCs w:val="28"/>
        </w:rPr>
        <w:t>也可要求该评审专家回避。</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市公资交易中心</w:t>
      </w:r>
      <w:r>
        <w:rPr>
          <w:rFonts w:hint="eastAsia" w:ascii="宋体" w:hAnsi="宋体"/>
          <w:sz w:val="28"/>
          <w:szCs w:val="28"/>
        </w:rPr>
        <w:t>的现场秩序管理，接受评标现场监督人员的合法监督。</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8"/>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pStyle w:val="2"/>
        <w:rPr>
          <w:rFonts w:ascii="宋体" w:hAnsi="宋体"/>
          <w:sz w:val="28"/>
          <w:szCs w:val="28"/>
        </w:rPr>
      </w:pPr>
    </w:p>
    <w:p>
      <w:pPr>
        <w:pStyle w:val="34"/>
        <w:rPr>
          <w:rFonts w:ascii="宋体" w:hAnsi="宋体"/>
          <w:sz w:val="28"/>
          <w:szCs w:val="28"/>
        </w:rPr>
      </w:pPr>
    </w:p>
    <w:p>
      <w:pPr>
        <w:rPr>
          <w:rFonts w:ascii="宋体" w:hAnsi="宋体"/>
          <w:sz w:val="28"/>
          <w:szCs w:val="28"/>
        </w:rPr>
      </w:pPr>
    </w:p>
    <w:p>
      <w:pPr>
        <w:pStyle w:val="2"/>
      </w:pPr>
    </w:p>
    <w:p>
      <w:pPr>
        <w:keepNext/>
        <w:keepLines/>
        <w:numPr>
          <w:ilvl w:val="0"/>
          <w:numId w:val="3"/>
        </w:numPr>
        <w:spacing w:line="360" w:lineRule="auto"/>
        <w:ind w:left="0" w:firstLine="0"/>
        <w:jc w:val="center"/>
        <w:outlineLvl w:val="0"/>
        <w:rPr>
          <w:rFonts w:ascii="宋体" w:hAnsi="宋体"/>
          <w:b/>
          <w:bCs/>
          <w:spacing w:val="-20"/>
          <w:kern w:val="44"/>
          <w:sz w:val="32"/>
          <w:szCs w:val="32"/>
        </w:rPr>
      </w:pPr>
      <w:bookmarkStart w:id="187" w:name="_Toc78191642"/>
      <w:r>
        <w:rPr>
          <w:rFonts w:hint="eastAsia" w:ascii="宋体" w:hAnsi="宋体"/>
          <w:b/>
          <w:bCs/>
          <w:spacing w:val="-20"/>
          <w:kern w:val="44"/>
          <w:sz w:val="32"/>
          <w:szCs w:val="32"/>
        </w:rPr>
        <w:t>拟签订合同</w:t>
      </w:r>
      <w:bookmarkStart w:id="188" w:name="_Toc316475677"/>
      <w:bookmarkEnd w:id="188"/>
      <w:bookmarkStart w:id="189" w:name="_Toc316475757"/>
      <w:bookmarkEnd w:id="189"/>
      <w:bookmarkStart w:id="190" w:name="_Toc316475762"/>
      <w:bookmarkEnd w:id="190"/>
      <w:bookmarkStart w:id="191" w:name="_Toc316475753"/>
      <w:bookmarkEnd w:id="191"/>
      <w:bookmarkStart w:id="192" w:name="_Toc299975364"/>
      <w:bookmarkEnd w:id="192"/>
      <w:bookmarkStart w:id="193" w:name="_Toc316475666"/>
      <w:bookmarkEnd w:id="193"/>
      <w:bookmarkStart w:id="194" w:name="_Toc316475760"/>
      <w:bookmarkEnd w:id="194"/>
      <w:bookmarkStart w:id="195" w:name="_Toc316475754"/>
      <w:bookmarkEnd w:id="195"/>
      <w:bookmarkStart w:id="196" w:name="_Toc277152522"/>
      <w:bookmarkEnd w:id="196"/>
      <w:bookmarkStart w:id="197" w:name="_Toc214858832"/>
      <w:bookmarkEnd w:id="197"/>
      <w:bookmarkStart w:id="198" w:name="_Toc316475675"/>
      <w:bookmarkEnd w:id="198"/>
      <w:bookmarkStart w:id="199" w:name="_Toc316475673"/>
      <w:bookmarkEnd w:id="199"/>
      <w:bookmarkStart w:id="200" w:name="_Toc277152521"/>
      <w:bookmarkEnd w:id="200"/>
      <w:bookmarkStart w:id="201" w:name="_Toc316475764"/>
      <w:bookmarkEnd w:id="201"/>
      <w:bookmarkStart w:id="202" w:name="_Toc316475763"/>
      <w:bookmarkEnd w:id="202"/>
      <w:bookmarkStart w:id="203" w:name="_Toc316475672"/>
      <w:bookmarkEnd w:id="203"/>
      <w:bookmarkStart w:id="204" w:name="_Toc316475761"/>
      <w:bookmarkEnd w:id="204"/>
      <w:bookmarkStart w:id="205" w:name="_Toc316475676"/>
      <w:bookmarkEnd w:id="205"/>
      <w:bookmarkStart w:id="206" w:name="_Toc277152520"/>
      <w:bookmarkEnd w:id="206"/>
      <w:bookmarkStart w:id="207" w:name="_Toc316475759"/>
      <w:bookmarkEnd w:id="207"/>
      <w:bookmarkStart w:id="208" w:name="_Toc299975392"/>
      <w:bookmarkEnd w:id="208"/>
      <w:bookmarkStart w:id="209" w:name="_Toc316475667"/>
      <w:bookmarkEnd w:id="209"/>
      <w:bookmarkStart w:id="210" w:name="_Toc316475751"/>
      <w:bookmarkEnd w:id="210"/>
      <w:bookmarkStart w:id="211" w:name="_Toc277152523"/>
      <w:bookmarkEnd w:id="211"/>
      <w:bookmarkStart w:id="212" w:name="_Toc316475671"/>
      <w:bookmarkEnd w:id="212"/>
      <w:bookmarkStart w:id="213" w:name="_Toc316475752"/>
      <w:bookmarkEnd w:id="213"/>
      <w:bookmarkStart w:id="214" w:name="_Toc316475755"/>
      <w:bookmarkEnd w:id="214"/>
      <w:bookmarkStart w:id="215" w:name="_Toc316475669"/>
      <w:bookmarkEnd w:id="215"/>
      <w:bookmarkStart w:id="216" w:name="_Toc316475668"/>
      <w:bookmarkEnd w:id="216"/>
      <w:bookmarkStart w:id="217" w:name="_Toc316475670"/>
      <w:bookmarkEnd w:id="217"/>
      <w:bookmarkStart w:id="218" w:name="_Toc316475758"/>
      <w:bookmarkEnd w:id="218"/>
      <w:bookmarkStart w:id="219" w:name="_Toc316475674"/>
      <w:bookmarkEnd w:id="219"/>
      <w:bookmarkStart w:id="220" w:name="_Toc316475756"/>
      <w:bookmarkEnd w:id="220"/>
      <w:bookmarkStart w:id="221" w:name="_Toc316475664"/>
      <w:bookmarkEnd w:id="221"/>
      <w:bookmarkStart w:id="222" w:name="_Toc316475665"/>
      <w:bookmarkEnd w:id="222"/>
      <w:bookmarkStart w:id="223" w:name="_Toc34729074"/>
      <w:bookmarkStart w:id="224" w:name="_Toc8573798"/>
      <w:bookmarkStart w:id="225" w:name="_Toc217446108"/>
      <w:r>
        <w:rPr>
          <w:rFonts w:hint="eastAsia" w:ascii="宋体" w:hAnsi="宋体"/>
          <w:b/>
          <w:bCs/>
          <w:spacing w:val="-20"/>
          <w:kern w:val="44"/>
          <w:sz w:val="32"/>
          <w:szCs w:val="32"/>
        </w:rPr>
        <w:t>文本</w:t>
      </w:r>
      <w:bookmarkEnd w:id="187"/>
      <w:r>
        <w:rPr>
          <w:rFonts w:ascii="宋体" w:hAnsi="宋体"/>
          <w:b/>
          <w:bCs/>
          <w:spacing w:val="-20"/>
          <w:kern w:val="44"/>
          <w:sz w:val="32"/>
          <w:szCs w:val="32"/>
        </w:rPr>
        <w:t xml:space="preserve"> </w:t>
      </w:r>
      <w:r>
        <w:rPr>
          <w:rFonts w:hint="eastAsia" w:ascii="宋体" w:hAnsi="宋体"/>
          <w:b/>
          <w:bCs/>
          <w:spacing w:val="-20"/>
          <w:kern w:val="44"/>
          <w:sz w:val="32"/>
          <w:szCs w:val="32"/>
        </w:rPr>
        <w:t>(草案)</w:t>
      </w:r>
    </w:p>
    <w:bookmarkEnd w:id="223"/>
    <w:bookmarkEnd w:id="224"/>
    <w:bookmarkEnd w:id="225"/>
    <w:p>
      <w:pPr>
        <w:spacing w:line="460" w:lineRule="exact"/>
        <w:rPr>
          <w:rFonts w:ascii="仿宋" w:hAnsi="仿宋" w:eastAsia="仿宋"/>
          <w:sz w:val="32"/>
          <w:szCs w:val="32"/>
        </w:rPr>
      </w:pPr>
    </w:p>
    <w:p>
      <w:pPr>
        <w:spacing w:line="360" w:lineRule="auto"/>
        <w:jc w:val="center"/>
        <w:rPr>
          <w:rFonts w:ascii="宋体" w:hAnsi="宋体"/>
          <w:sz w:val="44"/>
          <w:szCs w:val="44"/>
        </w:rPr>
      </w:pPr>
      <w:r>
        <w:rPr>
          <w:rFonts w:hint="eastAsia" w:ascii="宋体" w:hAnsi="宋体"/>
          <w:bCs/>
          <w:sz w:val="44"/>
          <w:szCs w:val="44"/>
        </w:rPr>
        <w:t>设备采购合同</w:t>
      </w:r>
    </w:p>
    <w:p>
      <w:pPr>
        <w:spacing w:line="336" w:lineRule="auto"/>
        <w:rPr>
          <w:rFonts w:ascii="宋体" w:hAnsi="宋体" w:cs="宋体"/>
          <w:color w:val="000000"/>
          <w:sz w:val="24"/>
        </w:rPr>
      </w:pPr>
      <w:r>
        <w:rPr>
          <w:rFonts w:hint="eastAsia" w:ascii="宋体" w:hAnsi="宋体"/>
          <w:color w:val="000000"/>
          <w:sz w:val="24"/>
        </w:rPr>
        <w:t>合同编号：</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36" w:lineRule="auto"/>
        <w:rPr>
          <w:rFonts w:ascii="宋体" w:hAnsi="宋体" w:cs="宋体"/>
          <w:sz w:val="24"/>
        </w:rPr>
      </w:pPr>
      <w:r>
        <w:rPr>
          <w:rFonts w:hint="eastAsia" w:ascii="宋体" w:hAnsi="宋体" w:cs="宋体"/>
          <w:sz w:val="24"/>
        </w:rPr>
        <w:t>签订地点：都江堰市</w:t>
      </w:r>
      <w:r>
        <w:rPr>
          <w:rFonts w:hint="eastAsia" w:ascii="宋体" w:hAnsi="宋体"/>
          <w:color w:val="000000"/>
          <w:sz w:val="24"/>
          <w:u w:val="single"/>
        </w:rPr>
        <w:t>中医医院</w:t>
      </w:r>
    </w:p>
    <w:p>
      <w:pPr>
        <w:spacing w:line="336" w:lineRule="auto"/>
        <w:rPr>
          <w:rFonts w:ascii="宋体" w:hAnsi="宋体" w:cs="宋体"/>
          <w:color w:val="000000"/>
          <w:sz w:val="24"/>
        </w:rPr>
      </w:pPr>
      <w:r>
        <w:rPr>
          <w:rFonts w:hint="eastAsia" w:ascii="宋体" w:hAnsi="宋体" w:cs="宋体"/>
          <w:color w:val="000000"/>
          <w:sz w:val="24"/>
        </w:rPr>
        <w:t>签订时间：    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36" w:lineRule="auto"/>
        <w:rPr>
          <w:rFonts w:ascii="宋体" w:hAnsi="宋体"/>
          <w:color w:val="000000"/>
          <w:sz w:val="24"/>
          <w:u w:val="single"/>
        </w:rPr>
      </w:pPr>
      <w:r>
        <w:rPr>
          <w:rFonts w:hint="eastAsia" w:ascii="宋体" w:hAnsi="宋体"/>
          <w:color w:val="000000"/>
          <w:sz w:val="24"/>
        </w:rPr>
        <w:t>采购人（甲方）：</w:t>
      </w:r>
      <w:r>
        <w:rPr>
          <w:rFonts w:hint="eastAsia" w:ascii="宋体" w:hAnsi="宋体"/>
          <w:color w:val="000000"/>
          <w:sz w:val="24"/>
          <w:u w:val="single"/>
        </w:rPr>
        <w:t>都江堰市中医医院</w:t>
      </w:r>
    </w:p>
    <w:p>
      <w:pPr>
        <w:spacing w:line="336" w:lineRule="auto"/>
        <w:rPr>
          <w:color w:val="FF0000"/>
          <w:sz w:val="24"/>
          <w:u w:val="single"/>
        </w:rPr>
      </w:pPr>
      <w:r>
        <w:rPr>
          <w:rFonts w:hint="eastAsia"/>
          <w:color w:val="FF0000"/>
          <w:sz w:val="24"/>
        </w:rPr>
        <w:t>供应商（乙方）：</w:t>
      </w:r>
    </w:p>
    <w:p>
      <w:pPr>
        <w:pStyle w:val="103"/>
        <w:spacing w:line="336" w:lineRule="auto"/>
        <w:ind w:firstLine="600" w:firstLineChars="250"/>
        <w:rPr>
          <w:rFonts w:ascii="宋体"/>
        </w:rPr>
      </w:pPr>
      <w:r>
        <w:rPr>
          <w:rFonts w:hint="eastAsia" w:ascii="宋体" w:hAnsi="宋体"/>
          <w:color w:val="000000"/>
        </w:rPr>
        <w:t>根据《中华人民共和国政府采购法》、《中华人民共和国民典法》</w:t>
      </w:r>
      <w:r>
        <w:rPr>
          <w:rFonts w:hint="eastAsia" w:ascii="宋体" w:hAnsi="宋体"/>
          <w:color w:val="FF0000"/>
        </w:rPr>
        <w:t>及</w:t>
      </w:r>
      <w:bookmarkStart w:id="226" w:name="_Hlk533091799"/>
      <w:bookmarkStart w:id="227" w:name="PO_项目名称_1"/>
      <w:r>
        <w:rPr>
          <w:rFonts w:hint="eastAsia" w:ascii="宋体" w:hAnsi="宋体"/>
          <w:bCs/>
          <w:color w:val="FF0000"/>
          <w:szCs w:val="32"/>
          <w:u w:val="single"/>
        </w:rPr>
        <w:t>都江堰市中医医院XXX采购</w:t>
      </w:r>
      <w:bookmarkEnd w:id="226"/>
      <w:bookmarkEnd w:id="227"/>
      <w:r>
        <w:rPr>
          <w:rFonts w:hint="eastAsia" w:ascii="宋体"/>
          <w:color w:val="FF0000"/>
          <w:szCs w:val="32"/>
        </w:rPr>
        <w:t>项目</w:t>
      </w:r>
      <w:r>
        <w:rPr>
          <w:rFonts w:hint="eastAsia" w:ascii="宋体" w:hAnsi="宋体"/>
          <w:color w:val="FF0000"/>
        </w:rPr>
        <w:t>（项目编号：XXX）</w:t>
      </w:r>
      <w:r>
        <w:rPr>
          <w:rFonts w:hint="eastAsia" w:ascii="宋体" w:hAnsi="宋体"/>
          <w:color w:val="FF0000"/>
          <w:u w:val="single"/>
        </w:rPr>
        <w:t>第XX包</w:t>
      </w:r>
      <w:r>
        <w:rPr>
          <w:rFonts w:hint="eastAsia" w:ascii="宋体" w:hAnsi="宋体"/>
          <w:color w:val="FF0000"/>
        </w:rPr>
        <w:t>的《招标文件》、乙方的《投标文件》及《中标(成交）通知书》，甲、乙双方同意签订本合同</w:t>
      </w:r>
      <w:r>
        <w:rPr>
          <w:rFonts w:hint="eastAsia" w:ascii="宋体" w:hAnsi="宋体"/>
          <w:color w:val="000000"/>
        </w:rPr>
        <w:t>。详细技术说明及其他有关合同项目的特定信息由合同附件予以说明，合同附件及本项目的招标文件、投标文件、《</w:t>
      </w:r>
      <w:r>
        <w:rPr>
          <w:rFonts w:hint="eastAsia" w:ascii="宋体" w:hAnsi="宋体"/>
        </w:rPr>
        <w:t>中标</w:t>
      </w:r>
      <w:r>
        <w:rPr>
          <w:rFonts w:hint="eastAsia" w:ascii="宋体" w:hAnsi="宋体"/>
          <w:color w:val="FF0000"/>
        </w:rPr>
        <w:t>(成交）通知书</w:t>
      </w:r>
      <w:r>
        <w:rPr>
          <w:rFonts w:hint="eastAsia" w:ascii="宋体" w:hAnsi="宋体"/>
        </w:rPr>
        <w:t>》等均为本合同不可分割的部分。双方同意共同遵守如下条款：</w:t>
      </w:r>
    </w:p>
    <w:p>
      <w:pPr>
        <w:pStyle w:val="103"/>
        <w:spacing w:line="336" w:lineRule="auto"/>
        <w:ind w:firstLine="0" w:firstLineChars="0"/>
        <w:rPr>
          <w:rFonts w:ascii="宋体" w:hAnsi="宋体"/>
          <w:b/>
          <w:sz w:val="28"/>
          <w:szCs w:val="28"/>
        </w:rPr>
      </w:pPr>
      <w:r>
        <w:rPr>
          <w:rFonts w:hint="eastAsia" w:ascii="宋体" w:hAnsi="宋体"/>
          <w:b/>
          <w:sz w:val="28"/>
          <w:szCs w:val="28"/>
        </w:rPr>
        <w:t>1.合同货物</w:t>
      </w:r>
    </w:p>
    <w:tbl>
      <w:tblPr>
        <w:tblStyle w:val="47"/>
        <w:tblW w:w="93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9"/>
        <w:gridCol w:w="1248"/>
        <w:gridCol w:w="1208"/>
        <w:gridCol w:w="722"/>
        <w:gridCol w:w="722"/>
        <w:gridCol w:w="1169"/>
        <w:gridCol w:w="1303"/>
        <w:gridCol w:w="15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货物品名</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生产厂家</w:t>
            </w: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规格型号</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单位</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数量</w:t>
            </w:r>
          </w:p>
        </w:tc>
        <w:tc>
          <w:tcPr>
            <w:tcW w:w="1169" w:type="dxa"/>
            <w:tcBorders>
              <w:top w:val="single" w:color="auto" w:sz="4" w:space="0"/>
              <w:left w:val="single" w:color="auto" w:sz="4" w:space="0"/>
              <w:bottom w:val="single" w:color="auto" w:sz="4" w:space="0"/>
              <w:right w:val="single" w:color="auto" w:sz="4" w:space="0"/>
            </w:tcBorders>
            <w:vAlign w:val="center"/>
          </w:tcPr>
          <w:p>
            <w:pPr>
              <w:spacing w:line="336" w:lineRule="auto"/>
              <w:ind w:firstLine="120" w:firstLineChars="50"/>
              <w:jc w:val="center"/>
              <w:rPr>
                <w:rFonts w:ascii="宋体" w:hAnsi="宋体" w:cs="Arial"/>
                <w:color w:val="FF0000"/>
                <w:sz w:val="24"/>
              </w:rPr>
            </w:pPr>
            <w:r>
              <w:rPr>
                <w:rFonts w:hint="eastAsia" w:ascii="宋体" w:hAnsi="宋体" w:cs="Arial"/>
                <w:color w:val="FF0000"/>
                <w:sz w:val="24"/>
              </w:rPr>
              <w:t>单价</w:t>
            </w:r>
          </w:p>
          <w:p>
            <w:pPr>
              <w:spacing w:line="336" w:lineRule="auto"/>
              <w:jc w:val="center"/>
              <w:rPr>
                <w:rFonts w:ascii="宋体" w:hAnsi="宋体" w:cs="Arial"/>
                <w:color w:val="FF0000"/>
                <w:sz w:val="24"/>
              </w:rPr>
            </w:pPr>
            <w:r>
              <w:rPr>
                <w:rFonts w:hint="eastAsia" w:ascii="宋体" w:hAnsi="宋体" w:cs="Arial"/>
                <w:color w:val="FF0000"/>
                <w:sz w:val="24"/>
              </w:rPr>
              <w:t>（元）</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总价</w:t>
            </w:r>
          </w:p>
          <w:p>
            <w:pPr>
              <w:spacing w:line="336" w:lineRule="auto"/>
              <w:jc w:val="center"/>
              <w:rPr>
                <w:rFonts w:ascii="宋体" w:hAnsi="宋体"/>
                <w:color w:val="FF0000"/>
                <w:sz w:val="24"/>
              </w:rPr>
            </w:pPr>
            <w:r>
              <w:rPr>
                <w:rFonts w:hint="eastAsia" w:ascii="宋体" w:hAnsi="宋体" w:cs="Arial"/>
                <w:color w:val="FF0000"/>
                <w:sz w:val="24"/>
              </w:rPr>
              <w:t>（元）</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注册证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详见附件1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36" w:lineRule="auto"/>
              <w:ind w:right="-105" w:rightChars="-50"/>
              <w:jc w:val="center"/>
              <w:rPr>
                <w:rFonts w:ascii="宋体" w:hAnsi="宋体"/>
                <w:color w:val="FF0000"/>
                <w:sz w:val="24"/>
              </w:rPr>
            </w:pPr>
            <w:r>
              <w:rPr>
                <w:rFonts w:hint="eastAsia" w:ascii="宋体" w:hAnsi="宋体"/>
                <w:color w:val="FF0000"/>
                <w:sz w:val="24"/>
              </w:rPr>
              <w:t>详见附件1</w:t>
            </w: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详见附件1</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详见附件1</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详见附件1</w:t>
            </w:r>
          </w:p>
        </w:tc>
        <w:tc>
          <w:tcPr>
            <w:tcW w:w="1169" w:type="dxa"/>
            <w:tcBorders>
              <w:top w:val="single" w:color="auto" w:sz="4" w:space="0"/>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r>
              <w:rPr>
                <w:rFonts w:hint="eastAsia" w:ascii="宋体" w:hAnsi="宋体"/>
                <w:color w:val="FF0000"/>
                <w:sz w:val="24"/>
              </w:rPr>
              <w:t>详见附件1</w:t>
            </w:r>
          </w:p>
        </w:tc>
        <w:tc>
          <w:tcPr>
            <w:tcW w:w="1303" w:type="dxa"/>
            <w:tcBorders>
              <w:top w:val="single" w:color="auto" w:sz="4" w:space="0"/>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r>
              <w:rPr>
                <w:rFonts w:hint="eastAsia" w:ascii="宋体" w:hAnsi="宋体"/>
                <w:color w:val="FF0000"/>
                <w:sz w:val="24"/>
              </w:rPr>
              <w:t>详见附件1</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详见附件1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总金额（元）</w:t>
            </w:r>
          </w:p>
        </w:tc>
        <w:tc>
          <w:tcPr>
            <w:tcW w:w="7893" w:type="dxa"/>
            <w:gridSpan w:val="7"/>
            <w:tcBorders>
              <w:top w:val="single" w:color="auto" w:sz="4" w:space="0"/>
              <w:left w:val="single" w:color="auto" w:sz="4" w:space="0"/>
              <w:bottom w:val="single" w:color="auto" w:sz="4" w:space="0"/>
              <w:right w:val="single" w:color="auto" w:sz="4" w:space="0"/>
            </w:tcBorders>
            <w:vAlign w:val="center"/>
          </w:tcPr>
          <w:p>
            <w:pPr>
              <w:spacing w:line="336" w:lineRule="auto"/>
              <w:rPr>
                <w:rFonts w:ascii="宋体" w:hAnsi="宋体"/>
                <w:color w:val="FF0000"/>
                <w:sz w:val="24"/>
              </w:rPr>
            </w:pPr>
            <w:r>
              <w:rPr>
                <w:rFonts w:hint="eastAsia" w:ascii="宋体" w:hAnsi="宋体" w:cs="宋体"/>
                <w:color w:val="FF0000"/>
                <w:sz w:val="24"/>
              </w:rPr>
              <w:t xml:space="preserve">¥ </w:t>
            </w:r>
            <w:r>
              <w:rPr>
                <w:rFonts w:hint="eastAsia" w:ascii="宋体" w:hAnsi="宋体"/>
                <w:color w:val="FF0000"/>
                <w:sz w:val="24"/>
              </w:rPr>
              <w:t>元    大写：</w:t>
            </w:r>
          </w:p>
        </w:tc>
      </w:tr>
    </w:tbl>
    <w:p>
      <w:pPr>
        <w:pStyle w:val="103"/>
        <w:spacing w:line="336" w:lineRule="auto"/>
        <w:ind w:firstLine="0" w:firstLineChars="0"/>
        <w:rPr>
          <w:rFonts w:ascii="宋体" w:hAnsi="宋体"/>
          <w:color w:val="FF0000"/>
          <w:sz w:val="28"/>
          <w:szCs w:val="28"/>
        </w:rPr>
      </w:pPr>
      <w:r>
        <w:rPr>
          <w:rFonts w:hint="eastAsia" w:ascii="宋体" w:hAnsi="宋体"/>
          <w:b/>
          <w:color w:val="FF0000"/>
          <w:sz w:val="28"/>
          <w:szCs w:val="28"/>
        </w:rPr>
        <w:t>2.合同总价</w:t>
      </w:r>
    </w:p>
    <w:p>
      <w:pPr>
        <w:pStyle w:val="16"/>
        <w:spacing w:line="336" w:lineRule="auto"/>
        <w:ind w:firstLineChars="175"/>
        <w:rPr>
          <w:rFonts w:ascii="宋体" w:hAnsi="宋体"/>
          <w:color w:val="FF0000"/>
          <w:sz w:val="24"/>
        </w:rPr>
      </w:pPr>
      <w:r>
        <w:rPr>
          <w:rFonts w:hint="eastAsia" w:ascii="宋体" w:hAnsi="宋体"/>
          <w:color w:val="FF0000"/>
          <w:sz w:val="24"/>
        </w:rPr>
        <w:t>合同总价为人民币大写XXX：，即RMB￥XXX</w:t>
      </w:r>
      <w:r>
        <w:rPr>
          <w:rFonts w:hint="eastAsia" w:ascii="宋体" w:hAnsi="宋体"/>
          <w:color w:val="FF0000"/>
          <w:sz w:val="24"/>
          <w:u w:val="single"/>
        </w:rPr>
        <w:t>元</w:t>
      </w:r>
      <w:r>
        <w:rPr>
          <w:rFonts w:hint="eastAsia" w:ascii="宋体" w:hAnsi="宋体"/>
          <w:color w:val="FF0000"/>
          <w:sz w:val="24"/>
        </w:rPr>
        <w:t>；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03"/>
        <w:spacing w:line="336" w:lineRule="auto"/>
        <w:ind w:firstLine="0" w:firstLineChars="0"/>
        <w:rPr>
          <w:rFonts w:ascii="宋体" w:hAnsi="宋体"/>
          <w:b/>
          <w:sz w:val="28"/>
          <w:szCs w:val="28"/>
        </w:rPr>
      </w:pPr>
      <w:bookmarkStart w:id="228" w:name="_Toc217446109"/>
      <w:r>
        <w:rPr>
          <w:rFonts w:hint="eastAsia" w:ascii="宋体" w:hAnsi="宋体"/>
          <w:b/>
          <w:sz w:val="28"/>
          <w:szCs w:val="28"/>
        </w:rPr>
        <w:t>3.质量要求</w:t>
      </w:r>
      <w:bookmarkEnd w:id="228"/>
    </w:p>
    <w:p>
      <w:pPr>
        <w:pStyle w:val="103"/>
        <w:spacing w:line="336" w:lineRule="auto"/>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103"/>
        <w:spacing w:line="336" w:lineRule="auto"/>
        <w:ind w:firstLine="480"/>
        <w:rPr>
          <w:rFonts w:ascii="宋体" w:hAnsi="宋体"/>
        </w:rPr>
      </w:pPr>
      <w:r>
        <w:rPr>
          <w:rFonts w:hint="eastAsia" w:ascii="宋体" w:hAnsi="宋体"/>
        </w:rPr>
        <w:t>2、货物必须符合或优于国家（行业）标准，以及本项目招标文件的质量要求和技术指标与出厂标准。</w:t>
      </w:r>
    </w:p>
    <w:p>
      <w:pPr>
        <w:pStyle w:val="103"/>
        <w:spacing w:line="336" w:lineRule="auto"/>
        <w:ind w:firstLine="480"/>
        <w:rPr>
          <w:rFonts w:ascii="宋体" w:hAnsi="宋体"/>
        </w:rPr>
      </w:pPr>
      <w:r>
        <w:rPr>
          <w:rFonts w:hint="eastAsia" w:ascii="宋体" w:hAnsi="宋体"/>
        </w:rPr>
        <w:t>3、本次采购乙方无需提供成品样品；每台货物上均应有产品质量检验合格标志。</w:t>
      </w:r>
    </w:p>
    <w:p>
      <w:pPr>
        <w:pStyle w:val="103"/>
        <w:spacing w:line="336" w:lineRule="auto"/>
        <w:ind w:firstLine="480"/>
        <w:rPr>
          <w:rFonts w:ascii="宋体" w:hAnsi="宋体"/>
        </w:rPr>
      </w:pPr>
      <w:r>
        <w:rPr>
          <w:rFonts w:hint="eastAsia" w:ascii="宋体" w:hAnsi="宋体"/>
        </w:rPr>
        <w:t>4、质保期内货物制造质量出现问题，乙方应负责三包（包修、包换、包退），费用由乙方负担，甲方有权到乙方生产场地检查货物质量和生产进度。</w:t>
      </w:r>
    </w:p>
    <w:p>
      <w:pPr>
        <w:pStyle w:val="103"/>
        <w:spacing w:line="336" w:lineRule="auto"/>
        <w:ind w:firstLine="480"/>
        <w:rPr>
          <w:rFonts w:ascii="宋体" w:hAnsi="宋体"/>
        </w:rPr>
      </w:pPr>
      <w:r>
        <w:rPr>
          <w:rFonts w:hint="eastAsia" w:ascii="宋体" w:hAnsi="宋体"/>
        </w:rPr>
        <w:t>5、货到现场后由甲方保管，若甲方保管不当造成的质量问题，乙方亦应负责修理，费用由甲方负担。</w:t>
      </w:r>
    </w:p>
    <w:p>
      <w:pPr>
        <w:pStyle w:val="103"/>
        <w:spacing w:line="336" w:lineRule="auto"/>
        <w:ind w:firstLine="0" w:firstLineChars="0"/>
        <w:rPr>
          <w:rFonts w:ascii="宋体" w:hAnsi="宋体"/>
          <w:b/>
          <w:sz w:val="28"/>
          <w:szCs w:val="28"/>
        </w:rPr>
      </w:pPr>
      <w:bookmarkStart w:id="229" w:name="_Toc217446110"/>
      <w:r>
        <w:rPr>
          <w:rFonts w:hint="eastAsia" w:ascii="宋体" w:hAnsi="宋体"/>
          <w:b/>
          <w:sz w:val="28"/>
          <w:szCs w:val="28"/>
        </w:rPr>
        <w:t>4.交货及初步验收</w:t>
      </w:r>
      <w:bookmarkEnd w:id="229"/>
    </w:p>
    <w:p>
      <w:pPr>
        <w:pStyle w:val="103"/>
        <w:spacing w:line="336" w:lineRule="auto"/>
        <w:ind w:firstLine="353" w:firstLineChars="147"/>
        <w:rPr>
          <w:rFonts w:ascii="宋体" w:hAnsi="宋体"/>
          <w:b/>
          <w:sz w:val="28"/>
          <w:szCs w:val="28"/>
        </w:rPr>
      </w:pPr>
      <w:r>
        <w:rPr>
          <w:rFonts w:hint="eastAsia" w:ascii="宋体" w:hAnsi="宋体"/>
        </w:rPr>
        <w:t>4.1、乙方交货期限为合同签订生效后的</w:t>
      </w:r>
      <w:r>
        <w:rPr>
          <w:rFonts w:hint="eastAsia" w:ascii="宋体" w:hAnsi="宋体"/>
          <w:color w:val="000000"/>
          <w:u w:val="single"/>
        </w:rPr>
        <w:t>60</w:t>
      </w:r>
      <w:r>
        <w:rPr>
          <w:rFonts w:hint="eastAsia" w:ascii="宋体" w:hAnsi="宋体"/>
        </w:rPr>
        <w:t>日内，在合同签订生效</w:t>
      </w:r>
      <w:r>
        <w:rPr>
          <w:rFonts w:hint="eastAsia" w:ascii="宋体" w:hAnsi="宋体"/>
          <w:color w:val="000000"/>
        </w:rPr>
        <w:t>之日起</w:t>
      </w:r>
      <w:r>
        <w:rPr>
          <w:rFonts w:hint="eastAsia" w:ascii="宋体" w:hAnsi="宋体"/>
          <w:color w:val="000000"/>
          <w:u w:val="single"/>
        </w:rPr>
        <w:t>60</w:t>
      </w:r>
      <w:r>
        <w:rPr>
          <w:rFonts w:hint="eastAsia" w:ascii="宋体" w:hAnsi="宋体"/>
          <w:color w:val="000000"/>
        </w:rPr>
        <w:t>天内交货到甲方指定地点，随即在甲方</w:t>
      </w:r>
      <w:r>
        <w:rPr>
          <w:rFonts w:hint="eastAsia" w:ascii="宋体" w:hAnsi="宋体"/>
          <w:color w:val="000000"/>
          <w:u w:val="single"/>
        </w:rPr>
        <w:t>规定时间</w:t>
      </w:r>
      <w:r>
        <w:rPr>
          <w:rFonts w:hint="eastAsia" w:ascii="宋体" w:hAnsi="宋体"/>
          <w:color w:val="000000"/>
        </w:rPr>
        <w:t>内全部完成安装调试验收合格交</w:t>
      </w:r>
      <w:r>
        <w:rPr>
          <w:rFonts w:hint="eastAsia" w:ascii="宋体" w:hAnsi="宋体"/>
        </w:rPr>
        <w:t>付使用，如由于甲方的原因造成合同延迟签订、货物延迟安装或验收的，时间顺延。</w:t>
      </w:r>
    </w:p>
    <w:p>
      <w:pPr>
        <w:pStyle w:val="103"/>
        <w:spacing w:line="336" w:lineRule="auto"/>
        <w:ind w:firstLine="317" w:firstLineChars="132"/>
        <w:rPr>
          <w:rFonts w:ascii="宋体" w:hAnsi="宋体"/>
        </w:rPr>
      </w:pPr>
      <w:r>
        <w:rPr>
          <w:rFonts w:hint="eastAsia" w:ascii="宋体" w:hAnsi="宋体"/>
        </w:rPr>
        <w:t>4.2、初步验收由甲方组织，乙方配合进行：</w:t>
      </w:r>
    </w:p>
    <w:p>
      <w:pPr>
        <w:pStyle w:val="103"/>
        <w:spacing w:line="336" w:lineRule="auto"/>
        <w:ind w:firstLine="317" w:firstLineChars="132"/>
        <w:rPr>
          <w:rFonts w:ascii="宋体" w:hAnsi="宋体"/>
        </w:rPr>
      </w:pPr>
      <w:r>
        <w:rPr>
          <w:rFonts w:hint="eastAsia" w:ascii="宋体" w:hAnsi="宋体"/>
        </w:rPr>
        <w:t>4.2.1 货物在乙方通知安装完毕后</w:t>
      </w:r>
      <w:r>
        <w:rPr>
          <w:rFonts w:hint="eastAsia" w:ascii="宋体" w:hAnsi="宋体"/>
          <w:u w:val="single"/>
        </w:rPr>
        <w:t>3</w:t>
      </w:r>
      <w:r>
        <w:rPr>
          <w:rFonts w:hint="eastAsia" w:ascii="宋体" w:hAnsi="宋体"/>
        </w:rPr>
        <w:t>日内进行初步验收。</w:t>
      </w:r>
    </w:p>
    <w:p>
      <w:pPr>
        <w:pStyle w:val="103"/>
        <w:spacing w:line="336" w:lineRule="auto"/>
        <w:ind w:firstLine="317" w:firstLineChars="132"/>
        <w:rPr>
          <w:rFonts w:ascii="宋体" w:hAnsi="宋体"/>
        </w:rPr>
      </w:pPr>
      <w:r>
        <w:rPr>
          <w:rFonts w:hint="eastAsia" w:ascii="宋体" w:hAnsi="宋体"/>
        </w:rPr>
        <w:t>4.2.2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3"/>
        <w:spacing w:line="336" w:lineRule="auto"/>
        <w:ind w:firstLine="360" w:firstLineChars="150"/>
        <w:rPr>
          <w:rFonts w:ascii="宋体" w:hAnsi="宋体"/>
        </w:rPr>
      </w:pPr>
      <w:r>
        <w:rPr>
          <w:rFonts w:hint="eastAsia" w:ascii="宋体" w:hAnsi="宋体"/>
        </w:rPr>
        <w:t>4.2.3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3"/>
        <w:spacing w:line="336" w:lineRule="auto"/>
        <w:ind w:firstLine="317" w:firstLineChars="132"/>
        <w:rPr>
          <w:rFonts w:ascii="宋体" w:hAnsi="宋体"/>
        </w:rPr>
      </w:pPr>
      <w:r>
        <w:rPr>
          <w:rFonts w:hint="eastAsia" w:ascii="宋体" w:hAnsi="宋体"/>
        </w:rPr>
        <w:t>4.2.4 如初步验收合格，双方签署质量验收报告。</w:t>
      </w:r>
    </w:p>
    <w:p>
      <w:pPr>
        <w:pStyle w:val="103"/>
        <w:spacing w:line="336" w:lineRule="auto"/>
        <w:ind w:firstLine="317" w:firstLineChars="132"/>
        <w:rPr>
          <w:rFonts w:ascii="宋体" w:hAnsi="宋体"/>
        </w:rPr>
      </w:pPr>
      <w:r>
        <w:rPr>
          <w:rFonts w:hint="eastAsia" w:ascii="宋体" w:hAnsi="宋体"/>
        </w:rPr>
        <w:t>4.3、货物安装完成并经乙方通知甲方后</w:t>
      </w:r>
      <w:r>
        <w:rPr>
          <w:rFonts w:hint="eastAsia" w:ascii="宋体" w:hAnsi="宋体"/>
          <w:u w:val="single"/>
        </w:rPr>
        <w:t xml:space="preserve"> 7</w:t>
      </w:r>
      <w:r>
        <w:rPr>
          <w:rFonts w:hint="eastAsia" w:ascii="宋体" w:hAnsi="宋体"/>
        </w:rPr>
        <w:t>日内，甲方无故不进行初步验收工作并已使用货物的，视同已安装完成并初步验收合格。</w:t>
      </w:r>
    </w:p>
    <w:p>
      <w:pPr>
        <w:pStyle w:val="103"/>
        <w:spacing w:line="336" w:lineRule="auto"/>
        <w:ind w:firstLine="317" w:firstLineChars="132"/>
        <w:rPr>
          <w:rFonts w:ascii="宋体" w:hAnsi="宋体"/>
        </w:rPr>
      </w:pPr>
      <w:r>
        <w:rPr>
          <w:rFonts w:hint="eastAsia" w:ascii="宋体" w:hAnsi="宋体"/>
        </w:rPr>
        <w:t>4.4、乙方应将所提供货物的装箱清单、配件、随机工具、维修维护手册、软件备份、原厂保修卡、维修密码、故障代码表、备件及零部件清单含报价等维护维修必须材料和信息等资料交付给甲方；乙方不能完整交付货物及本款规定的单证和工具的，必须负责补齐，否则视为未按合同约定交货并需承担相应的违约责任。</w:t>
      </w:r>
      <w:bookmarkStart w:id="230" w:name="_Toc217446111"/>
    </w:p>
    <w:p>
      <w:pPr>
        <w:pStyle w:val="103"/>
        <w:spacing w:line="336" w:lineRule="auto"/>
        <w:ind w:firstLine="360" w:firstLineChars="150"/>
        <w:rPr>
          <w:rFonts w:ascii="宋体" w:hAnsi="宋体"/>
        </w:rPr>
      </w:pPr>
      <w:r>
        <w:rPr>
          <w:rFonts w:hint="eastAsia" w:ascii="宋体" w:hAnsi="宋体"/>
        </w:rPr>
        <w:t>4.5、如货物经乙方</w:t>
      </w:r>
      <w:r>
        <w:rPr>
          <w:rFonts w:hint="eastAsia" w:ascii="宋体" w:hAnsi="宋体"/>
          <w:u w:val="single"/>
        </w:rPr>
        <w:t xml:space="preserve"> 1 </w:t>
      </w:r>
      <w:r>
        <w:rPr>
          <w:rFonts w:hint="eastAsia" w:ascii="宋体" w:hAnsi="宋体"/>
        </w:rPr>
        <w:t>次维修仍不能达到合同约定的质量标准，甲方有权退货，并视作乙方不能交付货物而需全额退还甲方已支付货款及利息并支付违约赔偿金给甲方，甲方还可依法追究乙方的违约责任。</w:t>
      </w:r>
    </w:p>
    <w:p>
      <w:pPr>
        <w:spacing w:line="336" w:lineRule="auto"/>
        <w:ind w:firstLine="360" w:firstLineChars="150"/>
        <w:rPr>
          <w:rFonts w:ascii="宋体" w:hAnsi="宋体"/>
          <w:sz w:val="24"/>
        </w:rPr>
      </w:pPr>
      <w:r>
        <w:rPr>
          <w:rFonts w:hint="eastAsia" w:ascii="宋体" w:hAnsi="宋体"/>
          <w:sz w:val="24"/>
        </w:rPr>
        <w:t>4.6、其他未尽事宜应严格按照《省财政厅关于加强政府采购项目履约验收工作的通知》（川财采（2009）30号）的要求。</w:t>
      </w:r>
    </w:p>
    <w:p>
      <w:pPr>
        <w:pStyle w:val="103"/>
        <w:spacing w:line="336" w:lineRule="auto"/>
        <w:ind w:firstLine="0" w:firstLineChars="0"/>
        <w:rPr>
          <w:rFonts w:ascii="宋体" w:hAnsi="宋体"/>
          <w:b/>
          <w:sz w:val="28"/>
          <w:szCs w:val="28"/>
        </w:rPr>
      </w:pPr>
      <w:r>
        <w:rPr>
          <w:rFonts w:hint="eastAsia" w:ascii="宋体" w:hAnsi="宋体"/>
          <w:b/>
          <w:sz w:val="28"/>
          <w:szCs w:val="28"/>
        </w:rPr>
        <w:t>5.设备复验</w:t>
      </w:r>
    </w:p>
    <w:p>
      <w:pPr>
        <w:pStyle w:val="103"/>
        <w:spacing w:line="336" w:lineRule="auto"/>
        <w:ind w:firstLine="360" w:firstLineChars="150"/>
        <w:rPr>
          <w:rFonts w:ascii="宋体" w:hAnsi="宋体"/>
        </w:rPr>
      </w:pPr>
      <w:r>
        <w:rPr>
          <w:rFonts w:hint="eastAsia" w:ascii="宋体" w:hAnsi="宋体"/>
        </w:rPr>
        <w:t>5.1设备初验合格后</w:t>
      </w:r>
      <w:r>
        <w:rPr>
          <w:rFonts w:hint="eastAsia" w:ascii="宋体" w:hAnsi="宋体"/>
          <w:u w:val="single"/>
        </w:rPr>
        <w:t xml:space="preserve"> 3</w:t>
      </w:r>
      <w:r>
        <w:rPr>
          <w:rFonts w:hint="eastAsia" w:ascii="宋体" w:hAnsi="宋体"/>
        </w:rPr>
        <w:t>个工作日内，乙方应对设备进行运行调试完毕。</w:t>
      </w:r>
    </w:p>
    <w:p>
      <w:pPr>
        <w:pStyle w:val="103"/>
        <w:spacing w:line="336" w:lineRule="auto"/>
        <w:ind w:firstLine="360" w:firstLineChars="150"/>
        <w:rPr>
          <w:rFonts w:ascii="宋体" w:hAnsi="宋体"/>
        </w:rPr>
      </w:pPr>
      <w:r>
        <w:rPr>
          <w:rFonts w:hint="eastAsia" w:ascii="宋体" w:hAnsi="宋体"/>
        </w:rPr>
        <w:t>5.2调试期满后，乙方通知甲方进行设备复验。若设备未通过复验，甲方有权要求乙方在7个工作日内对设备完成重新调试，若仍并未通过复验，甲方有权要求乙方更换设备或解除合同。若复验收合格的，签署验收合格文件。该文件以5.2.1及5.2.2方式生效；</w:t>
      </w:r>
    </w:p>
    <w:p>
      <w:pPr>
        <w:pStyle w:val="103"/>
        <w:spacing w:line="336" w:lineRule="auto"/>
        <w:ind w:firstLine="360" w:firstLineChars="150"/>
        <w:rPr>
          <w:rFonts w:ascii="宋体" w:hAnsi="宋体"/>
        </w:rPr>
      </w:pPr>
      <w:r>
        <w:rPr>
          <w:rFonts w:hint="eastAsia" w:ascii="宋体" w:hAnsi="宋体"/>
        </w:rPr>
        <w:t>5.2.1甲方指定工作人员签字；</w:t>
      </w:r>
    </w:p>
    <w:p>
      <w:pPr>
        <w:pStyle w:val="103"/>
        <w:spacing w:line="336" w:lineRule="auto"/>
        <w:ind w:firstLine="360" w:firstLineChars="150"/>
        <w:rPr>
          <w:rFonts w:ascii="宋体" w:hAnsi="宋体"/>
        </w:rPr>
      </w:pPr>
      <w:r>
        <w:rPr>
          <w:rFonts w:hint="eastAsia" w:ascii="宋体" w:hAnsi="宋体"/>
        </w:rPr>
        <w:t>5.2.2甲方加盖管理部门公章。</w:t>
      </w:r>
    </w:p>
    <w:p>
      <w:pPr>
        <w:pStyle w:val="103"/>
        <w:spacing w:line="336" w:lineRule="auto"/>
        <w:ind w:firstLine="360" w:firstLineChars="150"/>
        <w:rPr>
          <w:rFonts w:ascii="宋体" w:hAnsi="宋体"/>
        </w:rPr>
      </w:pPr>
      <w:r>
        <w:rPr>
          <w:rFonts w:hint="eastAsia" w:ascii="宋体" w:hAnsi="宋体"/>
        </w:rPr>
        <w:t>5.3复验收的设备需同时满足下列内容：</w:t>
      </w:r>
    </w:p>
    <w:p>
      <w:pPr>
        <w:pStyle w:val="103"/>
        <w:spacing w:line="336" w:lineRule="auto"/>
        <w:ind w:firstLine="360" w:firstLineChars="150"/>
        <w:rPr>
          <w:rFonts w:ascii="宋体" w:hAnsi="宋体"/>
        </w:rPr>
      </w:pPr>
      <w:r>
        <w:rPr>
          <w:rFonts w:hint="eastAsia" w:ascii="宋体" w:hAnsi="宋体"/>
        </w:rPr>
        <w:t>5.3.1招标(比选)文件中注明的所有技术参数。</w:t>
      </w:r>
    </w:p>
    <w:p>
      <w:pPr>
        <w:pStyle w:val="103"/>
        <w:spacing w:line="336" w:lineRule="auto"/>
        <w:ind w:firstLine="360" w:firstLineChars="150"/>
        <w:rPr>
          <w:rFonts w:ascii="宋体" w:hAnsi="宋体"/>
        </w:rPr>
      </w:pPr>
      <w:r>
        <w:rPr>
          <w:rFonts w:hint="eastAsia" w:ascii="宋体" w:hAnsi="宋体"/>
        </w:rPr>
        <w:t>5.3.2关于设备合法性、使用、设备质量的所有书面文件，进口设备须具备所有海关手续。</w:t>
      </w:r>
    </w:p>
    <w:p>
      <w:pPr>
        <w:pStyle w:val="103"/>
        <w:spacing w:line="336" w:lineRule="auto"/>
        <w:ind w:firstLine="360" w:firstLineChars="150"/>
        <w:rPr>
          <w:rFonts w:ascii="宋体" w:hAnsi="宋体"/>
        </w:rPr>
      </w:pPr>
      <w:r>
        <w:rPr>
          <w:rFonts w:hint="eastAsia" w:ascii="宋体" w:hAnsi="宋体"/>
        </w:rPr>
        <w:t>5.3.3《医学装备验收表》规定的其他各项要求。《医学装备验收表》作为本合同的附件。</w:t>
      </w:r>
    </w:p>
    <w:p>
      <w:pPr>
        <w:pStyle w:val="103"/>
        <w:spacing w:line="336" w:lineRule="auto"/>
        <w:ind w:firstLine="0" w:firstLineChars="0"/>
        <w:rPr>
          <w:rFonts w:ascii="宋体" w:hAnsi="宋体"/>
          <w:b/>
          <w:sz w:val="28"/>
          <w:szCs w:val="28"/>
        </w:rPr>
      </w:pPr>
      <w:r>
        <w:rPr>
          <w:rFonts w:hint="eastAsia" w:ascii="宋体" w:hAnsi="宋体"/>
          <w:b/>
          <w:sz w:val="28"/>
          <w:szCs w:val="28"/>
        </w:rPr>
        <w:t>6.人员培训</w:t>
      </w:r>
    </w:p>
    <w:p>
      <w:pPr>
        <w:pStyle w:val="103"/>
        <w:spacing w:line="336" w:lineRule="auto"/>
        <w:ind w:firstLine="360" w:firstLineChars="150"/>
        <w:rPr>
          <w:rFonts w:ascii="宋体" w:hAnsi="宋体"/>
        </w:rPr>
      </w:pPr>
      <w:r>
        <w:rPr>
          <w:rFonts w:hint="eastAsia" w:ascii="宋体" w:hAnsi="宋体"/>
        </w:rPr>
        <w:t>6.1乙方应按照甲方要求对甲方工作人员进行免费培训，保证受训人员能熟练操作，并对该设备能进行日常维护。</w:t>
      </w:r>
    </w:p>
    <w:p>
      <w:pPr>
        <w:pStyle w:val="103"/>
        <w:spacing w:line="336" w:lineRule="auto"/>
        <w:ind w:firstLine="0" w:firstLineChars="0"/>
        <w:rPr>
          <w:rFonts w:ascii="宋体" w:hAnsi="宋体"/>
          <w:b/>
          <w:sz w:val="28"/>
          <w:szCs w:val="28"/>
        </w:rPr>
      </w:pPr>
      <w:r>
        <w:rPr>
          <w:rFonts w:hint="eastAsia" w:ascii="宋体" w:hAnsi="宋体"/>
          <w:b/>
          <w:sz w:val="28"/>
          <w:szCs w:val="28"/>
        </w:rPr>
        <w:t>7.质量承诺</w:t>
      </w:r>
    </w:p>
    <w:p>
      <w:pPr>
        <w:pStyle w:val="103"/>
        <w:spacing w:line="336" w:lineRule="auto"/>
        <w:ind w:firstLine="360" w:firstLineChars="150"/>
        <w:rPr>
          <w:rFonts w:ascii="宋体" w:hAnsi="宋体"/>
        </w:rPr>
      </w:pPr>
      <w:r>
        <w:rPr>
          <w:rFonts w:hint="eastAsia" w:ascii="宋体" w:hAnsi="宋体"/>
        </w:rPr>
        <w:t>7.1乙方应保证该设备全新，标识清楚，权属清楚，原产地真实，质量符合国家标准(在无国家标准时，符合行业标准)，不得以假充真，以次充好。</w:t>
      </w:r>
    </w:p>
    <w:p>
      <w:pPr>
        <w:pStyle w:val="103"/>
        <w:spacing w:line="336" w:lineRule="auto"/>
        <w:ind w:firstLine="360" w:firstLineChars="150"/>
        <w:rPr>
          <w:rFonts w:ascii="宋体" w:hAnsi="宋体"/>
        </w:rPr>
      </w:pPr>
      <w:r>
        <w:rPr>
          <w:rFonts w:hint="eastAsia" w:ascii="宋体" w:hAnsi="宋体"/>
        </w:rPr>
        <w:t>7.2在保修期内乙方应保证甲方对该设备的使用达到第</w:t>
      </w:r>
      <w:r>
        <w:rPr>
          <w:rFonts w:hint="eastAsia" w:ascii="宋体" w:hAnsi="宋体"/>
          <w:u w:val="single"/>
        </w:rPr>
        <w:t xml:space="preserve">_B </w:t>
      </w:r>
      <w:r>
        <w:rPr>
          <w:rFonts w:hint="eastAsia" w:ascii="宋体" w:hAnsi="宋体"/>
        </w:rPr>
        <w:t>种标准；</w:t>
      </w:r>
    </w:p>
    <w:p>
      <w:pPr>
        <w:pStyle w:val="103"/>
        <w:spacing w:line="336" w:lineRule="auto"/>
        <w:ind w:firstLine="360" w:firstLineChars="150"/>
        <w:rPr>
          <w:rFonts w:ascii="宋体" w:hAnsi="宋体"/>
          <w:color w:val="000000"/>
        </w:rPr>
      </w:pPr>
      <w:r>
        <w:rPr>
          <w:rFonts w:hint="eastAsia" w:ascii="宋体" w:hAnsi="宋体"/>
          <w:color w:val="000000"/>
        </w:rPr>
        <w:t>A.每年正常使用时间不少于</w:t>
      </w:r>
      <w:r>
        <w:rPr>
          <w:rFonts w:hint="eastAsia" w:ascii="宋体" w:hAnsi="宋体"/>
          <w:color w:val="000000"/>
          <w:u w:val="single"/>
        </w:rPr>
        <w:t xml:space="preserve"> / </w:t>
      </w:r>
      <w:r>
        <w:rPr>
          <w:rFonts w:hint="eastAsia" w:ascii="宋体" w:hAnsi="宋体"/>
          <w:color w:val="000000"/>
        </w:rPr>
        <w:t>天(以365天/年计算)</w:t>
      </w:r>
    </w:p>
    <w:p>
      <w:pPr>
        <w:pStyle w:val="103"/>
        <w:spacing w:line="336" w:lineRule="auto"/>
        <w:ind w:firstLine="360" w:firstLineChars="150"/>
        <w:rPr>
          <w:rFonts w:ascii="宋体" w:hAnsi="宋体"/>
        </w:rPr>
      </w:pPr>
      <w:r>
        <w:rPr>
          <w:rFonts w:hint="eastAsia" w:ascii="宋体" w:hAnsi="宋体"/>
        </w:rPr>
        <w:t>B.每年因故障停用时间小于</w:t>
      </w:r>
      <w:r>
        <w:rPr>
          <w:rFonts w:hint="eastAsia" w:ascii="宋体" w:hAnsi="宋体"/>
          <w:u w:val="single"/>
        </w:rPr>
        <w:t xml:space="preserve"> 10</w:t>
      </w:r>
      <w:r>
        <w:rPr>
          <w:rFonts w:hint="eastAsia" w:ascii="宋体" w:hAnsi="宋体"/>
        </w:rPr>
        <w:t>天(以365天/年计算)。</w:t>
      </w:r>
    </w:p>
    <w:p>
      <w:pPr>
        <w:pStyle w:val="103"/>
        <w:spacing w:line="336" w:lineRule="auto"/>
        <w:ind w:firstLine="360" w:firstLineChars="150"/>
        <w:rPr>
          <w:rFonts w:ascii="宋体" w:hAnsi="宋体"/>
        </w:rPr>
      </w:pPr>
      <w:r>
        <w:rPr>
          <w:rFonts w:hint="eastAsia" w:ascii="宋体" w:hAnsi="宋体"/>
        </w:rPr>
        <w:t>7.3如因设备质量瑕疵导致甲方无法正常使用或影响使用效果，由此与患者发生纠纷而导致甲方赔偿，乙方对此承担全部责任。</w:t>
      </w:r>
    </w:p>
    <w:p>
      <w:pPr>
        <w:pStyle w:val="103"/>
        <w:spacing w:line="336" w:lineRule="auto"/>
        <w:ind w:firstLine="0" w:firstLineChars="0"/>
        <w:rPr>
          <w:rFonts w:ascii="宋体" w:hAnsi="宋体"/>
          <w:b/>
          <w:sz w:val="28"/>
          <w:szCs w:val="28"/>
        </w:rPr>
      </w:pPr>
      <w:r>
        <w:rPr>
          <w:rFonts w:hint="eastAsia" w:ascii="宋体" w:hAnsi="宋体"/>
          <w:b/>
          <w:sz w:val="28"/>
          <w:szCs w:val="28"/>
        </w:rPr>
        <w:t>8.设备软件升级特别约定</w:t>
      </w:r>
    </w:p>
    <w:p>
      <w:pPr>
        <w:pStyle w:val="103"/>
        <w:spacing w:line="336" w:lineRule="auto"/>
        <w:ind w:firstLine="360" w:firstLineChars="150"/>
        <w:rPr>
          <w:rFonts w:ascii="宋体" w:hAnsi="宋体"/>
        </w:rPr>
      </w:pPr>
      <w:r>
        <w:rPr>
          <w:rFonts w:hint="eastAsia" w:ascii="宋体" w:hAnsi="宋体"/>
        </w:rPr>
        <w:t>8.1当设备软件有升级版本时，乙方承诺及时为甲方提供免费升级服务。</w:t>
      </w:r>
    </w:p>
    <w:p>
      <w:pPr>
        <w:pStyle w:val="103"/>
        <w:spacing w:line="336" w:lineRule="auto"/>
        <w:ind w:firstLine="0" w:firstLineChars="0"/>
        <w:rPr>
          <w:rFonts w:ascii="宋体" w:hAnsi="宋体"/>
          <w:b/>
          <w:color w:val="FF0000"/>
          <w:sz w:val="28"/>
          <w:szCs w:val="28"/>
        </w:rPr>
      </w:pPr>
      <w:r>
        <w:rPr>
          <w:rFonts w:hint="eastAsia" w:ascii="宋体" w:hAnsi="宋体"/>
          <w:b/>
          <w:color w:val="FF0000"/>
          <w:sz w:val="28"/>
          <w:szCs w:val="28"/>
        </w:rPr>
        <w:t>9.付款方式</w:t>
      </w:r>
      <w:bookmarkEnd w:id="230"/>
    </w:p>
    <w:p>
      <w:pPr>
        <w:pStyle w:val="103"/>
        <w:spacing w:line="336" w:lineRule="auto"/>
        <w:ind w:firstLine="360" w:firstLineChars="150"/>
        <w:rPr>
          <w:rFonts w:ascii="宋体" w:hAnsi="宋体"/>
          <w:color w:val="FF0000"/>
        </w:rPr>
      </w:pPr>
      <w:r>
        <w:rPr>
          <w:rFonts w:hint="eastAsia" w:ascii="宋体" w:hAnsi="宋体"/>
          <w:color w:val="FF0000"/>
        </w:rPr>
        <w:t>9.1 全部货物安装调试完毕并复验合格之日起，甲方接到乙方通知与票据凭证资料以后的60日内，向乙方核拨合同总价90%款项，￥</w:t>
      </w:r>
      <w:r>
        <w:rPr>
          <w:rFonts w:ascii="宋体" w:hAnsi="宋体"/>
          <w:color w:val="FF0000"/>
          <w:u w:val="single"/>
        </w:rPr>
        <w:t xml:space="preserve"> </w:t>
      </w:r>
      <w:r>
        <w:rPr>
          <w:rFonts w:hint="eastAsia" w:ascii="宋体" w:hAnsi="宋体"/>
          <w:color w:val="FF0000"/>
        </w:rPr>
        <w:t>元，大写：。</w:t>
      </w:r>
    </w:p>
    <w:p>
      <w:pPr>
        <w:pStyle w:val="103"/>
        <w:spacing w:line="336" w:lineRule="auto"/>
        <w:ind w:firstLine="360" w:firstLineChars="150"/>
        <w:rPr>
          <w:rFonts w:ascii="宋体" w:hAnsi="宋体"/>
          <w:color w:val="FF0000"/>
        </w:rPr>
      </w:pPr>
      <w:r>
        <w:rPr>
          <w:rFonts w:hint="eastAsia" w:ascii="宋体" w:hAnsi="宋体"/>
          <w:color w:val="FF0000"/>
        </w:rPr>
        <w:t>9.2 质保期到期后，设备运转正常，甲方在60 日内全额无息支付合同总价10%的余款￥：元，大写：给乙方。</w:t>
      </w:r>
    </w:p>
    <w:p>
      <w:pPr>
        <w:pStyle w:val="103"/>
        <w:spacing w:line="336" w:lineRule="auto"/>
        <w:ind w:firstLine="360" w:firstLineChars="150"/>
        <w:rPr>
          <w:rFonts w:ascii="宋体" w:hAnsi="宋体"/>
          <w:color w:val="FF0000"/>
        </w:rPr>
      </w:pPr>
      <w:r>
        <w:rPr>
          <w:rFonts w:hint="eastAsia" w:ascii="宋体" w:hAnsi="宋体"/>
          <w:color w:val="FF0000"/>
        </w:rPr>
        <w:t>9.3乙方须向甲方出具合法有效完整的完税发票及凭证资料后甲方进行支付结算。否则甲方可延期付款并不因此承担违约责任。</w:t>
      </w:r>
    </w:p>
    <w:p>
      <w:pPr>
        <w:pStyle w:val="103"/>
        <w:spacing w:line="336" w:lineRule="auto"/>
        <w:ind w:firstLine="0" w:firstLineChars="0"/>
        <w:rPr>
          <w:rFonts w:ascii="宋体" w:hAnsi="宋体"/>
          <w:b/>
          <w:sz w:val="28"/>
          <w:szCs w:val="28"/>
        </w:rPr>
      </w:pPr>
      <w:r>
        <w:rPr>
          <w:rFonts w:hint="eastAsia" w:ascii="宋体" w:hAnsi="宋体"/>
          <w:b/>
          <w:sz w:val="28"/>
          <w:szCs w:val="28"/>
        </w:rPr>
        <w:t>10.设备保修及维修</w:t>
      </w:r>
    </w:p>
    <w:p>
      <w:pPr>
        <w:pStyle w:val="103"/>
        <w:spacing w:line="336" w:lineRule="auto"/>
        <w:ind w:firstLine="360" w:firstLineChars="150"/>
        <w:rPr>
          <w:rFonts w:ascii="宋体" w:hAnsi="宋体"/>
        </w:rPr>
      </w:pPr>
      <w:r>
        <w:rPr>
          <w:rFonts w:hint="eastAsia" w:ascii="宋体" w:hAnsi="宋体"/>
        </w:rPr>
        <w:t>10.1整机免费保修期限自复验合格之日起</w:t>
      </w:r>
      <w:r>
        <w:rPr>
          <w:rFonts w:hint="eastAsia" w:ascii="宋体" w:hAnsi="宋体"/>
          <w:u w:val="single"/>
        </w:rPr>
        <w:t xml:space="preserve">   </w:t>
      </w:r>
      <w:r>
        <w:rPr>
          <w:rFonts w:hint="eastAsia" w:ascii="宋体" w:hAnsi="宋体"/>
        </w:rPr>
        <w:t>年，终身维修。</w:t>
      </w:r>
    </w:p>
    <w:p>
      <w:pPr>
        <w:pStyle w:val="103"/>
        <w:spacing w:line="336" w:lineRule="auto"/>
        <w:ind w:firstLine="360" w:firstLineChars="150"/>
        <w:rPr>
          <w:rFonts w:ascii="宋体" w:hAnsi="宋体"/>
        </w:rPr>
      </w:pPr>
      <w:r>
        <w:rPr>
          <w:rFonts w:hint="eastAsia" w:ascii="宋体" w:hAnsi="宋体"/>
        </w:rPr>
        <w:t>10.2乙方接到甲方故障通知后应在</w:t>
      </w:r>
      <w:r>
        <w:rPr>
          <w:rFonts w:hint="eastAsia" w:ascii="宋体" w:hAnsi="宋体"/>
          <w:u w:val="single"/>
        </w:rPr>
        <w:t>24</w:t>
      </w:r>
      <w:r>
        <w:rPr>
          <w:rFonts w:hint="eastAsia" w:ascii="宋体" w:hAnsi="宋体"/>
        </w:rPr>
        <w:t>小时内指派人员及时进行检测维修，如维修不涉及零配件更换，应在接到甲方故障通知后</w:t>
      </w:r>
      <w:r>
        <w:rPr>
          <w:rFonts w:hint="eastAsia" w:ascii="宋体" w:hAnsi="宋体"/>
          <w:u w:val="single"/>
        </w:rPr>
        <w:t>48小时</w:t>
      </w:r>
      <w:r>
        <w:rPr>
          <w:rFonts w:hint="eastAsia" w:ascii="宋体" w:hAnsi="宋体"/>
        </w:rPr>
        <w:t>内修复完毕；如涉及到零配件更换，应在接到甲方故障通知后</w:t>
      </w:r>
      <w:r>
        <w:rPr>
          <w:rFonts w:hint="eastAsia" w:ascii="宋体" w:hAnsi="宋体"/>
          <w:u w:val="single"/>
        </w:rPr>
        <w:t>5</w:t>
      </w:r>
      <w:r>
        <w:rPr>
          <w:rFonts w:hint="eastAsia" w:ascii="宋体" w:hAnsi="宋体"/>
        </w:rPr>
        <w:t>日内修复完毕，在保修期内，产生的所有费用均由乙方承担。乙方若未在规定期限内修复设备而给甲方造成直接和间接经济损失，由乙方承担。</w:t>
      </w:r>
    </w:p>
    <w:p>
      <w:pPr>
        <w:pStyle w:val="103"/>
        <w:spacing w:line="336" w:lineRule="auto"/>
        <w:ind w:firstLine="360" w:firstLineChars="150"/>
        <w:rPr>
          <w:rFonts w:ascii="宋体" w:hAnsi="宋体"/>
        </w:rPr>
      </w:pPr>
      <w:r>
        <w:rPr>
          <w:rFonts w:hint="eastAsia" w:ascii="宋体" w:hAnsi="宋体"/>
        </w:rPr>
        <w:t>10.3保(维)修期间如需更换零配件，乙方应保证所更换的零配件与原设备相同规格和品质；保修期外零配件及耗材的费用根据市场价格浮动。</w:t>
      </w:r>
    </w:p>
    <w:p>
      <w:pPr>
        <w:pStyle w:val="103"/>
        <w:spacing w:line="336" w:lineRule="auto"/>
        <w:ind w:firstLine="360" w:firstLineChars="150"/>
        <w:rPr>
          <w:rFonts w:ascii="宋体" w:hAnsi="宋体"/>
        </w:rPr>
      </w:pPr>
      <w:r>
        <w:rPr>
          <w:rFonts w:hint="eastAsia" w:ascii="宋体" w:hAnsi="宋体"/>
        </w:rPr>
        <w:t>10.4如设备在保修期内单次维修时间超过</w:t>
      </w:r>
      <w:r>
        <w:rPr>
          <w:rFonts w:hint="eastAsia" w:ascii="宋体" w:hAnsi="宋体"/>
          <w:u w:val="single"/>
        </w:rPr>
        <w:t>10</w:t>
      </w:r>
      <w:r>
        <w:rPr>
          <w:rFonts w:hint="eastAsia" w:ascii="宋体" w:hAnsi="宋体"/>
        </w:rPr>
        <w:t>天或同一故障维修次数超过</w:t>
      </w:r>
      <w:r>
        <w:rPr>
          <w:rFonts w:hint="eastAsia" w:ascii="宋体" w:hAnsi="宋体"/>
          <w:u w:val="single"/>
        </w:rPr>
        <w:t>3</w:t>
      </w:r>
      <w:r>
        <w:rPr>
          <w:rFonts w:hint="eastAsia" w:ascii="宋体" w:hAnsi="宋体"/>
        </w:rPr>
        <w:t>次，甲方有权要求乙方无条件更换设备，乙方不得推诿拒绝。</w:t>
      </w:r>
    </w:p>
    <w:p>
      <w:pPr>
        <w:pStyle w:val="103"/>
        <w:spacing w:line="336" w:lineRule="auto"/>
        <w:ind w:firstLine="360" w:firstLineChars="150"/>
        <w:rPr>
          <w:rFonts w:ascii="宋体" w:hAnsi="宋体"/>
        </w:rPr>
      </w:pPr>
      <w:r>
        <w:rPr>
          <w:rFonts w:hint="eastAsia" w:ascii="宋体" w:hAnsi="宋体"/>
        </w:rPr>
        <w:t>10.5维修期间，如接到甲方故障通知后</w:t>
      </w:r>
      <w:r>
        <w:rPr>
          <w:rFonts w:hint="eastAsia" w:ascii="宋体" w:hAnsi="宋体"/>
          <w:u w:val="single"/>
        </w:rPr>
        <w:t>72</w:t>
      </w:r>
      <w:r>
        <w:rPr>
          <w:rFonts w:hint="eastAsia" w:ascii="宋体" w:hAnsi="宋体"/>
        </w:rPr>
        <w:t>小时内没有修复，乙方向甲方提供替用设备。</w:t>
      </w:r>
    </w:p>
    <w:p>
      <w:pPr>
        <w:pStyle w:val="103"/>
        <w:spacing w:line="336" w:lineRule="auto"/>
        <w:ind w:firstLine="360" w:firstLineChars="150"/>
        <w:rPr>
          <w:rFonts w:ascii="宋体" w:hAnsi="宋体"/>
        </w:rPr>
      </w:pPr>
      <w:r>
        <w:rPr>
          <w:rFonts w:hint="eastAsia" w:ascii="宋体" w:hAnsi="宋体"/>
        </w:rPr>
        <w:t>10.6若设备涉及计算机软件系统的，乙方有义务保障为甲方此后对设备完全的使用及维修，包括但不限于使用设备的源代码、密码，乙方不得拒绝或收取额外费用。</w:t>
      </w:r>
    </w:p>
    <w:p>
      <w:pPr>
        <w:pStyle w:val="103"/>
        <w:spacing w:line="336" w:lineRule="auto"/>
        <w:ind w:firstLine="0" w:firstLineChars="0"/>
        <w:rPr>
          <w:rFonts w:ascii="宋体" w:hAnsi="宋体"/>
          <w:b/>
          <w:sz w:val="28"/>
          <w:szCs w:val="28"/>
        </w:rPr>
      </w:pPr>
      <w:bookmarkStart w:id="231" w:name="_Toc217446113"/>
      <w:r>
        <w:rPr>
          <w:rFonts w:hint="eastAsia" w:ascii="宋体" w:hAnsi="宋体"/>
          <w:b/>
          <w:sz w:val="28"/>
          <w:szCs w:val="28"/>
        </w:rPr>
        <w:t>11.违约责任</w:t>
      </w:r>
      <w:bookmarkEnd w:id="231"/>
    </w:p>
    <w:p>
      <w:pPr>
        <w:pStyle w:val="103"/>
        <w:spacing w:line="336" w:lineRule="auto"/>
        <w:ind w:firstLine="360" w:firstLineChars="150"/>
        <w:rPr>
          <w:rFonts w:ascii="宋体" w:hAnsi="宋体"/>
        </w:rPr>
      </w:pPr>
      <w:r>
        <w:rPr>
          <w:rFonts w:hint="eastAsia" w:ascii="宋体" w:hAnsi="宋体"/>
        </w:rPr>
        <w:t>11.1甲方违约责任</w:t>
      </w:r>
    </w:p>
    <w:p>
      <w:pPr>
        <w:pStyle w:val="103"/>
        <w:spacing w:line="336" w:lineRule="auto"/>
        <w:ind w:firstLine="360" w:firstLineChars="150"/>
        <w:rPr>
          <w:rFonts w:ascii="宋体" w:hAnsi="宋体"/>
        </w:rPr>
      </w:pPr>
      <w:r>
        <w:rPr>
          <w:rFonts w:hint="eastAsia" w:ascii="宋体" w:hAnsi="宋体"/>
        </w:rPr>
        <w:t>11.1.1 甲方无正当理由拒收货物的，甲方应偿付合同总价百分之</w:t>
      </w:r>
      <w:r>
        <w:rPr>
          <w:rFonts w:hint="eastAsia" w:ascii="宋体" w:hAnsi="宋体"/>
          <w:u w:val="single"/>
        </w:rPr>
        <w:t xml:space="preserve"> 三 </w:t>
      </w:r>
      <w:r>
        <w:rPr>
          <w:rFonts w:hint="eastAsia" w:ascii="宋体" w:hAnsi="宋体"/>
        </w:rPr>
        <w:t>的违约金；</w:t>
      </w:r>
    </w:p>
    <w:p>
      <w:pPr>
        <w:spacing w:line="336" w:lineRule="auto"/>
        <w:ind w:firstLine="360" w:firstLineChars="150"/>
        <w:rPr>
          <w:rFonts w:ascii="宋体" w:hAnsi="宋体"/>
          <w:sz w:val="24"/>
        </w:rPr>
      </w:pPr>
      <w:r>
        <w:rPr>
          <w:rFonts w:hint="eastAsia" w:ascii="宋体" w:hAnsi="宋体"/>
          <w:sz w:val="24"/>
        </w:rPr>
        <w:t>11.1.2 甲方逾期支付货款的，除应及时付足货款外，应向乙方偿付欠款总额万分之</w:t>
      </w:r>
      <w:r>
        <w:rPr>
          <w:rFonts w:hint="eastAsia" w:ascii="宋体" w:hAnsi="宋体"/>
          <w:sz w:val="24"/>
          <w:u w:val="single"/>
        </w:rPr>
        <w:t>五</w:t>
      </w:r>
      <w:r>
        <w:rPr>
          <w:rFonts w:hint="eastAsia" w:ascii="宋体" w:hAnsi="宋体"/>
          <w:sz w:val="24"/>
        </w:rPr>
        <w:t>/天的违约金；逾期付款超过</w:t>
      </w:r>
      <w:r>
        <w:rPr>
          <w:rFonts w:hint="eastAsia" w:ascii="宋体" w:hAnsi="宋体"/>
          <w:sz w:val="24"/>
          <w:u w:val="single"/>
        </w:rPr>
        <w:t>60</w:t>
      </w:r>
      <w:r>
        <w:rPr>
          <w:rFonts w:hint="eastAsia" w:ascii="宋体" w:hAnsi="宋体"/>
          <w:sz w:val="24"/>
        </w:rPr>
        <w:t>天的，乙方有权终止合同；</w:t>
      </w:r>
    </w:p>
    <w:p>
      <w:pPr>
        <w:pStyle w:val="103"/>
        <w:spacing w:line="336" w:lineRule="auto"/>
        <w:ind w:firstLine="360" w:firstLineChars="150"/>
        <w:rPr>
          <w:rFonts w:ascii="宋体" w:hAnsi="宋体"/>
        </w:rPr>
      </w:pPr>
      <w:r>
        <w:rPr>
          <w:rFonts w:hint="eastAsia" w:ascii="宋体" w:hAnsi="宋体"/>
        </w:rPr>
        <w:t>11.1.3 甲方偿付的违约金不足以弥补乙方损失的，还应按乙方损失尚未弥补的部分，支付赔偿金给乙方。</w:t>
      </w:r>
    </w:p>
    <w:p>
      <w:pPr>
        <w:pStyle w:val="103"/>
        <w:spacing w:line="336" w:lineRule="auto"/>
        <w:ind w:firstLine="360" w:firstLineChars="150"/>
        <w:rPr>
          <w:rFonts w:ascii="宋体" w:hAnsi="宋体"/>
        </w:rPr>
      </w:pPr>
      <w:r>
        <w:rPr>
          <w:rFonts w:hint="eastAsia" w:ascii="宋体" w:hAnsi="宋体"/>
        </w:rPr>
        <w:t>11.2 乙方违约责任</w:t>
      </w:r>
    </w:p>
    <w:p>
      <w:pPr>
        <w:pStyle w:val="103"/>
        <w:spacing w:line="336" w:lineRule="auto"/>
        <w:ind w:firstLine="360" w:firstLineChars="150"/>
        <w:rPr>
          <w:rFonts w:ascii="宋体" w:hAnsi="宋体"/>
        </w:rPr>
      </w:pPr>
      <w:r>
        <w:rPr>
          <w:rFonts w:hint="eastAsia" w:ascii="宋体" w:hAnsi="宋体"/>
        </w:rPr>
        <w:t>11.2.1乙方交付的货物质量不符合合同规定的，乙方应向甲方支付合同总价的百分之</w:t>
      </w:r>
      <w:r>
        <w:rPr>
          <w:rFonts w:hint="eastAsia" w:ascii="宋体" w:hAnsi="宋体"/>
          <w:u w:val="single"/>
        </w:rPr>
        <w:t>三</w:t>
      </w:r>
      <w:r>
        <w:rPr>
          <w:rFonts w:hint="eastAsia" w:ascii="宋体" w:hAnsi="宋体"/>
        </w:rPr>
        <w:t>的违约金，并须在合同规定的交货时间内更换合格的货物给甲方，否则，视作乙方不能交付货物而违约，按本条本款下述第“（11.2.2）”项规定由乙方偿付违约赔偿金给甲方。</w:t>
      </w:r>
    </w:p>
    <w:p>
      <w:pPr>
        <w:pStyle w:val="103"/>
        <w:spacing w:line="336" w:lineRule="auto"/>
        <w:ind w:firstLine="360" w:firstLineChars="150"/>
        <w:rPr>
          <w:rFonts w:ascii="宋体" w:hAnsi="宋体"/>
        </w:rPr>
      </w:pPr>
      <w:r>
        <w:rPr>
          <w:rFonts w:hint="eastAsia" w:ascii="宋体" w:hAnsi="宋体"/>
        </w:rPr>
        <w:t>11.2.2乙方不能交付货物或逾期交付货物而违约的，除应及时交足货物外，应向甲方偿付逾期交货部分货款总额的万分之</w:t>
      </w:r>
      <w:r>
        <w:rPr>
          <w:rFonts w:hint="eastAsia" w:ascii="宋体" w:hAnsi="宋体"/>
          <w:u w:val="single"/>
        </w:rPr>
        <w:t>五</w:t>
      </w:r>
      <w:r>
        <w:rPr>
          <w:rFonts w:hint="eastAsia" w:ascii="宋体" w:hAnsi="宋体"/>
        </w:rPr>
        <w:t>/天的违约金；逾期交货超过</w:t>
      </w:r>
      <w:r>
        <w:rPr>
          <w:rFonts w:hint="eastAsia" w:ascii="宋体" w:hAnsi="宋体"/>
          <w:u w:val="single"/>
        </w:rPr>
        <w:t>60</w:t>
      </w:r>
      <w:r>
        <w:rPr>
          <w:rFonts w:hint="eastAsia" w:ascii="宋体" w:hAnsi="宋体"/>
        </w:rPr>
        <w:t>天，甲方有权终止合同，乙方则应按合同总价的百分之</w:t>
      </w:r>
      <w:r>
        <w:rPr>
          <w:rFonts w:hint="eastAsia" w:ascii="宋体" w:hAnsi="宋体"/>
          <w:u w:val="single"/>
        </w:rPr>
        <w:t>三</w:t>
      </w:r>
      <w:r>
        <w:rPr>
          <w:rFonts w:hint="eastAsia" w:ascii="宋体" w:hAnsi="宋体"/>
        </w:rPr>
        <w:t>的款额向甲方偿付赔偿金，并须全额退还甲方已经付给乙方的货款及其利息。</w:t>
      </w:r>
    </w:p>
    <w:p>
      <w:pPr>
        <w:pStyle w:val="103"/>
        <w:spacing w:line="336" w:lineRule="auto"/>
        <w:ind w:firstLine="360" w:firstLineChars="150"/>
        <w:rPr>
          <w:rFonts w:ascii="宋体" w:hAnsi="宋体"/>
        </w:rPr>
      </w:pPr>
      <w:r>
        <w:rPr>
          <w:rFonts w:hint="eastAsia" w:ascii="宋体" w:hAnsi="宋体"/>
        </w:rPr>
        <w:t>11.2.3若货物经有法定资格条件的质量技术监督机构检测后，检测结果认定货物质量不符合本合同规定标准的，乙方须在 30天内无条件更换合格的货物，如逾期不能更换合格的货物，甲方有权终止本合同，乙方应另付合同总价的百分之</w:t>
      </w:r>
      <w:r>
        <w:rPr>
          <w:rFonts w:hint="eastAsia" w:ascii="宋体" w:hAnsi="宋体"/>
          <w:u w:val="single"/>
        </w:rPr>
        <w:t xml:space="preserve">三 </w:t>
      </w:r>
      <w:r>
        <w:rPr>
          <w:rFonts w:hint="eastAsia" w:ascii="宋体" w:hAnsi="宋体"/>
        </w:rPr>
        <w:t>的赔偿金给甲方。</w:t>
      </w:r>
    </w:p>
    <w:p>
      <w:pPr>
        <w:pStyle w:val="103"/>
        <w:spacing w:line="336" w:lineRule="auto"/>
        <w:ind w:firstLine="360" w:firstLineChars="150"/>
        <w:rPr>
          <w:rFonts w:ascii="宋体" w:hAnsi="宋体"/>
        </w:rPr>
      </w:pPr>
      <w:r>
        <w:rPr>
          <w:rFonts w:hint="eastAsia" w:ascii="宋体" w:hAnsi="宋体"/>
        </w:rPr>
        <w:t>11.2.4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u w:val="single"/>
        </w:rPr>
        <w:t>三</w:t>
      </w:r>
      <w:r>
        <w:rPr>
          <w:rFonts w:hint="eastAsia" w:ascii="宋体" w:hAnsi="宋体"/>
        </w:rPr>
        <w:t>向甲方支付违约金并赔偿因此给甲方造成的一切损失。</w:t>
      </w:r>
    </w:p>
    <w:p>
      <w:pPr>
        <w:pStyle w:val="103"/>
        <w:spacing w:line="336" w:lineRule="auto"/>
        <w:ind w:firstLine="360" w:firstLineChars="150"/>
        <w:rPr>
          <w:rFonts w:ascii="宋体" w:hAnsi="宋体"/>
        </w:rPr>
      </w:pPr>
      <w:r>
        <w:rPr>
          <w:rFonts w:hint="eastAsia" w:ascii="宋体" w:hAnsi="宋体"/>
        </w:rPr>
        <w:t>11.2.5乙方偿付的违约金不足以弥补甲方损失的，还应按甲方损失尚未弥补的部分，支付赔偿金给甲方。</w:t>
      </w:r>
    </w:p>
    <w:p>
      <w:pPr>
        <w:pStyle w:val="103"/>
        <w:spacing w:line="336" w:lineRule="auto"/>
        <w:ind w:firstLine="0" w:firstLineChars="0"/>
        <w:rPr>
          <w:rFonts w:ascii="宋体" w:hAnsi="宋体"/>
          <w:b/>
          <w:sz w:val="28"/>
          <w:szCs w:val="28"/>
        </w:rPr>
      </w:pPr>
      <w:bookmarkStart w:id="232" w:name="_Toc217446114"/>
      <w:r>
        <w:rPr>
          <w:rFonts w:hint="eastAsia" w:ascii="宋体" w:hAnsi="宋体"/>
          <w:b/>
          <w:sz w:val="28"/>
          <w:szCs w:val="28"/>
        </w:rPr>
        <w:t>12.争议解决办法</w:t>
      </w:r>
      <w:bookmarkEnd w:id="232"/>
    </w:p>
    <w:p>
      <w:pPr>
        <w:pStyle w:val="103"/>
        <w:spacing w:line="336" w:lineRule="auto"/>
        <w:ind w:firstLine="360" w:firstLineChars="150"/>
        <w:rPr>
          <w:rFonts w:ascii="宋体" w:hAnsi="宋体"/>
        </w:rPr>
      </w:pPr>
      <w:r>
        <w:rPr>
          <w:rFonts w:hint="eastAsia" w:ascii="宋体" w:hAnsi="宋体"/>
        </w:rPr>
        <w:t>12.1因货物的质量问题发生争议，由质量技术监督部门或其指定的质量鉴定机构进行质量鉴定。货物符合标准的，鉴定费由甲方承担；货物不符合质量标准的，鉴定费由乙方承担。</w:t>
      </w:r>
    </w:p>
    <w:p>
      <w:pPr>
        <w:pStyle w:val="103"/>
        <w:spacing w:line="336" w:lineRule="auto"/>
        <w:ind w:firstLine="360" w:firstLineChars="150"/>
        <w:rPr>
          <w:rFonts w:ascii="宋体" w:hAnsi="宋体"/>
        </w:rPr>
      </w:pPr>
      <w:r>
        <w:rPr>
          <w:rFonts w:hint="eastAsia" w:ascii="宋体" w:hAnsi="宋体"/>
        </w:rPr>
        <w:t>12.2合同履行期间,若双方发生争议，可协商或由有关部门调解解决，协商或调解不成的，可向甲方所在地法院提起诉讼。</w:t>
      </w:r>
    </w:p>
    <w:p>
      <w:pPr>
        <w:pStyle w:val="103"/>
        <w:spacing w:line="336" w:lineRule="auto"/>
        <w:ind w:firstLine="360" w:firstLineChars="150"/>
        <w:rPr>
          <w:rFonts w:ascii="宋体" w:hAnsi="宋体"/>
        </w:rPr>
      </w:pPr>
      <w:r>
        <w:rPr>
          <w:rFonts w:hint="eastAsia" w:ascii="宋体" w:hAnsi="宋体"/>
        </w:rPr>
        <w:t>12.3 本合同履行中如有任何一方违约，那么守约方为保障自己合法权益而产生的律师费、诉讼费、差旅费、公告费等，均由违约方承担。</w:t>
      </w:r>
    </w:p>
    <w:p>
      <w:pPr>
        <w:pStyle w:val="103"/>
        <w:spacing w:line="336" w:lineRule="auto"/>
        <w:ind w:firstLine="0" w:firstLineChars="0"/>
        <w:rPr>
          <w:rFonts w:ascii="宋体" w:hAnsi="宋体"/>
          <w:b/>
          <w:sz w:val="28"/>
          <w:szCs w:val="28"/>
        </w:rPr>
      </w:pPr>
      <w:bookmarkStart w:id="233" w:name="_Toc217446115"/>
      <w:r>
        <w:rPr>
          <w:rFonts w:hint="eastAsia" w:ascii="宋体" w:hAnsi="宋体"/>
          <w:b/>
          <w:sz w:val="28"/>
          <w:szCs w:val="28"/>
        </w:rPr>
        <w:t>13.其他</w:t>
      </w:r>
      <w:bookmarkEnd w:id="233"/>
    </w:p>
    <w:p>
      <w:pPr>
        <w:pStyle w:val="103"/>
        <w:spacing w:line="336" w:lineRule="auto"/>
        <w:ind w:firstLine="480"/>
        <w:rPr>
          <w:rFonts w:ascii="宋体" w:hAnsi="宋体"/>
        </w:rPr>
      </w:pPr>
      <w:r>
        <w:rPr>
          <w:rFonts w:hint="eastAsia" w:ascii="宋体" w:hAnsi="宋体"/>
        </w:rPr>
        <w:t>13.1如有未尽事宜，由双方可依法订立补充合同。补充合同与本合同具有同等法律效力。补充合同与本合同有矛盾之处，以补充合同为准。</w:t>
      </w:r>
    </w:p>
    <w:p>
      <w:pPr>
        <w:pStyle w:val="103"/>
        <w:spacing w:line="336" w:lineRule="auto"/>
        <w:ind w:firstLine="480"/>
        <w:rPr>
          <w:rFonts w:ascii="宋体" w:hAnsi="宋体"/>
        </w:rPr>
      </w:pPr>
      <w:r>
        <w:rPr>
          <w:rFonts w:hint="eastAsia" w:ascii="宋体" w:hAnsi="宋体"/>
        </w:rPr>
        <w:t>13.2 送达</w:t>
      </w:r>
    </w:p>
    <w:p>
      <w:pPr>
        <w:pStyle w:val="232"/>
        <w:spacing w:line="336" w:lineRule="auto"/>
        <w:ind w:firstLine="480" w:firstLineChars="200"/>
        <w:rPr>
          <w:rFonts w:ascii="宋体" w:hAnsi="宋体" w:eastAsia="宋体" w:cs="Times New Roman"/>
          <w:color w:val="auto"/>
          <w:sz w:val="24"/>
          <w:szCs w:val="20"/>
        </w:rPr>
      </w:pPr>
      <w:r>
        <w:rPr>
          <w:rFonts w:hint="eastAsia" w:ascii="宋体" w:hAnsi="宋体" w:eastAsia="宋体" w:cs="Times New Roman"/>
          <w:color w:val="auto"/>
          <w:sz w:val="24"/>
          <w:szCs w:val="20"/>
        </w:rPr>
        <w:t>甲方送达地址：都江堰市金江社区中医医院北路</w:t>
      </w:r>
    </w:p>
    <w:p>
      <w:pPr>
        <w:pStyle w:val="232"/>
        <w:spacing w:line="336" w:lineRule="auto"/>
        <w:ind w:left="50" w:leftChars="24" w:firstLine="480" w:firstLineChars="200"/>
        <w:jc w:val="left"/>
        <w:rPr>
          <w:rFonts w:ascii="宋体" w:hAnsi="宋体" w:eastAsia="宋体" w:cs="Times New Roman"/>
          <w:color w:val="FF0000"/>
          <w:sz w:val="24"/>
          <w:szCs w:val="20"/>
        </w:rPr>
      </w:pPr>
      <w:r>
        <w:rPr>
          <w:rFonts w:hint="eastAsia" w:ascii="宋体" w:hAnsi="宋体" w:eastAsia="宋体" w:cs="Times New Roman"/>
          <w:color w:val="FF0000"/>
          <w:sz w:val="24"/>
          <w:szCs w:val="20"/>
        </w:rPr>
        <w:t xml:space="preserve">乙方送达地址： </w:t>
      </w:r>
    </w:p>
    <w:p>
      <w:pPr>
        <w:pStyle w:val="103"/>
        <w:spacing w:line="336" w:lineRule="auto"/>
        <w:ind w:firstLine="480"/>
        <w:rPr>
          <w:rFonts w:ascii="宋体" w:hAnsi="宋体"/>
        </w:rPr>
      </w:pPr>
      <w:r>
        <w:rPr>
          <w:rFonts w:hint="eastAsia" w:ascii="宋体" w:hAnsi="宋体"/>
        </w:rPr>
        <w:t>甲、乙双方关于本合同履行及相关事宜的通知，以及法院与国家机关因本合同争议发出的通知或司法文书（包括但不限于传票、判决书、裁定书、调解书等），应送达至甲乙双方在本合同中提供的地址或在此之后一方以书面形式通知另一方的其他地址。该等通知以专人递送在收到时视为正式送达、或以邮寄方式寄出3个工作日后视为正式送达，或以快递方式在交付后的第</w:t>
      </w:r>
      <w:r>
        <w:rPr>
          <w:rFonts w:hint="eastAsia" w:ascii="宋体" w:hAnsi="宋体"/>
          <w:u w:val="single"/>
        </w:rPr>
        <w:t>3</w:t>
      </w:r>
      <w:r>
        <w:rPr>
          <w:rFonts w:hint="eastAsia" w:ascii="宋体" w:hAnsi="宋体"/>
        </w:rPr>
        <w:t>个工作日视为正式送达。若一方地址发生变动，应及时书面通知另一方，否则仍以本合同载明的文书送达地址为准。</w:t>
      </w:r>
    </w:p>
    <w:p>
      <w:pPr>
        <w:pStyle w:val="103"/>
        <w:spacing w:line="336" w:lineRule="auto"/>
        <w:ind w:firstLine="480"/>
        <w:rPr>
          <w:rFonts w:ascii="宋体" w:hAnsi="宋体"/>
        </w:rPr>
      </w:pPr>
      <w:r>
        <w:rPr>
          <w:rFonts w:hint="eastAsia" w:ascii="宋体" w:hAnsi="宋体"/>
        </w:rPr>
        <w:t>13.3本合同一式伍份，自甲乙双方签字并盖章之日起生效。甲方三份，乙方、政府采购代理机构各一份，具有同等法律效力。</w:t>
      </w:r>
    </w:p>
    <w:p>
      <w:pPr>
        <w:pStyle w:val="103"/>
        <w:spacing w:line="336" w:lineRule="auto"/>
        <w:ind w:firstLine="480"/>
        <w:rPr>
          <w:rFonts w:ascii="宋体" w:hAnsi="宋体"/>
        </w:rPr>
      </w:pPr>
    </w:p>
    <w:p>
      <w:pPr>
        <w:spacing w:line="336" w:lineRule="auto"/>
        <w:rPr>
          <w:rFonts w:ascii="宋体" w:hAnsi="宋体"/>
          <w:sz w:val="24"/>
        </w:rPr>
      </w:pPr>
      <w:r>
        <w:rPr>
          <w:rFonts w:hint="eastAsia" w:ascii="宋体" w:hAnsi="宋体"/>
          <w:sz w:val="24"/>
        </w:rPr>
        <w:t>甲方：都江堰市中医医院</w:t>
      </w:r>
      <w:r>
        <w:rPr>
          <w:rFonts w:hint="eastAsia" w:ascii="宋体" w:hAnsi="宋体"/>
          <w:color w:val="FF0000"/>
          <w:sz w:val="24"/>
        </w:rPr>
        <w:t xml:space="preserve">      </w:t>
      </w:r>
      <w:r>
        <w:rPr>
          <w:rFonts w:hint="eastAsia" w:ascii="宋体" w:hAnsi="宋体"/>
          <w:sz w:val="24"/>
        </w:rPr>
        <w:t>乙方：（盖章）法定代表人</w:t>
      </w:r>
    </w:p>
    <w:p>
      <w:pPr>
        <w:spacing w:line="336" w:lineRule="auto"/>
        <w:ind w:firstLine="3360" w:firstLineChars="1400"/>
        <w:rPr>
          <w:rFonts w:ascii="宋体" w:hAnsi="宋体"/>
          <w:sz w:val="24"/>
        </w:rPr>
      </w:pPr>
      <w:r>
        <w:rPr>
          <w:rFonts w:hint="eastAsia" w:ascii="宋体" w:hAnsi="宋体"/>
          <w:sz w:val="24"/>
        </w:rPr>
        <w:t xml:space="preserve">（授权代表）：   </w:t>
      </w:r>
    </w:p>
    <w:p>
      <w:pPr>
        <w:spacing w:line="336" w:lineRule="auto"/>
        <w:ind w:firstLine="3360" w:firstLineChars="1400"/>
        <w:rPr>
          <w:rFonts w:ascii="宋体" w:hAnsi="宋体"/>
          <w:sz w:val="24"/>
        </w:rPr>
      </w:pPr>
      <w:r>
        <w:rPr>
          <w:rFonts w:hint="eastAsia" w:ascii="宋体" w:hAnsi="宋体"/>
          <w:sz w:val="24"/>
        </w:rPr>
        <w:t xml:space="preserve"> 法定代表人（授权代表）： </w:t>
      </w:r>
    </w:p>
    <w:p>
      <w:pPr>
        <w:pStyle w:val="232"/>
        <w:spacing w:line="336" w:lineRule="auto"/>
        <w:ind w:left="4320" w:hanging="4320" w:hangingChars="1800"/>
        <w:rPr>
          <w:rFonts w:ascii="宋体" w:hAnsi="宋体" w:eastAsia="宋体" w:cs="Times New Roman"/>
          <w:color w:val="auto"/>
          <w:sz w:val="24"/>
          <w:szCs w:val="20"/>
        </w:rPr>
      </w:pPr>
      <w:r>
        <w:rPr>
          <w:rFonts w:hint="eastAsia" w:ascii="宋体" w:hAnsi="宋体" w:eastAsia="宋体" w:cs="Times New Roman"/>
          <w:color w:val="auto"/>
          <w:sz w:val="24"/>
          <w:szCs w:val="20"/>
        </w:rPr>
        <w:t>地 址：四川省成都市都江堰市</w:t>
      </w:r>
    </w:p>
    <w:p>
      <w:pPr>
        <w:pStyle w:val="232"/>
        <w:spacing w:line="336" w:lineRule="auto"/>
        <w:ind w:left="4320" w:hanging="4320" w:hangingChars="1800"/>
        <w:rPr>
          <w:rFonts w:ascii="宋体" w:hAnsi="宋体" w:eastAsia="宋体" w:cs="Times New Roman"/>
          <w:color w:val="auto"/>
          <w:sz w:val="24"/>
          <w:szCs w:val="20"/>
        </w:rPr>
      </w:pPr>
      <w:r>
        <w:rPr>
          <w:rFonts w:hint="eastAsia" w:ascii="宋体" w:hAnsi="宋体" w:eastAsia="宋体" w:cs="Times New Roman"/>
          <w:color w:val="auto"/>
          <w:sz w:val="24"/>
          <w:szCs w:val="20"/>
        </w:rPr>
        <w:t>金江社区中医院北路16号     地    址：</w:t>
      </w:r>
    </w:p>
    <w:p>
      <w:pPr>
        <w:pStyle w:val="232"/>
        <w:spacing w:line="336" w:lineRule="auto"/>
        <w:ind w:firstLine="3360" w:firstLineChars="1400"/>
        <w:rPr>
          <w:rFonts w:ascii="宋体" w:hAnsi="宋体" w:eastAsia="宋体" w:cs="Times New Roman"/>
          <w:color w:val="auto"/>
          <w:sz w:val="24"/>
          <w:szCs w:val="20"/>
        </w:rPr>
      </w:pPr>
      <w:r>
        <w:rPr>
          <w:rFonts w:hint="eastAsia" w:ascii="宋体" w:hAnsi="宋体" w:eastAsia="宋体" w:cs="Times New Roman"/>
          <w:color w:val="auto"/>
          <w:sz w:val="24"/>
          <w:szCs w:val="20"/>
        </w:rPr>
        <w:t xml:space="preserve">开户银行：               </w:t>
      </w:r>
    </w:p>
    <w:p>
      <w:pPr>
        <w:pStyle w:val="232"/>
        <w:spacing w:line="336" w:lineRule="auto"/>
        <w:ind w:firstLine="3120" w:firstLineChars="1300"/>
        <w:rPr>
          <w:rFonts w:ascii="宋体" w:hAnsi="宋体" w:eastAsia="宋体" w:cs="Times New Roman"/>
          <w:color w:val="auto"/>
          <w:sz w:val="24"/>
          <w:szCs w:val="20"/>
        </w:rPr>
      </w:pPr>
      <w:r>
        <w:rPr>
          <w:rFonts w:hint="eastAsia" w:ascii="宋体" w:hAnsi="宋体" w:eastAsia="宋体" w:cs="Times New Roman"/>
          <w:color w:val="auto"/>
          <w:sz w:val="24"/>
          <w:szCs w:val="20"/>
        </w:rPr>
        <w:t xml:space="preserve"> 开户银行：</w:t>
      </w:r>
      <w:r>
        <w:rPr>
          <w:rFonts w:hint="eastAsia" w:ascii="宋体" w:hAnsi="宋体" w:eastAsia="宋体" w:cs="宋体"/>
          <w:kern w:val="0"/>
          <w:sz w:val="24"/>
          <w:szCs w:val="24"/>
        </w:rPr>
        <w:t xml:space="preserve"> </w:t>
      </w:r>
    </w:p>
    <w:p>
      <w:pPr>
        <w:widowControl/>
        <w:spacing w:line="360" w:lineRule="atLeast"/>
        <w:outlineLvl w:val="1"/>
        <w:rPr>
          <w:rFonts w:ascii="宋体" w:hAnsi="宋体"/>
          <w:sz w:val="24"/>
        </w:rPr>
      </w:pPr>
      <w:r>
        <w:rPr>
          <w:rFonts w:hint="eastAsia" w:ascii="宋体" w:hAnsi="宋体"/>
          <w:sz w:val="24"/>
          <w:szCs w:val="20"/>
        </w:rPr>
        <w:t>账    号：                 账    号：</w:t>
      </w:r>
      <w:r>
        <w:rPr>
          <w:rFonts w:ascii="宋体" w:hAnsi="宋体"/>
          <w:sz w:val="24"/>
          <w:szCs w:val="20"/>
        </w:rPr>
        <w:t xml:space="preserve"> </w:t>
      </w:r>
    </w:p>
    <w:p>
      <w:pPr>
        <w:spacing w:line="336" w:lineRule="auto"/>
        <w:rPr>
          <w:rFonts w:ascii="宋体" w:hAnsi="宋体" w:cs="宋体"/>
          <w:color w:val="000000"/>
          <w:kern w:val="0"/>
          <w:sz w:val="24"/>
        </w:rPr>
      </w:pPr>
      <w:r>
        <w:rPr>
          <w:rFonts w:hint="eastAsia" w:ascii="宋体" w:hAnsi="宋体"/>
          <w:sz w:val="24"/>
        </w:rPr>
        <w:t>电    话：                 电    话：</w:t>
      </w:r>
      <w:r>
        <w:rPr>
          <w:rFonts w:ascii="宋体" w:hAnsi="宋体" w:cs="宋体"/>
          <w:color w:val="000000"/>
          <w:kern w:val="0"/>
          <w:sz w:val="24"/>
        </w:rPr>
        <w:t xml:space="preserve"> </w:t>
      </w:r>
    </w:p>
    <w:p>
      <w:pPr>
        <w:spacing w:line="336" w:lineRule="auto"/>
        <w:rPr>
          <w:rFonts w:ascii="宋体" w:hAnsi="宋体"/>
          <w:sz w:val="24"/>
        </w:rPr>
      </w:pPr>
      <w:r>
        <w:rPr>
          <w:rFonts w:hint="eastAsia" w:ascii="宋体" w:hAnsi="宋体"/>
          <w:sz w:val="24"/>
        </w:rPr>
        <w:t>传    真：                 传    真：</w:t>
      </w:r>
      <w:r>
        <w:rPr>
          <w:rFonts w:ascii="宋体" w:hAnsi="宋体" w:cs="宋体"/>
          <w:color w:val="000000"/>
          <w:kern w:val="0"/>
          <w:sz w:val="24"/>
        </w:rPr>
        <w:t xml:space="preserve"> </w:t>
      </w:r>
    </w:p>
    <w:p>
      <w:pPr>
        <w:spacing w:line="336" w:lineRule="auto"/>
        <w:rPr>
          <w:rFonts w:ascii="宋体" w:hAnsi="宋体"/>
          <w:sz w:val="24"/>
        </w:rPr>
      </w:pPr>
      <w:r>
        <w:rPr>
          <w:rFonts w:hint="eastAsia" w:ascii="宋体" w:hAnsi="宋体"/>
          <w:sz w:val="24"/>
        </w:rPr>
        <w:t xml:space="preserve">签约日期：  年   月   日  </w:t>
      </w:r>
      <w:r>
        <w:rPr>
          <w:rFonts w:ascii="宋体" w:hAnsi="宋体"/>
          <w:sz w:val="24"/>
        </w:rPr>
        <w:t xml:space="preserve"> </w:t>
      </w:r>
      <w:r>
        <w:rPr>
          <w:rFonts w:hint="eastAsia" w:ascii="宋体" w:hAnsi="宋体"/>
          <w:sz w:val="24"/>
        </w:rPr>
        <w:t>签约日期：   年   月   日</w:t>
      </w:r>
    </w:p>
    <w:p>
      <w:pPr>
        <w:spacing w:line="336" w:lineRule="auto"/>
        <w:rPr>
          <w:rFonts w:ascii="宋体" w:hAnsi="宋体"/>
          <w:sz w:val="24"/>
        </w:rPr>
      </w:pPr>
    </w:p>
    <w:p>
      <w:pPr>
        <w:spacing w:line="336" w:lineRule="auto"/>
        <w:rPr>
          <w:rFonts w:ascii="宋体" w:hAnsi="宋体"/>
          <w:sz w:val="24"/>
        </w:rPr>
      </w:pPr>
    </w:p>
    <w:p>
      <w:pPr>
        <w:spacing w:line="336" w:lineRule="auto"/>
        <w:rPr>
          <w:rFonts w:ascii="宋体" w:hAnsi="宋体"/>
          <w:sz w:val="24"/>
        </w:rPr>
      </w:pPr>
    </w:p>
    <w:p>
      <w:pPr>
        <w:spacing w:line="336" w:lineRule="auto"/>
        <w:rPr>
          <w:rFonts w:ascii="宋体" w:hAnsi="宋体"/>
          <w:sz w:val="24"/>
        </w:rPr>
      </w:pPr>
    </w:p>
    <w:p>
      <w:pPr>
        <w:spacing w:line="336" w:lineRule="auto"/>
        <w:rPr>
          <w:rFonts w:ascii="宋体" w:hAnsi="宋体"/>
          <w:sz w:val="24"/>
        </w:rPr>
      </w:pPr>
    </w:p>
    <w:p>
      <w:pPr>
        <w:spacing w:line="336" w:lineRule="auto"/>
        <w:rPr>
          <w:rFonts w:ascii="宋体" w:hAnsi="宋体"/>
          <w:sz w:val="24"/>
        </w:rPr>
      </w:pPr>
    </w:p>
    <w:p>
      <w:pPr>
        <w:spacing w:line="336" w:lineRule="auto"/>
        <w:rPr>
          <w:rFonts w:ascii="宋体" w:hAnsi="宋体"/>
          <w:sz w:val="24"/>
        </w:rPr>
      </w:pPr>
      <w:r>
        <w:rPr>
          <w:rFonts w:hint="eastAsia" w:ascii="宋体" w:hAnsi="宋体"/>
          <w:sz w:val="24"/>
        </w:rPr>
        <w:t>附件1</w:t>
      </w:r>
    </w:p>
    <w:tbl>
      <w:tblPr>
        <w:tblStyle w:val="47"/>
        <w:tblW w:w="93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9"/>
        <w:gridCol w:w="1248"/>
        <w:gridCol w:w="1208"/>
        <w:gridCol w:w="722"/>
        <w:gridCol w:w="722"/>
        <w:gridCol w:w="1169"/>
        <w:gridCol w:w="1186"/>
        <w:gridCol w:w="16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货物品名</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生产厂家</w:t>
            </w: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规格型号</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单位</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数量</w:t>
            </w:r>
          </w:p>
        </w:tc>
        <w:tc>
          <w:tcPr>
            <w:tcW w:w="1169" w:type="dxa"/>
            <w:tcBorders>
              <w:top w:val="single" w:color="auto" w:sz="4" w:space="0"/>
              <w:left w:val="single" w:color="auto" w:sz="4" w:space="0"/>
              <w:bottom w:val="single" w:color="auto" w:sz="4" w:space="0"/>
              <w:right w:val="single" w:color="auto" w:sz="4" w:space="0"/>
            </w:tcBorders>
            <w:vAlign w:val="center"/>
          </w:tcPr>
          <w:p>
            <w:pPr>
              <w:spacing w:line="336" w:lineRule="auto"/>
              <w:ind w:firstLine="120" w:firstLineChars="50"/>
              <w:jc w:val="center"/>
              <w:rPr>
                <w:rFonts w:ascii="宋体" w:hAnsi="宋体" w:cs="Arial"/>
                <w:color w:val="FF0000"/>
                <w:sz w:val="24"/>
              </w:rPr>
            </w:pPr>
            <w:r>
              <w:rPr>
                <w:rFonts w:hint="eastAsia" w:ascii="宋体" w:hAnsi="宋体" w:cs="Arial"/>
                <w:color w:val="FF0000"/>
                <w:sz w:val="24"/>
              </w:rPr>
              <w:t>单价</w:t>
            </w:r>
          </w:p>
          <w:p>
            <w:pPr>
              <w:spacing w:line="336" w:lineRule="auto"/>
              <w:jc w:val="center"/>
              <w:rPr>
                <w:rFonts w:ascii="宋体" w:hAnsi="宋体" w:cs="Arial"/>
                <w:color w:val="FF0000"/>
                <w:sz w:val="24"/>
              </w:rPr>
            </w:pPr>
            <w:r>
              <w:rPr>
                <w:rFonts w:hint="eastAsia" w:ascii="宋体" w:hAnsi="宋体" w:cs="Arial"/>
                <w:color w:val="FF0000"/>
                <w:sz w:val="24"/>
              </w:rPr>
              <w:t>（元）</w:t>
            </w:r>
          </w:p>
        </w:tc>
        <w:tc>
          <w:tcPr>
            <w:tcW w:w="1186"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总价</w:t>
            </w:r>
          </w:p>
          <w:p>
            <w:pPr>
              <w:spacing w:line="336" w:lineRule="auto"/>
              <w:jc w:val="center"/>
              <w:rPr>
                <w:rFonts w:ascii="宋体" w:hAnsi="宋体"/>
                <w:color w:val="FF0000"/>
                <w:sz w:val="24"/>
              </w:rPr>
            </w:pPr>
            <w:r>
              <w:rPr>
                <w:rFonts w:hint="eastAsia" w:ascii="宋体" w:hAnsi="宋体" w:cs="Arial"/>
                <w:color w:val="FF0000"/>
                <w:sz w:val="24"/>
              </w:rPr>
              <w:t>（元）</w:t>
            </w:r>
          </w:p>
        </w:tc>
        <w:tc>
          <w:tcPr>
            <w:tcW w:w="163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注册证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336" w:lineRule="auto"/>
              <w:ind w:right="-105" w:rightChars="-50"/>
              <w:jc w:val="center"/>
              <w:rPr>
                <w:rFonts w:ascii="宋体" w:hAnsi="宋体"/>
                <w:color w:val="FF000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169" w:type="dxa"/>
            <w:tcBorders>
              <w:top w:val="single" w:color="auto" w:sz="4" w:space="0"/>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186" w:type="dxa"/>
            <w:tcBorders>
              <w:top w:val="single" w:color="auto" w:sz="4" w:space="0"/>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color w:val="FF0000"/>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169" w:type="dxa"/>
            <w:tcBorders>
              <w:top w:val="nil"/>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186" w:type="dxa"/>
            <w:tcBorders>
              <w:top w:val="nil"/>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color w:val="FF0000"/>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169" w:type="dxa"/>
            <w:tcBorders>
              <w:top w:val="nil"/>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186" w:type="dxa"/>
            <w:tcBorders>
              <w:top w:val="nil"/>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总金额（元）</w:t>
            </w:r>
          </w:p>
        </w:tc>
        <w:tc>
          <w:tcPr>
            <w:tcW w:w="7893" w:type="dxa"/>
            <w:gridSpan w:val="7"/>
            <w:tcBorders>
              <w:top w:val="single" w:color="auto" w:sz="4" w:space="0"/>
              <w:left w:val="single" w:color="auto" w:sz="4" w:space="0"/>
              <w:bottom w:val="single" w:color="auto" w:sz="4" w:space="0"/>
              <w:right w:val="single" w:color="auto" w:sz="4" w:space="0"/>
            </w:tcBorders>
            <w:vAlign w:val="center"/>
          </w:tcPr>
          <w:p>
            <w:pPr>
              <w:spacing w:line="336" w:lineRule="auto"/>
              <w:rPr>
                <w:rFonts w:ascii="宋体" w:hAnsi="宋体"/>
                <w:color w:val="FF0000"/>
                <w:sz w:val="24"/>
              </w:rPr>
            </w:pPr>
            <w:r>
              <w:rPr>
                <w:rFonts w:hint="eastAsia" w:ascii="宋体" w:hAnsi="宋体" w:cs="宋体"/>
                <w:color w:val="FF0000"/>
                <w:sz w:val="24"/>
              </w:rPr>
              <w:t xml:space="preserve">¥ </w:t>
            </w:r>
            <w:r>
              <w:rPr>
                <w:rFonts w:hint="eastAsia" w:ascii="宋体" w:hAnsi="宋体"/>
                <w:color w:val="FF0000"/>
                <w:sz w:val="24"/>
              </w:rPr>
              <w:t>元    大写：</w:t>
            </w:r>
          </w:p>
        </w:tc>
      </w:tr>
    </w:tbl>
    <w:p>
      <w:pPr>
        <w:spacing w:line="336" w:lineRule="auto"/>
        <w:rPr>
          <w:rFonts w:ascii="宋体" w:hAnsi="宋体"/>
          <w:sz w:val="24"/>
        </w:rPr>
      </w:pPr>
    </w:p>
    <w:p>
      <w:pPr>
        <w:spacing w:line="460" w:lineRule="exact"/>
        <w:rPr>
          <w:rFonts w:ascii="仿宋" w:hAnsi="仿宋" w:eastAsia="仿宋"/>
          <w:sz w:val="32"/>
          <w:szCs w:val="32"/>
        </w:rPr>
      </w:pPr>
    </w:p>
    <w:p>
      <w:pPr>
        <w:tabs>
          <w:tab w:val="left" w:pos="1155"/>
          <w:tab w:val="left" w:pos="1276"/>
          <w:tab w:val="left" w:pos="1418"/>
        </w:tabs>
        <w:spacing w:line="580" w:lineRule="exact"/>
        <w:rPr>
          <w:rFonts w:ascii="宋体" w:hAnsi="宋体"/>
          <w:sz w:val="28"/>
          <w:szCs w:val="28"/>
        </w:rPr>
      </w:pPr>
    </w:p>
    <w:bookmarkEnd w:id="0"/>
    <w:bookmarkEnd w:id="1"/>
    <w:bookmarkEnd w:id="2"/>
    <w:bookmarkEnd w:id="3"/>
    <w:bookmarkEnd w:id="151"/>
    <w:bookmarkEnd w:id="152"/>
    <w:p>
      <w:pPr>
        <w:spacing w:line="460" w:lineRule="exact"/>
        <w:rPr>
          <w:rFonts w:ascii="仿宋" w:hAnsi="仿宋" w:eastAsia="仿宋"/>
          <w:sz w:val="32"/>
          <w:szCs w:val="32"/>
        </w:rPr>
      </w:pPr>
    </w:p>
    <w:p>
      <w:pPr>
        <w:spacing w:line="460" w:lineRule="exact"/>
        <w:rPr>
          <w:rFonts w:ascii="仿宋" w:hAnsi="仿宋" w:eastAsia="仿宋"/>
          <w:sz w:val="32"/>
          <w:szCs w:val="32"/>
        </w:rPr>
      </w:pPr>
    </w:p>
    <w:p>
      <w:pPr>
        <w:spacing w:line="460" w:lineRule="exact"/>
        <w:rPr>
          <w:rFonts w:ascii="仿宋" w:hAnsi="仿宋" w:eastAsia="仿宋"/>
          <w:sz w:val="32"/>
          <w:szCs w:val="32"/>
        </w:rPr>
      </w:pPr>
    </w:p>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宋体;SimSun">
    <w:altName w:val="宋体"/>
    <w:panose1 w:val="00000000000000000000"/>
    <w:charset w:val="86"/>
    <w:family w:val="roman"/>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Gulim">
    <w:panose1 w:val="020B0600000101010101"/>
    <w:charset w:val="81"/>
    <w:family w:val="auto"/>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ˎ̥">
    <w:altName w:val="Times New Roman"/>
    <w:panose1 w:val="00000000000000000000"/>
    <w:charset w:val="00"/>
    <w:family w:val="roman"/>
    <w:pitch w:val="default"/>
    <w:sig w:usb0="00000000" w:usb1="00000000" w:usb2="00000000" w:usb3="00000000" w:csb0="00000000" w:csb1="00000000"/>
  </w:font>
  <w:font w:name="楷体à.ā">
    <w:altName w:val="黑体"/>
    <w:panose1 w:val="00000000000000000000"/>
    <w:charset w:val="86"/>
    <w:family w:val="modern"/>
    <w:pitch w:val="default"/>
    <w:sig w:usb0="00000000" w:usb1="00000000" w:usb2="00000010" w:usb3="00000000" w:csb0="00040000" w:csb1="00000000"/>
  </w:font>
  <w:font w:name="方正仿宋">
    <w:altName w:val="微软雅黑"/>
    <w:panose1 w:val="00000000000000000000"/>
    <w:charset w:val="86"/>
    <w:family w:val="script"/>
    <w:pitch w:val="default"/>
    <w:sig w:usb0="00000000" w:usb1="00000000" w:usb2="00000010" w:usb3="00000000" w:csb0="00040000" w:csb1="00000000"/>
  </w:font>
  <w:font w:name="Microsoft YaHei UI">
    <w:altName w:val="宋体"/>
    <w:panose1 w:val="00000000000000000000"/>
    <w:charset w:val="86"/>
    <w:family w:val="swiss"/>
    <w:pitch w:val="default"/>
    <w:sig w:usb0="00000000" w:usb1="00000000"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9"/>
          <w:ind w:firstLine="480"/>
          <w:jc w:val="center"/>
        </w:pPr>
        <w:r>
          <w:fldChar w:fldCharType="begin"/>
        </w:r>
        <w:r>
          <w:instrText xml:space="preserve">PAGE   \* MERGEFORMAT</w:instrText>
        </w:r>
        <w:r>
          <w:fldChar w:fldCharType="separate"/>
        </w:r>
        <w:r>
          <w:rPr>
            <w:lang w:val="zh-CN"/>
          </w:rPr>
          <w:t>2</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49102"/>
    <w:multiLevelType w:val="singleLevel"/>
    <w:tmpl w:val="E4D49102"/>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3"/>
      <w:lvlText w:val="第%1章"/>
      <w:lvlJc w:val="left"/>
      <w:pPr>
        <w:ind w:left="3118"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1">
    <w:nsid w:val="161D31FE"/>
    <w:multiLevelType w:val="singleLevel"/>
    <w:tmpl w:val="161D31FE"/>
    <w:lvl w:ilvl="0" w:tentative="0">
      <w:start w:val="2"/>
      <w:numFmt w:val="decimal"/>
      <w:suff w:val="nothing"/>
      <w:lvlText w:val="%1、"/>
      <w:lvlJc w:val="left"/>
    </w:lvl>
  </w:abstractNum>
  <w:abstractNum w:abstractNumId="22">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3">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5">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6">
    <w:nsid w:val="31E269DB"/>
    <w:multiLevelType w:val="multilevel"/>
    <w:tmpl w:val="31E269DB"/>
    <w:lvl w:ilvl="0" w:tentative="0">
      <w:start w:val="1"/>
      <w:numFmt w:val="japaneseCounting"/>
      <w:lvlText w:val="%1、"/>
      <w:lvlJc w:val="left"/>
      <w:pPr>
        <w:ind w:left="3394" w:hanging="1125"/>
      </w:pPr>
      <w:rPr>
        <w:rFonts w:hint="default"/>
        <w:b/>
        <w:sz w:val="28"/>
      </w:rPr>
    </w:lvl>
    <w:lvl w:ilvl="1" w:tentative="0">
      <w:start w:val="1"/>
      <w:numFmt w:val="lowerLetter"/>
      <w:lvlText w:val="%2)"/>
      <w:lvlJc w:val="left"/>
      <w:pPr>
        <w:ind w:left="2242" w:hanging="420"/>
      </w:pPr>
    </w:lvl>
    <w:lvl w:ilvl="2" w:tentative="0">
      <w:start w:val="1"/>
      <w:numFmt w:val="lowerRoman"/>
      <w:lvlText w:val="%3."/>
      <w:lvlJc w:val="right"/>
      <w:pPr>
        <w:ind w:left="2662" w:hanging="420"/>
      </w:pPr>
    </w:lvl>
    <w:lvl w:ilvl="3" w:tentative="0">
      <w:start w:val="1"/>
      <w:numFmt w:val="decimal"/>
      <w:lvlText w:val="%4."/>
      <w:lvlJc w:val="left"/>
      <w:pPr>
        <w:ind w:left="3082" w:hanging="420"/>
      </w:pPr>
    </w:lvl>
    <w:lvl w:ilvl="4" w:tentative="0">
      <w:start w:val="1"/>
      <w:numFmt w:val="lowerLetter"/>
      <w:lvlText w:val="%5)"/>
      <w:lvlJc w:val="left"/>
      <w:pPr>
        <w:ind w:left="3502" w:hanging="420"/>
      </w:pPr>
    </w:lvl>
    <w:lvl w:ilvl="5" w:tentative="0">
      <w:start w:val="1"/>
      <w:numFmt w:val="lowerRoman"/>
      <w:lvlText w:val="%6."/>
      <w:lvlJc w:val="right"/>
      <w:pPr>
        <w:ind w:left="3922" w:hanging="420"/>
      </w:pPr>
    </w:lvl>
    <w:lvl w:ilvl="6" w:tentative="0">
      <w:start w:val="1"/>
      <w:numFmt w:val="decimal"/>
      <w:lvlText w:val="%7."/>
      <w:lvlJc w:val="left"/>
      <w:pPr>
        <w:ind w:left="4342" w:hanging="420"/>
      </w:pPr>
    </w:lvl>
    <w:lvl w:ilvl="7" w:tentative="0">
      <w:start w:val="1"/>
      <w:numFmt w:val="lowerLetter"/>
      <w:lvlText w:val="%8)"/>
      <w:lvlJc w:val="left"/>
      <w:pPr>
        <w:ind w:left="4762" w:hanging="420"/>
      </w:pPr>
    </w:lvl>
    <w:lvl w:ilvl="8" w:tentative="0">
      <w:start w:val="1"/>
      <w:numFmt w:val="lowerRoman"/>
      <w:lvlText w:val="%9."/>
      <w:lvlJc w:val="right"/>
      <w:pPr>
        <w:ind w:left="5182" w:hanging="420"/>
      </w:pPr>
    </w:lvl>
  </w:abstractNum>
  <w:abstractNum w:abstractNumId="27">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8">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0">
    <w:nsid w:val="4ACE7CA3"/>
    <w:multiLevelType w:val="multilevel"/>
    <w:tmpl w:val="4ACE7CA3"/>
    <w:lvl w:ilvl="0" w:tentative="0">
      <w:start w:val="1"/>
      <w:numFmt w:val="decimal"/>
      <w:lvlText w:val="%1."/>
      <w:lvlJc w:val="left"/>
      <w:pPr>
        <w:ind w:left="700" w:hanging="420"/>
      </w:p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31">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2">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5">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5F72EEB8"/>
    <w:multiLevelType w:val="singleLevel"/>
    <w:tmpl w:val="5F72EEB8"/>
    <w:lvl w:ilvl="0" w:tentative="0">
      <w:start w:val="1"/>
      <w:numFmt w:val="decimal"/>
      <w:suff w:val="nothing"/>
      <w:lvlText w:val="（%1）"/>
      <w:lvlJc w:val="left"/>
    </w:lvl>
  </w:abstractNum>
  <w:abstractNum w:abstractNumId="38">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1">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2">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4">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5">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6">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1"/>
  </w:num>
  <w:num w:numId="36">
    <w:abstractNumId w:val="2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4AD"/>
    <w:rsid w:val="00012151"/>
    <w:rsid w:val="00012626"/>
    <w:rsid w:val="000141F6"/>
    <w:rsid w:val="00014A41"/>
    <w:rsid w:val="000175B6"/>
    <w:rsid w:val="000243B4"/>
    <w:rsid w:val="00027377"/>
    <w:rsid w:val="00030E31"/>
    <w:rsid w:val="00034235"/>
    <w:rsid w:val="0003441E"/>
    <w:rsid w:val="000352C7"/>
    <w:rsid w:val="00036D45"/>
    <w:rsid w:val="00037CCE"/>
    <w:rsid w:val="000403DE"/>
    <w:rsid w:val="000514D3"/>
    <w:rsid w:val="000518B7"/>
    <w:rsid w:val="00051C10"/>
    <w:rsid w:val="000556AE"/>
    <w:rsid w:val="00056BC2"/>
    <w:rsid w:val="00060F5A"/>
    <w:rsid w:val="00061B1F"/>
    <w:rsid w:val="00062ED3"/>
    <w:rsid w:val="00064CC8"/>
    <w:rsid w:val="00071C77"/>
    <w:rsid w:val="00072223"/>
    <w:rsid w:val="0007245D"/>
    <w:rsid w:val="00072790"/>
    <w:rsid w:val="000740B8"/>
    <w:rsid w:val="00075226"/>
    <w:rsid w:val="0008183B"/>
    <w:rsid w:val="0008351A"/>
    <w:rsid w:val="0008396B"/>
    <w:rsid w:val="00090CEC"/>
    <w:rsid w:val="00094004"/>
    <w:rsid w:val="00094BF4"/>
    <w:rsid w:val="00096E03"/>
    <w:rsid w:val="00097F27"/>
    <w:rsid w:val="000A04C0"/>
    <w:rsid w:val="000A0A88"/>
    <w:rsid w:val="000A1D1F"/>
    <w:rsid w:val="000A2F7D"/>
    <w:rsid w:val="000A6A86"/>
    <w:rsid w:val="000B0566"/>
    <w:rsid w:val="000B0BDD"/>
    <w:rsid w:val="000B6BFA"/>
    <w:rsid w:val="000C156C"/>
    <w:rsid w:val="000C4591"/>
    <w:rsid w:val="000C52E5"/>
    <w:rsid w:val="000D18C0"/>
    <w:rsid w:val="000D261C"/>
    <w:rsid w:val="000D28CC"/>
    <w:rsid w:val="000D4993"/>
    <w:rsid w:val="000E7E9D"/>
    <w:rsid w:val="000F0E67"/>
    <w:rsid w:val="000F60AD"/>
    <w:rsid w:val="001032A8"/>
    <w:rsid w:val="001050C6"/>
    <w:rsid w:val="0010588D"/>
    <w:rsid w:val="00105E67"/>
    <w:rsid w:val="001073E5"/>
    <w:rsid w:val="00107411"/>
    <w:rsid w:val="00111D9C"/>
    <w:rsid w:val="0011368F"/>
    <w:rsid w:val="00117416"/>
    <w:rsid w:val="001178B2"/>
    <w:rsid w:val="00120CE7"/>
    <w:rsid w:val="00121DB8"/>
    <w:rsid w:val="00122BD7"/>
    <w:rsid w:val="00122D97"/>
    <w:rsid w:val="001237A6"/>
    <w:rsid w:val="00123A95"/>
    <w:rsid w:val="001262A7"/>
    <w:rsid w:val="00127207"/>
    <w:rsid w:val="00132C64"/>
    <w:rsid w:val="00134BA8"/>
    <w:rsid w:val="001408B7"/>
    <w:rsid w:val="00140D68"/>
    <w:rsid w:val="00144FDB"/>
    <w:rsid w:val="00145269"/>
    <w:rsid w:val="001471FF"/>
    <w:rsid w:val="00153AED"/>
    <w:rsid w:val="00153CE6"/>
    <w:rsid w:val="00155145"/>
    <w:rsid w:val="00163B40"/>
    <w:rsid w:val="00167216"/>
    <w:rsid w:val="00182644"/>
    <w:rsid w:val="00183A95"/>
    <w:rsid w:val="001861B9"/>
    <w:rsid w:val="001902FC"/>
    <w:rsid w:val="001912EF"/>
    <w:rsid w:val="00192DEE"/>
    <w:rsid w:val="001A11CD"/>
    <w:rsid w:val="001A16D4"/>
    <w:rsid w:val="001A268E"/>
    <w:rsid w:val="001A7C04"/>
    <w:rsid w:val="001B0B26"/>
    <w:rsid w:val="001B33BD"/>
    <w:rsid w:val="001B3AD9"/>
    <w:rsid w:val="001B63D8"/>
    <w:rsid w:val="001B6694"/>
    <w:rsid w:val="001C04F2"/>
    <w:rsid w:val="001C6504"/>
    <w:rsid w:val="001C7B91"/>
    <w:rsid w:val="001D0739"/>
    <w:rsid w:val="001D38C2"/>
    <w:rsid w:val="001D57E6"/>
    <w:rsid w:val="001E0911"/>
    <w:rsid w:val="001E2114"/>
    <w:rsid w:val="001E369C"/>
    <w:rsid w:val="001E3E2B"/>
    <w:rsid w:val="001E567F"/>
    <w:rsid w:val="001F412D"/>
    <w:rsid w:val="001F5700"/>
    <w:rsid w:val="00200B07"/>
    <w:rsid w:val="00201F03"/>
    <w:rsid w:val="0020244C"/>
    <w:rsid w:val="00213F9F"/>
    <w:rsid w:val="00234BAB"/>
    <w:rsid w:val="0023546D"/>
    <w:rsid w:val="002359E9"/>
    <w:rsid w:val="00237B00"/>
    <w:rsid w:val="0024454D"/>
    <w:rsid w:val="00250119"/>
    <w:rsid w:val="002527EB"/>
    <w:rsid w:val="0025426D"/>
    <w:rsid w:val="002572A3"/>
    <w:rsid w:val="0026057E"/>
    <w:rsid w:val="00266214"/>
    <w:rsid w:val="00277630"/>
    <w:rsid w:val="00281AF2"/>
    <w:rsid w:val="0028299F"/>
    <w:rsid w:val="00282D00"/>
    <w:rsid w:val="00284814"/>
    <w:rsid w:val="00290A5C"/>
    <w:rsid w:val="00290E1D"/>
    <w:rsid w:val="00291F58"/>
    <w:rsid w:val="002923EA"/>
    <w:rsid w:val="0029432D"/>
    <w:rsid w:val="002A0908"/>
    <w:rsid w:val="002A21E7"/>
    <w:rsid w:val="002A4E91"/>
    <w:rsid w:val="002A6C35"/>
    <w:rsid w:val="002A6CBC"/>
    <w:rsid w:val="002A734D"/>
    <w:rsid w:val="002A7579"/>
    <w:rsid w:val="002B1ABE"/>
    <w:rsid w:val="002B2470"/>
    <w:rsid w:val="002B30CF"/>
    <w:rsid w:val="002B46A8"/>
    <w:rsid w:val="002B4E7C"/>
    <w:rsid w:val="002B5162"/>
    <w:rsid w:val="002B5F08"/>
    <w:rsid w:val="002B6C18"/>
    <w:rsid w:val="002B729A"/>
    <w:rsid w:val="002B7FDA"/>
    <w:rsid w:val="002C022D"/>
    <w:rsid w:val="002C0CB9"/>
    <w:rsid w:val="002C184B"/>
    <w:rsid w:val="002C758B"/>
    <w:rsid w:val="002D1454"/>
    <w:rsid w:val="002D219C"/>
    <w:rsid w:val="002D23E6"/>
    <w:rsid w:val="002D37C4"/>
    <w:rsid w:val="002D7F31"/>
    <w:rsid w:val="002E18B1"/>
    <w:rsid w:val="002E5A5F"/>
    <w:rsid w:val="002F2C78"/>
    <w:rsid w:val="002F4288"/>
    <w:rsid w:val="002F7DC1"/>
    <w:rsid w:val="003048DB"/>
    <w:rsid w:val="00305022"/>
    <w:rsid w:val="00305EB7"/>
    <w:rsid w:val="00306F8F"/>
    <w:rsid w:val="00310E45"/>
    <w:rsid w:val="00311377"/>
    <w:rsid w:val="00312404"/>
    <w:rsid w:val="003136FF"/>
    <w:rsid w:val="00315FD1"/>
    <w:rsid w:val="003160DE"/>
    <w:rsid w:val="00317FDF"/>
    <w:rsid w:val="00321B72"/>
    <w:rsid w:val="003259DB"/>
    <w:rsid w:val="00325D4A"/>
    <w:rsid w:val="00345ACC"/>
    <w:rsid w:val="003466A1"/>
    <w:rsid w:val="0035095F"/>
    <w:rsid w:val="00351C5C"/>
    <w:rsid w:val="00351F58"/>
    <w:rsid w:val="00352CC6"/>
    <w:rsid w:val="00363C38"/>
    <w:rsid w:val="0036589D"/>
    <w:rsid w:val="003671A2"/>
    <w:rsid w:val="00367A2C"/>
    <w:rsid w:val="00370BBF"/>
    <w:rsid w:val="003713D7"/>
    <w:rsid w:val="00376071"/>
    <w:rsid w:val="003772F0"/>
    <w:rsid w:val="0037775B"/>
    <w:rsid w:val="00377878"/>
    <w:rsid w:val="00380680"/>
    <w:rsid w:val="0038110B"/>
    <w:rsid w:val="003826D1"/>
    <w:rsid w:val="00384BF6"/>
    <w:rsid w:val="003854BD"/>
    <w:rsid w:val="00385B50"/>
    <w:rsid w:val="003872B9"/>
    <w:rsid w:val="0039004F"/>
    <w:rsid w:val="00392220"/>
    <w:rsid w:val="003973AA"/>
    <w:rsid w:val="003A464B"/>
    <w:rsid w:val="003B254C"/>
    <w:rsid w:val="003B3D08"/>
    <w:rsid w:val="003B4E95"/>
    <w:rsid w:val="003C1755"/>
    <w:rsid w:val="003C22B2"/>
    <w:rsid w:val="003C2DEB"/>
    <w:rsid w:val="003C7DC4"/>
    <w:rsid w:val="003D3695"/>
    <w:rsid w:val="003D5D1A"/>
    <w:rsid w:val="003E0EC4"/>
    <w:rsid w:val="003E352F"/>
    <w:rsid w:val="003E6168"/>
    <w:rsid w:val="003F19C0"/>
    <w:rsid w:val="003F231B"/>
    <w:rsid w:val="003F2B24"/>
    <w:rsid w:val="003F449C"/>
    <w:rsid w:val="004023F4"/>
    <w:rsid w:val="004030C8"/>
    <w:rsid w:val="004044F7"/>
    <w:rsid w:val="0040550B"/>
    <w:rsid w:val="004110CF"/>
    <w:rsid w:val="0041326A"/>
    <w:rsid w:val="004132E6"/>
    <w:rsid w:val="00414D00"/>
    <w:rsid w:val="00414E09"/>
    <w:rsid w:val="0041672F"/>
    <w:rsid w:val="004216B6"/>
    <w:rsid w:val="00421A24"/>
    <w:rsid w:val="00424A26"/>
    <w:rsid w:val="004417D5"/>
    <w:rsid w:val="00444A4E"/>
    <w:rsid w:val="00450758"/>
    <w:rsid w:val="00453E3D"/>
    <w:rsid w:val="00454540"/>
    <w:rsid w:val="00454B38"/>
    <w:rsid w:val="00455E6A"/>
    <w:rsid w:val="00461D47"/>
    <w:rsid w:val="0046315B"/>
    <w:rsid w:val="004642AB"/>
    <w:rsid w:val="00473B52"/>
    <w:rsid w:val="004860F6"/>
    <w:rsid w:val="00490EB1"/>
    <w:rsid w:val="00492416"/>
    <w:rsid w:val="004937FB"/>
    <w:rsid w:val="00496BF2"/>
    <w:rsid w:val="00497D96"/>
    <w:rsid w:val="004A33F2"/>
    <w:rsid w:val="004A46B7"/>
    <w:rsid w:val="004A7164"/>
    <w:rsid w:val="004B5BC1"/>
    <w:rsid w:val="004C0629"/>
    <w:rsid w:val="004C21C1"/>
    <w:rsid w:val="004C2617"/>
    <w:rsid w:val="004C749A"/>
    <w:rsid w:val="004D1459"/>
    <w:rsid w:val="004D4127"/>
    <w:rsid w:val="004D4BD8"/>
    <w:rsid w:val="004D5161"/>
    <w:rsid w:val="004D51B2"/>
    <w:rsid w:val="004D57C1"/>
    <w:rsid w:val="004E5120"/>
    <w:rsid w:val="004E6249"/>
    <w:rsid w:val="004E629C"/>
    <w:rsid w:val="004E69F1"/>
    <w:rsid w:val="004F5AA1"/>
    <w:rsid w:val="004F5C26"/>
    <w:rsid w:val="004F5F12"/>
    <w:rsid w:val="004F77EB"/>
    <w:rsid w:val="00501B1F"/>
    <w:rsid w:val="00503FAD"/>
    <w:rsid w:val="00512A0A"/>
    <w:rsid w:val="00516E36"/>
    <w:rsid w:val="00516FA0"/>
    <w:rsid w:val="00520369"/>
    <w:rsid w:val="005211D0"/>
    <w:rsid w:val="00521CCA"/>
    <w:rsid w:val="00525240"/>
    <w:rsid w:val="005267BB"/>
    <w:rsid w:val="0053002C"/>
    <w:rsid w:val="005357F0"/>
    <w:rsid w:val="00540B6F"/>
    <w:rsid w:val="0054101C"/>
    <w:rsid w:val="005416D4"/>
    <w:rsid w:val="005416FA"/>
    <w:rsid w:val="00543F8F"/>
    <w:rsid w:val="0054431E"/>
    <w:rsid w:val="005503FB"/>
    <w:rsid w:val="00552345"/>
    <w:rsid w:val="0055261B"/>
    <w:rsid w:val="00553FA1"/>
    <w:rsid w:val="005551E8"/>
    <w:rsid w:val="0056311F"/>
    <w:rsid w:val="0056629C"/>
    <w:rsid w:val="00570B90"/>
    <w:rsid w:val="00570C5A"/>
    <w:rsid w:val="005814A1"/>
    <w:rsid w:val="00591B1A"/>
    <w:rsid w:val="0059252D"/>
    <w:rsid w:val="005A0A72"/>
    <w:rsid w:val="005A0CAD"/>
    <w:rsid w:val="005A0D32"/>
    <w:rsid w:val="005A3BB6"/>
    <w:rsid w:val="005A4C6D"/>
    <w:rsid w:val="005A635F"/>
    <w:rsid w:val="005A660B"/>
    <w:rsid w:val="005A70E8"/>
    <w:rsid w:val="005B4EC4"/>
    <w:rsid w:val="005B4FC8"/>
    <w:rsid w:val="005C0053"/>
    <w:rsid w:val="005C0EE2"/>
    <w:rsid w:val="005C2371"/>
    <w:rsid w:val="005C6364"/>
    <w:rsid w:val="005D2B6B"/>
    <w:rsid w:val="005E19F0"/>
    <w:rsid w:val="005E295C"/>
    <w:rsid w:val="005E5BCB"/>
    <w:rsid w:val="005F120B"/>
    <w:rsid w:val="005F43EC"/>
    <w:rsid w:val="005F6D42"/>
    <w:rsid w:val="005F728C"/>
    <w:rsid w:val="00602082"/>
    <w:rsid w:val="006026DE"/>
    <w:rsid w:val="006065F6"/>
    <w:rsid w:val="00612ABE"/>
    <w:rsid w:val="00627080"/>
    <w:rsid w:val="006308A5"/>
    <w:rsid w:val="00631D06"/>
    <w:rsid w:val="006320B8"/>
    <w:rsid w:val="006378C1"/>
    <w:rsid w:val="00642C40"/>
    <w:rsid w:val="0064767E"/>
    <w:rsid w:val="00647A70"/>
    <w:rsid w:val="00647AC9"/>
    <w:rsid w:val="006505EC"/>
    <w:rsid w:val="0065074A"/>
    <w:rsid w:val="00653F0D"/>
    <w:rsid w:val="006548AC"/>
    <w:rsid w:val="00654DD5"/>
    <w:rsid w:val="006557AD"/>
    <w:rsid w:val="00656604"/>
    <w:rsid w:val="006622E5"/>
    <w:rsid w:val="0066243E"/>
    <w:rsid w:val="00662E72"/>
    <w:rsid w:val="00666707"/>
    <w:rsid w:val="006670AD"/>
    <w:rsid w:val="00671E18"/>
    <w:rsid w:val="00673782"/>
    <w:rsid w:val="00675258"/>
    <w:rsid w:val="0067612D"/>
    <w:rsid w:val="00676662"/>
    <w:rsid w:val="00680663"/>
    <w:rsid w:val="00680AEF"/>
    <w:rsid w:val="0068137A"/>
    <w:rsid w:val="0068568B"/>
    <w:rsid w:val="00685F5A"/>
    <w:rsid w:val="006872FD"/>
    <w:rsid w:val="0068756E"/>
    <w:rsid w:val="0069089A"/>
    <w:rsid w:val="006909B9"/>
    <w:rsid w:val="00695505"/>
    <w:rsid w:val="00696759"/>
    <w:rsid w:val="00697BA4"/>
    <w:rsid w:val="006A39DB"/>
    <w:rsid w:val="006A601C"/>
    <w:rsid w:val="006A66D6"/>
    <w:rsid w:val="006A764C"/>
    <w:rsid w:val="006A767F"/>
    <w:rsid w:val="006B5446"/>
    <w:rsid w:val="006B7235"/>
    <w:rsid w:val="006C0C79"/>
    <w:rsid w:val="006C352A"/>
    <w:rsid w:val="006C4437"/>
    <w:rsid w:val="006C5F89"/>
    <w:rsid w:val="006D0175"/>
    <w:rsid w:val="006D0667"/>
    <w:rsid w:val="006D3D22"/>
    <w:rsid w:val="006E3106"/>
    <w:rsid w:val="006E3F62"/>
    <w:rsid w:val="006E4F22"/>
    <w:rsid w:val="006E7141"/>
    <w:rsid w:val="006F02B4"/>
    <w:rsid w:val="006F0597"/>
    <w:rsid w:val="006F580E"/>
    <w:rsid w:val="006F6EA6"/>
    <w:rsid w:val="006F7414"/>
    <w:rsid w:val="00700B80"/>
    <w:rsid w:val="00705675"/>
    <w:rsid w:val="00705EED"/>
    <w:rsid w:val="007101E0"/>
    <w:rsid w:val="00712A0B"/>
    <w:rsid w:val="00715456"/>
    <w:rsid w:val="0071625D"/>
    <w:rsid w:val="00717BA9"/>
    <w:rsid w:val="00717DA5"/>
    <w:rsid w:val="00721223"/>
    <w:rsid w:val="00726D1D"/>
    <w:rsid w:val="00730EE6"/>
    <w:rsid w:val="00735501"/>
    <w:rsid w:val="00740A2F"/>
    <w:rsid w:val="00746EA4"/>
    <w:rsid w:val="007513A7"/>
    <w:rsid w:val="00751480"/>
    <w:rsid w:val="00752CD1"/>
    <w:rsid w:val="0075340E"/>
    <w:rsid w:val="007540E4"/>
    <w:rsid w:val="007560BF"/>
    <w:rsid w:val="007571C9"/>
    <w:rsid w:val="00757DEB"/>
    <w:rsid w:val="007639DD"/>
    <w:rsid w:val="00764320"/>
    <w:rsid w:val="0076642E"/>
    <w:rsid w:val="00767EFE"/>
    <w:rsid w:val="00770A0A"/>
    <w:rsid w:val="007712B8"/>
    <w:rsid w:val="007715F6"/>
    <w:rsid w:val="007719E0"/>
    <w:rsid w:val="00773D82"/>
    <w:rsid w:val="007746E3"/>
    <w:rsid w:val="0077555F"/>
    <w:rsid w:val="00776951"/>
    <w:rsid w:val="00780C5B"/>
    <w:rsid w:val="00783451"/>
    <w:rsid w:val="00783E48"/>
    <w:rsid w:val="00786497"/>
    <w:rsid w:val="00786C35"/>
    <w:rsid w:val="00791666"/>
    <w:rsid w:val="00793530"/>
    <w:rsid w:val="0079428F"/>
    <w:rsid w:val="00795F4E"/>
    <w:rsid w:val="007A0A96"/>
    <w:rsid w:val="007A2038"/>
    <w:rsid w:val="007A4A3A"/>
    <w:rsid w:val="007A50DD"/>
    <w:rsid w:val="007A6EF2"/>
    <w:rsid w:val="007B038E"/>
    <w:rsid w:val="007B0CFC"/>
    <w:rsid w:val="007B1777"/>
    <w:rsid w:val="007B4D7C"/>
    <w:rsid w:val="007B560F"/>
    <w:rsid w:val="007B5FB7"/>
    <w:rsid w:val="007B6E0E"/>
    <w:rsid w:val="007C7BFC"/>
    <w:rsid w:val="007C7CBC"/>
    <w:rsid w:val="007D2E1D"/>
    <w:rsid w:val="007D4EB4"/>
    <w:rsid w:val="007D5868"/>
    <w:rsid w:val="007D5C21"/>
    <w:rsid w:val="007D610F"/>
    <w:rsid w:val="007D64B2"/>
    <w:rsid w:val="007D6D58"/>
    <w:rsid w:val="007D7265"/>
    <w:rsid w:val="007D7BDB"/>
    <w:rsid w:val="007E2A9E"/>
    <w:rsid w:val="007E45B9"/>
    <w:rsid w:val="007E5548"/>
    <w:rsid w:val="007F07FA"/>
    <w:rsid w:val="007F77C7"/>
    <w:rsid w:val="00802C18"/>
    <w:rsid w:val="00806E5E"/>
    <w:rsid w:val="008079EB"/>
    <w:rsid w:val="00807CC4"/>
    <w:rsid w:val="00815525"/>
    <w:rsid w:val="00815E39"/>
    <w:rsid w:val="00816B68"/>
    <w:rsid w:val="00820874"/>
    <w:rsid w:val="00821DB9"/>
    <w:rsid w:val="00821EFD"/>
    <w:rsid w:val="00822E8B"/>
    <w:rsid w:val="00827831"/>
    <w:rsid w:val="00827890"/>
    <w:rsid w:val="0083164D"/>
    <w:rsid w:val="008318C0"/>
    <w:rsid w:val="00831D50"/>
    <w:rsid w:val="00832F16"/>
    <w:rsid w:val="008344E1"/>
    <w:rsid w:val="00836B86"/>
    <w:rsid w:val="008409EE"/>
    <w:rsid w:val="0084516F"/>
    <w:rsid w:val="008465E3"/>
    <w:rsid w:val="00846A31"/>
    <w:rsid w:val="00846BBB"/>
    <w:rsid w:val="00851A19"/>
    <w:rsid w:val="0085377B"/>
    <w:rsid w:val="00855DF8"/>
    <w:rsid w:val="008602E5"/>
    <w:rsid w:val="0086235F"/>
    <w:rsid w:val="00863FFA"/>
    <w:rsid w:val="00865690"/>
    <w:rsid w:val="0087013A"/>
    <w:rsid w:val="00872610"/>
    <w:rsid w:val="0087328A"/>
    <w:rsid w:val="00880B9B"/>
    <w:rsid w:val="008854E1"/>
    <w:rsid w:val="00887597"/>
    <w:rsid w:val="00890872"/>
    <w:rsid w:val="00892052"/>
    <w:rsid w:val="00894014"/>
    <w:rsid w:val="00894C03"/>
    <w:rsid w:val="00894FD9"/>
    <w:rsid w:val="00895FBF"/>
    <w:rsid w:val="0089618F"/>
    <w:rsid w:val="00896EB5"/>
    <w:rsid w:val="008A0693"/>
    <w:rsid w:val="008A1B22"/>
    <w:rsid w:val="008A31B9"/>
    <w:rsid w:val="008A50AC"/>
    <w:rsid w:val="008B6096"/>
    <w:rsid w:val="008B6379"/>
    <w:rsid w:val="008C269A"/>
    <w:rsid w:val="008C2BE7"/>
    <w:rsid w:val="008C411C"/>
    <w:rsid w:val="008C6003"/>
    <w:rsid w:val="008D0437"/>
    <w:rsid w:val="008D1E2A"/>
    <w:rsid w:val="008D2A3B"/>
    <w:rsid w:val="008D3722"/>
    <w:rsid w:val="008D3F9F"/>
    <w:rsid w:val="008D41D3"/>
    <w:rsid w:val="008E1246"/>
    <w:rsid w:val="008E258A"/>
    <w:rsid w:val="008E53F9"/>
    <w:rsid w:val="008E6761"/>
    <w:rsid w:val="008E7EAE"/>
    <w:rsid w:val="008F03B9"/>
    <w:rsid w:val="008F1141"/>
    <w:rsid w:val="008F254C"/>
    <w:rsid w:val="008F2A0D"/>
    <w:rsid w:val="008F3853"/>
    <w:rsid w:val="008F38AF"/>
    <w:rsid w:val="008F5E19"/>
    <w:rsid w:val="008F6FA3"/>
    <w:rsid w:val="009018B3"/>
    <w:rsid w:val="009035B3"/>
    <w:rsid w:val="00905839"/>
    <w:rsid w:val="00907431"/>
    <w:rsid w:val="0091012C"/>
    <w:rsid w:val="009109C7"/>
    <w:rsid w:val="00913505"/>
    <w:rsid w:val="009147A4"/>
    <w:rsid w:val="00915485"/>
    <w:rsid w:val="00917355"/>
    <w:rsid w:val="009216FE"/>
    <w:rsid w:val="009248FC"/>
    <w:rsid w:val="00925230"/>
    <w:rsid w:val="0092585C"/>
    <w:rsid w:val="00926676"/>
    <w:rsid w:val="0093403E"/>
    <w:rsid w:val="009364CF"/>
    <w:rsid w:val="009379FF"/>
    <w:rsid w:val="0094201C"/>
    <w:rsid w:val="00942A0C"/>
    <w:rsid w:val="0094371E"/>
    <w:rsid w:val="009443DF"/>
    <w:rsid w:val="00946CAF"/>
    <w:rsid w:val="00950C8F"/>
    <w:rsid w:val="009511AB"/>
    <w:rsid w:val="00951219"/>
    <w:rsid w:val="0095172F"/>
    <w:rsid w:val="00952677"/>
    <w:rsid w:val="0096104E"/>
    <w:rsid w:val="009613B3"/>
    <w:rsid w:val="009618DB"/>
    <w:rsid w:val="00962C7D"/>
    <w:rsid w:val="00963F27"/>
    <w:rsid w:val="00964DFB"/>
    <w:rsid w:val="00965E96"/>
    <w:rsid w:val="00966327"/>
    <w:rsid w:val="00970DEA"/>
    <w:rsid w:val="00971325"/>
    <w:rsid w:val="009725D8"/>
    <w:rsid w:val="00977951"/>
    <w:rsid w:val="00982626"/>
    <w:rsid w:val="009872DB"/>
    <w:rsid w:val="009903DE"/>
    <w:rsid w:val="0099143A"/>
    <w:rsid w:val="00995C7B"/>
    <w:rsid w:val="009971B8"/>
    <w:rsid w:val="009A248F"/>
    <w:rsid w:val="009A501D"/>
    <w:rsid w:val="009A523C"/>
    <w:rsid w:val="009A5678"/>
    <w:rsid w:val="009A68F5"/>
    <w:rsid w:val="009B58AF"/>
    <w:rsid w:val="009C1154"/>
    <w:rsid w:val="009C31A3"/>
    <w:rsid w:val="009C37CA"/>
    <w:rsid w:val="009C3BA2"/>
    <w:rsid w:val="009C63C3"/>
    <w:rsid w:val="009C746B"/>
    <w:rsid w:val="009D10AD"/>
    <w:rsid w:val="009D6AF5"/>
    <w:rsid w:val="009D6D5B"/>
    <w:rsid w:val="009E01C8"/>
    <w:rsid w:val="009E0372"/>
    <w:rsid w:val="009E0A46"/>
    <w:rsid w:val="009E19A0"/>
    <w:rsid w:val="009E6146"/>
    <w:rsid w:val="009E63B9"/>
    <w:rsid w:val="009F496E"/>
    <w:rsid w:val="009F6780"/>
    <w:rsid w:val="00A0119E"/>
    <w:rsid w:val="00A022D3"/>
    <w:rsid w:val="00A06B09"/>
    <w:rsid w:val="00A10B6D"/>
    <w:rsid w:val="00A1129D"/>
    <w:rsid w:val="00A1335D"/>
    <w:rsid w:val="00A1339A"/>
    <w:rsid w:val="00A1574E"/>
    <w:rsid w:val="00A16AA7"/>
    <w:rsid w:val="00A17799"/>
    <w:rsid w:val="00A2013E"/>
    <w:rsid w:val="00A23726"/>
    <w:rsid w:val="00A25B6F"/>
    <w:rsid w:val="00A2615C"/>
    <w:rsid w:val="00A301C6"/>
    <w:rsid w:val="00A30322"/>
    <w:rsid w:val="00A31667"/>
    <w:rsid w:val="00A31BD1"/>
    <w:rsid w:val="00A3316D"/>
    <w:rsid w:val="00A35765"/>
    <w:rsid w:val="00A36E25"/>
    <w:rsid w:val="00A37352"/>
    <w:rsid w:val="00A37E17"/>
    <w:rsid w:val="00A420B4"/>
    <w:rsid w:val="00A44395"/>
    <w:rsid w:val="00A4562E"/>
    <w:rsid w:val="00A5111C"/>
    <w:rsid w:val="00A5327E"/>
    <w:rsid w:val="00A56FA5"/>
    <w:rsid w:val="00A60A57"/>
    <w:rsid w:val="00A615D0"/>
    <w:rsid w:val="00A61713"/>
    <w:rsid w:val="00A6408C"/>
    <w:rsid w:val="00A65B79"/>
    <w:rsid w:val="00A67FE9"/>
    <w:rsid w:val="00A7094C"/>
    <w:rsid w:val="00A70B4C"/>
    <w:rsid w:val="00A71E38"/>
    <w:rsid w:val="00A72ADA"/>
    <w:rsid w:val="00A861B6"/>
    <w:rsid w:val="00A86A02"/>
    <w:rsid w:val="00A906C8"/>
    <w:rsid w:val="00A91D81"/>
    <w:rsid w:val="00A93303"/>
    <w:rsid w:val="00A96C4B"/>
    <w:rsid w:val="00AA09CA"/>
    <w:rsid w:val="00AA408C"/>
    <w:rsid w:val="00AA5D51"/>
    <w:rsid w:val="00AA660C"/>
    <w:rsid w:val="00AA75E6"/>
    <w:rsid w:val="00AB1127"/>
    <w:rsid w:val="00AB2105"/>
    <w:rsid w:val="00AC5310"/>
    <w:rsid w:val="00AC5977"/>
    <w:rsid w:val="00AD00F2"/>
    <w:rsid w:val="00AD2E49"/>
    <w:rsid w:val="00AD2FF1"/>
    <w:rsid w:val="00AD6BF9"/>
    <w:rsid w:val="00AE18E6"/>
    <w:rsid w:val="00AE1F28"/>
    <w:rsid w:val="00AE5199"/>
    <w:rsid w:val="00AE5F10"/>
    <w:rsid w:val="00AE7045"/>
    <w:rsid w:val="00AF3ACB"/>
    <w:rsid w:val="00AF54C6"/>
    <w:rsid w:val="00B0162A"/>
    <w:rsid w:val="00B02E10"/>
    <w:rsid w:val="00B04827"/>
    <w:rsid w:val="00B0526D"/>
    <w:rsid w:val="00B06C4F"/>
    <w:rsid w:val="00B0755F"/>
    <w:rsid w:val="00B13683"/>
    <w:rsid w:val="00B14099"/>
    <w:rsid w:val="00B204D2"/>
    <w:rsid w:val="00B22954"/>
    <w:rsid w:val="00B25536"/>
    <w:rsid w:val="00B25CE7"/>
    <w:rsid w:val="00B302DC"/>
    <w:rsid w:val="00B30EB5"/>
    <w:rsid w:val="00B32191"/>
    <w:rsid w:val="00B33E98"/>
    <w:rsid w:val="00B348EB"/>
    <w:rsid w:val="00B37BCF"/>
    <w:rsid w:val="00B41925"/>
    <w:rsid w:val="00B41E9C"/>
    <w:rsid w:val="00B42AB8"/>
    <w:rsid w:val="00B459A1"/>
    <w:rsid w:val="00B5171D"/>
    <w:rsid w:val="00B5326F"/>
    <w:rsid w:val="00B560A1"/>
    <w:rsid w:val="00B563AD"/>
    <w:rsid w:val="00B572D0"/>
    <w:rsid w:val="00B6069C"/>
    <w:rsid w:val="00B6125A"/>
    <w:rsid w:val="00B65B90"/>
    <w:rsid w:val="00B673F4"/>
    <w:rsid w:val="00B71718"/>
    <w:rsid w:val="00B722EA"/>
    <w:rsid w:val="00B74038"/>
    <w:rsid w:val="00B74D61"/>
    <w:rsid w:val="00B76E20"/>
    <w:rsid w:val="00B777DE"/>
    <w:rsid w:val="00B8140B"/>
    <w:rsid w:val="00B82721"/>
    <w:rsid w:val="00B82C8D"/>
    <w:rsid w:val="00B85368"/>
    <w:rsid w:val="00B93DEB"/>
    <w:rsid w:val="00B950DF"/>
    <w:rsid w:val="00B958F4"/>
    <w:rsid w:val="00B95A28"/>
    <w:rsid w:val="00BB0E10"/>
    <w:rsid w:val="00BB2867"/>
    <w:rsid w:val="00BB6E19"/>
    <w:rsid w:val="00BC0A36"/>
    <w:rsid w:val="00BC0EDC"/>
    <w:rsid w:val="00BC541F"/>
    <w:rsid w:val="00BC6085"/>
    <w:rsid w:val="00BD2D6B"/>
    <w:rsid w:val="00BD3681"/>
    <w:rsid w:val="00BD3F1F"/>
    <w:rsid w:val="00BD443D"/>
    <w:rsid w:val="00BD454B"/>
    <w:rsid w:val="00BD53EC"/>
    <w:rsid w:val="00BE69B4"/>
    <w:rsid w:val="00BE6BF6"/>
    <w:rsid w:val="00BE6E81"/>
    <w:rsid w:val="00BE74CE"/>
    <w:rsid w:val="00BF4B00"/>
    <w:rsid w:val="00BF6056"/>
    <w:rsid w:val="00C0374B"/>
    <w:rsid w:val="00C03BB4"/>
    <w:rsid w:val="00C04B7B"/>
    <w:rsid w:val="00C056BB"/>
    <w:rsid w:val="00C07C25"/>
    <w:rsid w:val="00C11711"/>
    <w:rsid w:val="00C25C2B"/>
    <w:rsid w:val="00C276A7"/>
    <w:rsid w:val="00C30B81"/>
    <w:rsid w:val="00C30FA1"/>
    <w:rsid w:val="00C34EB0"/>
    <w:rsid w:val="00C36B4E"/>
    <w:rsid w:val="00C4016E"/>
    <w:rsid w:val="00C51A6C"/>
    <w:rsid w:val="00C53932"/>
    <w:rsid w:val="00C54448"/>
    <w:rsid w:val="00C63AC3"/>
    <w:rsid w:val="00C640C6"/>
    <w:rsid w:val="00C6592B"/>
    <w:rsid w:val="00C6699D"/>
    <w:rsid w:val="00C6761E"/>
    <w:rsid w:val="00C70E74"/>
    <w:rsid w:val="00C737F6"/>
    <w:rsid w:val="00C75E07"/>
    <w:rsid w:val="00C76A2E"/>
    <w:rsid w:val="00C77B1C"/>
    <w:rsid w:val="00C80668"/>
    <w:rsid w:val="00C839FA"/>
    <w:rsid w:val="00C8763F"/>
    <w:rsid w:val="00C905A4"/>
    <w:rsid w:val="00C91820"/>
    <w:rsid w:val="00C9549E"/>
    <w:rsid w:val="00C956B1"/>
    <w:rsid w:val="00C9618B"/>
    <w:rsid w:val="00CA06D6"/>
    <w:rsid w:val="00CA07B5"/>
    <w:rsid w:val="00CA1974"/>
    <w:rsid w:val="00CA51D8"/>
    <w:rsid w:val="00CA7F71"/>
    <w:rsid w:val="00CB1CD9"/>
    <w:rsid w:val="00CB466B"/>
    <w:rsid w:val="00CB4B67"/>
    <w:rsid w:val="00CB5AF7"/>
    <w:rsid w:val="00CB66A1"/>
    <w:rsid w:val="00CC0110"/>
    <w:rsid w:val="00CC18DF"/>
    <w:rsid w:val="00CD3CBF"/>
    <w:rsid w:val="00CD7AFB"/>
    <w:rsid w:val="00CE0807"/>
    <w:rsid w:val="00CE448D"/>
    <w:rsid w:val="00CE7A61"/>
    <w:rsid w:val="00CF0E3B"/>
    <w:rsid w:val="00CF77E0"/>
    <w:rsid w:val="00D0518C"/>
    <w:rsid w:val="00D06718"/>
    <w:rsid w:val="00D10FD7"/>
    <w:rsid w:val="00D17480"/>
    <w:rsid w:val="00D174F9"/>
    <w:rsid w:val="00D2197A"/>
    <w:rsid w:val="00D222B2"/>
    <w:rsid w:val="00D23120"/>
    <w:rsid w:val="00D238EE"/>
    <w:rsid w:val="00D26E08"/>
    <w:rsid w:val="00D27B26"/>
    <w:rsid w:val="00D30A36"/>
    <w:rsid w:val="00D312B2"/>
    <w:rsid w:val="00D344B3"/>
    <w:rsid w:val="00D3706A"/>
    <w:rsid w:val="00D37995"/>
    <w:rsid w:val="00D4311A"/>
    <w:rsid w:val="00D43DE9"/>
    <w:rsid w:val="00D4676A"/>
    <w:rsid w:val="00D547DC"/>
    <w:rsid w:val="00D55190"/>
    <w:rsid w:val="00D56AEA"/>
    <w:rsid w:val="00D62941"/>
    <w:rsid w:val="00D6306E"/>
    <w:rsid w:val="00D65C74"/>
    <w:rsid w:val="00D65DE5"/>
    <w:rsid w:val="00D67E2D"/>
    <w:rsid w:val="00D73F77"/>
    <w:rsid w:val="00D7670A"/>
    <w:rsid w:val="00D813E5"/>
    <w:rsid w:val="00D82056"/>
    <w:rsid w:val="00D90D1E"/>
    <w:rsid w:val="00D95D98"/>
    <w:rsid w:val="00D966C9"/>
    <w:rsid w:val="00D96BE0"/>
    <w:rsid w:val="00DA0594"/>
    <w:rsid w:val="00DA15E2"/>
    <w:rsid w:val="00DA21FB"/>
    <w:rsid w:val="00DA31EC"/>
    <w:rsid w:val="00DA5A85"/>
    <w:rsid w:val="00DA6808"/>
    <w:rsid w:val="00DB01BF"/>
    <w:rsid w:val="00DB04A7"/>
    <w:rsid w:val="00DB0F4C"/>
    <w:rsid w:val="00DB23B4"/>
    <w:rsid w:val="00DB2A92"/>
    <w:rsid w:val="00DB3CB7"/>
    <w:rsid w:val="00DB7E76"/>
    <w:rsid w:val="00DC25C4"/>
    <w:rsid w:val="00DC2865"/>
    <w:rsid w:val="00DC6537"/>
    <w:rsid w:val="00DD0BC6"/>
    <w:rsid w:val="00DD164F"/>
    <w:rsid w:val="00DD433A"/>
    <w:rsid w:val="00DD517A"/>
    <w:rsid w:val="00DD5388"/>
    <w:rsid w:val="00DD56D5"/>
    <w:rsid w:val="00DD5D55"/>
    <w:rsid w:val="00DD7A21"/>
    <w:rsid w:val="00DD7C85"/>
    <w:rsid w:val="00DE02EF"/>
    <w:rsid w:val="00DE15D1"/>
    <w:rsid w:val="00DE1E00"/>
    <w:rsid w:val="00DE2A7B"/>
    <w:rsid w:val="00DE5380"/>
    <w:rsid w:val="00DE56DF"/>
    <w:rsid w:val="00DF186F"/>
    <w:rsid w:val="00DF1C26"/>
    <w:rsid w:val="00DF42F7"/>
    <w:rsid w:val="00E075CA"/>
    <w:rsid w:val="00E12BCD"/>
    <w:rsid w:val="00E20E5A"/>
    <w:rsid w:val="00E21A0D"/>
    <w:rsid w:val="00E22362"/>
    <w:rsid w:val="00E223ED"/>
    <w:rsid w:val="00E26769"/>
    <w:rsid w:val="00E30E70"/>
    <w:rsid w:val="00E32575"/>
    <w:rsid w:val="00E32899"/>
    <w:rsid w:val="00E403D2"/>
    <w:rsid w:val="00E41B13"/>
    <w:rsid w:val="00E4348E"/>
    <w:rsid w:val="00E4569B"/>
    <w:rsid w:val="00E46B93"/>
    <w:rsid w:val="00E47528"/>
    <w:rsid w:val="00E47DFE"/>
    <w:rsid w:val="00E507A9"/>
    <w:rsid w:val="00E52228"/>
    <w:rsid w:val="00E537F6"/>
    <w:rsid w:val="00E55917"/>
    <w:rsid w:val="00E56964"/>
    <w:rsid w:val="00E57FF3"/>
    <w:rsid w:val="00E659CF"/>
    <w:rsid w:val="00E66D58"/>
    <w:rsid w:val="00E72374"/>
    <w:rsid w:val="00E731B9"/>
    <w:rsid w:val="00E76DB4"/>
    <w:rsid w:val="00E803F1"/>
    <w:rsid w:val="00E8051E"/>
    <w:rsid w:val="00E80555"/>
    <w:rsid w:val="00E80DD4"/>
    <w:rsid w:val="00E83BF7"/>
    <w:rsid w:val="00E879F0"/>
    <w:rsid w:val="00E9016E"/>
    <w:rsid w:val="00E91619"/>
    <w:rsid w:val="00E9213F"/>
    <w:rsid w:val="00E967CD"/>
    <w:rsid w:val="00E96C70"/>
    <w:rsid w:val="00EA21BC"/>
    <w:rsid w:val="00EA35CE"/>
    <w:rsid w:val="00EA3CAF"/>
    <w:rsid w:val="00EA55D7"/>
    <w:rsid w:val="00EA67F1"/>
    <w:rsid w:val="00EB043D"/>
    <w:rsid w:val="00EB4E5C"/>
    <w:rsid w:val="00EB5195"/>
    <w:rsid w:val="00EB5D94"/>
    <w:rsid w:val="00EC0B24"/>
    <w:rsid w:val="00EC2852"/>
    <w:rsid w:val="00EC2D59"/>
    <w:rsid w:val="00EC398D"/>
    <w:rsid w:val="00EC66DD"/>
    <w:rsid w:val="00EC6CA9"/>
    <w:rsid w:val="00EC7450"/>
    <w:rsid w:val="00ED2F68"/>
    <w:rsid w:val="00ED3BC1"/>
    <w:rsid w:val="00ED3E86"/>
    <w:rsid w:val="00EE04B8"/>
    <w:rsid w:val="00EE1417"/>
    <w:rsid w:val="00EE42A3"/>
    <w:rsid w:val="00EF0045"/>
    <w:rsid w:val="00EF130A"/>
    <w:rsid w:val="00EF17B6"/>
    <w:rsid w:val="00EF22E3"/>
    <w:rsid w:val="00EF495D"/>
    <w:rsid w:val="00EF4C3C"/>
    <w:rsid w:val="00EF6688"/>
    <w:rsid w:val="00F02685"/>
    <w:rsid w:val="00F03058"/>
    <w:rsid w:val="00F03927"/>
    <w:rsid w:val="00F045A0"/>
    <w:rsid w:val="00F147C9"/>
    <w:rsid w:val="00F20389"/>
    <w:rsid w:val="00F23178"/>
    <w:rsid w:val="00F23671"/>
    <w:rsid w:val="00F240BF"/>
    <w:rsid w:val="00F244AE"/>
    <w:rsid w:val="00F25130"/>
    <w:rsid w:val="00F400F6"/>
    <w:rsid w:val="00F41AEA"/>
    <w:rsid w:val="00F42C83"/>
    <w:rsid w:val="00F47CDF"/>
    <w:rsid w:val="00F50729"/>
    <w:rsid w:val="00F536D4"/>
    <w:rsid w:val="00F63BDB"/>
    <w:rsid w:val="00F67ACB"/>
    <w:rsid w:val="00F81C60"/>
    <w:rsid w:val="00F8328F"/>
    <w:rsid w:val="00F90655"/>
    <w:rsid w:val="00FA03F9"/>
    <w:rsid w:val="00FA0C5C"/>
    <w:rsid w:val="00FA20B7"/>
    <w:rsid w:val="00FA2CAE"/>
    <w:rsid w:val="00FA6039"/>
    <w:rsid w:val="00FA639C"/>
    <w:rsid w:val="00FB2B3C"/>
    <w:rsid w:val="00FB2C5D"/>
    <w:rsid w:val="00FB3DE3"/>
    <w:rsid w:val="00FB5EC9"/>
    <w:rsid w:val="00FB63F2"/>
    <w:rsid w:val="00FB6571"/>
    <w:rsid w:val="00FB6995"/>
    <w:rsid w:val="00FC27FC"/>
    <w:rsid w:val="00FC3E65"/>
    <w:rsid w:val="00FC554B"/>
    <w:rsid w:val="00FC6936"/>
    <w:rsid w:val="00FC6C3D"/>
    <w:rsid w:val="00FD0DF8"/>
    <w:rsid w:val="00FD4714"/>
    <w:rsid w:val="00FD5FB7"/>
    <w:rsid w:val="00FD6888"/>
    <w:rsid w:val="00FE004F"/>
    <w:rsid w:val="00FE02F4"/>
    <w:rsid w:val="00FE47B2"/>
    <w:rsid w:val="00FF4125"/>
    <w:rsid w:val="00FF75D6"/>
    <w:rsid w:val="01351A5B"/>
    <w:rsid w:val="02683D9C"/>
    <w:rsid w:val="02B0060C"/>
    <w:rsid w:val="04480F26"/>
    <w:rsid w:val="05AB1DDF"/>
    <w:rsid w:val="08290CCA"/>
    <w:rsid w:val="086F512B"/>
    <w:rsid w:val="09100240"/>
    <w:rsid w:val="0FDB0781"/>
    <w:rsid w:val="130843FF"/>
    <w:rsid w:val="13894BD4"/>
    <w:rsid w:val="13D414B4"/>
    <w:rsid w:val="15D05E40"/>
    <w:rsid w:val="19A42785"/>
    <w:rsid w:val="1A095B1C"/>
    <w:rsid w:val="1B0F7D4C"/>
    <w:rsid w:val="1C4158E2"/>
    <w:rsid w:val="1C9B31ED"/>
    <w:rsid w:val="21C069C9"/>
    <w:rsid w:val="224F11CE"/>
    <w:rsid w:val="22C0005B"/>
    <w:rsid w:val="237A6EA7"/>
    <w:rsid w:val="23F24281"/>
    <w:rsid w:val="245C5493"/>
    <w:rsid w:val="24EB0EF7"/>
    <w:rsid w:val="2517404E"/>
    <w:rsid w:val="28A36F3A"/>
    <w:rsid w:val="2C441D38"/>
    <w:rsid w:val="2D6F3E72"/>
    <w:rsid w:val="2DBF7EF3"/>
    <w:rsid w:val="2E03776D"/>
    <w:rsid w:val="2E28403B"/>
    <w:rsid w:val="2F203538"/>
    <w:rsid w:val="2F555DEF"/>
    <w:rsid w:val="30CA6A32"/>
    <w:rsid w:val="3242446A"/>
    <w:rsid w:val="340003E3"/>
    <w:rsid w:val="345C4C66"/>
    <w:rsid w:val="360F5DC1"/>
    <w:rsid w:val="363556FE"/>
    <w:rsid w:val="37D84A8A"/>
    <w:rsid w:val="38D83753"/>
    <w:rsid w:val="38DD44FA"/>
    <w:rsid w:val="39A65ABC"/>
    <w:rsid w:val="3A6D75EE"/>
    <w:rsid w:val="3B42422F"/>
    <w:rsid w:val="3C2E5D95"/>
    <w:rsid w:val="3CCA2502"/>
    <w:rsid w:val="3D577AFF"/>
    <w:rsid w:val="3DB13EF3"/>
    <w:rsid w:val="3FC45AED"/>
    <w:rsid w:val="40BF469D"/>
    <w:rsid w:val="43A2320B"/>
    <w:rsid w:val="44AF662F"/>
    <w:rsid w:val="46CE4F61"/>
    <w:rsid w:val="49D874A8"/>
    <w:rsid w:val="4A7F62D0"/>
    <w:rsid w:val="4A9378A7"/>
    <w:rsid w:val="4B26728F"/>
    <w:rsid w:val="4B4850FD"/>
    <w:rsid w:val="4B9A0C55"/>
    <w:rsid w:val="4CA26B86"/>
    <w:rsid w:val="4D246B54"/>
    <w:rsid w:val="4D357740"/>
    <w:rsid w:val="4DB27319"/>
    <w:rsid w:val="4E202A97"/>
    <w:rsid w:val="4E690D59"/>
    <w:rsid w:val="4E925073"/>
    <w:rsid w:val="519968DD"/>
    <w:rsid w:val="540B3912"/>
    <w:rsid w:val="55C66B4D"/>
    <w:rsid w:val="561400F5"/>
    <w:rsid w:val="585D5900"/>
    <w:rsid w:val="5A98790A"/>
    <w:rsid w:val="5CDC447F"/>
    <w:rsid w:val="5EBD1A66"/>
    <w:rsid w:val="607B04D4"/>
    <w:rsid w:val="61636241"/>
    <w:rsid w:val="6BD234EC"/>
    <w:rsid w:val="6C28108A"/>
    <w:rsid w:val="6C7C4BF7"/>
    <w:rsid w:val="6E4F2CF2"/>
    <w:rsid w:val="6F3A4A6D"/>
    <w:rsid w:val="6F643AB0"/>
    <w:rsid w:val="6FEF212E"/>
    <w:rsid w:val="70254BDF"/>
    <w:rsid w:val="707F5208"/>
    <w:rsid w:val="71903AD3"/>
    <w:rsid w:val="73D23A69"/>
    <w:rsid w:val="73F70EE8"/>
    <w:rsid w:val="74245A33"/>
    <w:rsid w:val="742A0D13"/>
    <w:rsid w:val="76CA0521"/>
    <w:rsid w:val="76ED576D"/>
    <w:rsid w:val="773F493E"/>
    <w:rsid w:val="78E63056"/>
    <w:rsid w:val="791630D0"/>
    <w:rsid w:val="79867B84"/>
    <w:rsid w:val="79E04DB7"/>
    <w:rsid w:val="7B71300D"/>
    <w:rsid w:val="7C1D4C19"/>
    <w:rsid w:val="7CB30C26"/>
    <w:rsid w:val="7D5329A6"/>
    <w:rsid w:val="7DA8495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qFormat="1" w:uiPriority="99"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9"/>
    <w:qFormat/>
    <w:uiPriority w:val="9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0"/>
    <w:unhideWhenUsed/>
    <w:qFormat/>
    <w:uiPriority w:val="99"/>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1"/>
    <w:unhideWhenUsed/>
    <w:qFormat/>
    <w:uiPriority w:val="99"/>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2"/>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3"/>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4"/>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5"/>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6"/>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7"/>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2">
    <w:name w:val="Default Paragraph Font"/>
    <w:unhideWhenUsed/>
    <w:uiPriority w:val="1"/>
  </w:style>
  <w:style w:type="table" w:default="1" w:styleId="47">
    <w:name w:val="Normal Table"/>
    <w:unhideWhenUsed/>
    <w:uiPriority w:val="99"/>
    <w:tblPr>
      <w:tblLayout w:type="fixed"/>
      <w:tblCellMar>
        <w:top w:w="0" w:type="dxa"/>
        <w:left w:w="108" w:type="dxa"/>
        <w:bottom w:w="0" w:type="dxa"/>
        <w:right w:w="108" w:type="dxa"/>
      </w:tblCellMar>
    </w:tblPr>
  </w:style>
  <w:style w:type="paragraph" w:styleId="2">
    <w:name w:val="Body Text"/>
    <w:basedOn w:val="1"/>
    <w:next w:val="1"/>
    <w:link w:val="63"/>
    <w:unhideWhenUsed/>
    <w:qFormat/>
    <w:uiPriority w:val="0"/>
    <w:pPr>
      <w:spacing w:after="120"/>
    </w:pPr>
  </w:style>
  <w:style w:type="paragraph" w:styleId="12">
    <w:name w:val="annotation subject"/>
    <w:basedOn w:val="13"/>
    <w:next w:val="13"/>
    <w:link w:val="76"/>
    <w:unhideWhenUsed/>
    <w:qFormat/>
    <w:uiPriority w:val="99"/>
    <w:rPr>
      <w:rFonts w:ascii="Calibri" w:hAnsi="Calibri"/>
      <w:b/>
      <w:bCs/>
      <w:kern w:val="2"/>
      <w:sz w:val="21"/>
      <w:szCs w:val="22"/>
    </w:rPr>
  </w:style>
  <w:style w:type="paragraph" w:styleId="13">
    <w:name w:val="annotation text"/>
    <w:basedOn w:val="1"/>
    <w:link w:val="60"/>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8"/>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8"/>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3"/>
    <w:unhideWhenUsed/>
    <w:qFormat/>
    <w:uiPriority w:val="0"/>
    <w:pPr>
      <w:shd w:val="clear" w:color="auto" w:fill="000080"/>
    </w:pPr>
    <w:rPr>
      <w:rFonts w:ascii="Times New Roman" w:hAnsi="Times New Roman"/>
      <w:kern w:val="0"/>
      <w:sz w:val="18"/>
      <w:szCs w:val="18"/>
    </w:rPr>
  </w:style>
  <w:style w:type="paragraph" w:styleId="19">
    <w:name w:val="Body Text 3"/>
    <w:basedOn w:val="1"/>
    <w:link w:val="70"/>
    <w:unhideWhenUsed/>
    <w:qFormat/>
    <w:uiPriority w:val="0"/>
    <w:pPr>
      <w:jc w:val="center"/>
    </w:pPr>
    <w:rPr>
      <w:rFonts w:ascii="Times New Roman" w:hAnsi="Times New Roman" w:eastAsia="黑体"/>
      <w:sz w:val="44"/>
      <w:szCs w:val="24"/>
    </w:rPr>
  </w:style>
  <w:style w:type="paragraph" w:styleId="20">
    <w:name w:val="Body Text Indent"/>
    <w:basedOn w:val="1"/>
    <w:link w:val="65"/>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74"/>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7"/>
    <w:unhideWhenUsed/>
    <w:qFormat/>
    <w:uiPriority w:val="0"/>
    <w:pPr>
      <w:ind w:left="100" w:leftChars="2500"/>
    </w:pPr>
    <w:rPr>
      <w:rFonts w:ascii="Times New Roman" w:hAnsi="Times New Roman"/>
      <w:kern w:val="0"/>
      <w:sz w:val="24"/>
      <w:szCs w:val="24"/>
    </w:rPr>
  </w:style>
  <w:style w:type="paragraph" w:styleId="27">
    <w:name w:val="Body Text Indent 2"/>
    <w:basedOn w:val="1"/>
    <w:link w:val="71"/>
    <w:unhideWhenUsed/>
    <w:qFormat/>
    <w:uiPriority w:val="0"/>
    <w:pPr>
      <w:spacing w:after="120" w:line="480" w:lineRule="auto"/>
      <w:ind w:left="420" w:leftChars="200"/>
    </w:pPr>
  </w:style>
  <w:style w:type="paragraph" w:styleId="28">
    <w:name w:val="Balloon Text"/>
    <w:basedOn w:val="1"/>
    <w:link w:val="77"/>
    <w:unhideWhenUsed/>
    <w:qFormat/>
    <w:uiPriority w:val="99"/>
    <w:rPr>
      <w:rFonts w:ascii="Times New Roman" w:hAnsi="Times New Roman"/>
      <w:kern w:val="0"/>
      <w:sz w:val="18"/>
      <w:szCs w:val="18"/>
    </w:rPr>
  </w:style>
  <w:style w:type="paragraph" w:styleId="29">
    <w:name w:val="footer"/>
    <w:basedOn w:val="1"/>
    <w:link w:val="62"/>
    <w:unhideWhenUsed/>
    <w:qFormat/>
    <w:uiPriority w:val="99"/>
    <w:pPr>
      <w:tabs>
        <w:tab w:val="center" w:pos="4153"/>
        <w:tab w:val="right" w:pos="8306"/>
      </w:tabs>
      <w:snapToGrid w:val="0"/>
      <w:jc w:val="left"/>
    </w:pPr>
    <w:rPr>
      <w:kern w:val="0"/>
      <w:sz w:val="18"/>
      <w:szCs w:val="18"/>
    </w:rPr>
  </w:style>
  <w:style w:type="paragraph" w:styleId="30">
    <w:name w:val="Body Text First Indent 2"/>
    <w:basedOn w:val="20"/>
    <w:unhideWhenUsed/>
    <w:qFormat/>
    <w:uiPriority w:val="99"/>
    <w:pPr>
      <w:ind w:firstLine="420" w:firstLineChars="200"/>
    </w:pPr>
  </w:style>
  <w:style w:type="paragraph" w:styleId="31">
    <w:name w:val="header"/>
    <w:basedOn w:val="1"/>
    <w:link w:val="6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3">
    <w:name w:val="toc 4"/>
    <w:basedOn w:val="1"/>
    <w:next w:val="1"/>
    <w:unhideWhenUsed/>
    <w:qFormat/>
    <w:uiPriority w:val="0"/>
    <w:pPr>
      <w:ind w:left="1260" w:leftChars="600"/>
    </w:pPr>
    <w:rPr>
      <w:rFonts w:ascii="Times New Roman" w:hAnsi="Times New Roman"/>
      <w:sz w:val="18"/>
      <w:szCs w:val="18"/>
    </w:rPr>
  </w:style>
  <w:style w:type="paragraph" w:styleId="34">
    <w:name w:val="Subtitle"/>
    <w:basedOn w:val="1"/>
    <w:next w:val="1"/>
    <w:link w:val="66"/>
    <w:qFormat/>
    <w:uiPriority w:val="0"/>
    <w:pPr>
      <w:spacing w:before="240" w:after="60" w:line="312" w:lineRule="auto"/>
      <w:jc w:val="center"/>
      <w:outlineLvl w:val="1"/>
    </w:pPr>
    <w:rPr>
      <w:rFonts w:ascii="Cambria" w:hAnsi="Cambria"/>
      <w:b/>
      <w:bCs/>
      <w:kern w:val="28"/>
      <w:sz w:val="32"/>
      <w:szCs w:val="32"/>
    </w:rPr>
  </w:style>
  <w:style w:type="paragraph" w:styleId="35">
    <w:name w:val="footnote text"/>
    <w:basedOn w:val="1"/>
    <w:link w:val="59"/>
    <w:unhideWhenUsed/>
    <w:qFormat/>
    <w:uiPriority w:val="0"/>
    <w:pPr>
      <w:snapToGrid w:val="0"/>
      <w:jc w:val="left"/>
    </w:pPr>
    <w:rPr>
      <w:sz w:val="18"/>
      <w:szCs w:val="18"/>
    </w:rPr>
  </w:style>
  <w:style w:type="paragraph" w:styleId="36">
    <w:name w:val="toc 6"/>
    <w:basedOn w:val="1"/>
    <w:next w:val="1"/>
    <w:unhideWhenUsed/>
    <w:qFormat/>
    <w:uiPriority w:val="0"/>
    <w:pPr>
      <w:ind w:left="2100" w:leftChars="1000"/>
    </w:pPr>
    <w:rPr>
      <w:rFonts w:ascii="Times New Roman" w:hAnsi="Times New Roman"/>
      <w:szCs w:val="24"/>
    </w:rPr>
  </w:style>
  <w:style w:type="paragraph" w:styleId="37">
    <w:name w:val="Body Text Indent 3"/>
    <w:basedOn w:val="1"/>
    <w:link w:val="72"/>
    <w:unhideWhenUsed/>
    <w:qFormat/>
    <w:uiPriority w:val="0"/>
    <w:pPr>
      <w:spacing w:line="360" w:lineRule="auto"/>
      <w:ind w:left="153" w:leftChars="85" w:firstLine="560" w:firstLineChars="200"/>
    </w:pPr>
    <w:rPr>
      <w:rFonts w:ascii="宋体" w:hAnsi="宋体"/>
      <w:kern w:val="0"/>
      <w:sz w:val="28"/>
      <w:szCs w:val="28"/>
    </w:rPr>
  </w:style>
  <w:style w:type="paragraph" w:styleId="38">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9">
    <w:name w:val="toc 9"/>
    <w:basedOn w:val="1"/>
    <w:next w:val="1"/>
    <w:unhideWhenUsed/>
    <w:qFormat/>
    <w:uiPriority w:val="0"/>
    <w:pPr>
      <w:ind w:left="3360" w:leftChars="1600"/>
    </w:pPr>
    <w:rPr>
      <w:rFonts w:ascii="Times New Roman" w:hAnsi="Times New Roman"/>
      <w:szCs w:val="24"/>
    </w:rPr>
  </w:style>
  <w:style w:type="paragraph" w:styleId="40">
    <w:name w:val="Body Text 2"/>
    <w:basedOn w:val="1"/>
    <w:link w:val="69"/>
    <w:unhideWhenUsed/>
    <w:qFormat/>
    <w:uiPriority w:val="0"/>
    <w:pPr>
      <w:spacing w:after="120" w:line="480" w:lineRule="auto"/>
    </w:pPr>
    <w:rPr>
      <w:rFonts w:ascii="Times New Roman" w:hAnsi="Times New Roman"/>
      <w:kern w:val="0"/>
      <w:sz w:val="18"/>
      <w:szCs w:val="18"/>
    </w:rPr>
  </w:style>
  <w:style w:type="paragraph" w:styleId="41">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3">
    <w:name w:val="FollowedHyperlink"/>
    <w:basedOn w:val="42"/>
    <w:unhideWhenUsed/>
    <w:qFormat/>
    <w:uiPriority w:val="99"/>
    <w:rPr>
      <w:color w:val="800080" w:themeColor="followedHyperlink"/>
      <w:u w:val="single"/>
      <w14:textFill>
        <w14:solidFill>
          <w14:schemeClr w14:val="folHlink"/>
        </w14:solidFill>
      </w14:textFill>
    </w:rPr>
  </w:style>
  <w:style w:type="character" w:styleId="44">
    <w:name w:val="Hyperlink"/>
    <w:unhideWhenUsed/>
    <w:qFormat/>
    <w:uiPriority w:val="99"/>
    <w:rPr>
      <w:color w:val="0000FF"/>
      <w:u w:val="single"/>
    </w:rPr>
  </w:style>
  <w:style w:type="character" w:styleId="45">
    <w:name w:val="annotation reference"/>
    <w:unhideWhenUsed/>
    <w:qFormat/>
    <w:uiPriority w:val="0"/>
    <w:rPr>
      <w:sz w:val="21"/>
      <w:szCs w:val="21"/>
    </w:rPr>
  </w:style>
  <w:style w:type="character" w:styleId="46">
    <w:name w:val="footnote reference"/>
    <w:unhideWhenUsed/>
    <w:qFormat/>
    <w:uiPriority w:val="0"/>
    <w:rPr>
      <w:vertAlign w:val="superscript"/>
    </w:rPr>
  </w:style>
  <w:style w:type="table" w:styleId="48">
    <w:name w:val="Table Grid"/>
    <w:basedOn w:val="4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9">
    <w:name w:val="标题 1 Char"/>
    <w:basedOn w:val="42"/>
    <w:link w:val="3"/>
    <w:qFormat/>
    <w:uiPriority w:val="99"/>
    <w:rPr>
      <w:rFonts w:ascii="宋体" w:hAnsi="宋体" w:cs="宋体"/>
      <w:b/>
      <w:bCs/>
      <w:spacing w:val="-20"/>
      <w:kern w:val="44"/>
      <w:sz w:val="32"/>
      <w:szCs w:val="32"/>
    </w:rPr>
  </w:style>
  <w:style w:type="character" w:customStyle="1" w:styleId="50">
    <w:name w:val="标题 2 Char"/>
    <w:basedOn w:val="42"/>
    <w:link w:val="4"/>
    <w:qFormat/>
    <w:uiPriority w:val="99"/>
    <w:rPr>
      <w:rFonts w:ascii="宋体" w:hAnsi="宋体" w:cs="宋体"/>
      <w:b/>
      <w:bCs/>
      <w:kern w:val="2"/>
      <w:sz w:val="28"/>
      <w:szCs w:val="28"/>
    </w:rPr>
  </w:style>
  <w:style w:type="character" w:customStyle="1" w:styleId="51">
    <w:name w:val="标题 3 Char"/>
    <w:basedOn w:val="42"/>
    <w:link w:val="5"/>
    <w:qFormat/>
    <w:uiPriority w:val="99"/>
    <w:rPr>
      <w:rFonts w:ascii="宋体" w:hAnsi="宋体" w:cs="宋体"/>
      <w:b/>
      <w:bCs/>
      <w:color w:val="000000"/>
      <w:sz w:val="28"/>
      <w:szCs w:val="28"/>
    </w:rPr>
  </w:style>
  <w:style w:type="character" w:customStyle="1" w:styleId="52">
    <w:name w:val="标题 4 Char"/>
    <w:basedOn w:val="42"/>
    <w:link w:val="6"/>
    <w:qFormat/>
    <w:uiPriority w:val="9"/>
    <w:rPr>
      <w:rFonts w:ascii="Arial" w:hAnsi="Arial"/>
      <w:b/>
      <w:bCs/>
      <w:sz w:val="28"/>
      <w:szCs w:val="28"/>
    </w:rPr>
  </w:style>
  <w:style w:type="character" w:customStyle="1" w:styleId="53">
    <w:name w:val="标题 5 Char"/>
    <w:basedOn w:val="42"/>
    <w:link w:val="7"/>
    <w:qFormat/>
    <w:uiPriority w:val="0"/>
    <w:rPr>
      <w:rFonts w:ascii="Calibri" w:hAnsi="Calibri" w:cs="宋体"/>
      <w:b/>
      <w:bCs/>
      <w:sz w:val="28"/>
      <w:szCs w:val="28"/>
    </w:rPr>
  </w:style>
  <w:style w:type="character" w:customStyle="1" w:styleId="54">
    <w:name w:val="标题 6 Char"/>
    <w:basedOn w:val="42"/>
    <w:link w:val="8"/>
    <w:qFormat/>
    <w:uiPriority w:val="0"/>
    <w:rPr>
      <w:rFonts w:ascii="Arial" w:hAnsi="Arial"/>
      <w:b/>
      <w:bCs/>
      <w:sz w:val="28"/>
      <w:szCs w:val="18"/>
    </w:rPr>
  </w:style>
  <w:style w:type="character" w:customStyle="1" w:styleId="55">
    <w:name w:val="标题 7 Char"/>
    <w:basedOn w:val="42"/>
    <w:link w:val="9"/>
    <w:semiHidden/>
    <w:qFormat/>
    <w:uiPriority w:val="0"/>
    <w:rPr>
      <w:rFonts w:ascii="Arial Narrow" w:hAnsi="Arial Narrow" w:eastAsia="宋体" w:cs="Times New Roman"/>
      <w:b/>
      <w:bCs/>
      <w:iCs/>
      <w:kern w:val="0"/>
      <w:sz w:val="20"/>
      <w:szCs w:val="24"/>
      <w:lang w:eastAsia="en-US"/>
    </w:rPr>
  </w:style>
  <w:style w:type="character" w:customStyle="1" w:styleId="56">
    <w:name w:val="标题 8 Char"/>
    <w:basedOn w:val="42"/>
    <w:link w:val="10"/>
    <w:semiHidden/>
    <w:qFormat/>
    <w:uiPriority w:val="0"/>
    <w:rPr>
      <w:rFonts w:ascii="Arial" w:hAnsi="Arial" w:eastAsia="黑体" w:cs="Times New Roman"/>
      <w:kern w:val="0"/>
      <w:sz w:val="24"/>
      <w:szCs w:val="24"/>
    </w:rPr>
  </w:style>
  <w:style w:type="character" w:customStyle="1" w:styleId="57">
    <w:name w:val="标题 9 Char"/>
    <w:basedOn w:val="42"/>
    <w:link w:val="11"/>
    <w:semiHidden/>
    <w:qFormat/>
    <w:uiPriority w:val="0"/>
    <w:rPr>
      <w:rFonts w:ascii="Arial" w:hAnsi="Arial" w:eastAsia="黑体" w:cs="Times New Roman"/>
      <w:kern w:val="0"/>
      <w:sz w:val="20"/>
      <w:szCs w:val="21"/>
    </w:rPr>
  </w:style>
  <w:style w:type="character" w:customStyle="1" w:styleId="58">
    <w:name w:val="正文缩进 Char1"/>
    <w:link w:val="16"/>
    <w:qFormat/>
    <w:locked/>
    <w:uiPriority w:val="0"/>
  </w:style>
  <w:style w:type="character" w:customStyle="1" w:styleId="59">
    <w:name w:val="脚注文本 Char"/>
    <w:basedOn w:val="42"/>
    <w:link w:val="35"/>
    <w:qFormat/>
    <w:uiPriority w:val="0"/>
    <w:rPr>
      <w:rFonts w:ascii="Calibri" w:hAnsi="Calibri" w:eastAsia="宋体" w:cs="Times New Roman"/>
      <w:sz w:val="18"/>
      <w:szCs w:val="18"/>
    </w:rPr>
  </w:style>
  <w:style w:type="character" w:customStyle="1" w:styleId="60">
    <w:name w:val="批注文字 Char"/>
    <w:basedOn w:val="42"/>
    <w:link w:val="13"/>
    <w:qFormat/>
    <w:uiPriority w:val="99"/>
    <w:rPr>
      <w:rFonts w:ascii="Times New Roman" w:hAnsi="Times New Roman" w:eastAsia="宋体" w:cs="Times New Roman"/>
      <w:kern w:val="0"/>
      <w:sz w:val="18"/>
      <w:szCs w:val="18"/>
    </w:rPr>
  </w:style>
  <w:style w:type="character" w:customStyle="1" w:styleId="61">
    <w:name w:val="页眉 Char"/>
    <w:basedOn w:val="42"/>
    <w:link w:val="31"/>
    <w:qFormat/>
    <w:uiPriority w:val="99"/>
    <w:rPr>
      <w:rFonts w:ascii="Calibri" w:hAnsi="Calibri" w:eastAsia="宋体" w:cs="Times New Roman"/>
      <w:kern w:val="0"/>
      <w:sz w:val="18"/>
      <w:szCs w:val="18"/>
    </w:rPr>
  </w:style>
  <w:style w:type="character" w:customStyle="1" w:styleId="62">
    <w:name w:val="页脚 Char"/>
    <w:basedOn w:val="42"/>
    <w:link w:val="29"/>
    <w:qFormat/>
    <w:uiPriority w:val="99"/>
    <w:rPr>
      <w:rFonts w:ascii="Calibri" w:hAnsi="Calibri" w:eastAsia="宋体" w:cs="Times New Roman"/>
      <w:kern w:val="0"/>
      <w:sz w:val="18"/>
      <w:szCs w:val="18"/>
    </w:rPr>
  </w:style>
  <w:style w:type="character" w:customStyle="1" w:styleId="63">
    <w:name w:val="正文文本 Char2"/>
    <w:basedOn w:val="42"/>
    <w:link w:val="2"/>
    <w:qFormat/>
    <w:locked/>
    <w:uiPriority w:val="0"/>
    <w:rPr>
      <w:rFonts w:ascii="Calibri" w:hAnsi="Calibri" w:eastAsia="宋体" w:cs="Times New Roman"/>
    </w:rPr>
  </w:style>
  <w:style w:type="character" w:customStyle="1" w:styleId="64">
    <w:name w:val="正文文本 Char"/>
    <w:basedOn w:val="42"/>
    <w:qFormat/>
    <w:uiPriority w:val="0"/>
    <w:rPr>
      <w:rFonts w:ascii="Calibri" w:hAnsi="Calibri" w:eastAsia="宋体" w:cs="Times New Roman"/>
    </w:rPr>
  </w:style>
  <w:style w:type="character" w:customStyle="1" w:styleId="65">
    <w:name w:val="正文文本缩进 Char"/>
    <w:basedOn w:val="42"/>
    <w:link w:val="20"/>
    <w:qFormat/>
    <w:uiPriority w:val="0"/>
    <w:rPr>
      <w:rFonts w:ascii="Times New Roman" w:hAnsi="Times New Roman" w:eastAsia="宋体" w:cs="Times New Roman"/>
      <w:kern w:val="0"/>
      <w:sz w:val="20"/>
      <w:szCs w:val="24"/>
    </w:rPr>
  </w:style>
  <w:style w:type="character" w:customStyle="1" w:styleId="66">
    <w:name w:val="副标题 Char"/>
    <w:basedOn w:val="42"/>
    <w:link w:val="34"/>
    <w:qFormat/>
    <w:uiPriority w:val="0"/>
    <w:rPr>
      <w:rFonts w:ascii="Cambria" w:hAnsi="Cambria" w:eastAsia="宋体" w:cs="Times New Roman"/>
      <w:b/>
      <w:bCs/>
      <w:kern w:val="28"/>
      <w:sz w:val="32"/>
      <w:szCs w:val="32"/>
    </w:rPr>
  </w:style>
  <w:style w:type="character" w:customStyle="1" w:styleId="67">
    <w:name w:val="日期 Char"/>
    <w:basedOn w:val="42"/>
    <w:link w:val="26"/>
    <w:qFormat/>
    <w:uiPriority w:val="0"/>
    <w:rPr>
      <w:rFonts w:ascii="Times New Roman" w:hAnsi="Times New Roman" w:eastAsia="宋体" w:cs="Times New Roman"/>
      <w:kern w:val="0"/>
      <w:sz w:val="24"/>
      <w:szCs w:val="24"/>
    </w:rPr>
  </w:style>
  <w:style w:type="character" w:customStyle="1" w:styleId="68">
    <w:name w:val="正文首行缩进 Char"/>
    <w:basedOn w:val="64"/>
    <w:link w:val="15"/>
    <w:qFormat/>
    <w:uiPriority w:val="0"/>
    <w:rPr>
      <w:rFonts w:ascii="Times New Roman" w:hAnsi="Times New Roman" w:eastAsia="宋体" w:cs="Times New Roman"/>
      <w:kern w:val="0"/>
      <w:sz w:val="18"/>
      <w:szCs w:val="18"/>
    </w:rPr>
  </w:style>
  <w:style w:type="character" w:customStyle="1" w:styleId="69">
    <w:name w:val="正文文本 2 Char"/>
    <w:basedOn w:val="42"/>
    <w:link w:val="40"/>
    <w:qFormat/>
    <w:uiPriority w:val="0"/>
    <w:rPr>
      <w:rFonts w:ascii="Times New Roman" w:hAnsi="Times New Roman" w:eastAsia="宋体" w:cs="Times New Roman"/>
      <w:kern w:val="0"/>
      <w:sz w:val="18"/>
      <w:szCs w:val="18"/>
    </w:rPr>
  </w:style>
  <w:style w:type="character" w:customStyle="1" w:styleId="70">
    <w:name w:val="正文文本 3 Char"/>
    <w:basedOn w:val="42"/>
    <w:link w:val="19"/>
    <w:qFormat/>
    <w:uiPriority w:val="0"/>
    <w:rPr>
      <w:rFonts w:ascii="Times New Roman" w:hAnsi="Times New Roman" w:eastAsia="黑体" w:cs="Times New Roman"/>
      <w:sz w:val="44"/>
      <w:szCs w:val="24"/>
    </w:rPr>
  </w:style>
  <w:style w:type="character" w:customStyle="1" w:styleId="71">
    <w:name w:val="正文文本缩进 2 Char"/>
    <w:basedOn w:val="42"/>
    <w:link w:val="27"/>
    <w:qFormat/>
    <w:uiPriority w:val="0"/>
    <w:rPr>
      <w:rFonts w:ascii="Calibri" w:hAnsi="Calibri" w:eastAsia="宋体" w:cs="Times New Roman"/>
    </w:rPr>
  </w:style>
  <w:style w:type="character" w:customStyle="1" w:styleId="72">
    <w:name w:val="正文文本缩进 3 Char"/>
    <w:basedOn w:val="42"/>
    <w:link w:val="37"/>
    <w:qFormat/>
    <w:uiPriority w:val="0"/>
    <w:rPr>
      <w:rFonts w:ascii="宋体" w:hAnsi="宋体" w:eastAsia="宋体" w:cs="Times New Roman"/>
      <w:kern w:val="0"/>
      <w:sz w:val="28"/>
      <w:szCs w:val="28"/>
    </w:rPr>
  </w:style>
  <w:style w:type="character" w:customStyle="1" w:styleId="73">
    <w:name w:val="文档结构图 Char"/>
    <w:basedOn w:val="42"/>
    <w:link w:val="18"/>
    <w:qFormat/>
    <w:uiPriority w:val="0"/>
    <w:rPr>
      <w:rFonts w:ascii="Times New Roman" w:hAnsi="Times New Roman" w:eastAsia="宋体" w:cs="Times New Roman"/>
      <w:kern w:val="0"/>
      <w:sz w:val="18"/>
      <w:szCs w:val="18"/>
      <w:shd w:val="clear" w:color="auto" w:fill="000080"/>
    </w:rPr>
  </w:style>
  <w:style w:type="character" w:customStyle="1" w:styleId="74">
    <w:name w:val="纯文本 Char1"/>
    <w:link w:val="24"/>
    <w:qFormat/>
    <w:locked/>
    <w:uiPriority w:val="0"/>
    <w:rPr>
      <w:rFonts w:ascii="宋体" w:hAnsi="Courier New" w:eastAsia="宋体" w:cs="Times New Roman"/>
      <w:kern w:val="0"/>
      <w:sz w:val="20"/>
      <w:szCs w:val="18"/>
    </w:rPr>
  </w:style>
  <w:style w:type="character" w:customStyle="1" w:styleId="75">
    <w:name w:val="纯文本 Char"/>
    <w:basedOn w:val="42"/>
    <w:qFormat/>
    <w:uiPriority w:val="0"/>
    <w:rPr>
      <w:rFonts w:ascii="宋体" w:hAnsi="Courier New" w:eastAsia="宋体" w:cs="Courier New"/>
      <w:szCs w:val="21"/>
    </w:rPr>
  </w:style>
  <w:style w:type="character" w:customStyle="1" w:styleId="76">
    <w:name w:val="批注主题 Char"/>
    <w:basedOn w:val="60"/>
    <w:link w:val="12"/>
    <w:qFormat/>
    <w:uiPriority w:val="99"/>
    <w:rPr>
      <w:rFonts w:ascii="Calibri" w:hAnsi="Calibri" w:eastAsia="宋体" w:cs="Times New Roman"/>
      <w:b/>
      <w:bCs/>
      <w:kern w:val="0"/>
      <w:sz w:val="18"/>
      <w:szCs w:val="18"/>
    </w:rPr>
  </w:style>
  <w:style w:type="character" w:customStyle="1" w:styleId="77">
    <w:name w:val="批注框文本 Char"/>
    <w:basedOn w:val="42"/>
    <w:link w:val="28"/>
    <w:qFormat/>
    <w:uiPriority w:val="99"/>
    <w:rPr>
      <w:rFonts w:ascii="Times New Roman" w:hAnsi="Times New Roman" w:eastAsia="宋体" w:cs="Times New Roman"/>
      <w:kern w:val="0"/>
      <w:sz w:val="18"/>
      <w:szCs w:val="18"/>
    </w:rPr>
  </w:style>
  <w:style w:type="paragraph" w:customStyle="1" w:styleId="78">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9">
    <w:name w:val="列出段落 字符"/>
    <w:link w:val="80"/>
    <w:qFormat/>
    <w:locked/>
    <w:uiPriority w:val="34"/>
    <w:rPr>
      <w:rFonts w:ascii="Calibri" w:hAnsi="Calibri"/>
    </w:rPr>
  </w:style>
  <w:style w:type="paragraph" w:customStyle="1" w:styleId="80">
    <w:name w:val="列出段落1"/>
    <w:basedOn w:val="1"/>
    <w:link w:val="79"/>
    <w:qFormat/>
    <w:uiPriority w:val="34"/>
    <w:pPr>
      <w:ind w:firstLine="420" w:firstLineChars="200"/>
    </w:pPr>
    <w:rPr>
      <w:rFonts w:eastAsiaTheme="minorEastAsia" w:cstheme="minorBidi"/>
    </w:rPr>
  </w:style>
  <w:style w:type="character" w:customStyle="1" w:styleId="81">
    <w:name w:val="彩色列表 - 强调文字颜色 1 Char"/>
    <w:link w:val="82"/>
    <w:qFormat/>
    <w:locked/>
    <w:uiPriority w:val="0"/>
    <w:rPr>
      <w:rFonts w:ascii="Calibri" w:hAnsi="Calibri"/>
    </w:rPr>
  </w:style>
  <w:style w:type="paragraph" w:customStyle="1" w:styleId="82">
    <w:name w:val="彩色列表 - 强调文字颜色 11"/>
    <w:basedOn w:val="1"/>
    <w:link w:val="81"/>
    <w:qFormat/>
    <w:uiPriority w:val="0"/>
    <w:pPr>
      <w:ind w:firstLine="420" w:firstLineChars="200"/>
    </w:pPr>
    <w:rPr>
      <w:rFonts w:eastAsiaTheme="minorEastAsia" w:cstheme="minorBidi"/>
    </w:rPr>
  </w:style>
  <w:style w:type="paragraph" w:customStyle="1" w:styleId="83">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4">
    <w:name w:val="MM Title"/>
    <w:basedOn w:val="1"/>
    <w:qFormat/>
    <w:uiPriority w:val="0"/>
    <w:pPr>
      <w:spacing w:before="240" w:after="60"/>
      <w:jc w:val="center"/>
      <w:outlineLvl w:val="0"/>
    </w:pPr>
    <w:rPr>
      <w:rFonts w:ascii="Arial" w:hAnsi="Arial" w:cs="Arial"/>
      <w:b/>
      <w:bCs/>
      <w:sz w:val="32"/>
      <w:szCs w:val="32"/>
    </w:rPr>
  </w:style>
  <w:style w:type="paragraph" w:customStyle="1" w:styleId="85">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6">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7">
    <w:name w:val="gb_master正文"/>
    <w:basedOn w:val="1"/>
    <w:qFormat/>
    <w:uiPriority w:val="0"/>
    <w:pPr>
      <w:ind w:firstLine="200" w:firstLineChars="200"/>
    </w:pPr>
    <w:rPr>
      <w:rFonts w:ascii="Times New Roman" w:hAnsi="Times New Roman"/>
      <w:szCs w:val="24"/>
    </w:rPr>
  </w:style>
  <w:style w:type="paragraph" w:customStyle="1" w:styleId="8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0">
    <w:name w:val="Char2 Char Char Char"/>
    <w:basedOn w:val="1"/>
    <w:qFormat/>
    <w:uiPriority w:val="0"/>
    <w:rPr>
      <w:rFonts w:ascii="仿宋_GB2312" w:hAnsi="Times New Roman"/>
      <w:b/>
      <w:sz w:val="30"/>
      <w:szCs w:val="32"/>
    </w:rPr>
  </w:style>
  <w:style w:type="paragraph" w:customStyle="1" w:styleId="91">
    <w:name w:val="样式 样式 样式 标题 2 + 宋体 五号 非加粗 黑色 + 段前: 6 磅 段后: 0 磅 行距: 单倍行距 + 段前: 12..."/>
    <w:basedOn w:val="1"/>
    <w:qFormat/>
    <w:uiPriority w:val="0"/>
    <w:pPr>
      <w:keepNext/>
      <w:keepLines/>
      <w:tabs>
        <w:tab w:val="left" w:pos="1124"/>
      </w:tabs>
      <w:adjustRightInd w:val="0"/>
      <w:spacing w:before="240"/>
      <w:ind w:left="1124" w:hanging="420"/>
      <w:jc w:val="left"/>
      <w:outlineLvl w:val="1"/>
    </w:pPr>
    <w:rPr>
      <w:rFonts w:ascii="宋体" w:hAnsi="宋体" w:cs="宋体"/>
      <w:color w:val="000000"/>
      <w:kern w:val="0"/>
      <w:szCs w:val="20"/>
    </w:rPr>
  </w:style>
  <w:style w:type="paragraph" w:customStyle="1" w:styleId="9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3">
    <w:name w:val="默认段落字体 Para Char"/>
    <w:basedOn w:val="1"/>
    <w:qFormat/>
    <w:uiPriority w:val="0"/>
    <w:rPr>
      <w:rFonts w:ascii="Tahoma" w:hAnsi="Tahoma"/>
      <w:sz w:val="24"/>
      <w:szCs w:val="20"/>
    </w:rPr>
  </w:style>
  <w:style w:type="paragraph" w:customStyle="1" w:styleId="94">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5">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6">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7">
    <w:name w:val="表格文字"/>
    <w:basedOn w:val="1"/>
    <w:qFormat/>
    <w:uiPriority w:val="0"/>
    <w:pPr>
      <w:spacing w:beforeLines="25"/>
    </w:pPr>
    <w:rPr>
      <w:rFonts w:ascii="Times New (W1)" w:hAnsi="Times New (W1)"/>
      <w:spacing w:val="10"/>
      <w:szCs w:val="24"/>
    </w:rPr>
  </w:style>
  <w:style w:type="paragraph" w:customStyle="1" w:styleId="98">
    <w:name w:val="文章正文"/>
    <w:basedOn w:val="1"/>
    <w:qFormat/>
    <w:uiPriority w:val="0"/>
    <w:pPr>
      <w:spacing w:line="360" w:lineRule="auto"/>
      <w:ind w:firstLine="420"/>
    </w:pPr>
    <w:rPr>
      <w:rFonts w:ascii="Times New Roman" w:hAnsi="Times New Roman"/>
      <w:sz w:val="24"/>
      <w:szCs w:val="24"/>
    </w:rPr>
  </w:style>
  <w:style w:type="paragraph" w:customStyle="1" w:styleId="99">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0">
    <w:name w:val="默认段落字体 Para Char Char"/>
    <w:basedOn w:val="1"/>
    <w:qFormat/>
    <w:uiPriority w:val="0"/>
    <w:rPr>
      <w:rFonts w:ascii="Times New Roman" w:hAnsi="Times New Roman"/>
      <w:szCs w:val="24"/>
    </w:rPr>
  </w:style>
  <w:style w:type="paragraph" w:customStyle="1" w:styleId="101">
    <w:name w:val="MM Topic 6"/>
    <w:basedOn w:val="8"/>
    <w:qFormat/>
    <w:uiPriority w:val="0"/>
    <w:pPr>
      <w:tabs>
        <w:tab w:val="left" w:pos="3260"/>
        <w:tab w:val="clear" w:pos="1702"/>
      </w:tabs>
      <w:ind w:left="0" w:firstLine="0"/>
    </w:pPr>
    <w:rPr>
      <w:rFonts w:eastAsia="黑体"/>
    </w:rPr>
  </w:style>
  <w:style w:type="paragraph" w:customStyle="1" w:styleId="102">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3">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4">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5">
    <w:name w:val="标题 5 + 首行缩进:  2 字符"/>
    <w:basedOn w:val="7"/>
    <w:next w:val="20"/>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6">
    <w:name w:val="Char2 Char Char Char Char Char Char"/>
    <w:basedOn w:val="1"/>
    <w:qFormat/>
    <w:uiPriority w:val="0"/>
    <w:rPr>
      <w:rFonts w:ascii="仿宋_GB2312" w:hAnsi="Times New Roman"/>
      <w:b/>
      <w:sz w:val="30"/>
      <w:szCs w:val="32"/>
    </w:rPr>
  </w:style>
  <w:style w:type="paragraph" w:customStyle="1" w:styleId="107">
    <w:name w:val="MM Topic 2"/>
    <w:basedOn w:val="4"/>
    <w:qFormat/>
    <w:uiPriority w:val="0"/>
    <w:pPr>
      <w:numPr>
        <w:ilvl w:val="0"/>
        <w:numId w:val="0"/>
      </w:numPr>
      <w:tabs>
        <w:tab w:val="left" w:pos="992"/>
      </w:tabs>
    </w:pPr>
    <w:rPr>
      <w:rFonts w:cs="Times New Roman"/>
    </w:rPr>
  </w:style>
  <w:style w:type="paragraph" w:customStyle="1" w:styleId="108">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9">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0">
    <w:name w:val="MM Topic 8"/>
    <w:basedOn w:val="10"/>
    <w:qFormat/>
    <w:uiPriority w:val="0"/>
    <w:pPr>
      <w:tabs>
        <w:tab w:val="left" w:pos="4394"/>
      </w:tabs>
    </w:pPr>
  </w:style>
  <w:style w:type="paragraph" w:customStyle="1" w:styleId="111">
    <w:name w:val="Char1 Char Char Char Char Char Char"/>
    <w:basedOn w:val="1"/>
    <w:qFormat/>
    <w:uiPriority w:val="0"/>
    <w:rPr>
      <w:rFonts w:ascii="Tahoma" w:hAnsi="Tahoma"/>
      <w:sz w:val="24"/>
      <w:szCs w:val="20"/>
    </w:rPr>
  </w:style>
  <w:style w:type="paragraph" w:customStyle="1" w:styleId="112">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3">
    <w:name w:val="样式 小四2"/>
    <w:basedOn w:val="1"/>
    <w:qFormat/>
    <w:uiPriority w:val="0"/>
    <w:rPr>
      <w:rFonts w:ascii="宋体" w:hAnsi="宋体"/>
      <w:sz w:val="24"/>
      <w:szCs w:val="24"/>
    </w:rPr>
  </w:style>
  <w:style w:type="paragraph" w:customStyle="1" w:styleId="114">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5">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6">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8">
    <w:name w:val="文章正文 Char Char1"/>
    <w:basedOn w:val="1"/>
    <w:qFormat/>
    <w:uiPriority w:val="0"/>
    <w:pPr>
      <w:spacing w:line="360" w:lineRule="auto"/>
      <w:ind w:firstLine="420"/>
    </w:pPr>
    <w:rPr>
      <w:rFonts w:ascii="Times New Roman" w:hAnsi="Times New Roman"/>
      <w:sz w:val="24"/>
      <w:szCs w:val="24"/>
    </w:rPr>
  </w:style>
  <w:style w:type="paragraph" w:customStyle="1" w:styleId="119">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0">
    <w:name w:val="样式"/>
    <w:link w:val="121"/>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21">
    <w:name w:val="样式 Char Char"/>
    <w:link w:val="120"/>
    <w:qFormat/>
    <w:locked/>
    <w:uiPriority w:val="0"/>
    <w:rPr>
      <w:rFonts w:ascii="宋体" w:hAnsi="宋体" w:eastAsia="宋体" w:cs="宋体"/>
      <w:kern w:val="0"/>
      <w:sz w:val="24"/>
      <w:szCs w:val="24"/>
    </w:rPr>
  </w:style>
  <w:style w:type="paragraph" w:customStyle="1" w:styleId="122">
    <w:name w:val="图"/>
    <w:basedOn w:val="1"/>
    <w:qFormat/>
    <w:uiPriority w:val="0"/>
    <w:pPr>
      <w:widowControl/>
      <w:adjustRightInd w:val="0"/>
      <w:snapToGrid w:val="0"/>
      <w:jc w:val="center"/>
    </w:pPr>
    <w:rPr>
      <w:rFonts w:ascii="宋体" w:hAnsi="宋体"/>
      <w:bCs/>
      <w:szCs w:val="24"/>
    </w:rPr>
  </w:style>
  <w:style w:type="paragraph" w:customStyle="1" w:styleId="123">
    <w:name w:val="Char1 Char Char Char Char Char Char1"/>
    <w:basedOn w:val="1"/>
    <w:qFormat/>
    <w:uiPriority w:val="0"/>
    <w:rPr>
      <w:rFonts w:ascii="Tahoma" w:hAnsi="Tahoma"/>
      <w:sz w:val="24"/>
      <w:szCs w:val="20"/>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3"/>
    <w:qFormat/>
    <w:uiPriority w:val="0"/>
    <w:pPr>
      <w:tabs>
        <w:tab w:val="left" w:pos="425"/>
      </w:tabs>
    </w:pPr>
    <w:rPr>
      <w:rFonts w:cs="Times New Roman"/>
      <w:sz w:val="44"/>
    </w:rPr>
  </w:style>
  <w:style w:type="paragraph" w:customStyle="1" w:styleId="127">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8">
    <w:name w:val="我的正文"/>
    <w:basedOn w:val="1"/>
    <w:qFormat/>
    <w:uiPriority w:val="0"/>
    <w:pPr>
      <w:spacing w:line="360" w:lineRule="auto"/>
      <w:ind w:firstLine="420" w:firstLineChars="200"/>
    </w:pPr>
    <w:rPr>
      <w:rFonts w:ascii="宋体" w:hAnsi="宋体"/>
      <w:szCs w:val="24"/>
    </w:rPr>
  </w:style>
  <w:style w:type="paragraph" w:customStyle="1" w:styleId="129">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0">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1">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2">
    <w:name w:val="论文正文"/>
    <w:basedOn w:val="1"/>
    <w:qFormat/>
    <w:uiPriority w:val="0"/>
    <w:pPr>
      <w:spacing w:line="360" w:lineRule="auto"/>
      <w:ind w:firstLine="700" w:firstLineChars="250"/>
    </w:pPr>
    <w:rPr>
      <w:rFonts w:ascii="宋体" w:hAnsi="宋体"/>
      <w:bCs/>
      <w:sz w:val="28"/>
      <w:szCs w:val="28"/>
    </w:rPr>
  </w:style>
  <w:style w:type="paragraph" w:customStyle="1" w:styleId="133">
    <w:name w:val="样式1"/>
    <w:basedOn w:val="1"/>
    <w:qFormat/>
    <w:uiPriority w:val="0"/>
    <w:rPr>
      <w:rFonts w:ascii="Times New Roman" w:hAnsi="Times New Roman" w:eastAsia="隶书"/>
      <w:i/>
      <w:dstrike/>
      <w:sz w:val="28"/>
      <w:szCs w:val="18"/>
    </w:rPr>
  </w:style>
  <w:style w:type="paragraph" w:customStyle="1" w:styleId="134">
    <w:name w:val="表格"/>
    <w:basedOn w:val="1"/>
    <w:qFormat/>
    <w:uiPriority w:val="0"/>
    <w:pPr>
      <w:spacing w:line="400" w:lineRule="exact"/>
    </w:pPr>
    <w:rPr>
      <w:rFonts w:ascii="Times New Roman" w:hAnsi="Times New Roman"/>
      <w:sz w:val="24"/>
      <w:szCs w:val="24"/>
    </w:rPr>
  </w:style>
  <w:style w:type="paragraph" w:customStyle="1" w:styleId="135">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6">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7">
    <w:name w:val="Char Char Char Char Char Char Char Char Char Char Char Char Char"/>
    <w:basedOn w:val="18"/>
    <w:qFormat/>
    <w:uiPriority w:val="0"/>
    <w:rPr>
      <w:rFonts w:ascii="Tahoma" w:hAnsi="Tahoma"/>
      <w:sz w:val="24"/>
      <w:szCs w:val="24"/>
    </w:rPr>
  </w:style>
  <w:style w:type="paragraph" w:customStyle="1" w:styleId="138">
    <w:name w:val="MM Topic 3"/>
    <w:basedOn w:val="5"/>
    <w:qFormat/>
    <w:uiPriority w:val="0"/>
    <w:pPr>
      <w:numPr>
        <w:ilvl w:val="0"/>
        <w:numId w:val="0"/>
      </w:numPr>
      <w:tabs>
        <w:tab w:val="left" w:pos="1418"/>
      </w:tabs>
    </w:pPr>
    <w:rPr>
      <w:rFonts w:cs="Times New Roman"/>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1">
    <w:name w:val="Char Char Char Char"/>
    <w:basedOn w:val="1"/>
    <w:qFormat/>
    <w:uiPriority w:val="0"/>
    <w:rPr>
      <w:rFonts w:ascii="Tahoma" w:hAnsi="Tahoma"/>
      <w:sz w:val="24"/>
      <w:szCs w:val="20"/>
    </w:rPr>
  </w:style>
  <w:style w:type="paragraph" w:customStyle="1" w:styleId="142">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3">
    <w:name w:val="MM Topic 9"/>
    <w:basedOn w:val="11"/>
    <w:qFormat/>
    <w:uiPriority w:val="0"/>
    <w:pPr>
      <w:tabs>
        <w:tab w:val="left" w:pos="5102"/>
      </w:tabs>
    </w:pPr>
  </w:style>
  <w:style w:type="paragraph" w:customStyle="1" w:styleId="144">
    <w:name w:val="MM Topic 5"/>
    <w:basedOn w:val="7"/>
    <w:qFormat/>
    <w:uiPriority w:val="0"/>
    <w:pPr>
      <w:tabs>
        <w:tab w:val="left" w:pos="2551"/>
        <w:tab w:val="clear" w:pos="1134"/>
        <w:tab w:val="clear" w:pos="1560"/>
      </w:tabs>
      <w:ind w:left="0" w:firstLine="0"/>
    </w:pPr>
    <w:rPr>
      <w:rFonts w:cs="Times New Roman"/>
    </w:rPr>
  </w:style>
  <w:style w:type="paragraph" w:customStyle="1" w:styleId="145">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6">
    <w:name w:val="MM Topic 4"/>
    <w:basedOn w:val="6"/>
    <w:qFormat/>
    <w:uiPriority w:val="0"/>
    <w:pPr>
      <w:tabs>
        <w:tab w:val="left" w:pos="1984"/>
      </w:tabs>
      <w:ind w:left="0" w:firstLine="0"/>
    </w:p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9">
    <w:name w:val="样式 标题 2H2第一章 标题 2Heading 2 HiddenHeading 2 CCBSheading 2h2..."/>
    <w:basedOn w:val="4"/>
    <w:qFormat/>
    <w:uiPriority w:val="0"/>
    <w:pPr>
      <w:tabs>
        <w:tab w:val="left" w:pos="-2493"/>
      </w:tabs>
    </w:pPr>
    <w:rPr>
      <w:rFonts w:cs="Times New Roman"/>
      <w:szCs w:val="20"/>
    </w:rPr>
  </w:style>
  <w:style w:type="paragraph" w:customStyle="1" w:styleId="150">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1">
    <w:name w:val="列出段落2"/>
    <w:basedOn w:val="1"/>
    <w:qFormat/>
    <w:uiPriority w:val="0"/>
    <w:pPr>
      <w:ind w:firstLine="420" w:firstLineChars="200"/>
    </w:pPr>
  </w:style>
  <w:style w:type="paragraph" w:customStyle="1" w:styleId="152">
    <w:name w:val="列出段落4"/>
    <w:basedOn w:val="1"/>
    <w:qFormat/>
    <w:uiPriority w:val="34"/>
    <w:pPr>
      <w:ind w:firstLine="420" w:firstLineChars="200"/>
    </w:pPr>
    <w:rPr>
      <w:rFonts w:ascii="Times New Roman" w:hAnsi="Times New Roman"/>
      <w:szCs w:val="24"/>
    </w:rPr>
  </w:style>
  <w:style w:type="paragraph" w:customStyle="1" w:styleId="153">
    <w:name w:val="列出段落11"/>
    <w:basedOn w:val="1"/>
    <w:qFormat/>
    <w:uiPriority w:val="0"/>
    <w:pPr>
      <w:ind w:firstLine="420" w:firstLineChars="200"/>
    </w:pPr>
  </w:style>
  <w:style w:type="paragraph" w:customStyle="1" w:styleId="154">
    <w:name w:val="修订1"/>
    <w:qFormat/>
    <w:uiPriority w:val="99"/>
    <w:rPr>
      <w:rFonts w:ascii="Calibri" w:hAnsi="Calibri" w:eastAsia="宋体" w:cs="Times New Roman"/>
      <w:kern w:val="2"/>
      <w:sz w:val="21"/>
      <w:szCs w:val="22"/>
      <w:lang w:val="en-US" w:eastAsia="zh-CN" w:bidi="ar-SA"/>
    </w:rPr>
  </w:style>
  <w:style w:type="paragraph" w:customStyle="1" w:styleId="155">
    <w:name w:val="彩色列表 - 强调文字颜色 12"/>
    <w:basedOn w:val="1"/>
    <w:qFormat/>
    <w:uiPriority w:val="0"/>
    <w:pPr>
      <w:ind w:firstLine="420" w:firstLineChars="200"/>
    </w:pPr>
  </w:style>
  <w:style w:type="paragraph" w:customStyle="1" w:styleId="156">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7">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8">
    <w:name w:val="列项——（一级）"/>
    <w:qFormat/>
    <w:uiPriority w:val="0"/>
    <w:pPr>
      <w:widowControl w:val="0"/>
      <w:ind w:left="833" w:hanging="408"/>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2"/>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2"/>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2"/>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CD正文 Char Char"/>
    <w:qFormat/>
    <w:uiPriority w:val="0"/>
    <w:rPr>
      <w:rFonts w:hint="eastAsia" w:ascii="宋体" w:hAnsi="宋体" w:eastAsia="宋体"/>
      <w:kern w:val="2"/>
      <w:sz w:val="30"/>
      <w:szCs w:val="28"/>
      <w:lang w:val="en-US" w:eastAsia="zh-CN" w:bidi="ar-SA"/>
    </w:rPr>
  </w:style>
  <w:style w:type="character" w:customStyle="1" w:styleId="188">
    <w:name w:val="Char Char2"/>
    <w:qFormat/>
    <w:uiPriority w:val="0"/>
    <w:rPr>
      <w:kern w:val="2"/>
      <w:sz w:val="18"/>
      <w:szCs w:val="18"/>
    </w:rPr>
  </w:style>
  <w:style w:type="character" w:customStyle="1" w:styleId="189">
    <w:name w:val="标题 1 Char1"/>
    <w:qFormat/>
    <w:uiPriority w:val="0"/>
    <w:rPr>
      <w:b/>
      <w:bCs/>
      <w:kern w:val="44"/>
      <w:sz w:val="44"/>
      <w:szCs w:val="44"/>
    </w:rPr>
  </w:style>
  <w:style w:type="character" w:customStyle="1" w:styleId="190">
    <w:name w:val="表正文 Char1"/>
    <w:qFormat/>
    <w:uiPriority w:val="0"/>
    <w:rPr>
      <w:rFonts w:hint="eastAsia" w:ascii="宋体" w:hAnsi="宋体" w:eastAsia="宋体"/>
      <w:kern w:val="2"/>
      <w:sz w:val="21"/>
      <w:lang w:val="en-US" w:eastAsia="zh-CN" w:bidi="ar-SA"/>
    </w:rPr>
  </w:style>
  <w:style w:type="character" w:customStyle="1" w:styleId="191">
    <w:name w:val="Char Char Char"/>
    <w:qFormat/>
    <w:uiPriority w:val="0"/>
    <w:rPr>
      <w:rFonts w:hint="eastAsia" w:ascii="宋体" w:hAnsi="宋体" w:eastAsia="宋体"/>
      <w:kern w:val="2"/>
      <w:sz w:val="18"/>
      <w:szCs w:val="18"/>
      <w:lang w:val="en-US" w:eastAsia="zh-CN" w:bidi="ar-SA"/>
    </w:rPr>
  </w:style>
  <w:style w:type="character" w:customStyle="1" w:styleId="192">
    <w:name w:val="Char Char6"/>
    <w:qFormat/>
    <w:uiPriority w:val="0"/>
    <w:rPr>
      <w:kern w:val="2"/>
      <w:sz w:val="21"/>
      <w:szCs w:val="24"/>
    </w:rPr>
  </w:style>
  <w:style w:type="character" w:customStyle="1" w:styleId="193">
    <w:name w:val="正文缩进 Char"/>
    <w:qFormat/>
    <w:uiPriority w:val="0"/>
    <w:rPr>
      <w:kern w:val="2"/>
      <w:sz w:val="21"/>
      <w:lang w:val="zh-CN" w:eastAsia="zh-CN"/>
    </w:rPr>
  </w:style>
  <w:style w:type="character" w:customStyle="1" w:styleId="194">
    <w:name w:val="font11"/>
    <w:basedOn w:val="42"/>
    <w:qFormat/>
    <w:uiPriority w:val="0"/>
    <w:rPr>
      <w:rFonts w:hint="eastAsia" w:ascii="宋体" w:hAnsi="宋体" w:eastAsia="宋体" w:cs="宋体"/>
      <w:b/>
      <w:color w:val="000000"/>
      <w:sz w:val="22"/>
      <w:szCs w:val="22"/>
      <w:u w:val="none"/>
    </w:rPr>
  </w:style>
  <w:style w:type="character" w:customStyle="1" w:styleId="195">
    <w:name w:val="font01"/>
    <w:basedOn w:val="42"/>
    <w:qFormat/>
    <w:uiPriority w:val="0"/>
    <w:rPr>
      <w:rFonts w:hint="eastAsia" w:ascii="宋体" w:hAnsi="宋体" w:eastAsia="宋体" w:cs="宋体"/>
      <w:color w:val="000000"/>
      <w:sz w:val="22"/>
      <w:szCs w:val="22"/>
      <w:u w:val="none"/>
    </w:rPr>
  </w:style>
  <w:style w:type="character" w:customStyle="1" w:styleId="196">
    <w:name w:val="页脚 Char1"/>
    <w:basedOn w:val="42"/>
    <w:qFormat/>
    <w:uiPriority w:val="99"/>
    <w:rPr>
      <w:sz w:val="18"/>
      <w:szCs w:val="18"/>
    </w:rPr>
  </w:style>
  <w:style w:type="character" w:customStyle="1" w:styleId="197">
    <w:name w:val="批注文字 Char2"/>
    <w:qFormat/>
    <w:uiPriority w:val="0"/>
    <w:rPr>
      <w:rFonts w:hint="eastAsia" w:ascii="宋体" w:hAnsi="宋体" w:eastAsia="宋体"/>
      <w:sz w:val="18"/>
      <w:szCs w:val="18"/>
    </w:rPr>
  </w:style>
  <w:style w:type="character" w:customStyle="1" w:styleId="198">
    <w:name w:val="列出段落 Char1"/>
    <w:qFormat/>
    <w:uiPriority w:val="34"/>
    <w:rPr>
      <w:rFonts w:hint="default" w:ascii="Calibri" w:hAnsi="Calibri"/>
      <w:kern w:val="2"/>
      <w:sz w:val="21"/>
      <w:szCs w:val="22"/>
    </w:rPr>
  </w:style>
  <w:style w:type="paragraph" w:customStyle="1" w:styleId="199">
    <w:name w:val="CD正文"/>
    <w:basedOn w:val="98"/>
    <w:qFormat/>
    <w:uiPriority w:val="0"/>
  </w:style>
  <w:style w:type="paragraph" w:customStyle="1" w:styleId="200">
    <w:name w:val="项目符号：一级"/>
    <w:basedOn w:val="85"/>
    <w:next w:val="85"/>
    <w:qFormat/>
    <w:uiPriority w:val="0"/>
  </w:style>
  <w:style w:type="paragraph" w:customStyle="1" w:styleId="201">
    <w:name w:val="修订2"/>
    <w:semiHidden/>
    <w:qFormat/>
    <w:uiPriority w:val="99"/>
    <w:rPr>
      <w:rFonts w:ascii="Calibri" w:hAnsi="Calibri" w:eastAsia="宋体" w:cs="Times New Roman"/>
      <w:kern w:val="2"/>
      <w:sz w:val="21"/>
      <w:szCs w:val="22"/>
      <w:lang w:val="en-US" w:eastAsia="zh-CN" w:bidi="ar-SA"/>
    </w:rPr>
  </w:style>
  <w:style w:type="paragraph" w:customStyle="1" w:styleId="202">
    <w:name w:val="修订21"/>
    <w:semiHidden/>
    <w:qFormat/>
    <w:uiPriority w:val="99"/>
    <w:rPr>
      <w:rFonts w:ascii="Calibri" w:hAnsi="Calibri" w:eastAsia="宋体" w:cs="Times New Roman"/>
      <w:kern w:val="2"/>
      <w:sz w:val="21"/>
      <w:szCs w:val="22"/>
      <w:lang w:val="en-US" w:eastAsia="zh-CN" w:bidi="ar-SA"/>
    </w:rPr>
  </w:style>
  <w:style w:type="paragraph" w:customStyle="1" w:styleId="203">
    <w:name w:val="List Paragraph1"/>
    <w:basedOn w:val="1"/>
    <w:semiHidden/>
    <w:qFormat/>
    <w:uiPriority w:val="0"/>
    <w:pPr>
      <w:ind w:firstLine="420" w:firstLineChars="200"/>
    </w:pPr>
    <w:rPr>
      <w:rFonts w:ascii="Times New Roman" w:hAnsi="Times New Roman"/>
      <w:szCs w:val="24"/>
    </w:rPr>
  </w:style>
  <w:style w:type="paragraph" w:customStyle="1" w:styleId="204">
    <w:name w:val="修订3"/>
    <w:semiHidden/>
    <w:qFormat/>
    <w:uiPriority w:val="99"/>
    <w:rPr>
      <w:rFonts w:ascii="Calibri" w:hAnsi="Calibri" w:eastAsia="宋体" w:cs="Times New Roman"/>
      <w:kern w:val="2"/>
      <w:sz w:val="21"/>
      <w:szCs w:val="22"/>
      <w:lang w:val="en-US" w:eastAsia="zh-CN" w:bidi="ar-SA"/>
    </w:rPr>
  </w:style>
  <w:style w:type="paragraph" w:customStyle="1" w:styleId="205">
    <w:name w:val="Normal Indent1"/>
    <w:basedOn w:val="1"/>
    <w:semiHidden/>
    <w:qFormat/>
    <w:uiPriority w:val="99"/>
    <w:pPr>
      <w:spacing w:line="360" w:lineRule="auto"/>
      <w:ind w:firstLine="200" w:firstLineChars="200"/>
    </w:pPr>
    <w:rPr>
      <w:sz w:val="24"/>
      <w:szCs w:val="24"/>
    </w:rPr>
  </w:style>
  <w:style w:type="character" w:customStyle="1" w:styleId="206">
    <w:name w:val="占位符文本1"/>
    <w:basedOn w:val="42"/>
    <w:semiHidden/>
    <w:qFormat/>
    <w:uiPriority w:val="99"/>
    <w:rPr>
      <w:color w:val="808080"/>
    </w:rPr>
  </w:style>
  <w:style w:type="character" w:customStyle="1" w:styleId="207">
    <w:name w:val="font61"/>
    <w:qFormat/>
    <w:uiPriority w:val="0"/>
    <w:rPr>
      <w:rFonts w:hint="eastAsia" w:ascii="仿宋_GB2312" w:eastAsia="仿宋_GB2312" w:cs="仿宋_GB2312"/>
      <w:color w:val="000000"/>
      <w:sz w:val="24"/>
      <w:szCs w:val="24"/>
      <w:u w:val="none"/>
    </w:rPr>
  </w:style>
  <w:style w:type="character" w:customStyle="1" w:styleId="208">
    <w:name w:val="日期 Char1"/>
    <w:basedOn w:val="42"/>
    <w:semiHidden/>
    <w:qFormat/>
    <w:uiPriority w:val="99"/>
    <w:rPr>
      <w:rFonts w:hint="default" w:ascii="Calibri" w:hAnsi="Calibri" w:eastAsia="宋体" w:cs="Times New Roman"/>
    </w:rPr>
  </w:style>
  <w:style w:type="character" w:customStyle="1" w:styleId="209">
    <w:name w:val="副标题 Char2"/>
    <w:basedOn w:val="42"/>
    <w:qFormat/>
    <w:uiPriority w:val="11"/>
    <w:rPr>
      <w:rFonts w:hint="default" w:eastAsia="宋体" w:asciiTheme="majorHAnsi" w:hAnsiTheme="majorHAnsi" w:cstheme="majorBidi"/>
      <w:b/>
      <w:bCs/>
      <w:kern w:val="28"/>
      <w:sz w:val="32"/>
      <w:szCs w:val="32"/>
    </w:rPr>
  </w:style>
  <w:style w:type="character" w:customStyle="1" w:styleId="210">
    <w:name w:val="正文文本缩进 3 Char1"/>
    <w:basedOn w:val="42"/>
    <w:semiHidden/>
    <w:qFormat/>
    <w:uiPriority w:val="99"/>
    <w:rPr>
      <w:rFonts w:hint="default" w:ascii="Calibri" w:hAnsi="Calibri" w:eastAsia="宋体" w:cs="Times New Roman"/>
      <w:sz w:val="16"/>
      <w:szCs w:val="16"/>
    </w:rPr>
  </w:style>
  <w:style w:type="character" w:customStyle="1" w:styleId="211">
    <w:name w:val="批注框文本 Char1"/>
    <w:basedOn w:val="42"/>
    <w:semiHidden/>
    <w:qFormat/>
    <w:uiPriority w:val="99"/>
    <w:rPr>
      <w:rFonts w:hint="default" w:ascii="Calibri" w:hAnsi="Calibri" w:eastAsia="宋体" w:cs="Times New Roman"/>
      <w:sz w:val="18"/>
      <w:szCs w:val="18"/>
    </w:rPr>
  </w:style>
  <w:style w:type="character" w:customStyle="1" w:styleId="212">
    <w:name w:val="纯文本 Char2"/>
    <w:basedOn w:val="42"/>
    <w:qFormat/>
    <w:uiPriority w:val="99"/>
    <w:rPr>
      <w:rFonts w:hint="eastAsia" w:ascii="宋体" w:hAnsi="Courier New" w:eastAsia="宋体" w:cs="Courier New"/>
      <w:szCs w:val="21"/>
    </w:rPr>
  </w:style>
  <w:style w:type="character" w:customStyle="1" w:styleId="213">
    <w:name w:val="正文文本缩进 2 Char1"/>
    <w:basedOn w:val="42"/>
    <w:semiHidden/>
    <w:qFormat/>
    <w:uiPriority w:val="99"/>
    <w:rPr>
      <w:rFonts w:hint="default" w:ascii="Calibri" w:hAnsi="Calibri" w:eastAsia="宋体" w:cs="Times New Roman"/>
    </w:rPr>
  </w:style>
  <w:style w:type="character" w:customStyle="1" w:styleId="214">
    <w:name w:val="正文文本缩进 Char1"/>
    <w:basedOn w:val="42"/>
    <w:semiHidden/>
    <w:qFormat/>
    <w:uiPriority w:val="99"/>
    <w:rPr>
      <w:rFonts w:hint="default" w:ascii="Calibri" w:hAnsi="Calibri" w:eastAsia="宋体" w:cs="Times New Roman"/>
    </w:rPr>
  </w:style>
  <w:style w:type="character" w:customStyle="1" w:styleId="215">
    <w:name w:val="正文文本 2 Char1"/>
    <w:basedOn w:val="42"/>
    <w:semiHidden/>
    <w:qFormat/>
    <w:uiPriority w:val="99"/>
    <w:rPr>
      <w:rFonts w:hint="default" w:ascii="Calibri" w:hAnsi="Calibri" w:eastAsia="宋体" w:cs="Times New Roman"/>
    </w:rPr>
  </w:style>
  <w:style w:type="character" w:customStyle="1" w:styleId="216">
    <w:name w:val="正文文本 Char3"/>
    <w:basedOn w:val="42"/>
    <w:qFormat/>
    <w:locked/>
    <w:uiPriority w:val="0"/>
    <w:rPr>
      <w:rFonts w:ascii="Calibri" w:hAnsi="Calibri" w:eastAsia="宋体"/>
      <w:kern w:val="2"/>
      <w:sz w:val="21"/>
      <w:szCs w:val="22"/>
    </w:rPr>
  </w:style>
  <w:style w:type="character" w:customStyle="1" w:styleId="217">
    <w:name w:val="正文首行缩进 Char1"/>
    <w:basedOn w:val="216"/>
    <w:semiHidden/>
    <w:qFormat/>
    <w:uiPriority w:val="99"/>
    <w:rPr>
      <w:rFonts w:ascii="Calibri" w:hAnsi="Calibri" w:eastAsia="宋体"/>
      <w:kern w:val="2"/>
      <w:sz w:val="21"/>
      <w:szCs w:val="22"/>
    </w:rPr>
  </w:style>
  <w:style w:type="character" w:customStyle="1" w:styleId="218">
    <w:name w:val="批注文字 Char1"/>
    <w:basedOn w:val="42"/>
    <w:semiHidden/>
    <w:qFormat/>
    <w:uiPriority w:val="0"/>
    <w:rPr>
      <w:rFonts w:hint="default" w:ascii="Calibri" w:hAnsi="Calibri" w:eastAsia="宋体" w:cs="Times New Roman"/>
    </w:rPr>
  </w:style>
  <w:style w:type="character" w:customStyle="1" w:styleId="219">
    <w:name w:val="正文文本 3 Char1"/>
    <w:basedOn w:val="42"/>
    <w:semiHidden/>
    <w:qFormat/>
    <w:uiPriority w:val="99"/>
    <w:rPr>
      <w:rFonts w:hint="default" w:ascii="Calibri" w:hAnsi="Calibri" w:eastAsia="宋体" w:cs="Times New Roman"/>
      <w:sz w:val="16"/>
      <w:szCs w:val="16"/>
    </w:rPr>
  </w:style>
  <w:style w:type="character" w:customStyle="1" w:styleId="220">
    <w:name w:val="文档结构图 Char1"/>
    <w:basedOn w:val="42"/>
    <w:semiHidden/>
    <w:qFormat/>
    <w:uiPriority w:val="99"/>
    <w:rPr>
      <w:rFonts w:hint="eastAsia" w:ascii="宋体" w:hAnsi="Calibri" w:eastAsia="宋体" w:cs="Times New Roman"/>
      <w:sz w:val="18"/>
      <w:szCs w:val="18"/>
    </w:rPr>
  </w:style>
  <w:style w:type="character" w:customStyle="1" w:styleId="221">
    <w:name w:val="font21"/>
    <w:qFormat/>
    <w:uiPriority w:val="0"/>
    <w:rPr>
      <w:rFonts w:hint="eastAsia" w:ascii="仿宋_GB2312" w:eastAsia="仿宋_GB2312" w:cs="仿宋_GB2312"/>
      <w:color w:val="000000"/>
      <w:sz w:val="24"/>
      <w:szCs w:val="24"/>
      <w:u w:val="none"/>
    </w:rPr>
  </w:style>
  <w:style w:type="paragraph" w:customStyle="1" w:styleId="222">
    <w:name w:val="正文_5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3">
    <w:name w:val="Table Paragraph"/>
    <w:basedOn w:val="1"/>
    <w:qFormat/>
    <w:uiPriority w:val="1"/>
    <w:rPr>
      <w:rFonts w:ascii="宋体" w:hAnsi="宋体" w:cs="宋体"/>
      <w:lang w:eastAsia="en-US" w:bidi="en-US"/>
    </w:rPr>
  </w:style>
  <w:style w:type="character" w:customStyle="1" w:styleId="224">
    <w:name w:val="font41"/>
    <w:qFormat/>
    <w:uiPriority w:val="0"/>
    <w:rPr>
      <w:rFonts w:hint="default" w:ascii="Calibri" w:hAnsi="Calibri" w:cs="Calibri"/>
      <w:color w:val="000000"/>
      <w:sz w:val="20"/>
      <w:szCs w:val="20"/>
      <w:u w:val="none"/>
    </w:rPr>
  </w:style>
  <w:style w:type="character" w:customStyle="1" w:styleId="225">
    <w:name w:val="NormalCharacter"/>
    <w:qFormat/>
    <w:uiPriority w:val="0"/>
  </w:style>
  <w:style w:type="character" w:customStyle="1" w:styleId="226">
    <w:name w:val="sugg-loading"/>
    <w:basedOn w:val="42"/>
    <w:qFormat/>
    <w:uiPriority w:val="0"/>
  </w:style>
  <w:style w:type="character" w:customStyle="1" w:styleId="227">
    <w:name w:val="font71"/>
    <w:qFormat/>
    <w:uiPriority w:val="0"/>
    <w:rPr>
      <w:rFonts w:hint="default" w:ascii="仿宋_GB2312" w:eastAsia="仿宋_GB2312" w:cs="仿宋_GB2312"/>
      <w:color w:val="FF0000"/>
      <w:sz w:val="28"/>
      <w:szCs w:val="28"/>
      <w:u w:val="none"/>
    </w:rPr>
  </w:style>
  <w:style w:type="character" w:customStyle="1" w:styleId="228">
    <w:name w:val="font81"/>
    <w:qFormat/>
    <w:uiPriority w:val="0"/>
    <w:rPr>
      <w:rFonts w:hint="eastAsia" w:ascii="宋体" w:hAnsi="宋体" w:eastAsia="宋体" w:cs="宋体"/>
      <w:color w:val="000000"/>
      <w:sz w:val="28"/>
      <w:szCs w:val="28"/>
      <w:u w:val="none"/>
    </w:rPr>
  </w:style>
  <w:style w:type="character" w:customStyle="1" w:styleId="229">
    <w:name w:val="font31"/>
    <w:qFormat/>
    <w:uiPriority w:val="0"/>
    <w:rPr>
      <w:rFonts w:hint="default" w:ascii="仿宋_GB2312" w:eastAsia="仿宋_GB2312" w:cs="仿宋_GB2312"/>
      <w:color w:val="000000"/>
      <w:sz w:val="28"/>
      <w:szCs w:val="28"/>
      <w:u w:val="none"/>
    </w:rPr>
  </w:style>
  <w:style w:type="character" w:customStyle="1" w:styleId="230">
    <w:name w:val="font51"/>
    <w:qFormat/>
    <w:uiPriority w:val="0"/>
    <w:rPr>
      <w:rFonts w:ascii="黑体" w:hAnsi="宋体" w:eastAsia="黑体" w:cs="黑体"/>
      <w:color w:val="FF0000"/>
      <w:sz w:val="28"/>
      <w:szCs w:val="28"/>
      <w:u w:val="none"/>
    </w:rPr>
  </w:style>
  <w:style w:type="paragraph" w:customStyle="1" w:styleId="231">
    <w:name w:val="列出段落5"/>
    <w:basedOn w:val="1"/>
    <w:qFormat/>
    <w:uiPriority w:val="99"/>
    <w:pPr>
      <w:ind w:firstLine="420" w:firstLineChars="200"/>
    </w:pPr>
  </w:style>
  <w:style w:type="paragraph" w:customStyle="1" w:styleId="232">
    <w:name w:val="正文 A"/>
    <w:qFormat/>
    <w:uiPriority w:val="0"/>
    <w:pPr>
      <w:widowControl w:val="0"/>
      <w:jc w:val="both"/>
    </w:pPr>
    <w:rPr>
      <w:rFonts w:ascii="Calibri" w:hAnsi="Arial Unicode MS"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76CA2-0190-49E9-8319-8906D193831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121</Pages>
  <Words>10266</Words>
  <Characters>58520</Characters>
  <Lines>487</Lines>
  <Paragraphs>137</Paragraphs>
  <ScaleCrop>false</ScaleCrop>
  <LinksUpToDate>false</LinksUpToDate>
  <CharactersWithSpaces>68649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2021-05-27T01:53:00Z</dcterms:created>
  <dc:creator>高文豪</dc:creator>
  <cp:lastModifiedBy>lenovo</cp:lastModifiedBy>
  <cp:lastPrinted>2021-07-26T06:43:00Z</cp:lastPrinted>
  <dcterms:modified xsi:type="dcterms:W3CDTF">2021-11-19T05:45:30Z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16B5CA6511C34F73B8F080E64963CC25</vt:lpwstr>
  </property>
</Properties>
</file>